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技术创新与机制创新方案</w:t>
      </w:r>
    </w:p>
    <w:p>
      <w:pPr>
        <w:spacing w:line="324" w:lineRule="auto"/>
        <w:ind w:firstLine="0"/>
        <w:jc w:val="center"/>
      </w:pPr>
      <w:r>
        <w:t>矿山装备制造领域高质量数据集建设及场景应用项目配套设施</w:t>
        <w:br/>
        <w:t>数据加工生产服务</w:t>
      </w:r>
    </w:p>
    <w:p>
      <w:pPr>
        <w:spacing w:after="200"/>
      </w:pPr>
      <w:r>
        <w:t>我方围绕智能工具链、专家库管理、数据协同汇聚、软建设和运营机制实施创新，将专业规则、可信证据和协同责任落实到数据生产与服务交付，形成可执行、可验证、可持续维护的技术方法和管理机制。</w:t>
      </w:r>
    </w:p>
    <w:p>
      <w:pPr>
        <w:spacing w:line="264" w:lineRule="auto"/>
        <w:ind w:firstLine="0"/>
      </w:pPr>
      <w:r>
        <w:rPr>
          <w:b/>
        </w:rPr>
        <w:t>目录</w:t>
      </w:r>
    </w:p>
    <w:p>
      <w:pPr>
        <w:tabs>
          <w:tab w:pos="9411" w:val="right" w:leader="dot"/>
        </w:tabs>
        <w:spacing w:line="300" w:lineRule="exact" w:after="40"/>
        <w:ind w:firstLine="0"/>
      </w:pPr>
      <w:r>
        <w:rPr>
          <w:sz w:val="21"/>
        </w:rPr>
        <w:t>1 创新建设总体安排</w:t>
        <w:tab/>
        <w:t>2</w:t>
      </w:r>
    </w:p>
    <w:p>
      <w:pPr>
        <w:tabs>
          <w:tab w:pos="9411" w:val="right" w:leader="dot"/>
        </w:tabs>
        <w:spacing w:line="300" w:lineRule="exact" w:after="40"/>
        <w:ind w:firstLine="0"/>
      </w:pPr>
      <w:r>
        <w:rPr>
          <w:sz w:val="21"/>
        </w:rPr>
        <w:t>2 智能工具链的技术创新</w:t>
        <w:tab/>
        <w:t>4</w:t>
      </w:r>
    </w:p>
    <w:p>
      <w:pPr>
        <w:tabs>
          <w:tab w:pos="9411" w:val="right" w:leader="dot"/>
        </w:tabs>
        <w:spacing w:line="300" w:lineRule="exact" w:after="40"/>
        <w:ind w:firstLine="0"/>
      </w:pPr>
      <w:r>
        <w:rPr>
          <w:sz w:val="21"/>
        </w:rPr>
        <w:t>3 数据标注专家库建设机制</w:t>
        <w:tab/>
        <w:t>12</w:t>
      </w:r>
    </w:p>
    <w:p>
      <w:pPr>
        <w:tabs>
          <w:tab w:pos="9411" w:val="right" w:leader="dot"/>
        </w:tabs>
        <w:spacing w:line="300" w:lineRule="exact" w:after="40"/>
        <w:ind w:firstLine="0"/>
      </w:pPr>
      <w:r>
        <w:rPr>
          <w:sz w:val="21"/>
        </w:rPr>
        <w:t>4 专家库运行服务规程</w:t>
        <w:tab/>
        <w:t>18</w:t>
      </w:r>
    </w:p>
    <w:p>
      <w:pPr>
        <w:tabs>
          <w:tab w:pos="9411" w:val="right" w:leader="dot"/>
        </w:tabs>
        <w:spacing w:line="300" w:lineRule="exact" w:after="40"/>
        <w:ind w:firstLine="0"/>
      </w:pPr>
      <w:r>
        <w:rPr>
          <w:sz w:val="21"/>
        </w:rPr>
        <w:t>5 数据协同汇聚机制</w:t>
        <w:tab/>
        <w:t>19</w:t>
      </w:r>
    </w:p>
    <w:p>
      <w:pPr>
        <w:tabs>
          <w:tab w:pos="9411" w:val="right" w:leader="dot"/>
        </w:tabs>
        <w:spacing w:line="300" w:lineRule="exact" w:after="40"/>
        <w:ind w:firstLine="0"/>
      </w:pPr>
      <w:r>
        <w:rPr>
          <w:sz w:val="21"/>
        </w:rPr>
        <w:t>6 数据集全周期协同管理</w:t>
        <w:tab/>
        <w:t>24</w:t>
      </w:r>
    </w:p>
    <w:p>
      <w:pPr>
        <w:tabs>
          <w:tab w:pos="9411" w:val="right" w:leader="dot"/>
        </w:tabs>
        <w:spacing w:line="300" w:lineRule="exact" w:after="40"/>
        <w:ind w:firstLine="0"/>
      </w:pPr>
      <w:r>
        <w:rPr>
          <w:sz w:val="21"/>
        </w:rPr>
        <w:t>7 数据集运营体系与专业服务协同</w:t>
        <w:tab/>
        <w:t>25</w:t>
      </w:r>
    </w:p>
    <w:p>
      <w:pPr>
        <w:tabs>
          <w:tab w:pos="9411" w:val="right" w:leader="dot"/>
        </w:tabs>
        <w:spacing w:line="300" w:lineRule="exact" w:after="40"/>
        <w:ind w:firstLine="0"/>
      </w:pPr>
      <w:r>
        <w:rPr>
          <w:sz w:val="21"/>
        </w:rPr>
        <w:t>8 差异化服务与可持续运营机制</w:t>
        <w:tab/>
        <w:t>28</w:t>
      </w:r>
    </w:p>
    <w:p>
      <w:pPr>
        <w:tabs>
          <w:tab w:pos="9411" w:val="right" w:leader="dot"/>
        </w:tabs>
        <w:spacing w:line="300" w:lineRule="exact" w:after="40"/>
        <w:ind w:firstLine="0"/>
      </w:pPr>
      <w:r>
        <w:rPr>
          <w:sz w:val="21"/>
        </w:rPr>
        <w:t>9 公共服务内容体系</w:t>
        <w:tab/>
        <w:t>31</w:t>
      </w:r>
    </w:p>
    <w:p>
      <w:pPr>
        <w:tabs>
          <w:tab w:pos="9411" w:val="right" w:leader="dot"/>
        </w:tabs>
        <w:spacing w:line="300" w:lineRule="exact" w:after="40"/>
        <w:ind w:firstLine="0"/>
      </w:pPr>
      <w:r>
        <w:rPr>
          <w:sz w:val="21"/>
        </w:rPr>
        <w:t>10 国家数据基础设施接入机制</w:t>
        <w:tab/>
        <w:t>32</w:t>
      </w:r>
    </w:p>
    <w:p>
      <w:pPr>
        <w:tabs>
          <w:tab w:pos="9411" w:val="right" w:leader="dot"/>
        </w:tabs>
        <w:spacing w:line="300" w:lineRule="exact" w:after="40"/>
        <w:ind w:firstLine="0"/>
      </w:pPr>
      <w:r>
        <w:rPr>
          <w:sz w:val="21"/>
        </w:rPr>
        <w:t>11 软建设总体实施</w:t>
        <w:tab/>
        <w:t>35</w:t>
      </w:r>
    </w:p>
    <w:p>
      <w:pPr>
        <w:tabs>
          <w:tab w:pos="9411" w:val="right" w:leader="dot"/>
        </w:tabs>
        <w:spacing w:line="300" w:lineRule="exact" w:after="40"/>
        <w:ind w:firstLine="0"/>
      </w:pPr>
      <w:r>
        <w:rPr>
          <w:sz w:val="21"/>
        </w:rPr>
        <w:t>12 政策体系梳理与适用性管理</w:t>
        <w:tab/>
        <w:t>35</w:t>
      </w:r>
    </w:p>
    <w:p>
      <w:pPr>
        <w:tabs>
          <w:tab w:pos="9411" w:val="right" w:leader="dot"/>
        </w:tabs>
        <w:spacing w:line="300" w:lineRule="exact" w:after="40"/>
        <w:ind w:firstLine="0"/>
      </w:pPr>
      <w:r>
        <w:rPr>
          <w:sz w:val="21"/>
        </w:rPr>
        <w:t>13 政策规划制定与落地</w:t>
        <w:tab/>
        <w:t>38</w:t>
      </w:r>
    </w:p>
    <w:p>
      <w:pPr>
        <w:tabs>
          <w:tab w:pos="9411" w:val="right" w:leader="dot"/>
        </w:tabs>
        <w:spacing w:line="300" w:lineRule="exact" w:after="40"/>
        <w:ind w:firstLine="0"/>
      </w:pPr>
      <w:r>
        <w:rPr>
          <w:sz w:val="21"/>
        </w:rPr>
        <w:t>14 五项体制机制创新</w:t>
        <w:tab/>
        <w:t>41</w:t>
      </w:r>
    </w:p>
    <w:p>
      <w:pPr>
        <w:tabs>
          <w:tab w:pos="9411" w:val="right" w:leader="dot"/>
        </w:tabs>
        <w:spacing w:line="300" w:lineRule="exact" w:after="40"/>
        <w:ind w:firstLine="0"/>
      </w:pPr>
      <w:r>
        <w:rPr>
          <w:sz w:val="21"/>
        </w:rPr>
        <w:t>15 管理机制的执行控制</w:t>
        <w:tab/>
        <w:t>45</w:t>
      </w:r>
    </w:p>
    <w:p>
      <w:pPr>
        <w:tabs>
          <w:tab w:pos="9411" w:val="right" w:leader="dot"/>
        </w:tabs>
        <w:spacing w:line="300" w:lineRule="exact" w:after="40"/>
        <w:ind w:firstLine="0"/>
      </w:pPr>
      <w:r>
        <w:rPr>
          <w:sz w:val="21"/>
        </w:rPr>
        <w:t>16 行业标准与五位一体标准体系</w:t>
        <w:tab/>
        <w:t>47</w:t>
      </w:r>
    </w:p>
    <w:p>
      <w:pPr>
        <w:tabs>
          <w:tab w:pos="9411" w:val="right" w:leader="dot"/>
        </w:tabs>
        <w:spacing w:line="300" w:lineRule="exact" w:after="40"/>
        <w:ind w:firstLine="0"/>
      </w:pPr>
      <w:r>
        <w:rPr>
          <w:sz w:val="21"/>
        </w:rPr>
        <w:t>17 六项项目实施技术规范</w:t>
        <w:tab/>
        <w:t>52</w:t>
      </w:r>
    </w:p>
    <w:p>
      <w:pPr>
        <w:tabs>
          <w:tab w:pos="9411" w:val="right" w:leader="dot"/>
        </w:tabs>
        <w:spacing w:line="300" w:lineRule="exact" w:after="40"/>
        <w:ind w:firstLine="0"/>
      </w:pPr>
      <w:r>
        <w:rPr>
          <w:sz w:val="21"/>
        </w:rPr>
        <w:t>18 业务场景中的创新实施</w:t>
        <w:tab/>
        <w:t>55</w:t>
      </w:r>
    </w:p>
    <w:p>
      <w:pPr>
        <w:tabs>
          <w:tab w:pos="9411" w:val="right" w:leader="dot"/>
        </w:tabs>
        <w:spacing w:line="300" w:lineRule="exact" w:after="40"/>
        <w:ind w:firstLine="0"/>
      </w:pPr>
      <w:r>
        <w:rPr>
          <w:sz w:val="21"/>
        </w:rPr>
        <w:t>19 创新效果评价与运行监测</w:t>
        <w:tab/>
        <w:t>58</w:t>
      </w:r>
    </w:p>
    <w:p>
      <w:pPr>
        <w:tabs>
          <w:tab w:pos="9411" w:val="right" w:leader="dot"/>
        </w:tabs>
        <w:spacing w:line="300" w:lineRule="exact" w:after="40"/>
        <w:ind w:firstLine="0"/>
      </w:pPr>
      <w:r>
        <w:rPr>
          <w:sz w:val="21"/>
        </w:rPr>
        <w:t>20 实施计划与成果交付</w:t>
        <w:tab/>
        <w:t>61</w:t>
      </w:r>
    </w:p>
    <w:p>
      <w:r>
        <w:br w:type="page"/>
      </w:r>
    </w:p>
    <w:p>
      <w:pPr>
        <w:pStyle w:val="Heading1"/>
      </w:pPr>
      <w:r>
        <w:t>1 创新建设总体安排</w:t>
      </w:r>
    </w:p>
    <w:p>
      <w:pPr>
        <w:pStyle w:val="Heading2"/>
      </w:pPr>
      <w:r>
        <w:t>1.1 建设目标与实施主线</w:t>
      </w:r>
    </w:p>
    <w:p>
      <w:pPr>
        <w:jc w:val="both"/>
      </w:pPr>
      <w:r>
        <w:t>我方围绕矿山装备制造数据的专业性、多源性和持续更新要求，将技术创新落实到数据加工工具、质量判断和模型验证过程，将机制创新落实到专家履职、资源汇聚、标准执行和运营交付过程。以供需计划、产品工艺设计、制造过程、产品质量四类数据集为承载对象，贯通原始资源、生产任务、专家判断、版本成果和服务记录，使技术方法具备明确的业务用途，管理制度能够通过实际任务执行，创新成果能够由运行数据和交付文件共同验证。</w:t>
      </w:r>
    </w:p>
    <w:p>
      <w:pPr>
        <w:jc w:val="both"/>
      </w:pPr>
      <w:r>
        <w:t>矿山装备制造数据包含图纸、公差、材料牌号、工艺参数、检验结论、设备时序和运维经验。同一数值在不同设备、工序或版本条件下具有不同含义，同一故障现象也可能对应多种原因。加工过程中既要保存原始事实，又要表达事实成立的条件；既要形成可训练的数据，也要保留业务人员能够核查的证据。我方以业务对象关联和工程约束校验为基础，结合模型语义处理、专业复核及独立评测，形成适用于本项目的数据生产方法。</w:t>
      </w:r>
    </w:p>
    <w:p>
      <w:pPr>
        <w:jc w:val="both"/>
      </w:pPr>
      <w:r>
        <w:t>创新建设按照需求确认、样板验证、批量应用、成效评价和运行移交推进。需求确认阶段确定待解决问题、适用数据、责任岗位和评价方法；样板阶段验证工具配置及制度流程；批量阶段将通过验证的方法纳入正式生产；评价阶段比较质量、效率、成本和应用效果；移交阶段交付规则、配置、记录和培训材料，使甲方能够继续使用、调整和维护。</w:t>
      </w:r>
    </w:p>
    <w:p>
      <w:pPr>
        <w:jc w:val="both"/>
      </w:pPr>
      <w:r>
        <w:t>神兽 OS 统一承载加工生产、安全防护和运营服务能力。身份、权限、对象标识、元数据、版本、质量和审计采用统一管理方式，各类工具通过约定接口接入公共能力。专家库、协同汇聚、软建设和运营机制与平台任务关联，形成能够执行的审批、派单、校验、发布和追溯流程。</w:t>
      </w:r>
    </w:p>
    <w:p>
      <w:pPr>
        <w:pStyle w:val="Heading2"/>
      </w:pPr>
      <w:r>
        <w:t>1.2 五类创新的建设内容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创新方向</w:t>
            </w:r>
          </w:p>
        </w:tc>
        <w:tc>
          <w:tcPr>
            <w:tcW w:type="dxa" w:w="2795"/>
            <w:vAlign w:val="center"/>
            <w:shd w:fill="EDF1F3"/>
          </w:tcPr>
          <w:p>
            <w:pPr>
              <w:keepNext/>
              <w:spacing w:line="320" w:lineRule="exact" w:after="0" w:before="0"/>
              <w:ind w:firstLine="0"/>
              <w:jc w:val="center"/>
            </w:pPr>
            <w:r>
              <w:rPr>
                <w:b/>
                <w:sz w:val="21"/>
              </w:rPr>
              <w:t>主要建设内容</w:t>
            </w:r>
          </w:p>
        </w:tc>
        <w:tc>
          <w:tcPr>
            <w:tcW w:type="dxa" w:w="2602"/>
            <w:vAlign w:val="center"/>
            <w:shd w:fill="EDF1F3"/>
          </w:tcPr>
          <w:p>
            <w:pPr>
              <w:keepNext/>
              <w:spacing w:line="320" w:lineRule="exact" w:after="0" w:before="0"/>
              <w:ind w:firstLine="0"/>
              <w:jc w:val="center"/>
            </w:pPr>
            <w:r>
              <w:rPr>
                <w:b/>
                <w:sz w:val="21"/>
              </w:rPr>
              <w:t>形成的成果</w:t>
            </w:r>
          </w:p>
        </w:tc>
        <w:tc>
          <w:tcPr>
            <w:tcW w:type="dxa" w:w="2602"/>
            <w:vAlign w:val="center"/>
            <w:shd w:fill="EDF1F3"/>
          </w:tcPr>
          <w:p>
            <w:pPr>
              <w:keepNext/>
              <w:spacing w:line="320" w:lineRule="exact" w:after="0" w:before="0"/>
              <w:ind w:firstLine="0"/>
              <w:jc w:val="center"/>
            </w:pPr>
            <w:r>
              <w:rPr>
                <w:b/>
                <w:sz w:val="21"/>
              </w:rPr>
              <w:t>核验重点</w:t>
            </w:r>
          </w:p>
        </w:tc>
      </w:tr>
      <w:tr>
        <w:trPr>
          <w:cantSplit/>
        </w:trPr>
        <w:tc>
          <w:tcPr>
            <w:tcW w:type="dxa" w:w="1638"/>
            <w:vAlign w:val="center"/>
          </w:tcPr>
          <w:p>
            <w:pPr>
              <w:keepNext w:val="0"/>
              <w:spacing w:line="320" w:lineRule="exact" w:after="0" w:before="0"/>
              <w:ind w:firstLine="0"/>
              <w:jc w:val="left"/>
            </w:pPr>
            <w:r>
              <w:rPr>
                <w:b w:val="0"/>
                <w:sz w:val="21"/>
              </w:rPr>
              <w:t>智能工具链</w:t>
            </w:r>
          </w:p>
        </w:tc>
        <w:tc>
          <w:tcPr>
            <w:tcW w:type="dxa" w:w="2795"/>
            <w:vAlign w:val="center"/>
          </w:tcPr>
          <w:p>
            <w:pPr>
              <w:keepNext w:val="0"/>
              <w:spacing w:line="320" w:lineRule="exact" w:after="0" w:before="0"/>
              <w:ind w:firstLine="0"/>
              <w:jc w:val="left"/>
            </w:pPr>
            <w:r>
              <w:rPr>
                <w:b w:val="0"/>
                <w:sz w:val="21"/>
              </w:rPr>
              <w:t>规则与模型协同处理、证据定位、风险分流、跨模态关联、配置版本化、验证归因</w:t>
            </w:r>
          </w:p>
        </w:tc>
        <w:tc>
          <w:tcPr>
            <w:tcW w:type="dxa" w:w="2602"/>
            <w:vAlign w:val="center"/>
          </w:tcPr>
          <w:p>
            <w:pPr>
              <w:keepNext w:val="0"/>
              <w:spacing w:line="320" w:lineRule="exact" w:after="0" w:before="0"/>
              <w:ind w:firstLine="0"/>
              <w:jc w:val="left"/>
            </w:pPr>
            <w:r>
              <w:rPr>
                <w:b w:val="0"/>
                <w:sz w:val="21"/>
              </w:rPr>
              <w:t>工具配置、生产工艺、规则库、运行记录、对照试验报告</w:t>
            </w:r>
          </w:p>
        </w:tc>
        <w:tc>
          <w:tcPr>
            <w:tcW w:type="dxa" w:w="2602"/>
            <w:vAlign w:val="center"/>
          </w:tcPr>
          <w:p>
            <w:pPr>
              <w:keepNext w:val="0"/>
              <w:spacing w:line="320" w:lineRule="exact" w:after="0" w:before="0"/>
              <w:ind w:firstLine="0"/>
              <w:jc w:val="left"/>
            </w:pPr>
            <w:r>
              <w:rPr>
                <w:b w:val="0"/>
                <w:sz w:val="21"/>
              </w:rPr>
              <w:t>专业正确性、人工投入、故障恢复和来源追溯</w:t>
            </w:r>
          </w:p>
        </w:tc>
      </w:tr>
      <w:tr>
        <w:trPr>
          <w:cantSplit/>
        </w:trPr>
        <w:tc>
          <w:tcPr>
            <w:tcW w:type="dxa" w:w="1638"/>
            <w:vAlign w:val="center"/>
          </w:tcPr>
          <w:p>
            <w:pPr>
              <w:keepNext w:val="0"/>
              <w:spacing w:line="320" w:lineRule="exact" w:after="0" w:before="0"/>
              <w:ind w:firstLine="0"/>
              <w:jc w:val="left"/>
            </w:pPr>
            <w:r>
              <w:rPr>
                <w:b w:val="0"/>
                <w:sz w:val="21"/>
              </w:rPr>
              <w:t>专家库管理</w:t>
            </w:r>
          </w:p>
        </w:tc>
        <w:tc>
          <w:tcPr>
            <w:tcW w:type="dxa" w:w="2795"/>
            <w:vAlign w:val="center"/>
          </w:tcPr>
          <w:p>
            <w:pPr>
              <w:keepNext w:val="0"/>
              <w:spacing w:line="320" w:lineRule="exact" w:after="0" w:before="0"/>
              <w:ind w:firstLine="0"/>
              <w:jc w:val="left"/>
            </w:pPr>
            <w:r>
              <w:rPr>
                <w:b w:val="0"/>
                <w:sz w:val="21"/>
              </w:rPr>
              <w:t>六领域分类、能力核验、任务匹配、独立复核、动态考核和成果沉淀</w:t>
            </w:r>
          </w:p>
        </w:tc>
        <w:tc>
          <w:tcPr>
            <w:tcW w:type="dxa" w:w="2602"/>
            <w:vAlign w:val="center"/>
          </w:tcPr>
          <w:p>
            <w:pPr>
              <w:keepNext w:val="0"/>
              <w:spacing w:line="320" w:lineRule="exact" w:after="0" w:before="0"/>
              <w:ind w:firstLine="0"/>
              <w:jc w:val="left"/>
            </w:pPr>
            <w:r>
              <w:rPr>
                <w:b w:val="0"/>
                <w:sz w:val="21"/>
              </w:rPr>
              <w:t>管理办法、能力目录、专家名册、履职记录和考核档案</w:t>
            </w:r>
          </w:p>
        </w:tc>
        <w:tc>
          <w:tcPr>
            <w:tcW w:type="dxa" w:w="2602"/>
            <w:vAlign w:val="center"/>
          </w:tcPr>
          <w:p>
            <w:pPr>
              <w:keepNext w:val="0"/>
              <w:spacing w:line="320" w:lineRule="exact" w:after="0" w:before="0"/>
              <w:ind w:firstLine="0"/>
              <w:jc w:val="left"/>
            </w:pPr>
            <w:r>
              <w:rPr>
                <w:b w:val="0"/>
                <w:sz w:val="21"/>
              </w:rPr>
              <w:t>在库规模、专业覆盖、实际履职及裁决质量</w:t>
            </w:r>
          </w:p>
        </w:tc>
      </w:tr>
      <w:tr>
        <w:trPr>
          <w:cantSplit/>
        </w:trPr>
        <w:tc>
          <w:tcPr>
            <w:tcW w:type="dxa" w:w="1638"/>
            <w:vAlign w:val="center"/>
          </w:tcPr>
          <w:p>
            <w:pPr>
              <w:keepNext w:val="0"/>
              <w:spacing w:line="320" w:lineRule="exact" w:after="0" w:before="0"/>
              <w:ind w:firstLine="0"/>
              <w:jc w:val="left"/>
            </w:pPr>
            <w:r>
              <w:rPr>
                <w:b w:val="0"/>
                <w:sz w:val="21"/>
              </w:rPr>
              <w:t>数据协同汇聚</w:t>
            </w:r>
          </w:p>
        </w:tc>
        <w:tc>
          <w:tcPr>
            <w:tcW w:type="dxa" w:w="2795"/>
            <w:vAlign w:val="center"/>
          </w:tcPr>
          <w:p>
            <w:pPr>
              <w:keepNext w:val="0"/>
              <w:spacing w:line="320" w:lineRule="exact" w:after="0" w:before="0"/>
              <w:ind w:firstLine="0"/>
              <w:jc w:val="left"/>
            </w:pPr>
            <w:r>
              <w:rPr>
                <w:b w:val="0"/>
                <w:sz w:val="21"/>
              </w:rPr>
              <w:t>主体登记、供给协议、增量更新、授权控制、贡献评价和异常反馈</w:t>
            </w:r>
          </w:p>
        </w:tc>
        <w:tc>
          <w:tcPr>
            <w:tcW w:type="dxa" w:w="2602"/>
            <w:vAlign w:val="center"/>
          </w:tcPr>
          <w:p>
            <w:pPr>
              <w:keepNext w:val="0"/>
              <w:spacing w:line="320" w:lineRule="exact" w:after="0" w:before="0"/>
              <w:ind w:firstLine="0"/>
              <w:jc w:val="left"/>
            </w:pPr>
            <w:r>
              <w:rPr>
                <w:b w:val="0"/>
                <w:sz w:val="21"/>
              </w:rPr>
              <w:t>资源目录、数据交接单、权利台账、更新计划和贡献记录</w:t>
            </w:r>
          </w:p>
        </w:tc>
        <w:tc>
          <w:tcPr>
            <w:tcW w:type="dxa" w:w="2602"/>
            <w:vAlign w:val="center"/>
          </w:tcPr>
          <w:p>
            <w:pPr>
              <w:keepNext w:val="0"/>
              <w:spacing w:line="320" w:lineRule="exact" w:after="0" w:before="0"/>
              <w:ind w:firstLine="0"/>
              <w:jc w:val="left"/>
            </w:pPr>
            <w:r>
              <w:rPr>
                <w:b w:val="0"/>
                <w:sz w:val="21"/>
              </w:rPr>
              <w:t>来源、权限、有效数据量和更新连续性</w:t>
            </w:r>
          </w:p>
        </w:tc>
      </w:tr>
      <w:tr>
        <w:trPr>
          <w:cantSplit/>
        </w:trPr>
        <w:tc>
          <w:tcPr>
            <w:tcW w:type="dxa" w:w="1638"/>
            <w:vAlign w:val="center"/>
          </w:tcPr>
          <w:p>
            <w:pPr>
              <w:keepNext w:val="0"/>
              <w:spacing w:line="320" w:lineRule="exact" w:after="0" w:before="0"/>
              <w:ind w:firstLine="0"/>
              <w:jc w:val="left"/>
            </w:pPr>
            <w:r>
              <w:rPr>
                <w:b w:val="0"/>
                <w:sz w:val="21"/>
              </w:rPr>
              <w:t>软建设</w:t>
            </w:r>
          </w:p>
        </w:tc>
        <w:tc>
          <w:tcPr>
            <w:tcW w:type="dxa" w:w="2795"/>
            <w:vAlign w:val="center"/>
          </w:tcPr>
          <w:p>
            <w:pPr>
              <w:keepNext w:val="0"/>
              <w:spacing w:line="320" w:lineRule="exact" w:after="0" w:before="0"/>
              <w:ind w:firstLine="0"/>
              <w:jc w:val="left"/>
            </w:pPr>
            <w:r>
              <w:rPr>
                <w:b w:val="0"/>
                <w:sz w:val="21"/>
              </w:rPr>
              <w:t>政策梳理、发展规划、专项方案、五项机制、标准体系和实施规范</w:t>
            </w:r>
          </w:p>
        </w:tc>
        <w:tc>
          <w:tcPr>
            <w:tcW w:type="dxa" w:w="2602"/>
            <w:vAlign w:val="center"/>
          </w:tcPr>
          <w:p>
            <w:pPr>
              <w:keepNext w:val="0"/>
              <w:spacing w:line="320" w:lineRule="exact" w:after="0" w:before="0"/>
              <w:ind w:firstLine="0"/>
              <w:jc w:val="left"/>
            </w:pPr>
            <w:r>
              <w:rPr>
                <w:b w:val="0"/>
                <w:sz w:val="21"/>
              </w:rPr>
              <w:t>配套文件、制度流程、标准文本、验证记录和政策评估报告</w:t>
            </w:r>
          </w:p>
        </w:tc>
        <w:tc>
          <w:tcPr>
            <w:tcW w:type="dxa" w:w="2602"/>
            <w:vAlign w:val="center"/>
          </w:tcPr>
          <w:p>
            <w:pPr>
              <w:keepNext w:val="0"/>
              <w:spacing w:line="320" w:lineRule="exact" w:after="0" w:before="0"/>
              <w:ind w:firstLine="0"/>
              <w:jc w:val="left"/>
            </w:pPr>
            <w:r>
              <w:rPr>
                <w:b w:val="0"/>
                <w:sz w:val="21"/>
              </w:rPr>
              <w:t>内容完整、责任明确、执行有效和版本受控</w:t>
            </w:r>
          </w:p>
        </w:tc>
      </w:tr>
      <w:tr>
        <w:trPr>
          <w:cantSplit/>
        </w:trPr>
        <w:tc>
          <w:tcPr>
            <w:tcW w:type="dxa" w:w="1638"/>
            <w:vAlign w:val="center"/>
          </w:tcPr>
          <w:p>
            <w:pPr>
              <w:keepNext w:val="0"/>
              <w:spacing w:line="320" w:lineRule="exact" w:after="0" w:before="0"/>
              <w:ind w:firstLine="0"/>
              <w:jc w:val="left"/>
            </w:pPr>
            <w:r>
              <w:rPr>
                <w:b w:val="0"/>
                <w:sz w:val="21"/>
              </w:rPr>
              <w:t>运营机制</w:t>
            </w:r>
          </w:p>
        </w:tc>
        <w:tc>
          <w:tcPr>
            <w:tcW w:type="dxa" w:w="2795"/>
            <w:vAlign w:val="center"/>
          </w:tcPr>
          <w:p>
            <w:pPr>
              <w:keepNext w:val="0"/>
              <w:spacing w:line="320" w:lineRule="exact" w:after="0" w:before="0"/>
              <w:ind w:firstLine="0"/>
              <w:jc w:val="left"/>
            </w:pPr>
            <w:r>
              <w:rPr>
                <w:b w:val="0"/>
                <w:sz w:val="21"/>
              </w:rPr>
              <w:t>链主牵头、专业服务协同、差异化供给、公共服务和国家数据基础设施接入</w:t>
            </w:r>
          </w:p>
        </w:tc>
        <w:tc>
          <w:tcPr>
            <w:tcW w:type="dxa" w:w="2602"/>
            <w:vAlign w:val="center"/>
          </w:tcPr>
          <w:p>
            <w:pPr>
              <w:keepNext w:val="0"/>
              <w:spacing w:line="320" w:lineRule="exact" w:after="0" w:before="0"/>
              <w:ind w:firstLine="0"/>
              <w:jc w:val="left"/>
            </w:pPr>
            <w:r>
              <w:rPr>
                <w:b w:val="0"/>
                <w:sz w:val="21"/>
              </w:rPr>
              <w:t>服务目录、运营规则、计费模型、接入方案和履约档案</w:t>
            </w:r>
          </w:p>
        </w:tc>
        <w:tc>
          <w:tcPr>
            <w:tcW w:type="dxa" w:w="2602"/>
            <w:vAlign w:val="center"/>
          </w:tcPr>
          <w:p>
            <w:pPr>
              <w:keepNext w:val="0"/>
              <w:spacing w:line="320" w:lineRule="exact" w:after="0" w:before="0"/>
              <w:ind w:firstLine="0"/>
              <w:jc w:val="left"/>
            </w:pPr>
            <w:r>
              <w:rPr>
                <w:b w:val="0"/>
                <w:sz w:val="21"/>
              </w:rPr>
              <w:t>服务可用、权责清楚、价值可核算和接入可验证</w:t>
            </w:r>
          </w:p>
        </w:tc>
      </w:tr>
    </w:tbl>
    <w:p>
      <w:pPr>
        <w:spacing w:after="40" w:line="240" w:lineRule="auto"/>
        <w:ind w:firstLine="0"/>
      </w:pPr>
      <w:r>
        <w:rPr>
          <w:sz w:val="4"/>
        </w:rPr>
      </w:r>
    </w:p>
    <w:p>
      <w:pPr>
        <w:jc w:val="both"/>
      </w:pPr>
      <w:r>
        <w:t>五类创新共同服务于项目既定建设目标。数据集规模按四个业务域分别组织，并满足预训练合计615亿Token、指令微调89万条、偏好数据6.6万组、基准测试0.95万条的分域建设要求。数据模态、近三年时效性及多模态占比同步控制，创新方法的采用不改变数据集规模和质量验收条件。</w:t>
      </w:r>
    </w:p>
    <w:p>
      <w:pPr>
        <w:jc w:val="both"/>
      </w:pPr>
      <w:r>
        <w:t>智能工具链按九类二十五项建设，工具创新与具体生产任务结合。专家库成立后保持不少于50人在库，覆盖标准编制、数据生产、质量管控、行业应用、项目管理、安全合规六大领域。吸引不少于5家数据企业、高校、科研院所参与数据集建设，参与机构数量与专家人数分别登记、分别核验，机构参与和专家入库各自满足相应要求。</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 name="Picture 1"/>
            <wp:cNvGraphicFramePr>
              <a:graphicFrameLocks noChangeAspect="1"/>
            </wp:cNvGraphicFramePr>
            <a:graphic>
              <a:graphicData uri="http://schemas.openxmlformats.org/drawingml/2006/picture">
                <pic:pic>
                  <pic:nvPicPr>
                    <pic:cNvPr id="0" name="图1_创新实施体系.png"/>
                    <pic:cNvPicPr/>
                  </pic:nvPicPr>
                  <pic:blipFill>
                    <a:blip r:embed="rId11"/>
                    <a:stretch>
                      <a:fillRect/>
                    </a:stretch>
                  </pic:blipFill>
                  <pic:spPr>
                    <a:xfrm>
                      <a:off x="0" y="0"/>
                      <a:ext cx="6048000" cy="3004615"/>
                    </a:xfrm>
                    <a:prstGeom prst="rect"/>
                  </pic:spPr>
                </pic:pic>
              </a:graphicData>
            </a:graphic>
          </wp:inline>
        </w:drawing>
      </w:r>
    </w:p>
    <w:p>
      <w:pPr>
        <w:pStyle w:val="Caption"/>
        <w:jc w:val="center"/>
      </w:pPr>
      <w:r>
        <w:t>图 1-1 创新实施体系</w:t>
      </w:r>
    </w:p>
    <w:p>
      <w:pPr>
        <w:pStyle w:val="Heading2"/>
      </w:pPr>
      <w:r>
        <w:t>1.3 创新任务的组织方法</w:t>
      </w:r>
    </w:p>
    <w:p>
      <w:pPr>
        <w:jc w:val="both"/>
      </w:pPr>
      <w:r>
        <w:t>每项创新任务建立任务卡，记录业务问题、原有处理方式、输入数据、拟采用方法、适用范围、输出成果、质量约束、试验条件和责任岗位。任务卡在试验前完成审核，执行中记录变更。技术人员负责方法实现，业务人员负责专业事实及适用条件确认，质量人员负责独立检查，运营人员核查成果能否进入服务流程。</w:t>
      </w:r>
    </w:p>
    <w:p>
      <w:pPr>
        <w:jc w:val="both"/>
      </w:pPr>
      <w:r>
        <w:t>创新任务优先选择对专业正确性和持续运行影响较大的问题，包括图纸字段与工艺信息错配、热处理和焊接数据时间错位、长尾故障样本不足、跨来源标注不一致、模型错误难以回溯、汇聚数据授权失效以及制度制定后缺少执行记录。每个问题至少对应一条实际业务链和一套可核验记录，避免技术试验与业务交付脱节。</w:t>
      </w:r>
    </w:p>
    <w:p>
      <w:pPr>
        <w:jc w:val="both"/>
      </w:pPr>
      <w:r>
        <w:t>试验采用固定样本和明确条件。比较不同工具配置时保持输入范围、标签规范和评价方法一致；比较数据质量改进时记录数据版本、模型版本和训练条件；比较管理机制时保持任务类型和复杂程度可比。结果同时呈现质量、工时及异常情况，形成对采用方法的完整判断。</w:t>
      </w:r>
    </w:p>
    <w:p>
      <w:pPr>
        <w:jc w:val="both"/>
      </w:pPr>
      <w:r>
        <w:t>通过试验的方法先在代表性批次使用，确认数据产出、人工复核和运维处理均具备执行条件后扩大应用。未达到要求的任务保留失败样本和原因，返回调整规则、补充数据、完善制度或重新培训。技术方案升级与数据版本发布分别审批，避免未经验证的工具变更直接影响已验收成果。</w:t>
      </w:r>
    </w:p>
    <w:p>
      <w:pPr>
        <w:pStyle w:val="Heading2"/>
      </w:pPr>
      <w:r>
        <w:t>1.4 建设范围与协作要求</w:t>
      </w:r>
    </w:p>
    <w:p>
      <w:pPr>
        <w:jc w:val="both"/>
      </w:pPr>
      <w:r>
        <w:t>本项目围绕数据加工生产、质量评测、场景验证及相应配套能力开展创新建设。六个专业场景和五个通用场景用于检验数据集的业务适用性，形成数据问题、模型表现与验证结果之间的对应关系。场景验证结果进入数据修订和工具改进任务，不直接作为生产设备自动控制或业务自动决策的授权。</w:t>
      </w:r>
    </w:p>
    <w:p>
      <w:pPr>
        <w:jc w:val="both"/>
      </w:pPr>
      <w:r>
        <w:t>数据集运营推广服务围绕数据持续汇聚、运营体系、运营架构、盈利模式、运营组织、公共服务内容体系及国家数据基础设施接入七个方面实施。运营组织方案明确岗位、职责及议事流程；运营推广服务不包含运营团队建设、运营服务硬件基础设施及其他服务配套能力建设。数据标注专家库作为项目独立要求组织建设，与运营组织中的岗位设置分别管理。</w:t>
      </w:r>
    </w:p>
    <w:p>
      <w:pPr>
        <w:jc w:val="both"/>
      </w:pPr>
      <w:r>
        <w:t>制度、平台配置和业务记录采用同一版本关系。制度规定的数据审批，由平台流程承载；平台无法自动判断的专业事项，由具有相应职责的人员审核并形成记录；记录关联到实际数据对象、任务和成果。交付时同时检查制度文本、功能配置和执行证据，使甲方能够核对制度是否真正运行。</w:t>
      </w:r>
    </w:p>
    <w:p>
      <w:pPr>
        <w:pStyle w:val="Heading1"/>
      </w:pPr>
      <w:r>
        <w:t>2 智能工具链的技术创新</w:t>
      </w:r>
    </w:p>
    <w:p>
      <w:pPr>
        <w:pStyle w:val="Heading2"/>
      </w:pPr>
      <w:r>
        <w:t>2.1 工程规则与模型处理协同</w:t>
      </w:r>
    </w:p>
    <w:p>
      <w:pPr>
        <w:jc w:val="both"/>
      </w:pPr>
      <w:r>
        <w:t>我方将工具处理划分为确定性校验和语义处理两类能力。字段类型、单位换算、数值范围、格式完整性、版本关系和公式计算由规则或程序执行；文档理解、语义抽取、长文本组织、对话构建和候选标签识别采用模型辅助。两类能力共同使用已确认的数据标准及业务对象，输出统一的结果结构。</w:t>
      </w:r>
    </w:p>
    <w:p>
      <w:pPr>
        <w:jc w:val="both"/>
      </w:pPr>
      <w:r>
        <w:t>图纸解析时，模型识别尺寸、公差和技术要求的候选字段，程序检查数字格式、正负号、单位和上下偏差关系。工艺卡片处理时，模型提取工序、设备和材料条件，规则核对工序适用范围与技术约束。供需计划问答涉及库存、采购或产能计算时，程序依据经过确认的计算口径取数和计算，模型负责理解问题及组织回答，数值结果保留原始字段和计算过程。</w:t>
      </w:r>
    </w:p>
    <w:p>
      <w:pPr>
        <w:jc w:val="both"/>
      </w:pPr>
      <w:r>
        <w:t>处理结果按字段分别保存原始值、标准值、候选解释、规则命中和复核状态。原文中含有不确定表达或缺失条件时，保留原始限定，不以模型常见答案补齐事实。规则与模型结果冲突时生成差异记录，列明冲突字段、依据位置、规则版本和候选结果，转入专业复核。</w:t>
      </w:r>
    </w:p>
    <w:p>
      <w:pPr>
        <w:jc w:val="both"/>
      </w:pPr>
      <w:r>
        <w:t>规则库按业务域、设备类型、工序、适用材料和有效时间组织。每条规则包括唯一标识、业务含义、输入条件、判定表达式、严重程度、例外条件和责任岗位。新增规则先通过代表样本和边界样本检查，再发布到对应工具；规则撤销或替换时，识别受影响批次并安排复核。</w:t>
      </w:r>
    </w:p>
    <w:p>
      <w:pPr>
        <w:jc w:val="both"/>
      </w:pPr>
      <w:r>
        <w:t>双通道协同的评价分别记录规则命中准确性、模型候选采纳率、冲突发现率、人工修正工时和关键字段错误数。人工复核结论作为校准依据，防止两条通道使用同一错误知识却相互印证。高风险字段即使两条通道一致，也执行已批准的专业检查要求。</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工具协同.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 2-1 智能工具与专业复核协同流程</w:t>
      </w:r>
    </w:p>
    <w:p>
      <w:pPr>
        <w:pStyle w:val="Heading2"/>
      </w:pPr>
      <w:r>
        <w:t>2.2 证据定位与字段级可信记录</w:t>
      </w:r>
    </w:p>
    <w:p>
      <w:pPr>
        <w:jc w:val="both"/>
      </w:pPr>
      <w:r>
        <w:t>工具输出与原始证据建立直接联系。文本记录文件标识、段落、页码和字符区间；表格记录工作表、行列、表头及合并单元格关系；图纸记录图号、修订号、页号、图元或局部区域；视频记录设备、片段起止时间、帧位置和事件；时序记录测点、采样时间、数值及质量标识。证据位置与原文件摘要绑定，避免文件更新后位置失效。</w:t>
      </w:r>
    </w:p>
    <w:p>
      <w:pPr>
        <w:jc w:val="both"/>
      </w:pPr>
      <w:r>
        <w:t>同一条样本引用多个来源时，分别保存来源之间的关系。设计要求、实际工艺执行和检验结论作为不同类型的证据，不能相互替代。例如图纸规定的硬度范围属于设计要求，检验记录中的硬度属于实测结果；两者通过工件和检验批次关联，形成比较关系，保留各自的时间与版本。</w:t>
      </w:r>
    </w:p>
    <w:p>
      <w:pPr>
        <w:jc w:val="both"/>
      </w:pPr>
      <w:r>
        <w:t>复核界面按照待判断字段展示相应证据，并提供必要的上下文。尺寸字段同时显示单位及公差，故障标签同时显示事件前后状态，合同条款同时显示适用条件及关联条款。跨页文档保留前后文导航，防止局部截取改变原义。</w:t>
      </w:r>
    </w:p>
    <w:p>
      <w:pPr>
        <w:jc w:val="both"/>
      </w:pPr>
      <w:r>
        <w:t>证据有效性在进入生产前检查。缺页、扫描模糊、时间戳缺失、图纸版本冲突和对象无法对应分别标识；能够回源补齐的形成补采任务，暂不具备判断条件的进入隔离队列。后续取得新证据后产生新的判断记录，原判断保留历史状态。</w:t>
      </w:r>
    </w:p>
    <w:p>
      <w:pPr>
        <w:jc w:val="both"/>
      </w:pPr>
      <w:r>
        <w:t>证据链验证从最终样本反向追溯到原始文件，再从原始对象正向查询相关数据集和服务。检查对象标识、证据位置、版本及内容摘要是否一致，并验证授权撤回时能否定位已发布的派生成果。证据完整性与数据内容正确性分别评价，记录完整不能替代专业正确。</w:t>
      </w:r>
    </w:p>
    <w:p>
      <w:pPr>
        <w:pStyle w:val="Heading2"/>
      </w:pPr>
      <w:r>
        <w:t>2.3 风险分层与人工任务分流</w:t>
      </w:r>
    </w:p>
    <w:p>
      <w:pPr>
        <w:jc w:val="both"/>
      </w:pPr>
      <w:r>
        <w:t>任务分流综合数据敏感性、工程后果、工具置信度、规则冲突、历史错误及类别覆盖情况。尺寸与公差、工艺边界、故障根因、安全条件和合同责任等关键字段设置专项复核规则；普通格式转换和重复检测按风险执行自动检查及抽检。风险级别随业务用途确定，同一字段进入不同场景时可采用不同检查强度。</w:t>
      </w:r>
    </w:p>
    <w:p>
      <w:pPr>
        <w:jc w:val="both"/>
      </w:pPr>
      <w:r>
        <w:t>工具置信度通过经专家确认的校准样本检验，分别考察不同类别、来源和难度下的实际正确率。模型给出的自评分只作为输入信息，分流阈值依据校准结果和业务风险确定。缺少校准证据的新工具、新类别和新来源先进入加强复核状态。</w:t>
      </w:r>
    </w:p>
    <w:p>
      <w:pPr>
        <w:jc w:val="both"/>
      </w:pPr>
      <w:r>
        <w:t>人工任务区分纠错、补充、专业裁决和回源核实。纠错任务提供错误字段及正确候选；补充任务明确缺失信息；裁决任务呈现分歧和各自证据；回源任务列明需核实的业务对象、时间和材料。派发时考虑人员专业能力、已处理对象、回避关系和当前负荷，重要争议安排独立复核。</w:t>
      </w:r>
    </w:p>
    <w:p>
      <w:pPr>
        <w:jc w:val="both"/>
      </w:pPr>
      <w:r>
        <w:t>任务优先级兼顾交付期限和缺陷影响。影响多个数据集或多个版本的规则错误优先处理，稀缺工况及关键业务边界保留独立任务队列，避免被大量常见样本挤占。队列持续积压时分析原因，调整资源、工具配置或上游数据准备，不以降低质量门槛消化积压。</w:t>
      </w:r>
    </w:p>
    <w:p>
      <w:pPr>
        <w:jc w:val="both"/>
      </w:pPr>
      <w:r>
        <w:t>分流运行中按周检查人工工作量、错误发现、返工和等待时间。对高置信样本的抽检结果持续监测，发现集中错误立即扩大受影响范围复核并重新校准；对低置信但反复确认正确的类别，分析工具表达和校准问题。阈值修改形成版本记录，并通过固定验证样本回归检查。</w:t>
      </w:r>
    </w:p>
    <w:p>
      <w:pPr>
        <w:pStyle w:val="Heading2"/>
      </w:pPr>
      <w:r>
        <w:t>2.4 跨模态业务对象关联</w:t>
      </w:r>
    </w:p>
    <w:p>
      <w:pPr>
        <w:jc w:val="both"/>
      </w:pPr>
      <w:r>
        <w:t>跨模态关联以产品、零部件、工件、工单、设备、检验批和运行事件为共同对象。先核对源系统标识及其有效期，再建立统一标识与来源标识的映射。存在一对多、多对一和历史拆并关系时保存关系类型及生效时间，不能只按名称或时间接近程度合并。</w:t>
      </w:r>
    </w:p>
    <w:p>
      <w:pPr>
        <w:jc w:val="both"/>
      </w:pPr>
      <w:r>
        <w:t>图纸与工艺卡片按图号、修订、零件和生产任务关联；焊接图像与电流、电压、送丝速度按机器人、工件、焊道及时间关联；热处理曲线与硬度、切片结果按工件和检验批关联；设备时序与维护工单按设备、故障事件和维修窗口关联。关联结果保留匹配方式、依据和复核状态。</w:t>
      </w:r>
    </w:p>
    <w:p>
      <w:pPr>
        <w:jc w:val="both"/>
      </w:pPr>
      <w:r>
        <w:t>时间关联统一记录事件时间、采集时间和平台接收时间。对设备时钟偏差进行测量与校正，保存原始时间、校正量及其适用区间。采样频率不同的数据按任务需要重采样，保留原始点位及处理方式；停机、网络中断或传感器异常产生的数据缺口单独标识。</w:t>
      </w:r>
    </w:p>
    <w:p>
      <w:pPr>
        <w:jc w:val="both"/>
      </w:pPr>
      <w:r>
        <w:t>多模态样本按实际业务任务组织。焊接质量样本可包含焊道图像、参数片段、工件信息及检验结论，热处理样本可包含温度过程、工艺阶段、材料和硬度结果。缺少关键模态的对象按单模态或不完整样本登记，不能仅通过附加无关图片计入有效多模态数量。</w:t>
      </w:r>
    </w:p>
    <w:p>
      <w:pPr>
        <w:jc w:val="both"/>
      </w:pPr>
      <w:r>
        <w:t>关联质量从对象匹配、时间偏差、关系完整性和专业一致性四个方面验证。自动匹配结果抽取不同来源与困难情形进行人工复核；对时间邻近但设备不同、同一图号不同修订、同一设备跨维修阶段等易混情况设置负样本。未确认关系作为候选保留，不直接写入正式标签。</w:t>
      </w:r>
    </w:p>
    <w:p>
      <w:pPr>
        <w:pStyle w:val="Heading2"/>
      </w:pPr>
      <w:r>
        <w:t>2.5 工具配置版本化与任务可复核</w:t>
      </w:r>
    </w:p>
    <w:p>
      <w:pPr>
        <w:jc w:val="both"/>
      </w:pPr>
      <w:r>
        <w:t>每次工具运行绑定输入清单、工具版本、规则版本、标签规范、模型配置、运行环境和输出位置。输入清单保存对象标识、摘要和授权状态，任务启动后保持不变。修订输入或配置时创建新的运行记录，形成前后版本的关联，原运行日志继续保留。</w:t>
      </w:r>
    </w:p>
    <w:p>
      <w:pPr>
        <w:jc w:val="both"/>
      </w:pPr>
      <w:r>
        <w:t>加工流程采用有向无环的任务依赖组织，明确前置条件、处理节点、质量检查和失败出口。同一运行中的依赖关系固定，失败重试沿用已确认输入；需要回到前一环节补采、重标或调整规则时，创建后续修订任务。通过运行间的版本关联表达迭代，避免在单次运行内反复覆盖状态。</w:t>
      </w:r>
    </w:p>
    <w:p>
      <w:pPr>
        <w:jc w:val="both"/>
      </w:pPr>
      <w:r>
        <w:t>任务恢复先核对已完成输出的完整性和一致性。检查点与输入、工具及配置版本绑定，恢复时验证兼容条件；部分输出损坏时隔离问题对象并重新处理，成功对象在清单中保持可识别。重复请求通过任务唯一标识和提交状态控制，防止重复计数或重复发布。</w:t>
      </w:r>
    </w:p>
    <w:p>
      <w:pPr>
        <w:jc w:val="both"/>
      </w:pPr>
      <w:r>
        <w:t>确定性程序按相同条件复算结果；模型生成和训练保存随机状态、推理参数及执行环境，通过必要的重复试验评价波动。实验复核关注结论、指标和证据的一致性，随机文本输出不以逐字一致作为唯一判据。版本升级记录能力变化、适配结果和回退条件。</w:t>
      </w:r>
    </w:p>
    <w:p>
      <w:pPr>
        <w:jc w:val="both"/>
      </w:pPr>
      <w:r>
        <w:t>配置发布经过开发验证、业务核查和质量审核，先在受控批次使用，再按批准范围切换。旧版本配置保留可恢复条件；发现质量下降时暂停新版本产出进入正式数据集，按影响清单修订已处理批次。配置文件、测试样本和发布记录一并交付，支持甲方后续维护。</w:t>
      </w:r>
    </w:p>
    <w:p>
      <w:pPr>
        <w:pStyle w:val="Heading2"/>
      </w:pPr>
      <w:r>
        <w:t>2.6 训练数据污染与基准隔离控制</w:t>
      </w:r>
    </w:p>
    <w:p>
      <w:pPr>
        <w:jc w:val="both"/>
      </w:pPr>
      <w:r>
        <w:t>训练、验证和基准数据按来源对象及其派生关系整体划分。同一文档的切片和改写、同一图纸的局部裁剪、同一视频的重叠片段、同一故障事件的不同表述保持分组，避免相近内容同时进入训练和测试。视频独立测试按采集设备隔离封存，具体执行与规定的动态验证方案保持一致。</w:t>
      </w:r>
    </w:p>
    <w:p>
      <w:pPr>
        <w:jc w:val="both"/>
      </w:pPr>
      <w:r>
        <w:t>重复检测综合精确摘要、标准化文本、局部片段、语义相似及模态特征。精确重复直接形成重复组，近重复和语义相似给出候选及证据，由规则和人工判定其是否构成泄漏。高相似不等于业务相同，不同版本、不同工况或不同条件的样本保留必要差异。</w:t>
      </w:r>
    </w:p>
    <w:p>
      <w:pPr>
        <w:jc w:val="both"/>
      </w:pPr>
      <w:r>
        <w:t>基准评测子集采用真实来源数据，不使用任何形式的合成数据。基准答案、判分规则及冻结清单限制访问，开发和加工人员按岗位获取必要信息。模型错误反馈只提供缺陷类型及修订需求，正式测试答案不直接进入训练生产。</w:t>
      </w:r>
    </w:p>
    <w:p>
      <w:pPr>
        <w:jc w:val="both"/>
      </w:pPr>
      <w:r>
        <w:t>合成任务在读取种子时排除基准及其同源对象，产出与基准执行重复和相似度比对。样本保存合成来源、方法和模型版本，增强样本保存原样本及变换关系。数据集计数区分真实采集、合成和增强，按用途子集控制比例并检查业务适用性。</w:t>
      </w:r>
    </w:p>
    <w:p>
      <w:pPr>
        <w:jc w:val="both"/>
      </w:pPr>
      <w:r>
        <w:t>发现污染时确定受影响的训练数据、模型和评测记录，暂停相关结论使用。重新划分数据后，按影响范围重新训练或验证，生成替代报告；旧报告标记失效原因和替代关系。缺陷处理不能仅删除命中样本而继续沿用已经受影响的评测结果。</w:t>
      </w:r>
    </w:p>
    <w:p>
      <w:pPr>
        <w:pStyle w:val="Heading2"/>
      </w:pPr>
      <w:r>
        <w:t>2.7 模型错误归因与定向补数</w:t>
      </w:r>
    </w:p>
    <w:p>
      <w:pPr>
        <w:jc w:val="both"/>
      </w:pPr>
      <w:r>
        <w:t>模型验证结束后，将错误按事实缺失、标注冲突、来源噪声、模态错配、覆盖不足、规则失效和模型能力限制分类。归因首先核对问题与标准答案，再检查输入证据和样本来源，避免将错误的评测标准转化为新的训练数据。对无法确认原因的错误保留待研究状态。</w:t>
      </w:r>
    </w:p>
    <w:p>
      <w:pPr>
        <w:jc w:val="both"/>
      </w:pPr>
      <w:r>
        <w:t>通过血缘关系定位受影响子集。图纸尺寸理解错误回查图纸解析及公差标注；设备故障回答缺乏条件回查工况覆盖和事件窗口；制度问答引用旧条款回查有效时间和版本更新；经营指标回答偏差回查指标定义、过滤条件及计算逻辑。整改任务明确对象、原因、操作和验证方式。</w:t>
      </w:r>
    </w:p>
    <w:p>
      <w:pPr>
        <w:jc w:val="both"/>
      </w:pPr>
      <w:r>
        <w:t>定向补数优先补充真实数据和专业标注，再按允许范围开展合成增强。补充稀缺故障时围绕缺失条件采集样本，而非大量改写同一故障描述；补充长文本任务时保留完成任务所需的关键上下文，避免仅增加无关长度。新增数据经过正常质量检查后进入新版本。</w:t>
      </w:r>
    </w:p>
    <w:p>
      <w:pPr>
        <w:jc w:val="both"/>
      </w:pPr>
      <w:r>
        <w:t>效果比较采用受控实验，记录新增或移除的数据范围，保持模型、训练和评测条件尽可能一致。考察目标任务改善的同时，检查相邻任务、安全和通用能力是否退化。多因素共同变化的实验分别登记，不能把全部变化归因于某一批数据。</w:t>
      </w:r>
    </w:p>
    <w:p>
      <w:pPr>
        <w:jc w:val="both"/>
      </w:pPr>
      <w:r>
        <w:t>归因结论形成数据生产需求、规则修订需求或模型配置问题单，由对应岗位承担。整改完成后在独立验证条件下复评，保留有效改进和无效尝试。通过实际记录逐步建立缺陷类型、处理方法、适用条件和效果之间的经验库。</w:t>
      </w:r>
    </w:p>
    <w:p>
      <w:pPr>
        <w:pStyle w:val="Heading2"/>
      </w:pPr>
      <w:r>
        <w:t>2.8 九类工具链的创新落地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工具类别</w:t>
            </w:r>
          </w:p>
        </w:tc>
        <w:tc>
          <w:tcPr>
            <w:tcW w:type="dxa" w:w="2795"/>
            <w:vAlign w:val="center"/>
            <w:shd w:fill="EDF1F3"/>
          </w:tcPr>
          <w:p>
            <w:pPr>
              <w:keepNext/>
              <w:spacing w:line="320" w:lineRule="exact" w:after="0" w:before="0"/>
              <w:ind w:firstLine="0"/>
              <w:jc w:val="center"/>
            </w:pPr>
            <w:r>
              <w:rPr>
                <w:b/>
                <w:sz w:val="21"/>
              </w:rPr>
              <w:t>采用的方法</w:t>
            </w:r>
          </w:p>
        </w:tc>
        <w:tc>
          <w:tcPr>
            <w:tcW w:type="dxa" w:w="2602"/>
            <w:vAlign w:val="center"/>
            <w:shd w:fill="EDF1F3"/>
          </w:tcPr>
          <w:p>
            <w:pPr>
              <w:keepNext/>
              <w:spacing w:line="320" w:lineRule="exact" w:after="0" w:before="0"/>
              <w:ind w:firstLine="0"/>
              <w:jc w:val="center"/>
            </w:pPr>
            <w:r>
              <w:rPr>
                <w:b/>
                <w:sz w:val="21"/>
              </w:rPr>
              <w:t>关键产出</w:t>
            </w:r>
          </w:p>
        </w:tc>
        <w:tc>
          <w:tcPr>
            <w:tcW w:type="dxa" w:w="2602"/>
            <w:vAlign w:val="center"/>
            <w:shd w:fill="EDF1F3"/>
          </w:tcPr>
          <w:p>
            <w:pPr>
              <w:keepNext/>
              <w:spacing w:line="320" w:lineRule="exact" w:after="0" w:before="0"/>
              <w:ind w:firstLine="0"/>
              <w:jc w:val="center"/>
            </w:pPr>
            <w:r>
              <w:rPr>
                <w:b/>
                <w:sz w:val="21"/>
              </w:rPr>
              <w:t>检查方式</w:t>
            </w:r>
          </w:p>
        </w:tc>
      </w:tr>
      <w:tr>
        <w:trPr>
          <w:cantSplit/>
        </w:trPr>
        <w:tc>
          <w:tcPr>
            <w:tcW w:type="dxa" w:w="1638"/>
            <w:vAlign w:val="center"/>
          </w:tcPr>
          <w:p>
            <w:pPr>
              <w:keepNext w:val="0"/>
              <w:spacing w:line="320" w:lineRule="exact" w:after="0" w:before="0"/>
              <w:ind w:firstLine="0"/>
              <w:jc w:val="left"/>
            </w:pPr>
            <w:r>
              <w:rPr>
                <w:b w:val="0"/>
                <w:sz w:val="21"/>
              </w:rPr>
              <w:t>思维链构建</w:t>
            </w:r>
          </w:p>
        </w:tc>
        <w:tc>
          <w:tcPr>
            <w:tcW w:type="dxa" w:w="2795"/>
            <w:vAlign w:val="center"/>
          </w:tcPr>
          <w:p>
            <w:pPr>
              <w:keepNext w:val="0"/>
              <w:spacing w:line="320" w:lineRule="exact" w:after="0" w:before="0"/>
              <w:ind w:firstLine="0"/>
              <w:jc w:val="left"/>
            </w:pPr>
            <w:r>
              <w:rPr>
                <w:b w:val="0"/>
                <w:sz w:val="21"/>
              </w:rPr>
              <w:t>依据约束、步骤校验与人机协同审核</w:t>
            </w:r>
          </w:p>
        </w:tc>
        <w:tc>
          <w:tcPr>
            <w:tcW w:type="dxa" w:w="2602"/>
            <w:vAlign w:val="center"/>
          </w:tcPr>
          <w:p>
            <w:pPr>
              <w:keepNext w:val="0"/>
              <w:spacing w:line="320" w:lineRule="exact" w:after="0" w:before="0"/>
              <w:ind w:firstLine="0"/>
              <w:jc w:val="left"/>
            </w:pPr>
            <w:r>
              <w:rPr>
                <w:b w:val="0"/>
                <w:sz w:val="21"/>
              </w:rPr>
              <w:t>可核查的业务求解步骤及依据</w:t>
            </w:r>
          </w:p>
        </w:tc>
        <w:tc>
          <w:tcPr>
            <w:tcW w:type="dxa" w:w="2602"/>
            <w:vAlign w:val="center"/>
          </w:tcPr>
          <w:p>
            <w:pPr>
              <w:keepNext w:val="0"/>
              <w:spacing w:line="320" w:lineRule="exact" w:after="0" w:before="0"/>
              <w:ind w:firstLine="0"/>
              <w:jc w:val="left"/>
            </w:pPr>
            <w:r>
              <w:rPr>
                <w:b w:val="0"/>
                <w:sz w:val="21"/>
              </w:rPr>
              <w:t>事实、计算、条件和结论一致性检查</w:t>
            </w:r>
          </w:p>
        </w:tc>
      </w:tr>
      <w:tr>
        <w:trPr>
          <w:cantSplit/>
        </w:trPr>
        <w:tc>
          <w:tcPr>
            <w:tcW w:type="dxa" w:w="1638"/>
            <w:vAlign w:val="center"/>
          </w:tcPr>
          <w:p>
            <w:pPr>
              <w:keepNext w:val="0"/>
              <w:spacing w:line="320" w:lineRule="exact" w:after="0" w:before="0"/>
              <w:ind w:firstLine="0"/>
              <w:jc w:val="left"/>
            </w:pPr>
            <w:r>
              <w:rPr>
                <w:b w:val="0"/>
                <w:sz w:val="21"/>
              </w:rPr>
              <w:t>长上下文数据构建</w:t>
            </w:r>
          </w:p>
        </w:tc>
        <w:tc>
          <w:tcPr>
            <w:tcW w:type="dxa" w:w="2795"/>
            <w:vAlign w:val="center"/>
          </w:tcPr>
          <w:p>
            <w:pPr>
              <w:keepNext w:val="0"/>
              <w:spacing w:line="320" w:lineRule="exact" w:after="0" w:before="0"/>
              <w:ind w:firstLine="0"/>
              <w:jc w:val="left"/>
            </w:pPr>
            <w:r>
              <w:rPr>
                <w:b w:val="0"/>
                <w:sz w:val="21"/>
              </w:rPr>
              <w:t>结构解析、任务相关切分拼接及检索样本组织</w:t>
            </w:r>
          </w:p>
        </w:tc>
        <w:tc>
          <w:tcPr>
            <w:tcW w:type="dxa" w:w="2602"/>
            <w:vAlign w:val="center"/>
          </w:tcPr>
          <w:p>
            <w:pPr>
              <w:keepNext w:val="0"/>
              <w:spacing w:line="320" w:lineRule="exact" w:after="0" w:before="0"/>
              <w:ind w:firstLine="0"/>
              <w:jc w:val="left"/>
            </w:pPr>
            <w:r>
              <w:rPr>
                <w:b w:val="0"/>
                <w:sz w:val="21"/>
              </w:rPr>
              <w:t>保留结构与出处的长上下文样本</w:t>
            </w:r>
          </w:p>
        </w:tc>
        <w:tc>
          <w:tcPr>
            <w:tcW w:type="dxa" w:w="2602"/>
            <w:vAlign w:val="center"/>
          </w:tcPr>
          <w:p>
            <w:pPr>
              <w:keepNext w:val="0"/>
              <w:spacing w:line="320" w:lineRule="exact" w:after="0" w:before="0"/>
              <w:ind w:firstLine="0"/>
              <w:jc w:val="left"/>
            </w:pPr>
            <w:r>
              <w:rPr>
                <w:b w:val="0"/>
                <w:sz w:val="21"/>
              </w:rPr>
              <w:t>上下文完整性、引用及长度检查</w:t>
            </w:r>
          </w:p>
        </w:tc>
      </w:tr>
      <w:tr>
        <w:trPr>
          <w:cantSplit/>
        </w:trPr>
        <w:tc>
          <w:tcPr>
            <w:tcW w:type="dxa" w:w="1638"/>
            <w:vAlign w:val="center"/>
          </w:tcPr>
          <w:p>
            <w:pPr>
              <w:keepNext w:val="0"/>
              <w:spacing w:line="320" w:lineRule="exact" w:after="0" w:before="0"/>
              <w:ind w:firstLine="0"/>
              <w:jc w:val="left"/>
            </w:pPr>
            <w:r>
              <w:rPr>
                <w:b w:val="0"/>
                <w:sz w:val="21"/>
              </w:rPr>
              <w:t>多轮对话数据构建</w:t>
            </w:r>
          </w:p>
        </w:tc>
        <w:tc>
          <w:tcPr>
            <w:tcW w:type="dxa" w:w="2795"/>
            <w:vAlign w:val="center"/>
          </w:tcPr>
          <w:p>
            <w:pPr>
              <w:keepNext w:val="0"/>
              <w:spacing w:line="320" w:lineRule="exact" w:after="0" w:before="0"/>
              <w:ind w:firstLine="0"/>
              <w:jc w:val="left"/>
            </w:pPr>
            <w:r>
              <w:rPr>
                <w:b w:val="0"/>
                <w:sz w:val="21"/>
              </w:rPr>
              <w:t>事件顺序与角色知识约束</w:t>
            </w:r>
          </w:p>
        </w:tc>
        <w:tc>
          <w:tcPr>
            <w:tcW w:type="dxa" w:w="2602"/>
            <w:vAlign w:val="center"/>
          </w:tcPr>
          <w:p>
            <w:pPr>
              <w:keepNext w:val="0"/>
              <w:spacing w:line="320" w:lineRule="exact" w:after="0" w:before="0"/>
              <w:ind w:firstLine="0"/>
              <w:jc w:val="left"/>
            </w:pPr>
            <w:r>
              <w:rPr>
                <w:b w:val="0"/>
                <w:sz w:val="21"/>
              </w:rPr>
              <w:t>具备业务状态的对话样本</w:t>
            </w:r>
          </w:p>
        </w:tc>
        <w:tc>
          <w:tcPr>
            <w:tcW w:type="dxa" w:w="2602"/>
            <w:vAlign w:val="center"/>
          </w:tcPr>
          <w:p>
            <w:pPr>
              <w:keepNext w:val="0"/>
              <w:spacing w:line="320" w:lineRule="exact" w:after="0" w:before="0"/>
              <w:ind w:firstLine="0"/>
              <w:jc w:val="left"/>
            </w:pPr>
            <w:r>
              <w:rPr>
                <w:b w:val="0"/>
                <w:sz w:val="21"/>
              </w:rPr>
              <w:t>事实一致和轮次约束检查</w:t>
            </w:r>
          </w:p>
        </w:tc>
      </w:tr>
      <w:tr>
        <w:trPr>
          <w:cantSplit/>
        </w:trPr>
        <w:tc>
          <w:tcPr>
            <w:tcW w:type="dxa" w:w="1638"/>
            <w:vAlign w:val="center"/>
          </w:tcPr>
          <w:p>
            <w:pPr>
              <w:keepNext w:val="0"/>
              <w:spacing w:line="320" w:lineRule="exact" w:after="0" w:before="0"/>
              <w:ind w:firstLine="0"/>
              <w:jc w:val="left"/>
            </w:pPr>
            <w:r>
              <w:rPr>
                <w:b w:val="0"/>
                <w:sz w:val="21"/>
              </w:rPr>
              <w:t>多模态数据对齐</w:t>
            </w:r>
          </w:p>
        </w:tc>
        <w:tc>
          <w:tcPr>
            <w:tcW w:type="dxa" w:w="2795"/>
            <w:vAlign w:val="center"/>
          </w:tcPr>
          <w:p>
            <w:pPr>
              <w:keepNext w:val="0"/>
              <w:spacing w:line="320" w:lineRule="exact" w:after="0" w:before="0"/>
              <w:ind w:firstLine="0"/>
              <w:jc w:val="left"/>
            </w:pPr>
            <w:r>
              <w:rPr>
                <w:b w:val="0"/>
                <w:sz w:val="21"/>
              </w:rPr>
              <w:t>业务对象与时间双重关联</w:t>
            </w:r>
          </w:p>
        </w:tc>
        <w:tc>
          <w:tcPr>
            <w:tcW w:type="dxa" w:w="2602"/>
            <w:vAlign w:val="center"/>
          </w:tcPr>
          <w:p>
            <w:pPr>
              <w:keepNext w:val="0"/>
              <w:spacing w:line="320" w:lineRule="exact" w:after="0" w:before="0"/>
              <w:ind w:firstLine="0"/>
              <w:jc w:val="left"/>
            </w:pPr>
            <w:r>
              <w:rPr>
                <w:b w:val="0"/>
                <w:sz w:val="21"/>
              </w:rPr>
              <w:t>跨模态样本及关联证据</w:t>
            </w:r>
          </w:p>
        </w:tc>
        <w:tc>
          <w:tcPr>
            <w:tcW w:type="dxa" w:w="2602"/>
            <w:vAlign w:val="center"/>
          </w:tcPr>
          <w:p>
            <w:pPr>
              <w:keepNext w:val="0"/>
              <w:spacing w:line="320" w:lineRule="exact" w:after="0" w:before="0"/>
              <w:ind w:firstLine="0"/>
              <w:jc w:val="left"/>
            </w:pPr>
            <w:r>
              <w:rPr>
                <w:b w:val="0"/>
                <w:sz w:val="21"/>
              </w:rPr>
              <w:t>对象匹配、时钟及窗口核验</w:t>
            </w:r>
          </w:p>
        </w:tc>
      </w:tr>
      <w:tr>
        <w:trPr>
          <w:cantSplit/>
        </w:trPr>
        <w:tc>
          <w:tcPr>
            <w:tcW w:type="dxa" w:w="1638"/>
            <w:vAlign w:val="center"/>
          </w:tcPr>
          <w:p>
            <w:pPr>
              <w:keepNext w:val="0"/>
              <w:spacing w:line="320" w:lineRule="exact" w:after="0" w:before="0"/>
              <w:ind w:firstLine="0"/>
              <w:jc w:val="left"/>
            </w:pPr>
            <w:r>
              <w:rPr>
                <w:b w:val="0"/>
                <w:sz w:val="21"/>
              </w:rPr>
              <w:t>智能标注</w:t>
            </w:r>
          </w:p>
        </w:tc>
        <w:tc>
          <w:tcPr>
            <w:tcW w:type="dxa" w:w="2795"/>
            <w:vAlign w:val="center"/>
          </w:tcPr>
          <w:p>
            <w:pPr>
              <w:keepNext w:val="0"/>
              <w:spacing w:line="320" w:lineRule="exact" w:after="0" w:before="0"/>
              <w:ind w:firstLine="0"/>
              <w:jc w:val="left"/>
            </w:pPr>
            <w:r>
              <w:rPr>
                <w:b w:val="0"/>
                <w:sz w:val="21"/>
              </w:rPr>
              <w:t>模型候选、主动学习、规则校验和专家复核</w:t>
            </w:r>
          </w:p>
        </w:tc>
        <w:tc>
          <w:tcPr>
            <w:tcW w:type="dxa" w:w="2602"/>
            <w:vAlign w:val="center"/>
          </w:tcPr>
          <w:p>
            <w:pPr>
              <w:keepNext w:val="0"/>
              <w:spacing w:line="320" w:lineRule="exact" w:after="0" w:before="0"/>
              <w:ind w:firstLine="0"/>
              <w:jc w:val="left"/>
            </w:pPr>
            <w:r>
              <w:rPr>
                <w:b w:val="0"/>
                <w:sz w:val="21"/>
              </w:rPr>
              <w:t>标签、分歧及裁决记录</w:t>
            </w:r>
          </w:p>
        </w:tc>
        <w:tc>
          <w:tcPr>
            <w:tcW w:type="dxa" w:w="2602"/>
            <w:vAlign w:val="center"/>
          </w:tcPr>
          <w:p>
            <w:pPr>
              <w:keepNext w:val="0"/>
              <w:spacing w:line="320" w:lineRule="exact" w:after="0" w:before="0"/>
              <w:ind w:firstLine="0"/>
              <w:jc w:val="left"/>
            </w:pPr>
            <w:r>
              <w:rPr>
                <w:b w:val="0"/>
                <w:sz w:val="21"/>
              </w:rPr>
              <w:t>一致性、黄金集及专业抽查</w:t>
            </w:r>
          </w:p>
        </w:tc>
      </w:tr>
      <w:tr>
        <w:trPr>
          <w:cantSplit/>
        </w:trPr>
        <w:tc>
          <w:tcPr>
            <w:tcW w:type="dxa" w:w="1638"/>
            <w:vAlign w:val="center"/>
          </w:tcPr>
          <w:p>
            <w:pPr>
              <w:keepNext w:val="0"/>
              <w:spacing w:line="320" w:lineRule="exact" w:after="0" w:before="0"/>
              <w:ind w:firstLine="0"/>
              <w:jc w:val="left"/>
            </w:pPr>
            <w:r>
              <w:rPr>
                <w:b w:val="0"/>
                <w:sz w:val="21"/>
              </w:rPr>
              <w:t>数据生成与增强</w:t>
            </w:r>
          </w:p>
        </w:tc>
        <w:tc>
          <w:tcPr>
            <w:tcW w:type="dxa" w:w="2795"/>
            <w:vAlign w:val="center"/>
          </w:tcPr>
          <w:p>
            <w:pPr>
              <w:keepNext w:val="0"/>
              <w:spacing w:line="320" w:lineRule="exact" w:after="0" w:before="0"/>
              <w:ind w:firstLine="0"/>
              <w:jc w:val="left"/>
            </w:pPr>
            <w:r>
              <w:rPr>
                <w:b w:val="0"/>
                <w:sz w:val="21"/>
              </w:rPr>
              <w:t>种子授权、条件控制和语义检查</w:t>
            </w:r>
          </w:p>
        </w:tc>
        <w:tc>
          <w:tcPr>
            <w:tcW w:type="dxa" w:w="2602"/>
            <w:vAlign w:val="center"/>
          </w:tcPr>
          <w:p>
            <w:pPr>
              <w:keepNext w:val="0"/>
              <w:spacing w:line="320" w:lineRule="exact" w:after="0" w:before="0"/>
              <w:ind w:firstLine="0"/>
              <w:jc w:val="left"/>
            </w:pPr>
            <w:r>
              <w:rPr>
                <w:b w:val="0"/>
                <w:sz w:val="21"/>
              </w:rPr>
              <w:t>可识别的合成增强样本</w:t>
            </w:r>
          </w:p>
        </w:tc>
        <w:tc>
          <w:tcPr>
            <w:tcW w:type="dxa" w:w="2602"/>
            <w:vAlign w:val="center"/>
          </w:tcPr>
          <w:p>
            <w:pPr>
              <w:keepNext w:val="0"/>
              <w:spacing w:line="320" w:lineRule="exact" w:after="0" w:before="0"/>
              <w:ind w:firstLine="0"/>
              <w:jc w:val="left"/>
            </w:pPr>
            <w:r>
              <w:rPr>
                <w:b w:val="0"/>
                <w:sz w:val="21"/>
              </w:rPr>
              <w:t>真实性边界、分布及污染检查</w:t>
            </w:r>
          </w:p>
        </w:tc>
      </w:tr>
      <w:tr>
        <w:trPr>
          <w:cantSplit/>
        </w:trPr>
        <w:tc>
          <w:tcPr>
            <w:tcW w:type="dxa" w:w="1638"/>
            <w:vAlign w:val="center"/>
          </w:tcPr>
          <w:p>
            <w:pPr>
              <w:keepNext w:val="0"/>
              <w:spacing w:line="320" w:lineRule="exact" w:after="0" w:before="0"/>
              <w:ind w:firstLine="0"/>
              <w:jc w:val="left"/>
            </w:pPr>
            <w:r>
              <w:rPr>
                <w:b w:val="0"/>
                <w:sz w:val="21"/>
              </w:rPr>
              <w:t>数据质量与分布控制</w:t>
            </w:r>
          </w:p>
        </w:tc>
        <w:tc>
          <w:tcPr>
            <w:tcW w:type="dxa" w:w="2795"/>
            <w:vAlign w:val="center"/>
          </w:tcPr>
          <w:p>
            <w:pPr>
              <w:keepNext w:val="0"/>
              <w:spacing w:line="320" w:lineRule="exact" w:after="0" w:before="0"/>
              <w:ind w:firstLine="0"/>
              <w:jc w:val="left"/>
            </w:pPr>
            <w:r>
              <w:rPr>
                <w:b w:val="0"/>
                <w:sz w:val="21"/>
              </w:rPr>
              <w:t>同源分组、重复检测及长尾分析</w:t>
            </w:r>
          </w:p>
        </w:tc>
        <w:tc>
          <w:tcPr>
            <w:tcW w:type="dxa" w:w="2602"/>
            <w:vAlign w:val="center"/>
          </w:tcPr>
          <w:p>
            <w:pPr>
              <w:keepNext w:val="0"/>
              <w:spacing w:line="320" w:lineRule="exact" w:after="0" w:before="0"/>
              <w:ind w:firstLine="0"/>
              <w:jc w:val="left"/>
            </w:pPr>
            <w:r>
              <w:rPr>
                <w:b w:val="0"/>
                <w:sz w:val="21"/>
              </w:rPr>
              <w:t>重复关系、分布报告和补数需求</w:t>
            </w:r>
          </w:p>
        </w:tc>
        <w:tc>
          <w:tcPr>
            <w:tcW w:type="dxa" w:w="2602"/>
            <w:vAlign w:val="center"/>
          </w:tcPr>
          <w:p>
            <w:pPr>
              <w:keepNext w:val="0"/>
              <w:spacing w:line="320" w:lineRule="exact" w:after="0" w:before="0"/>
              <w:ind w:firstLine="0"/>
              <w:jc w:val="left"/>
            </w:pPr>
            <w:r>
              <w:rPr>
                <w:b w:val="0"/>
                <w:sz w:val="21"/>
              </w:rPr>
              <w:t>去重误删、类别覆盖及分域数量核验</w:t>
            </w:r>
          </w:p>
        </w:tc>
      </w:tr>
      <w:tr>
        <w:trPr>
          <w:cantSplit/>
        </w:trPr>
        <w:tc>
          <w:tcPr>
            <w:tcW w:type="dxa" w:w="1638"/>
            <w:vAlign w:val="center"/>
          </w:tcPr>
          <w:p>
            <w:pPr>
              <w:keepNext w:val="0"/>
              <w:spacing w:line="320" w:lineRule="exact" w:after="0" w:before="0"/>
              <w:ind w:firstLine="0"/>
              <w:jc w:val="left"/>
            </w:pPr>
            <w:r>
              <w:rPr>
                <w:b w:val="0"/>
                <w:sz w:val="21"/>
              </w:rPr>
              <w:t>数据生成控制与评测</w:t>
            </w:r>
          </w:p>
        </w:tc>
        <w:tc>
          <w:tcPr>
            <w:tcW w:type="dxa" w:w="2795"/>
            <w:vAlign w:val="center"/>
          </w:tcPr>
          <w:p>
            <w:pPr>
              <w:keepNext w:val="0"/>
              <w:spacing w:line="320" w:lineRule="exact" w:after="0" w:before="0"/>
              <w:ind w:firstLine="0"/>
              <w:jc w:val="left"/>
            </w:pPr>
            <w:r>
              <w:rPr>
                <w:b w:val="0"/>
                <w:sz w:val="21"/>
              </w:rPr>
              <w:t>模板约束、用途切分和真实基准构建</w:t>
            </w:r>
          </w:p>
        </w:tc>
        <w:tc>
          <w:tcPr>
            <w:tcW w:type="dxa" w:w="2602"/>
            <w:vAlign w:val="center"/>
          </w:tcPr>
          <w:p>
            <w:pPr>
              <w:keepNext w:val="0"/>
              <w:spacing w:line="320" w:lineRule="exact" w:after="0" w:before="0"/>
              <w:ind w:firstLine="0"/>
              <w:jc w:val="left"/>
            </w:pPr>
            <w:r>
              <w:rPr>
                <w:b w:val="0"/>
                <w:sz w:val="21"/>
              </w:rPr>
              <w:t>结构化生成结果及独立测试集合</w:t>
            </w:r>
          </w:p>
        </w:tc>
        <w:tc>
          <w:tcPr>
            <w:tcW w:type="dxa" w:w="2602"/>
            <w:vAlign w:val="center"/>
          </w:tcPr>
          <w:p>
            <w:pPr>
              <w:keepNext w:val="0"/>
              <w:spacing w:line="320" w:lineRule="exact" w:after="0" w:before="0"/>
              <w:ind w:firstLine="0"/>
              <w:jc w:val="left"/>
            </w:pPr>
            <w:r>
              <w:rPr>
                <w:b w:val="0"/>
                <w:sz w:val="21"/>
              </w:rPr>
              <w:t>格式、约束、切分及污染检查</w:t>
            </w:r>
          </w:p>
        </w:tc>
      </w:tr>
      <w:tr>
        <w:trPr>
          <w:cantSplit/>
        </w:trPr>
        <w:tc>
          <w:tcPr>
            <w:tcW w:type="dxa" w:w="1638"/>
            <w:vAlign w:val="center"/>
          </w:tcPr>
          <w:p>
            <w:pPr>
              <w:keepNext w:val="0"/>
              <w:spacing w:line="320" w:lineRule="exact" w:after="0" w:before="0"/>
              <w:ind w:firstLine="0"/>
              <w:jc w:val="left"/>
            </w:pPr>
            <w:r>
              <w:rPr>
                <w:b w:val="0"/>
                <w:sz w:val="21"/>
              </w:rPr>
              <w:t>数据集验证与归因</w:t>
            </w:r>
          </w:p>
        </w:tc>
        <w:tc>
          <w:tcPr>
            <w:tcW w:type="dxa" w:w="2795"/>
            <w:vAlign w:val="center"/>
          </w:tcPr>
          <w:p>
            <w:pPr>
              <w:keepNext w:val="0"/>
              <w:spacing w:line="320" w:lineRule="exact" w:after="0" w:before="0"/>
              <w:ind w:firstLine="0"/>
              <w:jc w:val="left"/>
            </w:pPr>
            <w:r>
              <w:rPr>
                <w:b w:val="0"/>
                <w:sz w:val="21"/>
              </w:rPr>
              <w:t>多协议评测、贡献分析及数据模型血缘</w:t>
            </w:r>
          </w:p>
        </w:tc>
        <w:tc>
          <w:tcPr>
            <w:tcW w:type="dxa" w:w="2602"/>
            <w:vAlign w:val="center"/>
          </w:tcPr>
          <w:p>
            <w:pPr>
              <w:keepNext w:val="0"/>
              <w:spacing w:line="320" w:lineRule="exact" w:after="0" w:before="0"/>
              <w:ind w:firstLine="0"/>
              <w:jc w:val="left"/>
            </w:pPr>
            <w:r>
              <w:rPr>
                <w:b w:val="0"/>
                <w:sz w:val="21"/>
              </w:rPr>
              <w:t>验证结论、归因证据及修订任务</w:t>
            </w:r>
          </w:p>
        </w:tc>
        <w:tc>
          <w:tcPr>
            <w:tcW w:type="dxa" w:w="2602"/>
            <w:vAlign w:val="center"/>
          </w:tcPr>
          <w:p>
            <w:pPr>
              <w:keepNext w:val="0"/>
              <w:spacing w:line="320" w:lineRule="exact" w:after="0" w:before="0"/>
              <w:ind w:firstLine="0"/>
              <w:jc w:val="left"/>
            </w:pPr>
            <w:r>
              <w:rPr>
                <w:b w:val="0"/>
                <w:sz w:val="21"/>
              </w:rPr>
              <w:t>固定协议复测和双向追溯</w:t>
            </w:r>
          </w:p>
        </w:tc>
      </w:tr>
    </w:tbl>
    <w:p>
      <w:pPr>
        <w:spacing w:after="40" w:line="240" w:lineRule="auto"/>
        <w:ind w:firstLine="0"/>
      </w:pPr>
      <w:r>
        <w:rPr>
          <w:sz w:val="4"/>
        </w:rPr>
      </w:r>
    </w:p>
    <w:p>
      <w:pPr>
        <w:jc w:val="both"/>
      </w:pPr>
      <w:r>
        <w:t>工具类别按招标确定的九类二十五项功能清单实施，具体工具的接口、参数、产出和验收记录逐项建立对应关系。共性能力在平台统一实现，专用工具保留各自专业处理逻辑。工具接入测试覆盖正常输入、缺失字段、异常格式、权限不足、任务失败和版本变更，保证串联后的实际行为与单工具验证一致。</w:t>
      </w:r>
    </w:p>
    <w:p>
      <w:pPr>
        <w:pStyle w:val="Heading2"/>
      </w:pPr>
      <w:r>
        <w:t>2.9 二十五项工具的创新实施重点</w:t>
      </w:r>
    </w:p>
    <w:p>
      <w:pPr>
        <w:jc w:val="both"/>
      </w:pPr>
      <w:r>
        <w:t>各工具按照功能清单建立独立测试项，创新实施重点落实到输入检查、处理方法和结果验证。组合运行时保留单工具产出与中间状态，出现错误能够定位具体处理节点。需要人工确认的结论通过受控任务完成，确认记录与工具产出共同归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3855"/>
        <w:gridCol w:w="2891"/>
      </w:tblGrid>
      <w:tr>
        <w:trPr>
          <w:cantSplit/>
          <w:tblHeader/>
        </w:trPr>
        <w:tc>
          <w:tcPr>
            <w:tcW w:type="dxa" w:w="2891"/>
            <w:vAlign w:val="center"/>
            <w:shd w:fill="EDF1F3"/>
          </w:tcPr>
          <w:p>
            <w:pPr>
              <w:keepNext/>
              <w:spacing w:line="320" w:lineRule="exact" w:after="0" w:before="0"/>
              <w:ind w:firstLine="0"/>
              <w:jc w:val="center"/>
            </w:pPr>
            <w:r>
              <w:rPr>
                <w:b/>
                <w:sz w:val="21"/>
              </w:rPr>
              <w:t>工具名称</w:t>
            </w:r>
          </w:p>
        </w:tc>
        <w:tc>
          <w:tcPr>
            <w:tcW w:type="dxa" w:w="3855"/>
            <w:vAlign w:val="center"/>
            <w:shd w:fill="EDF1F3"/>
          </w:tcPr>
          <w:p>
            <w:pPr>
              <w:keepNext/>
              <w:spacing w:line="320" w:lineRule="exact" w:after="0" w:before="0"/>
              <w:ind w:firstLine="0"/>
              <w:jc w:val="center"/>
            </w:pPr>
            <w:r>
              <w:rPr>
                <w:b/>
                <w:sz w:val="21"/>
              </w:rPr>
              <w:t>创新实施重点</w:t>
            </w:r>
          </w:p>
        </w:tc>
        <w:tc>
          <w:tcPr>
            <w:tcW w:type="dxa" w:w="2891"/>
            <w:vAlign w:val="center"/>
            <w:shd w:fill="EDF1F3"/>
          </w:tcPr>
          <w:p>
            <w:pPr>
              <w:keepNext/>
              <w:spacing w:line="320" w:lineRule="exact" w:after="0" w:before="0"/>
              <w:ind w:firstLine="0"/>
              <w:jc w:val="center"/>
            </w:pPr>
            <w:r>
              <w:rPr>
                <w:b/>
                <w:sz w:val="21"/>
              </w:rPr>
              <w:t>结果核验</w:t>
            </w:r>
          </w:p>
        </w:tc>
      </w:tr>
      <w:tr>
        <w:trPr>
          <w:cantSplit/>
        </w:trPr>
        <w:tc>
          <w:tcPr>
            <w:tcW w:type="dxa" w:w="2891"/>
            <w:vAlign w:val="center"/>
          </w:tcPr>
          <w:p>
            <w:pPr>
              <w:keepNext w:val="0"/>
              <w:spacing w:line="320" w:lineRule="exact" w:after="0" w:before="0"/>
              <w:ind w:firstLine="0"/>
              <w:jc w:val="left"/>
            </w:pPr>
            <w:r>
              <w:rPr>
                <w:b w:val="0"/>
                <w:sz w:val="21"/>
              </w:rPr>
              <w:t>大模型自生成思维链工具链</w:t>
            </w:r>
          </w:p>
        </w:tc>
        <w:tc>
          <w:tcPr>
            <w:tcW w:type="dxa" w:w="3855"/>
            <w:vAlign w:val="center"/>
          </w:tcPr>
          <w:p>
            <w:pPr>
              <w:keepNext w:val="0"/>
              <w:spacing w:line="320" w:lineRule="exact" w:after="0" w:before="0"/>
              <w:ind w:firstLine="0"/>
              <w:jc w:val="left"/>
            </w:pPr>
            <w:r>
              <w:rPr>
                <w:b w:val="0"/>
                <w:sz w:val="21"/>
              </w:rPr>
              <w:t>基于授权业务材料生成求解步骤 将数值计算交由程序复核</w:t>
            </w:r>
          </w:p>
        </w:tc>
        <w:tc>
          <w:tcPr>
            <w:tcW w:type="dxa" w:w="2891"/>
            <w:vAlign w:val="center"/>
          </w:tcPr>
          <w:p>
            <w:pPr>
              <w:keepNext w:val="0"/>
              <w:spacing w:line="320" w:lineRule="exact" w:after="0" w:before="0"/>
              <w:ind w:firstLine="0"/>
              <w:jc w:val="left"/>
            </w:pPr>
            <w:r>
              <w:rPr>
                <w:b w:val="0"/>
                <w:sz w:val="21"/>
              </w:rPr>
              <w:t>步骤条件与事实依据一致 无无依据的专业结论</w:t>
            </w:r>
          </w:p>
        </w:tc>
      </w:tr>
      <w:tr>
        <w:trPr>
          <w:cantSplit/>
        </w:trPr>
        <w:tc>
          <w:tcPr>
            <w:tcW w:type="dxa" w:w="2891"/>
            <w:vAlign w:val="center"/>
          </w:tcPr>
          <w:p>
            <w:pPr>
              <w:keepNext w:val="0"/>
              <w:spacing w:line="320" w:lineRule="exact" w:after="0" w:before="0"/>
              <w:ind w:firstLine="0"/>
              <w:jc w:val="left"/>
            </w:pPr>
            <w:r>
              <w:rPr>
                <w:b w:val="0"/>
                <w:sz w:val="21"/>
              </w:rPr>
              <w:t>人机协同思维链标注工具链</w:t>
            </w:r>
          </w:p>
        </w:tc>
        <w:tc>
          <w:tcPr>
            <w:tcW w:type="dxa" w:w="3855"/>
            <w:vAlign w:val="center"/>
          </w:tcPr>
          <w:p>
            <w:pPr>
              <w:keepNext w:val="0"/>
              <w:spacing w:line="320" w:lineRule="exact" w:after="0" w:before="0"/>
              <w:ind w:firstLine="0"/>
              <w:jc w:val="left"/>
            </w:pPr>
            <w:r>
              <w:rPr>
                <w:b w:val="0"/>
                <w:sz w:val="21"/>
              </w:rPr>
              <w:t>专家逐项检查关键步骤 记录修订及专业依据</w:t>
            </w:r>
          </w:p>
        </w:tc>
        <w:tc>
          <w:tcPr>
            <w:tcW w:type="dxa" w:w="2891"/>
            <w:vAlign w:val="center"/>
          </w:tcPr>
          <w:p>
            <w:pPr>
              <w:keepNext w:val="0"/>
              <w:spacing w:line="320" w:lineRule="exact" w:after="0" w:before="0"/>
              <w:ind w:firstLine="0"/>
              <w:jc w:val="left"/>
            </w:pPr>
            <w:r>
              <w:rPr>
                <w:b w:val="0"/>
                <w:sz w:val="21"/>
              </w:rPr>
              <w:t>关键判断有证据 修订能够回溯</w:t>
            </w:r>
          </w:p>
        </w:tc>
      </w:tr>
      <w:tr>
        <w:trPr>
          <w:cantSplit/>
        </w:trPr>
        <w:tc>
          <w:tcPr>
            <w:tcW w:type="dxa" w:w="2891"/>
            <w:vAlign w:val="center"/>
          </w:tcPr>
          <w:p>
            <w:pPr>
              <w:keepNext w:val="0"/>
              <w:spacing w:line="320" w:lineRule="exact" w:after="0" w:before="0"/>
              <w:ind w:firstLine="0"/>
              <w:jc w:val="left"/>
            </w:pPr>
            <w:r>
              <w:rPr>
                <w:b w:val="0"/>
                <w:sz w:val="21"/>
              </w:rPr>
              <w:t>文档切分与拼接工具链</w:t>
            </w:r>
          </w:p>
        </w:tc>
        <w:tc>
          <w:tcPr>
            <w:tcW w:type="dxa" w:w="3855"/>
            <w:vAlign w:val="center"/>
          </w:tcPr>
          <w:p>
            <w:pPr>
              <w:keepNext w:val="0"/>
              <w:spacing w:line="320" w:lineRule="exact" w:after="0" w:before="0"/>
              <w:ind w:firstLine="0"/>
              <w:jc w:val="left"/>
            </w:pPr>
            <w:r>
              <w:rPr>
                <w:b w:val="0"/>
                <w:sz w:val="21"/>
              </w:rPr>
              <w:t>按章节 表格及业务对象确定边界 任务驱动拼接</w:t>
            </w:r>
          </w:p>
        </w:tc>
        <w:tc>
          <w:tcPr>
            <w:tcW w:type="dxa" w:w="2891"/>
            <w:vAlign w:val="center"/>
          </w:tcPr>
          <w:p>
            <w:pPr>
              <w:keepNext w:val="0"/>
              <w:spacing w:line="320" w:lineRule="exact" w:after="0" w:before="0"/>
              <w:ind w:firstLine="0"/>
              <w:jc w:val="left"/>
            </w:pPr>
            <w:r>
              <w:rPr>
                <w:b w:val="0"/>
                <w:sz w:val="21"/>
              </w:rPr>
              <w:t>关键条件保留 来源位置可定位</w:t>
            </w:r>
          </w:p>
        </w:tc>
      </w:tr>
      <w:tr>
        <w:trPr>
          <w:cantSplit/>
        </w:trPr>
        <w:tc>
          <w:tcPr>
            <w:tcW w:type="dxa" w:w="2891"/>
            <w:vAlign w:val="center"/>
          </w:tcPr>
          <w:p>
            <w:pPr>
              <w:keepNext w:val="0"/>
              <w:spacing w:line="320" w:lineRule="exact" w:after="0" w:before="0"/>
              <w:ind w:firstLine="0"/>
              <w:jc w:val="left"/>
            </w:pPr>
            <w:r>
              <w:rPr>
                <w:b w:val="0"/>
                <w:sz w:val="21"/>
              </w:rPr>
              <w:t>RAG数据构建工具链</w:t>
            </w:r>
          </w:p>
        </w:tc>
        <w:tc>
          <w:tcPr>
            <w:tcW w:type="dxa" w:w="3855"/>
            <w:vAlign w:val="center"/>
          </w:tcPr>
          <w:p>
            <w:pPr>
              <w:keepNext w:val="0"/>
              <w:spacing w:line="320" w:lineRule="exact" w:after="0" w:before="0"/>
              <w:ind w:firstLine="0"/>
              <w:jc w:val="left"/>
            </w:pPr>
            <w:r>
              <w:rPr>
                <w:b w:val="0"/>
                <w:sz w:val="21"/>
              </w:rPr>
              <w:t>关联问题 证据片段和答案 配置困难负例</w:t>
            </w:r>
          </w:p>
        </w:tc>
        <w:tc>
          <w:tcPr>
            <w:tcW w:type="dxa" w:w="2891"/>
            <w:vAlign w:val="center"/>
          </w:tcPr>
          <w:p>
            <w:pPr>
              <w:keepNext w:val="0"/>
              <w:spacing w:line="320" w:lineRule="exact" w:after="0" w:before="0"/>
              <w:ind w:firstLine="0"/>
              <w:jc w:val="left"/>
            </w:pPr>
            <w:r>
              <w:rPr>
                <w:b w:val="0"/>
                <w:sz w:val="21"/>
              </w:rPr>
              <w:t>正例确有依据 负例不含等价正确证据</w:t>
            </w:r>
          </w:p>
        </w:tc>
      </w:tr>
      <w:tr>
        <w:trPr>
          <w:cantSplit/>
        </w:trPr>
        <w:tc>
          <w:tcPr>
            <w:tcW w:type="dxa" w:w="2891"/>
            <w:vAlign w:val="center"/>
          </w:tcPr>
          <w:p>
            <w:pPr>
              <w:keepNext w:val="0"/>
              <w:spacing w:line="320" w:lineRule="exact" w:after="0" w:before="0"/>
              <w:ind w:firstLine="0"/>
              <w:jc w:val="left"/>
            </w:pPr>
            <w:r>
              <w:rPr>
                <w:b w:val="0"/>
                <w:sz w:val="21"/>
              </w:rPr>
              <w:t>文档结构解析工具链</w:t>
            </w:r>
          </w:p>
        </w:tc>
        <w:tc>
          <w:tcPr>
            <w:tcW w:type="dxa" w:w="3855"/>
            <w:vAlign w:val="center"/>
          </w:tcPr>
          <w:p>
            <w:pPr>
              <w:keepNext w:val="0"/>
              <w:spacing w:line="320" w:lineRule="exact" w:after="0" w:before="0"/>
              <w:ind w:firstLine="0"/>
              <w:jc w:val="left"/>
            </w:pPr>
            <w:r>
              <w:rPr>
                <w:b w:val="0"/>
                <w:sz w:val="21"/>
              </w:rPr>
              <w:t>协同恢复版面 表头 图注和跨页关系</w:t>
            </w:r>
          </w:p>
        </w:tc>
        <w:tc>
          <w:tcPr>
            <w:tcW w:type="dxa" w:w="2891"/>
            <w:vAlign w:val="center"/>
          </w:tcPr>
          <w:p>
            <w:pPr>
              <w:keepNext w:val="0"/>
              <w:spacing w:line="320" w:lineRule="exact" w:after="0" w:before="0"/>
              <w:ind w:firstLine="0"/>
              <w:jc w:val="left"/>
            </w:pPr>
            <w:r>
              <w:rPr>
                <w:b w:val="0"/>
                <w:sz w:val="21"/>
              </w:rPr>
              <w:t>原件与结构化结果逐项对应</w:t>
            </w:r>
          </w:p>
        </w:tc>
      </w:tr>
      <w:tr>
        <w:trPr>
          <w:cantSplit/>
        </w:trPr>
        <w:tc>
          <w:tcPr>
            <w:tcW w:type="dxa" w:w="2891"/>
            <w:vAlign w:val="center"/>
          </w:tcPr>
          <w:p>
            <w:pPr>
              <w:keepNext w:val="0"/>
              <w:spacing w:line="320" w:lineRule="exact" w:after="0" w:before="0"/>
              <w:ind w:firstLine="0"/>
              <w:jc w:val="left"/>
            </w:pPr>
            <w:r>
              <w:rPr>
                <w:b w:val="0"/>
                <w:sz w:val="21"/>
              </w:rPr>
              <w:t>对话模拟生成工具链</w:t>
            </w:r>
          </w:p>
        </w:tc>
        <w:tc>
          <w:tcPr>
            <w:tcW w:type="dxa" w:w="3855"/>
            <w:vAlign w:val="center"/>
          </w:tcPr>
          <w:p>
            <w:pPr>
              <w:keepNext w:val="0"/>
              <w:spacing w:line="320" w:lineRule="exact" w:after="0" w:before="0"/>
              <w:ind w:firstLine="0"/>
              <w:jc w:val="left"/>
            </w:pPr>
            <w:r>
              <w:rPr>
                <w:b w:val="0"/>
                <w:sz w:val="21"/>
              </w:rPr>
              <w:t>固定角色 信息范围及事件进程 逐轮维护业务状态</w:t>
            </w:r>
          </w:p>
        </w:tc>
        <w:tc>
          <w:tcPr>
            <w:tcW w:type="dxa" w:w="2891"/>
            <w:vAlign w:val="center"/>
          </w:tcPr>
          <w:p>
            <w:pPr>
              <w:keepNext w:val="0"/>
              <w:spacing w:line="320" w:lineRule="exact" w:after="0" w:before="0"/>
              <w:ind w:firstLine="0"/>
              <w:jc w:val="left"/>
            </w:pPr>
            <w:r>
              <w:rPr>
                <w:b w:val="0"/>
                <w:sz w:val="21"/>
              </w:rPr>
              <w:t>不使用后续轮次才提供的信息</w:t>
            </w:r>
          </w:p>
        </w:tc>
      </w:tr>
      <w:tr>
        <w:trPr>
          <w:cantSplit/>
        </w:trPr>
        <w:tc>
          <w:tcPr>
            <w:tcW w:type="dxa" w:w="2891"/>
            <w:vAlign w:val="center"/>
          </w:tcPr>
          <w:p>
            <w:pPr>
              <w:keepNext w:val="0"/>
              <w:spacing w:line="320" w:lineRule="exact" w:after="0" w:before="0"/>
              <w:ind w:firstLine="0"/>
              <w:jc w:val="left"/>
            </w:pPr>
            <w:r>
              <w:rPr>
                <w:b w:val="0"/>
                <w:sz w:val="21"/>
              </w:rPr>
              <w:t>结构化工单转对话工具链</w:t>
            </w:r>
          </w:p>
        </w:tc>
        <w:tc>
          <w:tcPr>
            <w:tcW w:type="dxa" w:w="3855"/>
            <w:vAlign w:val="center"/>
          </w:tcPr>
          <w:p>
            <w:pPr>
              <w:keepNext w:val="0"/>
              <w:spacing w:line="320" w:lineRule="exact" w:after="0" w:before="0"/>
              <w:ind w:firstLine="0"/>
              <w:jc w:val="left"/>
            </w:pPr>
            <w:r>
              <w:rPr>
                <w:b w:val="0"/>
                <w:sz w:val="21"/>
              </w:rPr>
              <w:t>将事件及处理过程映射为问答 保留事实及时间顺序</w:t>
            </w:r>
          </w:p>
        </w:tc>
        <w:tc>
          <w:tcPr>
            <w:tcW w:type="dxa" w:w="2891"/>
            <w:vAlign w:val="center"/>
          </w:tcPr>
          <w:p>
            <w:pPr>
              <w:keepNext w:val="0"/>
              <w:spacing w:line="320" w:lineRule="exact" w:after="0" w:before="0"/>
              <w:ind w:firstLine="0"/>
              <w:jc w:val="left"/>
            </w:pPr>
            <w:r>
              <w:rPr>
                <w:b w:val="0"/>
                <w:sz w:val="21"/>
              </w:rPr>
              <w:t>对话内容不超出工单证据</w:t>
            </w:r>
          </w:p>
        </w:tc>
      </w:tr>
      <w:tr>
        <w:trPr>
          <w:cantSplit/>
        </w:trPr>
        <w:tc>
          <w:tcPr>
            <w:tcW w:type="dxa" w:w="2891"/>
            <w:vAlign w:val="center"/>
          </w:tcPr>
          <w:p>
            <w:pPr>
              <w:keepNext w:val="0"/>
              <w:spacing w:line="320" w:lineRule="exact" w:after="0" w:before="0"/>
              <w:ind w:firstLine="0"/>
              <w:jc w:val="left"/>
            </w:pPr>
            <w:r>
              <w:rPr>
                <w:b w:val="0"/>
                <w:sz w:val="21"/>
              </w:rPr>
              <w:t>对话质量筛选工具链</w:t>
            </w:r>
          </w:p>
        </w:tc>
        <w:tc>
          <w:tcPr>
            <w:tcW w:type="dxa" w:w="3855"/>
            <w:vAlign w:val="center"/>
          </w:tcPr>
          <w:p>
            <w:pPr>
              <w:keepNext w:val="0"/>
              <w:spacing w:line="320" w:lineRule="exact" w:after="0" w:before="0"/>
              <w:ind w:firstLine="0"/>
              <w:jc w:val="left"/>
            </w:pPr>
            <w:r>
              <w:rPr>
                <w:b w:val="0"/>
                <w:sz w:val="21"/>
              </w:rPr>
              <w:t>联合检查事实 条件 轮次衔接及任务完成情况</w:t>
            </w:r>
          </w:p>
        </w:tc>
        <w:tc>
          <w:tcPr>
            <w:tcW w:type="dxa" w:w="2891"/>
            <w:vAlign w:val="center"/>
          </w:tcPr>
          <w:p>
            <w:pPr>
              <w:keepNext w:val="0"/>
              <w:spacing w:line="320" w:lineRule="exact" w:after="0" w:before="0"/>
              <w:ind w:firstLine="0"/>
              <w:jc w:val="left"/>
            </w:pPr>
            <w:r>
              <w:rPr>
                <w:b w:val="0"/>
                <w:sz w:val="21"/>
              </w:rPr>
              <w:t>分层抽查筛选通过与拒绝样本</w:t>
            </w:r>
          </w:p>
        </w:tc>
      </w:tr>
      <w:tr>
        <w:trPr>
          <w:cantSplit/>
        </w:trPr>
        <w:tc>
          <w:tcPr>
            <w:tcW w:type="dxa" w:w="2891"/>
            <w:vAlign w:val="center"/>
          </w:tcPr>
          <w:p>
            <w:pPr>
              <w:keepNext w:val="0"/>
              <w:spacing w:line="320" w:lineRule="exact" w:after="0" w:before="0"/>
              <w:ind w:firstLine="0"/>
              <w:jc w:val="left"/>
            </w:pPr>
            <w:r>
              <w:rPr>
                <w:b w:val="0"/>
                <w:sz w:val="21"/>
              </w:rPr>
              <w:t>设备图纸与工艺图结构化抽取工具链</w:t>
            </w:r>
          </w:p>
        </w:tc>
        <w:tc>
          <w:tcPr>
            <w:tcW w:type="dxa" w:w="3855"/>
            <w:vAlign w:val="center"/>
          </w:tcPr>
          <w:p>
            <w:pPr>
              <w:keepNext w:val="0"/>
              <w:spacing w:line="320" w:lineRule="exact" w:after="0" w:before="0"/>
              <w:ind w:firstLine="0"/>
              <w:jc w:val="left"/>
            </w:pPr>
            <w:r>
              <w:rPr>
                <w:b w:val="0"/>
                <w:sz w:val="21"/>
              </w:rPr>
              <w:t>将尺寸 公差 材料与对象及证据区域关联</w:t>
            </w:r>
          </w:p>
        </w:tc>
        <w:tc>
          <w:tcPr>
            <w:tcW w:type="dxa" w:w="2891"/>
            <w:vAlign w:val="center"/>
          </w:tcPr>
          <w:p>
            <w:pPr>
              <w:keepNext w:val="0"/>
              <w:spacing w:line="320" w:lineRule="exact" w:after="0" w:before="0"/>
              <w:ind w:firstLine="0"/>
              <w:jc w:val="left"/>
            </w:pPr>
            <w:r>
              <w:rPr>
                <w:b w:val="0"/>
                <w:sz w:val="21"/>
              </w:rPr>
              <w:t>关键字段正确 图纸版本一致</w:t>
            </w:r>
          </w:p>
        </w:tc>
      </w:tr>
      <w:tr>
        <w:trPr>
          <w:cantSplit/>
        </w:trPr>
        <w:tc>
          <w:tcPr>
            <w:tcW w:type="dxa" w:w="2891"/>
            <w:vAlign w:val="center"/>
          </w:tcPr>
          <w:p>
            <w:pPr>
              <w:keepNext w:val="0"/>
              <w:spacing w:line="320" w:lineRule="exact" w:after="0" w:before="0"/>
              <w:ind w:firstLine="0"/>
              <w:jc w:val="left"/>
            </w:pPr>
            <w:r>
              <w:rPr>
                <w:b w:val="0"/>
                <w:sz w:val="21"/>
              </w:rPr>
              <w:t>视频—文本对齐工具链</w:t>
            </w:r>
          </w:p>
        </w:tc>
        <w:tc>
          <w:tcPr>
            <w:tcW w:type="dxa" w:w="3855"/>
            <w:vAlign w:val="center"/>
          </w:tcPr>
          <w:p>
            <w:pPr>
              <w:keepNext w:val="0"/>
              <w:spacing w:line="320" w:lineRule="exact" w:after="0" w:before="0"/>
              <w:ind w:firstLine="0"/>
              <w:jc w:val="left"/>
            </w:pPr>
            <w:r>
              <w:rPr>
                <w:b w:val="0"/>
                <w:sz w:val="21"/>
              </w:rPr>
              <w:t>用事件边界和关键帧约束文字描述</w:t>
            </w:r>
          </w:p>
        </w:tc>
        <w:tc>
          <w:tcPr>
            <w:tcW w:type="dxa" w:w="2891"/>
            <w:vAlign w:val="center"/>
          </w:tcPr>
          <w:p>
            <w:pPr>
              <w:keepNext w:val="0"/>
              <w:spacing w:line="320" w:lineRule="exact" w:after="0" w:before="0"/>
              <w:ind w:firstLine="0"/>
              <w:jc w:val="left"/>
            </w:pPr>
            <w:r>
              <w:rPr>
                <w:b w:val="0"/>
                <w:sz w:val="21"/>
              </w:rPr>
              <w:t>起止时间及事件含义一致</w:t>
            </w:r>
          </w:p>
        </w:tc>
      </w:tr>
      <w:tr>
        <w:trPr>
          <w:cantSplit/>
        </w:trPr>
        <w:tc>
          <w:tcPr>
            <w:tcW w:type="dxa" w:w="2891"/>
            <w:vAlign w:val="center"/>
          </w:tcPr>
          <w:p>
            <w:pPr>
              <w:keepNext w:val="0"/>
              <w:spacing w:line="320" w:lineRule="exact" w:after="0" w:before="0"/>
              <w:ind w:firstLine="0"/>
              <w:jc w:val="left"/>
            </w:pPr>
            <w:r>
              <w:rPr>
                <w:b w:val="0"/>
                <w:sz w:val="21"/>
              </w:rPr>
              <w:t>传感器时序—运维事件对齐工具链</w:t>
            </w:r>
          </w:p>
        </w:tc>
        <w:tc>
          <w:tcPr>
            <w:tcW w:type="dxa" w:w="3855"/>
            <w:vAlign w:val="center"/>
          </w:tcPr>
          <w:p>
            <w:pPr>
              <w:keepNext w:val="0"/>
              <w:spacing w:line="320" w:lineRule="exact" w:after="0" w:before="0"/>
              <w:ind w:firstLine="0"/>
              <w:jc w:val="left"/>
            </w:pPr>
            <w:r>
              <w:rPr>
                <w:b w:val="0"/>
                <w:sz w:val="21"/>
              </w:rPr>
              <w:t>联合设备 时间和工况匹配 记录时钟校正</w:t>
            </w:r>
          </w:p>
        </w:tc>
        <w:tc>
          <w:tcPr>
            <w:tcW w:type="dxa" w:w="2891"/>
            <w:vAlign w:val="center"/>
          </w:tcPr>
          <w:p>
            <w:pPr>
              <w:keepNext w:val="0"/>
              <w:spacing w:line="320" w:lineRule="exact" w:after="0" w:before="0"/>
              <w:ind w:firstLine="0"/>
              <w:jc w:val="left"/>
            </w:pPr>
            <w:r>
              <w:rPr>
                <w:b w:val="0"/>
                <w:sz w:val="21"/>
              </w:rPr>
              <w:t>不同事件及维修阶段无误关联</w:t>
            </w:r>
          </w:p>
        </w:tc>
      </w:tr>
      <w:tr>
        <w:trPr>
          <w:cantSplit/>
        </w:trPr>
        <w:tc>
          <w:tcPr>
            <w:tcW w:type="dxa" w:w="2891"/>
            <w:vAlign w:val="center"/>
          </w:tcPr>
          <w:p>
            <w:pPr>
              <w:keepNext w:val="0"/>
              <w:spacing w:line="320" w:lineRule="exact" w:after="0" w:before="0"/>
              <w:ind w:firstLine="0"/>
              <w:jc w:val="left"/>
            </w:pPr>
            <w:r>
              <w:rPr>
                <w:b w:val="0"/>
                <w:sz w:val="21"/>
              </w:rPr>
              <w:t>大模型预标注工具链</w:t>
            </w:r>
          </w:p>
        </w:tc>
        <w:tc>
          <w:tcPr>
            <w:tcW w:type="dxa" w:w="3855"/>
            <w:vAlign w:val="center"/>
          </w:tcPr>
          <w:p>
            <w:pPr>
              <w:keepNext w:val="0"/>
              <w:spacing w:line="320" w:lineRule="exact" w:after="0" w:before="0"/>
              <w:ind w:firstLine="0"/>
              <w:jc w:val="left"/>
            </w:pPr>
            <w:r>
              <w:rPr>
                <w:b w:val="0"/>
                <w:sz w:val="21"/>
              </w:rPr>
              <w:t>输出标签候选及依据 结合校准结果实施风险分流</w:t>
            </w:r>
          </w:p>
        </w:tc>
        <w:tc>
          <w:tcPr>
            <w:tcW w:type="dxa" w:w="2891"/>
            <w:vAlign w:val="center"/>
          </w:tcPr>
          <w:p>
            <w:pPr>
              <w:keepNext w:val="0"/>
              <w:spacing w:line="320" w:lineRule="exact" w:after="0" w:before="0"/>
              <w:ind w:firstLine="0"/>
              <w:jc w:val="left"/>
            </w:pPr>
            <w:r>
              <w:rPr>
                <w:b w:val="0"/>
                <w:sz w:val="21"/>
              </w:rPr>
              <w:t>自动通过样本保留独立抽检</w:t>
            </w:r>
          </w:p>
        </w:tc>
      </w:tr>
      <w:tr>
        <w:trPr>
          <w:cantSplit/>
        </w:trPr>
        <w:tc>
          <w:tcPr>
            <w:tcW w:type="dxa" w:w="2891"/>
            <w:vAlign w:val="center"/>
          </w:tcPr>
          <w:p>
            <w:pPr>
              <w:keepNext w:val="0"/>
              <w:spacing w:line="320" w:lineRule="exact" w:after="0" w:before="0"/>
              <w:ind w:firstLine="0"/>
              <w:jc w:val="left"/>
            </w:pPr>
            <w:r>
              <w:rPr>
                <w:b w:val="0"/>
                <w:sz w:val="21"/>
              </w:rPr>
              <w:t>主动学习标注工具链</w:t>
            </w:r>
          </w:p>
        </w:tc>
        <w:tc>
          <w:tcPr>
            <w:tcW w:type="dxa" w:w="3855"/>
            <w:vAlign w:val="center"/>
          </w:tcPr>
          <w:p>
            <w:pPr>
              <w:keepNext w:val="0"/>
              <w:spacing w:line="320" w:lineRule="exact" w:after="0" w:before="0"/>
              <w:ind w:firstLine="0"/>
              <w:jc w:val="left"/>
            </w:pPr>
            <w:r>
              <w:rPr>
                <w:b w:val="0"/>
                <w:sz w:val="21"/>
              </w:rPr>
              <w:t>综合不确定性 分歧 稀缺类别及业务风险选样</w:t>
            </w:r>
          </w:p>
        </w:tc>
        <w:tc>
          <w:tcPr>
            <w:tcW w:type="dxa" w:w="2891"/>
            <w:vAlign w:val="center"/>
          </w:tcPr>
          <w:p>
            <w:pPr>
              <w:keepNext w:val="0"/>
              <w:spacing w:line="320" w:lineRule="exact" w:after="0" w:before="0"/>
              <w:ind w:firstLine="0"/>
              <w:jc w:val="left"/>
            </w:pPr>
            <w:r>
              <w:rPr>
                <w:b w:val="0"/>
                <w:sz w:val="21"/>
              </w:rPr>
              <w:t>标注预算优先补足实际知识缺口</w:t>
            </w:r>
          </w:p>
        </w:tc>
      </w:tr>
      <w:tr>
        <w:trPr>
          <w:cantSplit/>
        </w:trPr>
        <w:tc>
          <w:tcPr>
            <w:tcW w:type="dxa" w:w="2891"/>
            <w:vAlign w:val="center"/>
          </w:tcPr>
          <w:p>
            <w:pPr>
              <w:keepNext w:val="0"/>
              <w:spacing w:line="320" w:lineRule="exact" w:after="0" w:before="0"/>
              <w:ind w:firstLine="0"/>
              <w:jc w:val="left"/>
            </w:pPr>
            <w:r>
              <w:rPr>
                <w:b w:val="0"/>
                <w:sz w:val="21"/>
              </w:rPr>
              <w:t>本体驱动规则标注工具链</w:t>
            </w:r>
          </w:p>
        </w:tc>
        <w:tc>
          <w:tcPr>
            <w:tcW w:type="dxa" w:w="3855"/>
            <w:vAlign w:val="center"/>
          </w:tcPr>
          <w:p>
            <w:pPr>
              <w:keepNext w:val="0"/>
              <w:spacing w:line="320" w:lineRule="exact" w:after="0" w:before="0"/>
              <w:ind w:firstLine="0"/>
              <w:jc w:val="left"/>
            </w:pPr>
            <w:r>
              <w:rPr>
                <w:b w:val="0"/>
                <w:sz w:val="21"/>
              </w:rPr>
              <w:t>按设备 部件 工艺及故障关系约束标签</w:t>
            </w:r>
          </w:p>
        </w:tc>
        <w:tc>
          <w:tcPr>
            <w:tcW w:type="dxa" w:w="2891"/>
            <w:vAlign w:val="center"/>
          </w:tcPr>
          <w:p>
            <w:pPr>
              <w:keepNext w:val="0"/>
              <w:spacing w:line="320" w:lineRule="exact" w:after="0" w:before="0"/>
              <w:ind w:firstLine="0"/>
              <w:jc w:val="left"/>
            </w:pPr>
            <w:r>
              <w:rPr>
                <w:b w:val="0"/>
                <w:sz w:val="21"/>
              </w:rPr>
              <w:t>实体关系符合有效本体与业务条件</w:t>
            </w:r>
          </w:p>
        </w:tc>
      </w:tr>
      <w:tr>
        <w:trPr>
          <w:cantSplit/>
        </w:trPr>
        <w:tc>
          <w:tcPr>
            <w:tcW w:type="dxa" w:w="2891"/>
            <w:vAlign w:val="center"/>
          </w:tcPr>
          <w:p>
            <w:pPr>
              <w:keepNext w:val="0"/>
              <w:spacing w:line="320" w:lineRule="exact" w:after="0" w:before="0"/>
              <w:ind w:firstLine="0"/>
              <w:jc w:val="left"/>
            </w:pPr>
            <w:r>
              <w:rPr>
                <w:b w:val="0"/>
                <w:sz w:val="21"/>
              </w:rPr>
              <w:t>一致性校验标注工具链</w:t>
            </w:r>
          </w:p>
        </w:tc>
        <w:tc>
          <w:tcPr>
            <w:tcW w:type="dxa" w:w="3855"/>
            <w:vAlign w:val="center"/>
          </w:tcPr>
          <w:p>
            <w:pPr>
              <w:keepNext w:val="0"/>
              <w:spacing w:line="320" w:lineRule="exact" w:after="0" w:before="0"/>
              <w:ind w:firstLine="0"/>
              <w:jc w:val="left"/>
            </w:pPr>
            <w:r>
              <w:rPr>
                <w:b w:val="0"/>
                <w:sz w:val="21"/>
              </w:rPr>
              <w:t>同时检查样本内关系 跨人结果及跨版本变化</w:t>
            </w:r>
          </w:p>
        </w:tc>
        <w:tc>
          <w:tcPr>
            <w:tcW w:type="dxa" w:w="2891"/>
            <w:vAlign w:val="center"/>
          </w:tcPr>
          <w:p>
            <w:pPr>
              <w:keepNext w:val="0"/>
              <w:spacing w:line="320" w:lineRule="exact" w:after="0" w:before="0"/>
              <w:ind w:firstLine="0"/>
              <w:jc w:val="left"/>
            </w:pPr>
            <w:r>
              <w:rPr>
                <w:b w:val="0"/>
                <w:sz w:val="21"/>
              </w:rPr>
              <w:t>真实冲突与合理差异分别处理</w:t>
            </w:r>
          </w:p>
        </w:tc>
      </w:tr>
      <w:tr>
        <w:trPr>
          <w:cantSplit/>
        </w:trPr>
        <w:tc>
          <w:tcPr>
            <w:tcW w:type="dxa" w:w="2891"/>
            <w:vAlign w:val="center"/>
          </w:tcPr>
          <w:p>
            <w:pPr>
              <w:keepNext w:val="0"/>
              <w:spacing w:line="320" w:lineRule="exact" w:after="0" w:before="0"/>
              <w:ind w:firstLine="0"/>
              <w:jc w:val="left"/>
            </w:pPr>
            <w:r>
              <w:rPr>
                <w:b w:val="0"/>
                <w:sz w:val="21"/>
              </w:rPr>
              <w:t>指令数据生成工具链</w:t>
            </w:r>
          </w:p>
        </w:tc>
        <w:tc>
          <w:tcPr>
            <w:tcW w:type="dxa" w:w="3855"/>
            <w:vAlign w:val="center"/>
          </w:tcPr>
          <w:p>
            <w:pPr>
              <w:keepNext w:val="0"/>
              <w:spacing w:line="320" w:lineRule="exact" w:after="0" w:before="0"/>
              <w:ind w:firstLine="0"/>
              <w:jc w:val="left"/>
            </w:pPr>
            <w:r>
              <w:rPr>
                <w:b w:val="0"/>
                <w:sz w:val="21"/>
              </w:rPr>
              <w:t>从业务任务及证据构造指令 限制答案范围</w:t>
            </w:r>
          </w:p>
        </w:tc>
        <w:tc>
          <w:tcPr>
            <w:tcW w:type="dxa" w:w="2891"/>
            <w:vAlign w:val="center"/>
          </w:tcPr>
          <w:p>
            <w:pPr>
              <w:keepNext w:val="0"/>
              <w:spacing w:line="320" w:lineRule="exact" w:after="0" w:before="0"/>
              <w:ind w:firstLine="0"/>
              <w:jc w:val="left"/>
            </w:pPr>
            <w:r>
              <w:rPr>
                <w:b w:val="0"/>
                <w:sz w:val="21"/>
              </w:rPr>
              <w:t>指令可执行 答案可核验</w:t>
            </w:r>
          </w:p>
        </w:tc>
      </w:tr>
      <w:tr>
        <w:trPr>
          <w:cantSplit/>
        </w:trPr>
        <w:tc>
          <w:tcPr>
            <w:tcW w:type="dxa" w:w="2891"/>
            <w:vAlign w:val="center"/>
          </w:tcPr>
          <w:p>
            <w:pPr>
              <w:keepNext w:val="0"/>
              <w:spacing w:line="320" w:lineRule="exact" w:after="0" w:before="0"/>
              <w:ind w:firstLine="0"/>
              <w:jc w:val="left"/>
            </w:pPr>
            <w:r>
              <w:rPr>
                <w:b w:val="0"/>
                <w:sz w:val="21"/>
              </w:rPr>
              <w:t>工单与故障场景模拟生成工具链</w:t>
            </w:r>
          </w:p>
        </w:tc>
        <w:tc>
          <w:tcPr>
            <w:tcW w:type="dxa" w:w="3855"/>
            <w:vAlign w:val="center"/>
          </w:tcPr>
          <w:p>
            <w:pPr>
              <w:keepNext w:val="0"/>
              <w:spacing w:line="320" w:lineRule="exact" w:after="0" w:before="0"/>
              <w:ind w:firstLine="0"/>
              <w:jc w:val="left"/>
            </w:pPr>
            <w:r>
              <w:rPr>
                <w:b w:val="0"/>
                <w:sz w:val="21"/>
              </w:rPr>
              <w:t>按许可种子与专业约束构造场景 保留合成属性</w:t>
            </w:r>
          </w:p>
        </w:tc>
        <w:tc>
          <w:tcPr>
            <w:tcW w:type="dxa" w:w="2891"/>
            <w:vAlign w:val="center"/>
          </w:tcPr>
          <w:p>
            <w:pPr>
              <w:keepNext w:val="0"/>
              <w:spacing w:line="320" w:lineRule="exact" w:after="0" w:before="0"/>
              <w:ind w:firstLine="0"/>
              <w:jc w:val="left"/>
            </w:pPr>
            <w:r>
              <w:rPr>
                <w:b w:val="0"/>
                <w:sz w:val="21"/>
              </w:rPr>
              <w:t>不替代真实故障记录 不进入测试基准</w:t>
            </w:r>
          </w:p>
        </w:tc>
      </w:tr>
      <w:tr>
        <w:trPr>
          <w:cantSplit/>
        </w:trPr>
        <w:tc>
          <w:tcPr>
            <w:tcW w:type="dxa" w:w="2891"/>
            <w:vAlign w:val="center"/>
          </w:tcPr>
          <w:p>
            <w:pPr>
              <w:keepNext w:val="0"/>
              <w:spacing w:line="320" w:lineRule="exact" w:after="0" w:before="0"/>
              <w:ind w:firstLine="0"/>
              <w:jc w:val="left"/>
            </w:pPr>
            <w:r>
              <w:rPr>
                <w:b w:val="0"/>
                <w:sz w:val="21"/>
              </w:rPr>
              <w:t>文本重写与多样化工具链</w:t>
            </w:r>
          </w:p>
        </w:tc>
        <w:tc>
          <w:tcPr>
            <w:tcW w:type="dxa" w:w="3855"/>
            <w:vAlign w:val="center"/>
          </w:tcPr>
          <w:p>
            <w:pPr>
              <w:keepNext w:val="0"/>
              <w:spacing w:line="320" w:lineRule="exact" w:after="0" w:before="0"/>
              <w:ind w:firstLine="0"/>
              <w:jc w:val="left"/>
            </w:pPr>
            <w:r>
              <w:rPr>
                <w:b w:val="0"/>
                <w:sz w:val="21"/>
              </w:rPr>
              <w:t>保持事实 数值 条件和标签语义 变化语言表达</w:t>
            </w:r>
          </w:p>
        </w:tc>
        <w:tc>
          <w:tcPr>
            <w:tcW w:type="dxa" w:w="2891"/>
            <w:vAlign w:val="center"/>
          </w:tcPr>
          <w:p>
            <w:pPr>
              <w:keepNext w:val="0"/>
              <w:spacing w:line="320" w:lineRule="exact" w:after="0" w:before="0"/>
              <w:ind w:firstLine="0"/>
              <w:jc w:val="left"/>
            </w:pPr>
            <w:r>
              <w:rPr>
                <w:b w:val="0"/>
                <w:sz w:val="21"/>
              </w:rPr>
              <w:t>改写前后业务含义保持一致</w:t>
            </w:r>
          </w:p>
        </w:tc>
      </w:tr>
      <w:tr>
        <w:trPr>
          <w:cantSplit/>
        </w:trPr>
        <w:tc>
          <w:tcPr>
            <w:tcW w:type="dxa" w:w="2891"/>
            <w:vAlign w:val="center"/>
          </w:tcPr>
          <w:p>
            <w:pPr>
              <w:keepNext w:val="0"/>
              <w:spacing w:line="320" w:lineRule="exact" w:after="0" w:before="0"/>
              <w:ind w:firstLine="0"/>
              <w:jc w:val="left"/>
            </w:pPr>
            <w:r>
              <w:rPr>
                <w:b w:val="0"/>
                <w:sz w:val="21"/>
              </w:rPr>
              <w:t>数据去重与相似度过滤工具链</w:t>
            </w:r>
          </w:p>
        </w:tc>
        <w:tc>
          <w:tcPr>
            <w:tcW w:type="dxa" w:w="3855"/>
            <w:vAlign w:val="center"/>
          </w:tcPr>
          <w:p>
            <w:pPr>
              <w:keepNext w:val="0"/>
              <w:spacing w:line="320" w:lineRule="exact" w:after="0" w:before="0"/>
              <w:ind w:firstLine="0"/>
              <w:jc w:val="left"/>
            </w:pPr>
            <w:r>
              <w:rPr>
                <w:b w:val="0"/>
                <w:sz w:val="21"/>
              </w:rPr>
              <w:t>结合摘要 语义及业务条件形成候选重复组</w:t>
            </w:r>
          </w:p>
        </w:tc>
        <w:tc>
          <w:tcPr>
            <w:tcW w:type="dxa" w:w="2891"/>
            <w:vAlign w:val="center"/>
          </w:tcPr>
          <w:p>
            <w:pPr>
              <w:keepNext w:val="0"/>
              <w:spacing w:line="320" w:lineRule="exact" w:after="0" w:before="0"/>
              <w:ind w:firstLine="0"/>
              <w:jc w:val="left"/>
            </w:pPr>
            <w:r>
              <w:rPr>
                <w:b w:val="0"/>
                <w:sz w:val="21"/>
              </w:rPr>
              <w:t>避免误删不同工况或不同版本样本</w:t>
            </w:r>
          </w:p>
        </w:tc>
      </w:tr>
      <w:tr>
        <w:trPr>
          <w:cantSplit/>
        </w:trPr>
        <w:tc>
          <w:tcPr>
            <w:tcW w:type="dxa" w:w="2891"/>
            <w:vAlign w:val="center"/>
          </w:tcPr>
          <w:p>
            <w:pPr>
              <w:keepNext w:val="0"/>
              <w:spacing w:line="320" w:lineRule="exact" w:after="0" w:before="0"/>
              <w:ind w:firstLine="0"/>
              <w:jc w:val="left"/>
            </w:pPr>
            <w:r>
              <w:rPr>
                <w:b w:val="0"/>
                <w:sz w:val="21"/>
              </w:rPr>
              <w:t>数据分布分析与均衡工具链</w:t>
            </w:r>
          </w:p>
        </w:tc>
        <w:tc>
          <w:tcPr>
            <w:tcW w:type="dxa" w:w="3855"/>
            <w:vAlign w:val="center"/>
          </w:tcPr>
          <w:p>
            <w:pPr>
              <w:keepNext w:val="0"/>
              <w:spacing w:line="320" w:lineRule="exact" w:after="0" w:before="0"/>
              <w:ind w:firstLine="0"/>
              <w:jc w:val="left"/>
            </w:pPr>
            <w:r>
              <w:rPr>
                <w:b w:val="0"/>
                <w:sz w:val="21"/>
              </w:rPr>
              <w:t>按业务域 来源 模态及关键类别分析覆盖</w:t>
            </w:r>
          </w:p>
        </w:tc>
        <w:tc>
          <w:tcPr>
            <w:tcW w:type="dxa" w:w="2891"/>
            <w:vAlign w:val="center"/>
          </w:tcPr>
          <w:p>
            <w:pPr>
              <w:keepNext w:val="0"/>
              <w:spacing w:line="320" w:lineRule="exact" w:after="0" w:before="0"/>
              <w:ind w:firstLine="0"/>
              <w:jc w:val="left"/>
            </w:pPr>
            <w:r>
              <w:rPr>
                <w:b w:val="0"/>
                <w:sz w:val="21"/>
              </w:rPr>
              <w:t>补数服务真实缺口 保留自然分布评价</w:t>
            </w:r>
          </w:p>
        </w:tc>
      </w:tr>
      <w:tr>
        <w:trPr>
          <w:cantSplit/>
        </w:trPr>
        <w:tc>
          <w:tcPr>
            <w:tcW w:type="dxa" w:w="2891"/>
            <w:vAlign w:val="center"/>
          </w:tcPr>
          <w:p>
            <w:pPr>
              <w:keepNext w:val="0"/>
              <w:spacing w:line="320" w:lineRule="exact" w:after="0" w:before="0"/>
              <w:ind w:firstLine="0"/>
              <w:jc w:val="left"/>
            </w:pPr>
            <w:r>
              <w:rPr>
                <w:b w:val="0"/>
                <w:sz w:val="21"/>
              </w:rPr>
              <w:t>模板化数据生成工具链</w:t>
            </w:r>
          </w:p>
        </w:tc>
        <w:tc>
          <w:tcPr>
            <w:tcW w:type="dxa" w:w="3855"/>
            <w:vAlign w:val="center"/>
          </w:tcPr>
          <w:p>
            <w:pPr>
              <w:keepNext w:val="0"/>
              <w:spacing w:line="320" w:lineRule="exact" w:after="0" w:before="0"/>
              <w:ind w:firstLine="0"/>
              <w:jc w:val="left"/>
            </w:pPr>
            <w:r>
              <w:rPr>
                <w:b w:val="0"/>
                <w:sz w:val="21"/>
              </w:rPr>
              <w:t>以字段约束和关系规则限定输出结构</w:t>
            </w:r>
          </w:p>
        </w:tc>
        <w:tc>
          <w:tcPr>
            <w:tcW w:type="dxa" w:w="2891"/>
            <w:vAlign w:val="center"/>
          </w:tcPr>
          <w:p>
            <w:pPr>
              <w:keepNext w:val="0"/>
              <w:spacing w:line="320" w:lineRule="exact" w:after="0" w:before="0"/>
              <w:ind w:firstLine="0"/>
              <w:jc w:val="left"/>
            </w:pPr>
            <w:r>
              <w:rPr>
                <w:b w:val="0"/>
                <w:sz w:val="21"/>
              </w:rPr>
              <w:t>必填项 类型及跨字段逻辑符合要求</w:t>
            </w:r>
          </w:p>
        </w:tc>
      </w:tr>
      <w:tr>
        <w:trPr>
          <w:cantSplit/>
        </w:trPr>
        <w:tc>
          <w:tcPr>
            <w:tcW w:type="dxa" w:w="2891"/>
            <w:vAlign w:val="center"/>
          </w:tcPr>
          <w:p>
            <w:pPr>
              <w:keepNext w:val="0"/>
              <w:spacing w:line="320" w:lineRule="exact" w:after="0" w:before="0"/>
              <w:ind w:firstLine="0"/>
              <w:jc w:val="left"/>
            </w:pPr>
            <w:r>
              <w:rPr>
                <w:b w:val="0"/>
                <w:sz w:val="21"/>
              </w:rPr>
              <w:t>数据集切分与基准构建工具链</w:t>
            </w:r>
          </w:p>
        </w:tc>
        <w:tc>
          <w:tcPr>
            <w:tcW w:type="dxa" w:w="3855"/>
            <w:vAlign w:val="center"/>
          </w:tcPr>
          <w:p>
            <w:pPr>
              <w:keepNext w:val="0"/>
              <w:spacing w:line="320" w:lineRule="exact" w:after="0" w:before="0"/>
              <w:ind w:firstLine="0"/>
              <w:jc w:val="left"/>
            </w:pPr>
            <w:r>
              <w:rPr>
                <w:b w:val="0"/>
                <w:sz w:val="21"/>
              </w:rPr>
              <w:t>同源对象成组切分 基准真实独立并受控封存</w:t>
            </w:r>
          </w:p>
        </w:tc>
        <w:tc>
          <w:tcPr>
            <w:tcW w:type="dxa" w:w="2891"/>
            <w:vAlign w:val="center"/>
          </w:tcPr>
          <w:p>
            <w:pPr>
              <w:keepNext w:val="0"/>
              <w:spacing w:line="320" w:lineRule="exact" w:after="0" w:before="0"/>
              <w:ind w:firstLine="0"/>
              <w:jc w:val="left"/>
            </w:pPr>
            <w:r>
              <w:rPr>
                <w:b w:val="0"/>
                <w:sz w:val="21"/>
              </w:rPr>
              <w:t>合成排除 关联泄漏检查及清单固定</w:t>
            </w:r>
          </w:p>
        </w:tc>
      </w:tr>
      <w:tr>
        <w:trPr>
          <w:cantSplit/>
        </w:trPr>
        <w:tc>
          <w:tcPr>
            <w:tcW w:type="dxa" w:w="2891"/>
            <w:vAlign w:val="center"/>
          </w:tcPr>
          <w:p>
            <w:pPr>
              <w:keepNext w:val="0"/>
              <w:spacing w:line="320" w:lineRule="exact" w:after="0" w:before="0"/>
              <w:ind w:firstLine="0"/>
              <w:jc w:val="left"/>
            </w:pPr>
            <w:r>
              <w:rPr>
                <w:b w:val="0"/>
                <w:sz w:val="21"/>
              </w:rPr>
              <w:t>多协议模型评测引擎工具链</w:t>
            </w:r>
          </w:p>
        </w:tc>
        <w:tc>
          <w:tcPr>
            <w:tcW w:type="dxa" w:w="3855"/>
            <w:vAlign w:val="center"/>
          </w:tcPr>
          <w:p>
            <w:pPr>
              <w:keepNext w:val="0"/>
              <w:spacing w:line="320" w:lineRule="exact" w:after="0" w:before="0"/>
              <w:ind w:firstLine="0"/>
              <w:jc w:val="left"/>
            </w:pPr>
            <w:r>
              <w:rPr>
                <w:b w:val="0"/>
                <w:sz w:val="21"/>
              </w:rPr>
              <w:t>固定版本及条件执行专业任务和通用能力评价</w:t>
            </w:r>
          </w:p>
        </w:tc>
        <w:tc>
          <w:tcPr>
            <w:tcW w:type="dxa" w:w="2891"/>
            <w:vAlign w:val="center"/>
          </w:tcPr>
          <w:p>
            <w:pPr>
              <w:keepNext w:val="0"/>
              <w:spacing w:line="320" w:lineRule="exact" w:after="0" w:before="0"/>
              <w:ind w:firstLine="0"/>
              <w:jc w:val="left"/>
            </w:pPr>
            <w:r>
              <w:rPr>
                <w:b w:val="0"/>
                <w:sz w:val="21"/>
              </w:rPr>
              <w:t>协议 输入及结果能够复现</w:t>
            </w:r>
          </w:p>
        </w:tc>
      </w:tr>
      <w:tr>
        <w:trPr>
          <w:cantSplit/>
        </w:trPr>
        <w:tc>
          <w:tcPr>
            <w:tcW w:type="dxa" w:w="2891"/>
            <w:vAlign w:val="center"/>
          </w:tcPr>
          <w:p>
            <w:pPr>
              <w:keepNext w:val="0"/>
              <w:spacing w:line="320" w:lineRule="exact" w:after="0" w:before="0"/>
              <w:ind w:firstLine="0"/>
              <w:jc w:val="left"/>
            </w:pPr>
            <w:r>
              <w:rPr>
                <w:b w:val="0"/>
                <w:sz w:val="21"/>
              </w:rPr>
              <w:t>数据贡献度归因与错题溯源工具链</w:t>
            </w:r>
          </w:p>
        </w:tc>
        <w:tc>
          <w:tcPr>
            <w:tcW w:type="dxa" w:w="3855"/>
            <w:vAlign w:val="center"/>
          </w:tcPr>
          <w:p>
            <w:pPr>
              <w:keepNext w:val="0"/>
              <w:spacing w:line="320" w:lineRule="exact" w:after="0" w:before="0"/>
              <w:ind w:firstLine="0"/>
              <w:jc w:val="left"/>
            </w:pPr>
            <w:r>
              <w:rPr>
                <w:b w:val="0"/>
                <w:sz w:val="21"/>
              </w:rPr>
              <w:t>结合对照试验与错误证据定位数据改进方向</w:t>
            </w:r>
          </w:p>
        </w:tc>
        <w:tc>
          <w:tcPr>
            <w:tcW w:type="dxa" w:w="2891"/>
            <w:vAlign w:val="center"/>
          </w:tcPr>
          <w:p>
            <w:pPr>
              <w:keepNext w:val="0"/>
              <w:spacing w:line="320" w:lineRule="exact" w:after="0" w:before="0"/>
              <w:ind w:firstLine="0"/>
              <w:jc w:val="left"/>
            </w:pPr>
            <w:r>
              <w:rPr>
                <w:b w:val="0"/>
                <w:sz w:val="21"/>
              </w:rPr>
              <w:t>区分相关贡献与可确认的改进作用</w:t>
            </w:r>
          </w:p>
        </w:tc>
      </w:tr>
      <w:tr>
        <w:trPr>
          <w:cantSplit/>
        </w:trPr>
        <w:tc>
          <w:tcPr>
            <w:tcW w:type="dxa" w:w="2891"/>
            <w:vAlign w:val="center"/>
          </w:tcPr>
          <w:p>
            <w:pPr>
              <w:keepNext w:val="0"/>
              <w:spacing w:line="320" w:lineRule="exact" w:after="0" w:before="0"/>
              <w:ind w:firstLine="0"/>
              <w:jc w:val="left"/>
            </w:pPr>
            <w:r>
              <w:rPr>
                <w:b w:val="0"/>
                <w:sz w:val="21"/>
              </w:rPr>
              <w:t>数据集—模型版本血缘追溯工具链</w:t>
            </w:r>
          </w:p>
        </w:tc>
        <w:tc>
          <w:tcPr>
            <w:tcW w:type="dxa" w:w="3855"/>
            <w:vAlign w:val="center"/>
          </w:tcPr>
          <w:p>
            <w:pPr>
              <w:keepNext w:val="0"/>
              <w:spacing w:line="320" w:lineRule="exact" w:after="0" w:before="0"/>
              <w:ind w:firstLine="0"/>
              <w:jc w:val="left"/>
            </w:pPr>
            <w:r>
              <w:rPr>
                <w:b w:val="0"/>
                <w:sz w:val="21"/>
              </w:rPr>
              <w:t>关联数据切分 训练配置 模型产物及评测记录</w:t>
            </w:r>
          </w:p>
        </w:tc>
        <w:tc>
          <w:tcPr>
            <w:tcW w:type="dxa" w:w="2891"/>
            <w:vAlign w:val="center"/>
          </w:tcPr>
          <w:p>
            <w:pPr>
              <w:keepNext w:val="0"/>
              <w:spacing w:line="320" w:lineRule="exact" w:after="0" w:before="0"/>
              <w:ind w:firstLine="0"/>
              <w:jc w:val="left"/>
            </w:pPr>
            <w:r>
              <w:rPr>
                <w:b w:val="0"/>
                <w:sz w:val="21"/>
              </w:rPr>
              <w:t>正反向追溯一致 变更影响可查询</w:t>
            </w:r>
          </w:p>
        </w:tc>
      </w:tr>
    </w:tbl>
    <w:p>
      <w:pPr>
        <w:spacing w:after="40" w:line="240" w:lineRule="auto"/>
        <w:ind w:firstLine="0"/>
      </w:pPr>
      <w:r>
        <w:rPr>
          <w:sz w:val="4"/>
        </w:rPr>
      </w:r>
    </w:p>
    <w:p>
      <w:pPr>
        <w:jc w:val="both"/>
      </w:pPr>
      <w:r>
        <w:t>主动学习选样同时保留按原始分布抽取的独立评价样本。困难样本集用于定位问题，分布评价集用于判断整体效果，两类样本分别统计。选择高不确定性样本时检查是否由解析失败、噪声或来源异常引起，能够通过上游修复解决的先修复，避免将无效样本反复送交专家。</w:t>
      </w:r>
    </w:p>
    <w:p>
      <w:pPr>
        <w:jc w:val="both"/>
      </w:pPr>
      <w:r>
        <w:t>本体规则由行业对象、属性、关系和约束构成，记录专业来源及适用条件。规则推导产生的候选标签保留推导依据，与直接观测标签分别标识；关联证据不足时不得将推导结果作为确定事实。新增实体及关系经过专家核验，版本变更先检查历史标签和查询依赖。</w:t>
      </w:r>
    </w:p>
    <w:p>
      <w:pPr>
        <w:jc w:val="both"/>
      </w:pPr>
      <w:r>
        <w:t>贡献度归因采用删除或加入指定数据子集、保持其他条件一致的对照方式，必要时重复试验分析波动。多批数据同时变化时分别登记，结论明确适用的模型和任务。工具提供排序和候选原因，专业及质量岗位结合实际错误证据确认后，才形成后续生产需求。</w:t>
      </w:r>
    </w:p>
    <w:p>
      <w:pPr>
        <w:pStyle w:val="Heading2"/>
      </w:pPr>
      <w:r>
        <w:t>2.10 技术成果的复用与运行维护</w:t>
      </w:r>
    </w:p>
    <w:p>
      <w:pPr>
        <w:jc w:val="both"/>
      </w:pPr>
      <w:r>
        <w:t>通过验证的生产方法封装为可复用工艺包，包含适用业务、输入结构、规则配置、工具依赖、质量要求、样本示例和测试记录。工艺包发布前在代表性数据上运行，记录资源需求及人工介入条件。跨设备或跨业务域复用时重新核查字段、单位、关系和风险，不直接套用原有阈值。</w:t>
      </w:r>
    </w:p>
    <w:p>
      <w:pPr>
        <w:jc w:val="both"/>
      </w:pPr>
      <w:r>
        <w:t>工艺包采用版本管理，变更分为兼容调整、功能扩展和重大规则变化。兼容调整完成回归测试后发布；重大变化评估历史数据及模型影响，制定迁移和重新验证计划。使用单位能够查询当前有效版本、历史变更及适用范围，运行任务与实际使用版本绑定。</w:t>
      </w:r>
    </w:p>
    <w:p>
      <w:pPr>
        <w:jc w:val="both"/>
      </w:pPr>
      <w:r>
        <w:t>维护工作包括错误样本回收、规则审查、模型适配、资源监控及依赖更新。质量下降或业务条件变化时发起专项检查，确认是数据分布变化、工具缺陷还是规范失效。修订后的工艺包重新经过验证和批准，再进入后续生产。</w:t>
      </w:r>
    </w:p>
    <w:p>
      <w:pPr>
        <w:pStyle w:val="Heading1"/>
      </w:pPr>
      <w:r>
        <w:t>3 数据标注专家库建设机制</w:t>
      </w:r>
    </w:p>
    <w:p>
      <w:pPr>
        <w:pStyle w:val="Heading2"/>
      </w:pPr>
      <w:r>
        <w:t>3.1 专家库的工作定位</w:t>
      </w:r>
    </w:p>
    <w:p>
      <w:pPr>
        <w:jc w:val="both"/>
      </w:pPr>
      <w:r>
        <w:t>我方建设一套覆盖六大专业领域的数据标注专家库管理机制，组织形成不少于50人的专家库，为数据采集、标注、质量管控、标准编制、项目评审、模型训练、行业应用和安全合规提供专业支持。专家库按照专业化、规范化、制度化和动态化原则管理，人员入库与具体任务履职分别记录，在库规模、领域覆盖和实际服务能力共同核验。</w:t>
      </w:r>
    </w:p>
    <w:p>
      <w:pPr>
        <w:jc w:val="both"/>
      </w:pPr>
      <w:r>
        <w:t>专家工作围绕专业判断展开。数据生产人员承担日常加工，专家重点处理标签定义、复杂样本、工程边界、质量争议和标准规则等事项。专家意见必须对应材料、事实和适用条件，能够转化为标签规范、质量规则、整改任务或业务验证结论。涉及跨专业问题时组织联合评审，各专业分别给出判断依据及责任范围。</w:t>
      </w:r>
    </w:p>
    <w:p>
      <w:pPr>
        <w:jc w:val="both"/>
      </w:pPr>
      <w:r>
        <w:t>专家库设置统一管理台账，登记专业类别、研究或实践方向、经验范围、可承担任务、可服务时间、回避关系和履职状态。身份及资历材料在受控范围核验，日常任务界面仅展示派单所必需的信息。人员档案、任务材料及裁决结论分别控制访问权限，防止专家个人信息和业务敏感数据被过度传播。</w:t>
      </w:r>
    </w:p>
    <w:p>
      <w:pPr>
        <w:jc w:val="both"/>
      </w:pPr>
      <w:r>
        <w:t>专家人数按具有唯一身份标识、完成入库审批且处于有效在库状态的自然人统计。一人具备多领域能力可以登记多个专业标签，但总人数仅计一次。暂停服务、资格失效或退出人员不作为当前可用能力统计；发生人员变化时同步补充相应专业能力，使专家库持续满足规模及专业支撑要求。</w:t>
      </w:r>
    </w:p>
    <w:p>
      <w:pPr>
        <w:pStyle w:val="Heading2"/>
      </w:pPr>
      <w:r>
        <w:t>3.2 六领域分类与能力目录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专业领域</w:t>
            </w:r>
          </w:p>
        </w:tc>
        <w:tc>
          <w:tcPr>
            <w:tcW w:type="dxa" w:w="2795"/>
            <w:vAlign w:val="center"/>
            <w:shd w:fill="EDF1F3"/>
          </w:tcPr>
          <w:p>
            <w:pPr>
              <w:keepNext/>
              <w:spacing w:line="320" w:lineRule="exact" w:after="0" w:before="0"/>
              <w:ind w:firstLine="0"/>
              <w:jc w:val="center"/>
            </w:pPr>
            <w:r>
              <w:rPr>
                <w:b/>
                <w:sz w:val="21"/>
              </w:rPr>
              <w:t>主要能力要求</w:t>
            </w:r>
          </w:p>
        </w:tc>
        <w:tc>
          <w:tcPr>
            <w:tcW w:type="dxa" w:w="2602"/>
            <w:vAlign w:val="center"/>
            <w:shd w:fill="EDF1F3"/>
          </w:tcPr>
          <w:p>
            <w:pPr>
              <w:keepNext/>
              <w:spacing w:line="320" w:lineRule="exact" w:after="0" w:before="0"/>
              <w:ind w:firstLine="0"/>
              <w:jc w:val="center"/>
            </w:pPr>
            <w:r>
              <w:rPr>
                <w:b/>
                <w:sz w:val="21"/>
              </w:rPr>
              <w:t>典型任务</w:t>
            </w:r>
          </w:p>
        </w:tc>
        <w:tc>
          <w:tcPr>
            <w:tcW w:type="dxa" w:w="2602"/>
            <w:vAlign w:val="center"/>
            <w:shd w:fill="EDF1F3"/>
          </w:tcPr>
          <w:p>
            <w:pPr>
              <w:keepNext/>
              <w:spacing w:line="320" w:lineRule="exact" w:after="0" w:before="0"/>
              <w:ind w:firstLine="0"/>
              <w:jc w:val="center"/>
            </w:pPr>
            <w:r>
              <w:rPr>
                <w:b/>
                <w:sz w:val="21"/>
              </w:rPr>
              <w:t>主要履职成果</w:t>
            </w:r>
          </w:p>
        </w:tc>
      </w:tr>
      <w:tr>
        <w:trPr>
          <w:cantSplit/>
        </w:trPr>
        <w:tc>
          <w:tcPr>
            <w:tcW w:type="dxa" w:w="1638"/>
            <w:vAlign w:val="center"/>
          </w:tcPr>
          <w:p>
            <w:pPr>
              <w:keepNext w:val="0"/>
              <w:spacing w:line="320" w:lineRule="exact" w:after="0" w:before="0"/>
              <w:ind w:firstLine="0"/>
              <w:jc w:val="left"/>
            </w:pPr>
            <w:r>
              <w:rPr>
                <w:b w:val="0"/>
                <w:sz w:val="21"/>
              </w:rPr>
              <w:t>标准编制</w:t>
            </w:r>
          </w:p>
        </w:tc>
        <w:tc>
          <w:tcPr>
            <w:tcW w:type="dxa" w:w="2795"/>
            <w:vAlign w:val="center"/>
          </w:tcPr>
          <w:p>
            <w:pPr>
              <w:keepNext w:val="0"/>
              <w:spacing w:line="320" w:lineRule="exact" w:after="0" w:before="0"/>
              <w:ind w:firstLine="0"/>
              <w:jc w:val="left"/>
            </w:pPr>
            <w:r>
              <w:rPr>
                <w:b w:val="0"/>
                <w:sz w:val="21"/>
              </w:rPr>
              <w:t>熟悉数据标准、行业术语和标准编制流程，能够组织验证及意见处理</w:t>
            </w:r>
          </w:p>
        </w:tc>
        <w:tc>
          <w:tcPr>
            <w:tcW w:type="dxa" w:w="2602"/>
            <w:vAlign w:val="center"/>
          </w:tcPr>
          <w:p>
            <w:pPr>
              <w:keepNext w:val="0"/>
              <w:spacing w:line="320" w:lineRule="exact" w:after="0" w:before="0"/>
              <w:ind w:firstLine="0"/>
              <w:jc w:val="left"/>
            </w:pPr>
            <w:r>
              <w:rPr>
                <w:b w:val="0"/>
                <w:sz w:val="21"/>
              </w:rPr>
              <w:t>标注规范、细分标准、实施规范和行业标准研制</w:t>
            </w:r>
          </w:p>
        </w:tc>
        <w:tc>
          <w:tcPr>
            <w:tcW w:type="dxa" w:w="2602"/>
            <w:vAlign w:val="center"/>
          </w:tcPr>
          <w:p>
            <w:pPr>
              <w:keepNext w:val="0"/>
              <w:spacing w:line="320" w:lineRule="exact" w:after="0" w:before="0"/>
              <w:ind w:firstLine="0"/>
              <w:jc w:val="left"/>
            </w:pPr>
            <w:r>
              <w:rPr>
                <w:b w:val="0"/>
                <w:sz w:val="21"/>
              </w:rPr>
              <w:t>标准文本、验证报告及意见处理记录</w:t>
            </w:r>
          </w:p>
        </w:tc>
      </w:tr>
      <w:tr>
        <w:trPr>
          <w:cantSplit/>
        </w:trPr>
        <w:tc>
          <w:tcPr>
            <w:tcW w:type="dxa" w:w="1638"/>
            <w:vAlign w:val="center"/>
          </w:tcPr>
          <w:p>
            <w:pPr>
              <w:keepNext w:val="0"/>
              <w:spacing w:line="320" w:lineRule="exact" w:after="0" w:before="0"/>
              <w:ind w:firstLine="0"/>
              <w:jc w:val="left"/>
            </w:pPr>
            <w:r>
              <w:rPr>
                <w:b w:val="0"/>
                <w:sz w:val="21"/>
              </w:rPr>
              <w:t>数据生产</w:t>
            </w:r>
          </w:p>
        </w:tc>
        <w:tc>
          <w:tcPr>
            <w:tcW w:type="dxa" w:w="2795"/>
            <w:vAlign w:val="center"/>
          </w:tcPr>
          <w:p>
            <w:pPr>
              <w:keepNext w:val="0"/>
              <w:spacing w:line="320" w:lineRule="exact" w:after="0" w:before="0"/>
              <w:ind w:firstLine="0"/>
              <w:jc w:val="left"/>
            </w:pPr>
            <w:r>
              <w:rPr>
                <w:b w:val="0"/>
                <w:sz w:val="21"/>
              </w:rPr>
              <w:t>掌握采集、解析、清洗、标注、合成增强和版本组织</w:t>
            </w:r>
          </w:p>
        </w:tc>
        <w:tc>
          <w:tcPr>
            <w:tcW w:type="dxa" w:w="2602"/>
            <w:vAlign w:val="center"/>
          </w:tcPr>
          <w:p>
            <w:pPr>
              <w:keepNext w:val="0"/>
              <w:spacing w:line="320" w:lineRule="exact" w:after="0" w:before="0"/>
              <w:ind w:firstLine="0"/>
              <w:jc w:val="left"/>
            </w:pPr>
            <w:r>
              <w:rPr>
                <w:b w:val="0"/>
                <w:sz w:val="21"/>
              </w:rPr>
              <w:t>加工工艺审查、复杂标注和工具配置验证</w:t>
            </w:r>
          </w:p>
        </w:tc>
        <w:tc>
          <w:tcPr>
            <w:tcW w:type="dxa" w:w="2602"/>
            <w:vAlign w:val="center"/>
          </w:tcPr>
          <w:p>
            <w:pPr>
              <w:keepNext w:val="0"/>
              <w:spacing w:line="320" w:lineRule="exact" w:after="0" w:before="0"/>
              <w:ind w:firstLine="0"/>
              <w:jc w:val="left"/>
            </w:pPr>
            <w:r>
              <w:rPr>
                <w:b w:val="0"/>
                <w:sz w:val="21"/>
              </w:rPr>
              <w:t>工艺意见、样本裁决及规则修订建议</w:t>
            </w:r>
          </w:p>
        </w:tc>
      </w:tr>
      <w:tr>
        <w:trPr>
          <w:cantSplit/>
        </w:trPr>
        <w:tc>
          <w:tcPr>
            <w:tcW w:type="dxa" w:w="1638"/>
            <w:vAlign w:val="center"/>
          </w:tcPr>
          <w:p>
            <w:pPr>
              <w:keepNext w:val="0"/>
              <w:spacing w:line="320" w:lineRule="exact" w:after="0" w:before="0"/>
              <w:ind w:firstLine="0"/>
              <w:jc w:val="left"/>
            </w:pPr>
            <w:r>
              <w:rPr>
                <w:b w:val="0"/>
                <w:sz w:val="21"/>
              </w:rPr>
              <w:t>质量管控</w:t>
            </w:r>
          </w:p>
        </w:tc>
        <w:tc>
          <w:tcPr>
            <w:tcW w:type="dxa" w:w="2795"/>
            <w:vAlign w:val="center"/>
          </w:tcPr>
          <w:p>
            <w:pPr>
              <w:keepNext w:val="0"/>
              <w:spacing w:line="320" w:lineRule="exact" w:after="0" w:before="0"/>
              <w:ind w:firstLine="0"/>
              <w:jc w:val="left"/>
            </w:pPr>
            <w:r>
              <w:rPr>
                <w:b w:val="0"/>
                <w:sz w:val="21"/>
              </w:rPr>
              <w:t>能够制定质量检查方法，分析抽样、缺陷和评测证据</w:t>
            </w:r>
          </w:p>
        </w:tc>
        <w:tc>
          <w:tcPr>
            <w:tcW w:type="dxa" w:w="2602"/>
            <w:vAlign w:val="center"/>
          </w:tcPr>
          <w:p>
            <w:pPr>
              <w:keepNext w:val="0"/>
              <w:spacing w:line="320" w:lineRule="exact" w:after="0" w:before="0"/>
              <w:ind w:firstLine="0"/>
              <w:jc w:val="left"/>
            </w:pPr>
            <w:r>
              <w:rPr>
                <w:b w:val="0"/>
                <w:sz w:val="21"/>
              </w:rPr>
              <w:t>黄金集建设、质量复核和整改效果核验</w:t>
            </w:r>
          </w:p>
        </w:tc>
        <w:tc>
          <w:tcPr>
            <w:tcW w:type="dxa" w:w="2602"/>
            <w:vAlign w:val="center"/>
          </w:tcPr>
          <w:p>
            <w:pPr>
              <w:keepNext w:val="0"/>
              <w:spacing w:line="320" w:lineRule="exact" w:after="0" w:before="0"/>
              <w:ind w:firstLine="0"/>
              <w:jc w:val="left"/>
            </w:pPr>
            <w:r>
              <w:rPr>
                <w:b w:val="0"/>
                <w:sz w:val="21"/>
              </w:rPr>
              <w:t>质量判定、缺陷清单及复核结论</w:t>
            </w:r>
          </w:p>
        </w:tc>
      </w:tr>
      <w:tr>
        <w:trPr>
          <w:cantSplit/>
        </w:trPr>
        <w:tc>
          <w:tcPr>
            <w:tcW w:type="dxa" w:w="1638"/>
            <w:vAlign w:val="center"/>
          </w:tcPr>
          <w:p>
            <w:pPr>
              <w:keepNext w:val="0"/>
              <w:spacing w:line="320" w:lineRule="exact" w:after="0" w:before="0"/>
              <w:ind w:firstLine="0"/>
              <w:jc w:val="left"/>
            </w:pPr>
            <w:r>
              <w:rPr>
                <w:b w:val="0"/>
                <w:sz w:val="21"/>
              </w:rPr>
              <w:t>行业应用</w:t>
            </w:r>
          </w:p>
        </w:tc>
        <w:tc>
          <w:tcPr>
            <w:tcW w:type="dxa" w:w="2795"/>
            <w:vAlign w:val="center"/>
          </w:tcPr>
          <w:p>
            <w:pPr>
              <w:keepNext w:val="0"/>
              <w:spacing w:line="320" w:lineRule="exact" w:after="0" w:before="0"/>
              <w:ind w:firstLine="0"/>
              <w:jc w:val="left"/>
            </w:pPr>
            <w:r>
              <w:rPr>
                <w:b w:val="0"/>
                <w:sz w:val="21"/>
              </w:rPr>
              <w:t>熟悉矿山装备选型、工艺、制造、设备运维和质量管理</w:t>
            </w:r>
          </w:p>
        </w:tc>
        <w:tc>
          <w:tcPr>
            <w:tcW w:type="dxa" w:w="2602"/>
            <w:vAlign w:val="center"/>
          </w:tcPr>
          <w:p>
            <w:pPr>
              <w:keepNext w:val="0"/>
              <w:spacing w:line="320" w:lineRule="exact" w:after="0" w:before="0"/>
              <w:ind w:firstLine="0"/>
              <w:jc w:val="left"/>
            </w:pPr>
            <w:r>
              <w:rPr>
                <w:b w:val="0"/>
                <w:sz w:val="21"/>
              </w:rPr>
              <w:t>工程事实核验、场景评价和长尾工况分析</w:t>
            </w:r>
          </w:p>
        </w:tc>
        <w:tc>
          <w:tcPr>
            <w:tcW w:type="dxa" w:w="2602"/>
            <w:vAlign w:val="center"/>
          </w:tcPr>
          <w:p>
            <w:pPr>
              <w:keepNext w:val="0"/>
              <w:spacing w:line="320" w:lineRule="exact" w:after="0" w:before="0"/>
              <w:ind w:firstLine="0"/>
              <w:jc w:val="left"/>
            </w:pPr>
            <w:r>
              <w:rPr>
                <w:b w:val="0"/>
                <w:sz w:val="21"/>
              </w:rPr>
              <w:t>行业标签、验证意见及业务边界条件</w:t>
            </w:r>
          </w:p>
        </w:tc>
      </w:tr>
      <w:tr>
        <w:trPr>
          <w:cantSplit/>
        </w:trPr>
        <w:tc>
          <w:tcPr>
            <w:tcW w:type="dxa" w:w="1638"/>
            <w:vAlign w:val="center"/>
          </w:tcPr>
          <w:p>
            <w:pPr>
              <w:keepNext w:val="0"/>
              <w:spacing w:line="320" w:lineRule="exact" w:after="0" w:before="0"/>
              <w:ind w:firstLine="0"/>
              <w:jc w:val="left"/>
            </w:pPr>
            <w:r>
              <w:rPr>
                <w:b w:val="0"/>
                <w:sz w:val="21"/>
              </w:rPr>
              <w:t>项目管理</w:t>
            </w:r>
          </w:p>
        </w:tc>
        <w:tc>
          <w:tcPr>
            <w:tcW w:type="dxa" w:w="2795"/>
            <w:vAlign w:val="center"/>
          </w:tcPr>
          <w:p>
            <w:pPr>
              <w:keepNext w:val="0"/>
              <w:spacing w:line="320" w:lineRule="exact" w:after="0" w:before="0"/>
              <w:ind w:firstLine="0"/>
              <w:jc w:val="left"/>
            </w:pPr>
            <w:r>
              <w:rPr>
                <w:b w:val="0"/>
                <w:sz w:val="21"/>
              </w:rPr>
              <w:t>具备实施组织、过程控制、风险和成果管理能力</w:t>
            </w:r>
          </w:p>
        </w:tc>
        <w:tc>
          <w:tcPr>
            <w:tcW w:type="dxa" w:w="2602"/>
            <w:vAlign w:val="center"/>
          </w:tcPr>
          <w:p>
            <w:pPr>
              <w:keepNext w:val="0"/>
              <w:spacing w:line="320" w:lineRule="exact" w:after="0" w:before="0"/>
              <w:ind w:firstLine="0"/>
              <w:jc w:val="left"/>
            </w:pPr>
            <w:r>
              <w:rPr>
                <w:b w:val="0"/>
                <w:sz w:val="21"/>
              </w:rPr>
              <w:t>计划评审、跨主体协调、阶段评价和成果移交</w:t>
            </w:r>
          </w:p>
        </w:tc>
        <w:tc>
          <w:tcPr>
            <w:tcW w:type="dxa" w:w="2602"/>
            <w:vAlign w:val="center"/>
          </w:tcPr>
          <w:p>
            <w:pPr>
              <w:keepNext w:val="0"/>
              <w:spacing w:line="320" w:lineRule="exact" w:after="0" w:before="0"/>
              <w:ind w:firstLine="0"/>
              <w:jc w:val="left"/>
            </w:pPr>
            <w:r>
              <w:rPr>
                <w:b w:val="0"/>
                <w:sz w:val="21"/>
              </w:rPr>
              <w:t>管理评审、风险建议及任务协调记录</w:t>
            </w:r>
          </w:p>
        </w:tc>
      </w:tr>
      <w:tr>
        <w:trPr>
          <w:cantSplit/>
        </w:trPr>
        <w:tc>
          <w:tcPr>
            <w:tcW w:type="dxa" w:w="1638"/>
            <w:vAlign w:val="center"/>
          </w:tcPr>
          <w:p>
            <w:pPr>
              <w:keepNext w:val="0"/>
              <w:spacing w:line="320" w:lineRule="exact" w:after="0" w:before="0"/>
              <w:ind w:firstLine="0"/>
              <w:jc w:val="left"/>
            </w:pPr>
            <w:r>
              <w:rPr>
                <w:b w:val="0"/>
                <w:sz w:val="21"/>
              </w:rPr>
              <w:t>安全合规</w:t>
            </w:r>
          </w:p>
        </w:tc>
        <w:tc>
          <w:tcPr>
            <w:tcW w:type="dxa" w:w="2795"/>
            <w:vAlign w:val="center"/>
          </w:tcPr>
          <w:p>
            <w:pPr>
              <w:keepNext w:val="0"/>
              <w:spacing w:line="320" w:lineRule="exact" w:after="0" w:before="0"/>
              <w:ind w:firstLine="0"/>
              <w:jc w:val="left"/>
            </w:pPr>
            <w:r>
              <w:rPr>
                <w:b w:val="0"/>
                <w:sz w:val="21"/>
              </w:rPr>
              <w:t>能够识别来源授权、敏感信息、访问控制和对外使用风险</w:t>
            </w:r>
          </w:p>
        </w:tc>
        <w:tc>
          <w:tcPr>
            <w:tcW w:type="dxa" w:w="2602"/>
            <w:vAlign w:val="center"/>
          </w:tcPr>
          <w:p>
            <w:pPr>
              <w:keepNext w:val="0"/>
              <w:spacing w:line="320" w:lineRule="exact" w:after="0" w:before="0"/>
              <w:ind w:firstLine="0"/>
              <w:jc w:val="left"/>
            </w:pPr>
            <w:r>
              <w:rPr>
                <w:b w:val="0"/>
                <w:sz w:val="21"/>
              </w:rPr>
              <w:t>数据准入、脱敏评审、服务发布及安全事件分析</w:t>
            </w:r>
          </w:p>
        </w:tc>
        <w:tc>
          <w:tcPr>
            <w:tcW w:type="dxa" w:w="2602"/>
            <w:vAlign w:val="center"/>
          </w:tcPr>
          <w:p>
            <w:pPr>
              <w:keepNext w:val="0"/>
              <w:spacing w:line="320" w:lineRule="exact" w:after="0" w:before="0"/>
              <w:ind w:firstLine="0"/>
              <w:jc w:val="left"/>
            </w:pPr>
            <w:r>
              <w:rPr>
                <w:b w:val="0"/>
                <w:sz w:val="21"/>
              </w:rPr>
              <w:t>合规核查、风险处置及安全审核意见</w:t>
            </w:r>
          </w:p>
        </w:tc>
      </w:tr>
    </w:tbl>
    <w:p>
      <w:pPr>
        <w:spacing w:after="40" w:line="240" w:lineRule="auto"/>
        <w:ind w:firstLine="0"/>
      </w:pPr>
      <w:r>
        <w:rPr>
          <w:sz w:val="4"/>
        </w:rPr>
      </w:r>
    </w:p>
    <w:p>
      <w:pPr>
        <w:jc w:val="both"/>
      </w:pPr>
      <w:r>
        <w:t>六领域能力进一步按业务方向细分。行业应用领域设置产品选型、板材备料、焊接、热处理、设备健康和质量追溯等专业标签；数据生产领域区分文本、图像、图纸、时序、视频及跨模态处理；质量管控领域区分静态检查、专业复核及模型动态验证。派单采用专业标签与任务条件匹配，避免只按一级领域名称分配任务。</w:t>
      </w:r>
    </w:p>
    <w:p>
      <w:pPr>
        <w:jc w:val="both"/>
      </w:pPr>
      <w:r>
        <w:t>专家规模配置依据阶段任务量、专业难度和响应要求编制计划。标准研制、生产高峰、集中测评和争议仲裁分别安排可用人员及替补人员，关键专业形成连续支撑。跨领域人员可以参与多个工作组，具体排班核查时间冲突，已承担原任务的人员不作为该任务独立仲裁人。</w:t>
      </w:r>
    </w:p>
    <w:p>
      <w:pPr>
        <w:jc w:val="both"/>
      </w:pPr>
      <w:r>
        <w:t>专家来源可由甲方内部专业人员、外部行业人员、高校及科研人员等构成。内部人员重点发挥企业工艺、设备和业务规则方面的经验，外部人员结合专业能力承担标准研究、方法审查和独立复核。实际来源结构按照甲方确认的组建方案落实，两类来源适用相同的能力核验、保密、回避及履职记录要求。</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3_专家工作流程.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 3-1 专家库建设与履职流程</w:t>
      </w:r>
    </w:p>
    <w:p>
      <w:pPr>
        <w:pStyle w:val="Heading2"/>
      </w:pPr>
      <w:r>
        <w:t>3.3 入库标准与证据核验</w:t>
      </w:r>
    </w:p>
    <w:p>
      <w:pPr>
        <w:jc w:val="both"/>
      </w:pPr>
      <w:r>
        <w:t>入库评价包括专业能力、实践经历、成果质量、履职条件、职业规范和安全意识。申请人提供与拟承担领域相匹配的经历及成果材料，项目组核验其真实性和适用性。职称、学历和证书作为能力证据的一部分，与实际工作成果、案例分析和任务试评综合评价，不以单一形式条件替代专业判断。</w:t>
      </w:r>
    </w:p>
    <w:p>
      <w:pPr>
        <w:jc w:val="both"/>
      </w:pPr>
      <w:r>
        <w:t>标准编制类重点核查参与标准、规范和技术文件编制的经历，考察条款结构、指标可测性及意见处理能力；数据生产类通过代表样本判断其对处理流程、标签规则和异常情况的掌握；质量管控类通过缺陷识别、抽样分析和复核任务验证能力；行业应用类核查具体设备、工艺或业务领域的实践深度。</w:t>
      </w:r>
    </w:p>
    <w:p>
      <w:pPr>
        <w:jc w:val="both"/>
      </w:pPr>
      <w:r>
        <w:t>项目管理类重点考察任务分解、依赖识别、跨专业协调及风险处置能力；安全合规类通过数据使用场景分析，检验其对来源、用途、权限、脱敏和对外提供条件的识别能力。涉及特定岗位资格要求的，按适用要求核实有效资格；专业评价结论写明能够承担和暂不适宜承担的任务类型。</w:t>
      </w:r>
    </w:p>
    <w:p>
      <w:pPr>
        <w:jc w:val="both"/>
      </w:pPr>
      <w:r>
        <w:t>实务试评使用经过脱敏的代表性样本，包含普通样本、边界样本及证据不足样本。评价人员观察判断依据、信息补充要求和不确定性的处理方式，考察申请人能否区分已知事实与推断。评价结果同时记录正确性、完整性、处理时间和意见表达质量。</w:t>
      </w:r>
    </w:p>
    <w:p>
      <w:pPr>
        <w:jc w:val="both"/>
      </w:pPr>
      <w:r>
        <w:t>申请人须具备按约定时间履职、使用项目工具和保护资料的条件。入库前完成利益冲突申报、保密承诺和工作规则确认，明确可接受的任务类型及可服务时段。入库条件、评价规则和材料要求在组建方案中形成正式文件，经甲方确认后执行。</w:t>
      </w:r>
    </w:p>
    <w:p>
      <w:pPr>
        <w:pStyle w:val="Heading2"/>
      </w:pPr>
      <w:r>
        <w:t>3.4 遴选与入库流程</w:t>
      </w:r>
    </w:p>
    <w:p>
      <w:pPr>
        <w:jc w:val="both"/>
      </w:pPr>
      <w:r>
        <w:t>专家遴选按需求征集、推荐申请、材料核验、专业评价、综合审核、批准入库和培训启用组织。项目组先形成六领域需求及岗位能力清单，明确每类任务的专业方向和工作要求，再通过甲方认可的方式征集候选人员。候选名单与资料在受控范围流转。</w:t>
      </w:r>
    </w:p>
    <w:p>
      <w:pPr>
        <w:jc w:val="both"/>
      </w:pPr>
      <w:r>
        <w:t>材料核验检查身份唯一性、经历真实性、成果关联性、授权及保密条件。发现资料缺失时一次性列明补充内容；对重要证据存在疑问的进一步核实，在核实完成前不进入可派单状态。拒绝入库的决定保留具体依据，便于后续复核。</w:t>
      </w:r>
    </w:p>
    <w:p>
      <w:pPr>
        <w:jc w:val="both"/>
      </w:pPr>
      <w:r>
        <w:t>专业评价由具备相应能力且不存在回避情形的人员实施，采用材料审查、案例讨论和试评相结合的方式。不同评价意见分别记录，综合审核时关注专业覆盖和任务需求，不以简单平均分掩盖关键能力不足。存在实质分歧的安排追加评价或暂缓决定。</w:t>
      </w:r>
    </w:p>
    <w:p>
      <w:pPr>
        <w:jc w:val="both"/>
      </w:pPr>
      <w:r>
        <w:t>入库批准由甲方确定的管理权限执行，项目组落实档案建立、专业标签、系统权限和服务状态配置。完成培训与规则确认后启用派单。档案记录批准时间、有效状态、适用领域和复核周期，后续变更保留历史。</w:t>
      </w:r>
    </w:p>
    <w:p>
      <w:pPr>
        <w:jc w:val="both"/>
      </w:pPr>
      <w:r>
        <w:t>内部专家与外部专家使用统一入库流程，材料核验方式根据来源特点调整。内部专家可依托甲方的人事及业务记录核验经历，外部专家核验其提交材料及服务条件。聘任、酬金、费用承担与预算归属随组建方案和履职安排报甲方确认，形成明确约定后执行。</w:t>
      </w:r>
    </w:p>
    <w:p>
      <w:pPr>
        <w:pStyle w:val="Heading2"/>
      </w:pPr>
      <w:r>
        <w:t>3.5 专家任务申请与匹配</w:t>
      </w:r>
    </w:p>
    <w:p>
      <w:pPr>
        <w:jc w:val="both"/>
      </w:pPr>
      <w:r>
        <w:t>业务或生产岗位提交专家任务申请，列明问题、涉及数据、拟解决事项、证据材料、保密级别、期望时间和成果要求。申请材料先经过完整性检查，避免将缺少基础证据的普通问题直接转为专家裁决。能够由既有规则解决的问题，优先按规则处理并保留引用依据。</w:t>
      </w:r>
    </w:p>
    <w:p>
      <w:pPr>
        <w:jc w:val="both"/>
      </w:pPr>
      <w:r>
        <w:t>专家匹配按专业能力、对象经验、独立性、可用时间和工作负荷开展。涉及热处理参数与硬度关系的任务，优先匹配具有相应工艺和质量经验的人员；涉及图纸公差解析的任务，匹配机械制图和工艺专业能力；涉及来源授权的事项，安排安全合规人员参与，技术人员不得代替权利审查。</w:t>
      </w:r>
    </w:p>
    <w:p>
      <w:pPr>
        <w:jc w:val="both"/>
      </w:pPr>
      <w:r>
        <w:t>派单前核查回避关系。专家参与过相关样本生产、与任务涉及主体存在利益关系或可能影响独立判断时，应主动申报。项目组根据事项性质安排调整或增加独立复核，记录回避原因和处理结果。任务发起、专家判断、成果接收和费用审核按职责分别承担。</w:t>
      </w:r>
    </w:p>
    <w:p>
      <w:pPr>
        <w:jc w:val="both"/>
      </w:pPr>
      <w:r>
        <w:t>任务接受后确认时限、材料范围及成果形式。复杂任务可分阶段交付初步问题清单、补充材料要求和最终意见；中途发现专业不匹配时及时转派。转派保留已有材料及原因，防止同一问题因更换人员丢失判断过程。</w:t>
      </w:r>
    </w:p>
    <w:p>
      <w:pPr>
        <w:jc w:val="both"/>
      </w:pPr>
      <w:r>
        <w:t>专家使用受控账号访问授权材料，下载、导出和对外讨论按规定审批。任务完成后按要求回收临时权限，个人终端或临时目录中的资料按照项目规则清理并记录。后续复核需要重新访问时重新核实必要范围。</w:t>
      </w:r>
    </w:p>
    <w:p>
      <w:pPr>
        <w:pStyle w:val="Heading2"/>
      </w:pPr>
      <w:r>
        <w:t>3.6 生产过程中的专家职责</w:t>
      </w:r>
    </w:p>
    <w:p>
      <w:pPr>
        <w:jc w:val="both"/>
      </w:pPr>
      <w:r>
        <w:t>在采集准备阶段，专家审查数据范围、关键字段、采样条件和专业代表性，识别哪些信息对后续判断不可缺少。对现场采集确认设备、工件、工序和时间关系，提出补充采集条件及易混情形。专业意见形成采集要求，交由接入与生产岗位执行。</w:t>
      </w:r>
    </w:p>
    <w:p>
      <w:pPr>
        <w:jc w:val="both"/>
      </w:pPr>
      <w:r>
        <w:t>在标签规范阶段，专家确定标签含义、适用范围、互斥关系和证据要求。缺陷、故障、工况及工艺阶段分别定义，避免同一名称同时表示现象和根因。规范包含正例、反例和无法判断情形，发布前通过多人试标验证可理解性。</w:t>
      </w:r>
    </w:p>
    <w:p>
      <w:pPr>
        <w:jc w:val="both"/>
      </w:pPr>
      <w:r>
        <w:t>在生产实施阶段，专家处理复杂标注、新术语、边界工况和跨模态争议。裁决结果记录原始意见、采纳结论、证据及适用条件，必要时补充规则解释。对重复出现的问题形成规范修订任务，不长期依赖逐条人工裁决。</w:t>
      </w:r>
    </w:p>
    <w:p>
      <w:pPr>
        <w:jc w:val="both"/>
      </w:pPr>
      <w:r>
        <w:t>在质量管控阶段，专家参与黄金样本、分层复核和缺陷分析。黄金样本定期检查有效性，标签变化和业务规则调整后评估是否需要修订。抽检时既覆盖自动判为问题的样本，也保留对自动通过样本的独立检查，以识别漏检和系统性偏差。</w:t>
      </w:r>
    </w:p>
    <w:p>
      <w:pPr>
        <w:jc w:val="both"/>
      </w:pPr>
      <w:r>
        <w:t>在模型及场景验证阶段，专家确认问题、标准答案、判分要点和业务可用条件。对存在多种合理答案的任务，使用条件和证据评价，避免将唯一措辞作为正确标准。结果中区分完全满足、部分满足、事实错误、条件缺失和无法判断，为数据修订提供可执行意见。</w:t>
      </w:r>
    </w:p>
    <w:p>
      <w:pPr>
        <w:pStyle w:val="Heading2"/>
      </w:pPr>
      <w:r>
        <w:t>3.7 争议裁决与独立复核</w:t>
      </w:r>
    </w:p>
    <w:p>
      <w:pPr>
        <w:jc w:val="both"/>
      </w:pPr>
      <w:r>
        <w:t>争议样本建立独立编号，汇总原始材料、各方标签、适用规范和分歧位置。先检查是否存在证据缺失或规范歧义，再开展专业判断。事实资料不足时提出补充要求，不通过投票形成未经证实的工程事实。</w:t>
      </w:r>
    </w:p>
    <w:p>
      <w:pPr>
        <w:jc w:val="both"/>
      </w:pPr>
      <w:r>
        <w:t>裁决人员按任务专业匹配，原标注人员可提供解释和资料，但不独立确认自身争议结论。跨专业争议由相关专业分别判断，再形成综合处理意见。安全合规、工程约束和来源权利等事项保留各自的必要审查，不以业务便利替代。</w:t>
      </w:r>
    </w:p>
    <w:p>
      <w:pPr>
        <w:jc w:val="both"/>
      </w:pPr>
      <w:r>
        <w:t>裁决结论包括认定事实、适用规范、判断过程、最终标签、使用限制及后续处理。结论区分仅适用于当前样本与可推广至同类样本两种情形。拟推广的结论经过规则审查后写入知识或规范，新规则上线前检查历史数据是否受影响。</w:t>
      </w:r>
    </w:p>
    <w:p>
      <w:pPr>
        <w:jc w:val="both"/>
      </w:pPr>
      <w:r>
        <w:t>对裁决结果存在新的证据或重大异议时，可提出复核申请。复核申请列明新增事实或具体矛盾，由不同于原裁决的人员组织复核。复核改变原结论时保留两次判断及变更原因，并通知受影响任务负责人进行数据和报告修订。</w:t>
      </w:r>
    </w:p>
    <w:p>
      <w:pPr>
        <w:pStyle w:val="Heading2"/>
      </w:pPr>
      <w:r>
        <w:t>3.8 履职考核与动态管理</w:t>
      </w:r>
    </w:p>
    <w:p>
      <w:pPr>
        <w:jc w:val="both"/>
      </w:pPr>
      <w:r>
        <w:t>专家考核按任务类型建立评价记录，关注专业正确性、证据完整性、及时性、协作情况、保密执行和成果复用。复杂争议与普通复核分别统计，不能用单件处理时长直接比较不同难度任务。考核以验收合格的实际成果为基础，任务数量不单独决定评价等级。</w:t>
      </w:r>
    </w:p>
    <w:p>
      <w:pPr>
        <w:jc w:val="both"/>
      </w:pPr>
      <w:r>
        <w:t>专业质量通过独立复核、后续验证和问题回查评价。记录专家判断被修订的原因，区分新增证据、规范变化和判断错误；及时性按已接受任务及约定期限统计，材料等待、批准暂停等情形单独记录。考核结论附任务明细和证据，允许专家提出复核意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考核项目</w:t>
            </w:r>
          </w:p>
        </w:tc>
        <w:tc>
          <w:tcPr>
            <w:tcW w:type="dxa" w:w="2795"/>
            <w:vAlign w:val="center"/>
            <w:shd w:fill="EDF1F3"/>
          </w:tcPr>
          <w:p>
            <w:pPr>
              <w:keepNext/>
              <w:spacing w:line="320" w:lineRule="exact" w:after="0" w:before="0"/>
              <w:ind w:firstLine="0"/>
              <w:jc w:val="center"/>
            </w:pPr>
            <w:r>
              <w:rPr>
                <w:b/>
                <w:sz w:val="21"/>
              </w:rPr>
              <w:t>记录内容</w:t>
            </w:r>
          </w:p>
        </w:tc>
        <w:tc>
          <w:tcPr>
            <w:tcW w:type="dxa" w:w="2602"/>
            <w:vAlign w:val="center"/>
            <w:shd w:fill="EDF1F3"/>
          </w:tcPr>
          <w:p>
            <w:pPr>
              <w:keepNext/>
              <w:spacing w:line="320" w:lineRule="exact" w:after="0" w:before="0"/>
              <w:ind w:firstLine="0"/>
              <w:jc w:val="center"/>
            </w:pPr>
            <w:r>
              <w:rPr>
                <w:b/>
                <w:sz w:val="21"/>
              </w:rPr>
              <w:t>核验依据</w:t>
            </w:r>
          </w:p>
        </w:tc>
        <w:tc>
          <w:tcPr>
            <w:tcW w:type="dxa" w:w="2602"/>
            <w:vAlign w:val="center"/>
            <w:shd w:fill="EDF1F3"/>
          </w:tcPr>
          <w:p>
            <w:pPr>
              <w:keepNext/>
              <w:spacing w:line="320" w:lineRule="exact" w:after="0" w:before="0"/>
              <w:ind w:firstLine="0"/>
              <w:jc w:val="center"/>
            </w:pPr>
            <w:r>
              <w:rPr>
                <w:b/>
                <w:sz w:val="21"/>
              </w:rPr>
              <w:t>结果应用</w:t>
            </w:r>
          </w:p>
        </w:tc>
      </w:tr>
      <w:tr>
        <w:trPr>
          <w:cantSplit/>
        </w:trPr>
        <w:tc>
          <w:tcPr>
            <w:tcW w:type="dxa" w:w="1638"/>
            <w:vAlign w:val="center"/>
          </w:tcPr>
          <w:p>
            <w:pPr>
              <w:keepNext w:val="0"/>
              <w:spacing w:line="320" w:lineRule="exact" w:after="0" w:before="0"/>
              <w:ind w:firstLine="0"/>
              <w:jc w:val="left"/>
            </w:pPr>
            <w:r>
              <w:rPr>
                <w:b w:val="0"/>
                <w:sz w:val="21"/>
              </w:rPr>
              <w:t>专业质量</w:t>
            </w:r>
          </w:p>
        </w:tc>
        <w:tc>
          <w:tcPr>
            <w:tcW w:type="dxa" w:w="2795"/>
            <w:vAlign w:val="center"/>
          </w:tcPr>
          <w:p>
            <w:pPr>
              <w:keepNext w:val="0"/>
              <w:spacing w:line="320" w:lineRule="exact" w:after="0" w:before="0"/>
              <w:ind w:firstLine="0"/>
              <w:jc w:val="left"/>
            </w:pPr>
            <w:r>
              <w:rPr>
                <w:b w:val="0"/>
                <w:sz w:val="21"/>
              </w:rPr>
              <w:t>判定正确、条件完整、规范适用和后续修订</w:t>
            </w:r>
          </w:p>
        </w:tc>
        <w:tc>
          <w:tcPr>
            <w:tcW w:type="dxa" w:w="2602"/>
            <w:vAlign w:val="center"/>
          </w:tcPr>
          <w:p>
            <w:pPr>
              <w:keepNext w:val="0"/>
              <w:spacing w:line="320" w:lineRule="exact" w:after="0" w:before="0"/>
              <w:ind w:firstLine="0"/>
              <w:jc w:val="left"/>
            </w:pPr>
            <w:r>
              <w:rPr>
                <w:b w:val="0"/>
                <w:sz w:val="21"/>
              </w:rPr>
              <w:t>独立复核及业务验证记录</w:t>
            </w:r>
          </w:p>
        </w:tc>
        <w:tc>
          <w:tcPr>
            <w:tcW w:type="dxa" w:w="2602"/>
            <w:vAlign w:val="center"/>
          </w:tcPr>
          <w:p>
            <w:pPr>
              <w:keepNext w:val="0"/>
              <w:spacing w:line="320" w:lineRule="exact" w:after="0" w:before="0"/>
              <w:ind w:firstLine="0"/>
              <w:jc w:val="left"/>
            </w:pPr>
            <w:r>
              <w:rPr>
                <w:b w:val="0"/>
                <w:sz w:val="21"/>
              </w:rPr>
              <w:t>调整任务类型和专业标签</w:t>
            </w:r>
          </w:p>
        </w:tc>
      </w:tr>
      <w:tr>
        <w:trPr>
          <w:cantSplit/>
        </w:trPr>
        <w:tc>
          <w:tcPr>
            <w:tcW w:type="dxa" w:w="1638"/>
            <w:vAlign w:val="center"/>
          </w:tcPr>
          <w:p>
            <w:pPr>
              <w:keepNext w:val="0"/>
              <w:spacing w:line="320" w:lineRule="exact" w:after="0" w:before="0"/>
              <w:ind w:firstLine="0"/>
              <w:jc w:val="left"/>
            </w:pPr>
            <w:r>
              <w:rPr>
                <w:b w:val="0"/>
                <w:sz w:val="21"/>
              </w:rPr>
              <w:t>履职及时性</w:t>
            </w:r>
          </w:p>
        </w:tc>
        <w:tc>
          <w:tcPr>
            <w:tcW w:type="dxa" w:w="2795"/>
            <w:vAlign w:val="center"/>
          </w:tcPr>
          <w:p>
            <w:pPr>
              <w:keepNext w:val="0"/>
              <w:spacing w:line="320" w:lineRule="exact" w:after="0" w:before="0"/>
              <w:ind w:firstLine="0"/>
              <w:jc w:val="left"/>
            </w:pPr>
            <w:r>
              <w:rPr>
                <w:b w:val="0"/>
                <w:sz w:val="21"/>
              </w:rPr>
              <w:t>接单、补充材料、提交和确认时间</w:t>
            </w:r>
          </w:p>
        </w:tc>
        <w:tc>
          <w:tcPr>
            <w:tcW w:type="dxa" w:w="2602"/>
            <w:vAlign w:val="center"/>
          </w:tcPr>
          <w:p>
            <w:pPr>
              <w:keepNext w:val="0"/>
              <w:spacing w:line="320" w:lineRule="exact" w:after="0" w:before="0"/>
              <w:ind w:firstLine="0"/>
              <w:jc w:val="left"/>
            </w:pPr>
            <w:r>
              <w:rPr>
                <w:b w:val="0"/>
                <w:sz w:val="21"/>
              </w:rPr>
              <w:t>任务记录及约定时限</w:t>
            </w:r>
          </w:p>
        </w:tc>
        <w:tc>
          <w:tcPr>
            <w:tcW w:type="dxa" w:w="2602"/>
            <w:vAlign w:val="center"/>
          </w:tcPr>
          <w:p>
            <w:pPr>
              <w:keepNext w:val="0"/>
              <w:spacing w:line="320" w:lineRule="exact" w:after="0" w:before="0"/>
              <w:ind w:firstLine="0"/>
              <w:jc w:val="left"/>
            </w:pPr>
            <w:r>
              <w:rPr>
                <w:b w:val="0"/>
                <w:sz w:val="21"/>
              </w:rPr>
              <w:t>调整排班及替补安排</w:t>
            </w:r>
          </w:p>
        </w:tc>
      </w:tr>
      <w:tr>
        <w:trPr>
          <w:cantSplit/>
        </w:trPr>
        <w:tc>
          <w:tcPr>
            <w:tcW w:type="dxa" w:w="1638"/>
            <w:vAlign w:val="center"/>
          </w:tcPr>
          <w:p>
            <w:pPr>
              <w:keepNext w:val="0"/>
              <w:spacing w:line="320" w:lineRule="exact" w:after="0" w:before="0"/>
              <w:ind w:firstLine="0"/>
              <w:jc w:val="left"/>
            </w:pPr>
            <w:r>
              <w:rPr>
                <w:b w:val="0"/>
                <w:sz w:val="21"/>
              </w:rPr>
              <w:t>成果可用性</w:t>
            </w:r>
          </w:p>
        </w:tc>
        <w:tc>
          <w:tcPr>
            <w:tcW w:type="dxa" w:w="2795"/>
            <w:vAlign w:val="center"/>
          </w:tcPr>
          <w:p>
            <w:pPr>
              <w:keepNext w:val="0"/>
              <w:spacing w:line="320" w:lineRule="exact" w:after="0" w:before="0"/>
              <w:ind w:firstLine="0"/>
              <w:jc w:val="left"/>
            </w:pPr>
            <w:r>
              <w:rPr>
                <w:b w:val="0"/>
                <w:sz w:val="21"/>
              </w:rPr>
              <w:t>意见能否转化为标签、规则或整改任务</w:t>
            </w:r>
          </w:p>
        </w:tc>
        <w:tc>
          <w:tcPr>
            <w:tcW w:type="dxa" w:w="2602"/>
            <w:vAlign w:val="center"/>
          </w:tcPr>
          <w:p>
            <w:pPr>
              <w:keepNext w:val="0"/>
              <w:spacing w:line="320" w:lineRule="exact" w:after="0" w:before="0"/>
              <w:ind w:firstLine="0"/>
              <w:jc w:val="left"/>
            </w:pPr>
            <w:r>
              <w:rPr>
                <w:b w:val="0"/>
                <w:sz w:val="21"/>
              </w:rPr>
              <w:t>采纳记录与实际执行结果</w:t>
            </w:r>
          </w:p>
        </w:tc>
        <w:tc>
          <w:tcPr>
            <w:tcW w:type="dxa" w:w="2602"/>
            <w:vAlign w:val="center"/>
          </w:tcPr>
          <w:p>
            <w:pPr>
              <w:keepNext w:val="0"/>
              <w:spacing w:line="320" w:lineRule="exact" w:after="0" w:before="0"/>
              <w:ind w:firstLine="0"/>
              <w:jc w:val="left"/>
            </w:pPr>
            <w:r>
              <w:rPr>
                <w:b w:val="0"/>
                <w:sz w:val="21"/>
              </w:rPr>
              <w:t>优化成果模板及培训</w:t>
            </w:r>
          </w:p>
        </w:tc>
      </w:tr>
      <w:tr>
        <w:trPr>
          <w:cantSplit/>
        </w:trPr>
        <w:tc>
          <w:tcPr>
            <w:tcW w:type="dxa" w:w="1638"/>
            <w:vAlign w:val="center"/>
          </w:tcPr>
          <w:p>
            <w:pPr>
              <w:keepNext w:val="0"/>
              <w:spacing w:line="320" w:lineRule="exact" w:after="0" w:before="0"/>
              <w:ind w:firstLine="0"/>
              <w:jc w:val="left"/>
            </w:pPr>
            <w:r>
              <w:rPr>
                <w:b w:val="0"/>
                <w:sz w:val="21"/>
              </w:rPr>
              <w:t>协作与规范</w:t>
            </w:r>
          </w:p>
        </w:tc>
        <w:tc>
          <w:tcPr>
            <w:tcW w:type="dxa" w:w="2795"/>
            <w:vAlign w:val="center"/>
          </w:tcPr>
          <w:p>
            <w:pPr>
              <w:keepNext w:val="0"/>
              <w:spacing w:line="320" w:lineRule="exact" w:after="0" w:before="0"/>
              <w:ind w:firstLine="0"/>
              <w:jc w:val="left"/>
            </w:pPr>
            <w:r>
              <w:rPr>
                <w:b w:val="0"/>
                <w:sz w:val="21"/>
              </w:rPr>
              <w:t>回避申报、沟通、文档完整和版本管理</w:t>
            </w:r>
          </w:p>
        </w:tc>
        <w:tc>
          <w:tcPr>
            <w:tcW w:type="dxa" w:w="2602"/>
            <w:vAlign w:val="center"/>
          </w:tcPr>
          <w:p>
            <w:pPr>
              <w:keepNext w:val="0"/>
              <w:spacing w:line="320" w:lineRule="exact" w:after="0" w:before="0"/>
              <w:ind w:firstLine="0"/>
              <w:jc w:val="left"/>
            </w:pPr>
            <w:r>
              <w:rPr>
                <w:b w:val="0"/>
                <w:sz w:val="21"/>
              </w:rPr>
              <w:t>任务档案及过程检查</w:t>
            </w:r>
          </w:p>
        </w:tc>
        <w:tc>
          <w:tcPr>
            <w:tcW w:type="dxa" w:w="2602"/>
            <w:vAlign w:val="center"/>
          </w:tcPr>
          <w:p>
            <w:pPr>
              <w:keepNext w:val="0"/>
              <w:spacing w:line="320" w:lineRule="exact" w:after="0" w:before="0"/>
              <w:ind w:firstLine="0"/>
              <w:jc w:val="left"/>
            </w:pPr>
            <w:r>
              <w:rPr>
                <w:b w:val="0"/>
                <w:sz w:val="21"/>
              </w:rPr>
              <w:t>补训、提醒或加强复核</w:t>
            </w:r>
          </w:p>
        </w:tc>
      </w:tr>
      <w:tr>
        <w:trPr>
          <w:cantSplit/>
        </w:trPr>
        <w:tc>
          <w:tcPr>
            <w:tcW w:type="dxa" w:w="1638"/>
            <w:vAlign w:val="center"/>
          </w:tcPr>
          <w:p>
            <w:pPr>
              <w:keepNext w:val="0"/>
              <w:spacing w:line="320" w:lineRule="exact" w:after="0" w:before="0"/>
              <w:ind w:firstLine="0"/>
              <w:jc w:val="left"/>
            </w:pPr>
            <w:r>
              <w:rPr>
                <w:b w:val="0"/>
                <w:sz w:val="21"/>
              </w:rPr>
              <w:t>安全与保密</w:t>
            </w:r>
          </w:p>
        </w:tc>
        <w:tc>
          <w:tcPr>
            <w:tcW w:type="dxa" w:w="2795"/>
            <w:vAlign w:val="center"/>
          </w:tcPr>
          <w:p>
            <w:pPr>
              <w:keepNext w:val="0"/>
              <w:spacing w:line="320" w:lineRule="exact" w:after="0" w:before="0"/>
              <w:ind w:firstLine="0"/>
              <w:jc w:val="left"/>
            </w:pPr>
            <w:r>
              <w:rPr>
                <w:b w:val="0"/>
                <w:sz w:val="21"/>
              </w:rPr>
              <w:t>权限使用、资料保管、导出及事件记录</w:t>
            </w:r>
          </w:p>
        </w:tc>
        <w:tc>
          <w:tcPr>
            <w:tcW w:type="dxa" w:w="2602"/>
            <w:vAlign w:val="center"/>
          </w:tcPr>
          <w:p>
            <w:pPr>
              <w:keepNext w:val="0"/>
              <w:spacing w:line="320" w:lineRule="exact" w:after="0" w:before="0"/>
              <w:ind w:firstLine="0"/>
              <w:jc w:val="left"/>
            </w:pPr>
            <w:r>
              <w:rPr>
                <w:b w:val="0"/>
                <w:sz w:val="21"/>
              </w:rPr>
              <w:t>安全审计及检查结论</w:t>
            </w:r>
          </w:p>
        </w:tc>
        <w:tc>
          <w:tcPr>
            <w:tcW w:type="dxa" w:w="2602"/>
            <w:vAlign w:val="center"/>
          </w:tcPr>
          <w:p>
            <w:pPr>
              <w:keepNext w:val="0"/>
              <w:spacing w:line="320" w:lineRule="exact" w:after="0" w:before="0"/>
              <w:ind w:firstLine="0"/>
              <w:jc w:val="left"/>
            </w:pPr>
            <w:r>
              <w:rPr>
                <w:b w:val="0"/>
                <w:sz w:val="21"/>
              </w:rPr>
              <w:t>暂停派单、整改和资格复核</w:t>
            </w:r>
          </w:p>
        </w:tc>
      </w:tr>
      <w:tr>
        <w:trPr>
          <w:cantSplit/>
        </w:trPr>
        <w:tc>
          <w:tcPr>
            <w:tcW w:type="dxa" w:w="1638"/>
            <w:vAlign w:val="center"/>
          </w:tcPr>
          <w:p>
            <w:pPr>
              <w:keepNext w:val="0"/>
              <w:spacing w:line="320" w:lineRule="exact" w:after="0" w:before="0"/>
              <w:ind w:firstLine="0"/>
              <w:jc w:val="left"/>
            </w:pPr>
            <w:r>
              <w:rPr>
                <w:b w:val="0"/>
                <w:sz w:val="21"/>
              </w:rPr>
              <w:t>知识贡献</w:t>
            </w:r>
          </w:p>
        </w:tc>
        <w:tc>
          <w:tcPr>
            <w:tcW w:type="dxa" w:w="2795"/>
            <w:vAlign w:val="center"/>
          </w:tcPr>
          <w:p>
            <w:pPr>
              <w:keepNext w:val="0"/>
              <w:spacing w:line="320" w:lineRule="exact" w:after="0" w:before="0"/>
              <w:ind w:firstLine="0"/>
              <w:jc w:val="left"/>
            </w:pPr>
            <w:r>
              <w:rPr>
                <w:b w:val="0"/>
                <w:sz w:val="21"/>
              </w:rPr>
              <w:t>形成规范、典型案例和可复用判断方法</w:t>
            </w:r>
          </w:p>
        </w:tc>
        <w:tc>
          <w:tcPr>
            <w:tcW w:type="dxa" w:w="2602"/>
            <w:vAlign w:val="center"/>
          </w:tcPr>
          <w:p>
            <w:pPr>
              <w:keepNext w:val="0"/>
              <w:spacing w:line="320" w:lineRule="exact" w:after="0" w:before="0"/>
              <w:ind w:firstLine="0"/>
              <w:jc w:val="left"/>
            </w:pPr>
            <w:r>
              <w:rPr>
                <w:b w:val="0"/>
                <w:sz w:val="21"/>
              </w:rPr>
              <w:t>评审通过的知识成果</w:t>
            </w:r>
          </w:p>
        </w:tc>
        <w:tc>
          <w:tcPr>
            <w:tcW w:type="dxa" w:w="2602"/>
            <w:vAlign w:val="center"/>
          </w:tcPr>
          <w:p>
            <w:pPr>
              <w:keepNext w:val="0"/>
              <w:spacing w:line="320" w:lineRule="exact" w:after="0" w:before="0"/>
              <w:ind w:firstLine="0"/>
              <w:jc w:val="left"/>
            </w:pPr>
            <w:r>
              <w:rPr>
                <w:b w:val="0"/>
                <w:sz w:val="21"/>
              </w:rPr>
              <w:t>纳入激励及能力评价</w:t>
            </w:r>
          </w:p>
        </w:tc>
      </w:tr>
    </w:tbl>
    <w:p>
      <w:pPr>
        <w:spacing w:after="40" w:line="240" w:lineRule="auto"/>
        <w:ind w:firstLine="0"/>
      </w:pPr>
      <w:r>
        <w:rPr>
          <w:sz w:val="4"/>
        </w:rPr>
      </w:r>
    </w:p>
    <w:p>
      <w:pPr>
        <w:jc w:val="both"/>
      </w:pPr>
      <w:r>
        <w:t>考核结果用于持续改进、专业标签调整、任务分配和激励安排。存在能力不足但可通过培训改进的，明确改进内容和复核时间；存在重大质量或安全问题的，立即暂停相关派单并核实影响。项目组提出调整或退出建议，按甲方确定的批准权限执行，人员状态和替补安排同步更新。</w:t>
      </w:r>
    </w:p>
    <w:p>
      <w:pPr>
        <w:jc w:val="both"/>
      </w:pPr>
      <w:r>
        <w:t>专家库定期盘点在库数量、六领域覆盖、可服务时间和任务积压。人员离岗、长期无法履职或专业需求变化时提前补充候选力量。新增专家经过完整入库及培训流程，不能以临时登记替代能力核验。</w:t>
      </w:r>
    </w:p>
    <w:p>
      <w:pPr>
        <w:pStyle w:val="Heading2"/>
      </w:pPr>
      <w:r>
        <w:t>3.9 专家知识沉淀与能力传承</w:t>
      </w:r>
    </w:p>
    <w:p>
      <w:pPr>
        <w:jc w:val="both"/>
      </w:pPr>
      <w:r>
        <w:t>专家成果按术语、规则、案例、争议和标准建议分类沉淀。每项知识记录来源任务、适用对象、证据、结论、限制、版本和批准状态。涉及企业经验的内容先完成权利和保密审查，再确定可进入内部知识库、培训材料或对外服务的范围。</w:t>
      </w:r>
    </w:p>
    <w:p>
      <w:pPr>
        <w:jc w:val="both"/>
      </w:pPr>
      <w:r>
        <w:t>典型案例保留问题发生条件、判断依据、易错点和正确处理方式。培训使用经过脱敏的材料，避免传播与教学目标无关的身份、合同或设备敏感信息。案例更新时标识原规则失效原因，新旧材料保持版本关联。</w:t>
      </w:r>
    </w:p>
    <w:p>
      <w:pPr>
        <w:jc w:val="both"/>
      </w:pPr>
      <w:r>
        <w:t>知识转化实行试用验证。专家建议的规则先在代表性样本上运行，检查误判和适用边界；标注方法先开展多人试标，检查一致性；场景评价规则先对历史用例复评，检查可操作性。通过验证的成果纳入正式规范，后续使用记录反馈专家库考核。</w:t>
      </w:r>
    </w:p>
    <w:p>
      <w:pPr>
        <w:jc w:val="both"/>
      </w:pPr>
      <w:r>
        <w:t>专家库交付包括建设方案、管理办法、分类及能力目录、入库与遴选规则、任务申请和派单流程、工作职责、回避与裁决办法、考核及动态管理机制、名册和履职档案。通过实际任务演示从申请到结果归档的全过程，验证人员可用、流程可执行、意见可追溯。</w:t>
      </w:r>
    </w:p>
    <w:p>
      <w:pPr>
        <w:pStyle w:val="Heading1"/>
      </w:pPr>
      <w:r>
        <w:t>4 专家库运行服务规程</w:t>
      </w:r>
    </w:p>
    <w:p>
      <w:pPr>
        <w:pStyle w:val="Heading2"/>
      </w:pPr>
      <w:r>
        <w:t>4.1 日常受理与任务准备</w:t>
      </w:r>
    </w:p>
    <w:p>
      <w:pPr>
        <w:jc w:val="both"/>
      </w:pPr>
      <w:r>
        <w:t>日常受理设置统一入口，支持生产质检、标准编制、模型验证和运营合规等任务申请。受理岗位核对问题是否明确、证据是否齐备、是否存在已发布的相同结论，并为任务分配编号和初始优先级。重复问题可以关联已有任务，但保留各次申请及受影响对象。</w:t>
      </w:r>
    </w:p>
    <w:p>
      <w:pPr>
        <w:jc w:val="both"/>
      </w:pPr>
      <w:r>
        <w:t>材料准备遵循最小必要原则。专业判断所需的图纸区域、工艺记录和检验结果完整提供，非必要的人员、价格和合同身份信息脱敏。材料包附文件清单及摘要，任务执行中新增材料形成版本记录，专家能够识别当前有效材料。</w:t>
      </w:r>
    </w:p>
    <w:p>
      <w:pPr>
        <w:jc w:val="both"/>
      </w:pPr>
      <w:r>
        <w:t>受理岗位按照业务影响和交付依赖提出时限，派单时与专家确认。对可能影响大批量数据发布的重大争议，先暂停相关批次进入下一环节，再组织集中处理。普通咨询与发布阻断问题使用不同优先级，运行报表分别展示。</w:t>
      </w:r>
    </w:p>
    <w:p>
      <w:pPr>
        <w:pStyle w:val="Heading2"/>
      </w:pPr>
      <w:r>
        <w:t>4.2 联合评审组织</w:t>
      </w:r>
    </w:p>
    <w:p>
      <w:pPr>
        <w:jc w:val="both"/>
      </w:pPr>
      <w:r>
        <w:t>联合评审在会前明确议题、待决事项及专业范围，材料提前提供。专家先独立形成初步意见，再围绕分歧和证据进行讨论，避免会场表态取代独立判断。主持岗位负责流程和记录，专业结论由相应专家提出。</w:t>
      </w:r>
    </w:p>
    <w:p>
      <w:pPr>
        <w:jc w:val="both"/>
      </w:pPr>
      <w:r>
        <w:t>会议记录列明参加角色、回避情况、讨论事项、不同意见、最终决定和未解决问题。对需补充试验或材料的事项，指定责任岗位与完成时间，补充完成后再次确认。组织决策与技术事实判断分别记录，表决规则适用于权限内的管理事项。</w:t>
      </w:r>
    </w:p>
    <w:p>
      <w:pPr>
        <w:jc w:val="both"/>
      </w:pPr>
      <w:r>
        <w:t>评审结论发布后，任务负责人将意见拆解为具体行动。涉及标签修订的关联样本范围，涉及标准修订的关联条款版本，涉及安全问题的关联授权和服务对象。完成情况经复核后关闭，单纯发出会议纪要不作为落实完成。</w:t>
      </w:r>
    </w:p>
    <w:p>
      <w:pPr>
        <w:pStyle w:val="Heading2"/>
      </w:pPr>
      <w:r>
        <w:t>4.3 专家服务质量保障</w:t>
      </w:r>
    </w:p>
    <w:p>
      <w:pPr>
        <w:jc w:val="both"/>
      </w:pPr>
      <w:r>
        <w:t>项目组定期抽查任务档案，从专业意见回到实际数据或业务材料核验。检查结论是否回答原问题、依据是否充分、限制条件是否保留、处理结果是否落实。未达到要求的退回补充，对集中问题组织专项培训。</w:t>
      </w:r>
    </w:p>
    <w:p>
      <w:pPr>
        <w:jc w:val="both"/>
      </w:pPr>
      <w:r>
        <w:t>专家服务出现超期、重复改判或证据不足时，先分析材料条件、任务难度和工作负荷，再确定改进措施。业务部门反馈与独立复核结合使用，避免仅凭满意度判断专业质量。涉及重大安全或利益冲突问题时单独调查并按管理权限处置。</w:t>
      </w:r>
    </w:p>
    <w:p>
      <w:pPr>
        <w:jc w:val="both"/>
      </w:pPr>
      <w:r>
        <w:t>服务记录纳入月度分析，形成专业需求变化、争议类型、知识缺口和规范修订建议。分析结果用于安排下一阶段专家力量和培训内容，使专家库能够随着数据生产和运营需求持续调整。</w:t>
      </w:r>
    </w:p>
    <w:p>
      <w:pPr>
        <w:pStyle w:val="Heading1"/>
      </w:pPr>
      <w:r>
        <w:t>5 数据协同汇聚机制</w:t>
      </w:r>
    </w:p>
    <w:p>
      <w:pPr>
        <w:pStyle w:val="Heading2"/>
      </w:pPr>
      <w:r>
        <w:t>5.1 产业链资源组织</w:t>
      </w:r>
    </w:p>
    <w:p>
      <w:pPr>
        <w:jc w:val="both"/>
      </w:pPr>
      <w:r>
        <w:t>数据协同汇聚以链主企业的业务需求和行业用户的实际任务为牵引，围绕研发设计、材料供应、零部件制造、整机制造、矿山使用、维修服务和质量反馈组织资源。对每类主体明确可提供数据、更新条件、授权范围和质量责任，形成资源目录及供给计划，将一次性资料移交转化为可持续的数据更新关系。</w:t>
      </w:r>
    </w:p>
    <w:p>
      <w:pPr>
        <w:jc w:val="both"/>
      </w:pPr>
      <w:r>
        <w:t>甲方内部数据按业务归口部门、源系统和责任人登记，外部数据按提供主体及授权关系登记。原始业务数据、已经加工的数据集、标准文献和专家知识分别建立资源类型，避免将不同来源、不同权利条件的数据混入同一接收流程。资源目录与四类数据集及具体场景建立需求映射。</w:t>
      </w:r>
    </w:p>
    <w:p>
      <w:pPr>
        <w:jc w:val="both"/>
      </w:pPr>
      <w:r>
        <w:t>汇聚优先考虑影响专业判断的关键链路。供需计划关注需求、合同、库存和交付状态；工艺设计关注图纸、材料、标准工序和工艺卡片；制造过程关注工艺执行、设备状态和运行事件；产品质量关注检验、缺陷及追溯信息。对只有局部数据的主体明确可贡献范围，通过授权关系完成必要关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资源主体</w:t>
            </w:r>
          </w:p>
        </w:tc>
        <w:tc>
          <w:tcPr>
            <w:tcW w:type="dxa" w:w="2795"/>
            <w:vAlign w:val="center"/>
            <w:shd w:fill="EDF1F3"/>
          </w:tcPr>
          <w:p>
            <w:pPr>
              <w:keepNext/>
              <w:spacing w:line="320" w:lineRule="exact" w:after="0" w:before="0"/>
              <w:ind w:firstLine="0"/>
              <w:jc w:val="center"/>
            </w:pPr>
            <w:r>
              <w:rPr>
                <w:b/>
                <w:sz w:val="21"/>
              </w:rPr>
              <w:t>主要汇聚对象</w:t>
            </w:r>
          </w:p>
        </w:tc>
        <w:tc>
          <w:tcPr>
            <w:tcW w:type="dxa" w:w="2602"/>
            <w:vAlign w:val="center"/>
            <w:shd w:fill="EDF1F3"/>
          </w:tcPr>
          <w:p>
            <w:pPr>
              <w:keepNext/>
              <w:spacing w:line="320" w:lineRule="exact" w:after="0" w:before="0"/>
              <w:ind w:firstLine="0"/>
              <w:jc w:val="center"/>
            </w:pPr>
            <w:r>
              <w:rPr>
                <w:b/>
                <w:sz w:val="21"/>
              </w:rPr>
              <w:t>责任重点</w:t>
            </w:r>
          </w:p>
        </w:tc>
        <w:tc>
          <w:tcPr>
            <w:tcW w:type="dxa" w:w="2602"/>
            <w:vAlign w:val="center"/>
            <w:shd w:fill="EDF1F3"/>
          </w:tcPr>
          <w:p>
            <w:pPr>
              <w:keepNext/>
              <w:spacing w:line="320" w:lineRule="exact" w:after="0" w:before="0"/>
              <w:ind w:firstLine="0"/>
              <w:jc w:val="center"/>
            </w:pPr>
            <w:r>
              <w:rPr>
                <w:b/>
                <w:sz w:val="21"/>
              </w:rPr>
              <w:t>适用交接方式</w:t>
            </w:r>
          </w:p>
        </w:tc>
      </w:tr>
      <w:tr>
        <w:trPr>
          <w:cantSplit/>
        </w:trPr>
        <w:tc>
          <w:tcPr>
            <w:tcW w:type="dxa" w:w="1638"/>
            <w:vAlign w:val="center"/>
          </w:tcPr>
          <w:p>
            <w:pPr>
              <w:keepNext w:val="0"/>
              <w:spacing w:line="320" w:lineRule="exact" w:after="0" w:before="0"/>
              <w:ind w:firstLine="0"/>
              <w:jc w:val="left"/>
            </w:pPr>
            <w:r>
              <w:rPr>
                <w:b w:val="0"/>
                <w:sz w:val="21"/>
              </w:rPr>
              <w:t>链主企业业务部门</w:t>
            </w:r>
          </w:p>
        </w:tc>
        <w:tc>
          <w:tcPr>
            <w:tcW w:type="dxa" w:w="2795"/>
            <w:vAlign w:val="center"/>
          </w:tcPr>
          <w:p>
            <w:pPr>
              <w:keepNext w:val="0"/>
              <w:spacing w:line="320" w:lineRule="exact" w:after="0" w:before="0"/>
              <w:ind w:firstLine="0"/>
              <w:jc w:val="left"/>
            </w:pPr>
            <w:r>
              <w:rPr>
                <w:b w:val="0"/>
                <w:sz w:val="21"/>
              </w:rPr>
              <w:t>企业系统数据、图纸、工艺、检验和管理制度</w:t>
            </w:r>
          </w:p>
        </w:tc>
        <w:tc>
          <w:tcPr>
            <w:tcW w:type="dxa" w:w="2602"/>
            <w:vAlign w:val="center"/>
          </w:tcPr>
          <w:p>
            <w:pPr>
              <w:keepNext w:val="0"/>
              <w:spacing w:line="320" w:lineRule="exact" w:after="0" w:before="0"/>
              <w:ind w:firstLine="0"/>
              <w:jc w:val="left"/>
            </w:pPr>
            <w:r>
              <w:rPr>
                <w:b w:val="0"/>
                <w:sz w:val="21"/>
              </w:rPr>
              <w:t>业务口径、对象映射和更新责任</w:t>
            </w:r>
          </w:p>
        </w:tc>
        <w:tc>
          <w:tcPr>
            <w:tcW w:type="dxa" w:w="2602"/>
            <w:vAlign w:val="center"/>
          </w:tcPr>
          <w:p>
            <w:pPr>
              <w:keepNext w:val="0"/>
              <w:spacing w:line="320" w:lineRule="exact" w:after="0" w:before="0"/>
              <w:ind w:firstLine="0"/>
              <w:jc w:val="left"/>
            </w:pPr>
            <w:r>
              <w:rPr>
                <w:b w:val="0"/>
                <w:sz w:val="21"/>
              </w:rPr>
              <w:t>系统接口、数据库抽取及文件批次</w:t>
            </w:r>
          </w:p>
        </w:tc>
      </w:tr>
      <w:tr>
        <w:trPr>
          <w:cantSplit/>
        </w:trPr>
        <w:tc>
          <w:tcPr>
            <w:tcW w:type="dxa" w:w="1638"/>
            <w:vAlign w:val="center"/>
          </w:tcPr>
          <w:p>
            <w:pPr>
              <w:keepNext w:val="0"/>
              <w:spacing w:line="320" w:lineRule="exact" w:after="0" w:before="0"/>
              <w:ind w:firstLine="0"/>
              <w:jc w:val="left"/>
            </w:pPr>
            <w:r>
              <w:rPr>
                <w:b w:val="0"/>
                <w:sz w:val="21"/>
              </w:rPr>
              <w:t>上游材料及零部件相关主体</w:t>
            </w:r>
          </w:p>
        </w:tc>
        <w:tc>
          <w:tcPr>
            <w:tcW w:type="dxa" w:w="2795"/>
            <w:vAlign w:val="center"/>
          </w:tcPr>
          <w:p>
            <w:pPr>
              <w:keepNext w:val="0"/>
              <w:spacing w:line="320" w:lineRule="exact" w:after="0" w:before="0"/>
              <w:ind w:firstLine="0"/>
              <w:jc w:val="left"/>
            </w:pPr>
            <w:r>
              <w:rPr>
                <w:b w:val="0"/>
                <w:sz w:val="21"/>
              </w:rPr>
              <w:t>材料属性、检验、产品参数和交付资料</w:t>
            </w:r>
          </w:p>
        </w:tc>
        <w:tc>
          <w:tcPr>
            <w:tcW w:type="dxa" w:w="2602"/>
            <w:vAlign w:val="center"/>
          </w:tcPr>
          <w:p>
            <w:pPr>
              <w:keepNext w:val="0"/>
              <w:spacing w:line="320" w:lineRule="exact" w:after="0" w:before="0"/>
              <w:ind w:firstLine="0"/>
              <w:jc w:val="left"/>
            </w:pPr>
            <w:r>
              <w:rPr>
                <w:b w:val="0"/>
                <w:sz w:val="21"/>
              </w:rPr>
              <w:t>数据真实性、版本及使用许可</w:t>
            </w:r>
          </w:p>
        </w:tc>
        <w:tc>
          <w:tcPr>
            <w:tcW w:type="dxa" w:w="2602"/>
            <w:vAlign w:val="center"/>
          </w:tcPr>
          <w:p>
            <w:pPr>
              <w:keepNext w:val="0"/>
              <w:spacing w:line="320" w:lineRule="exact" w:after="0" w:before="0"/>
              <w:ind w:firstLine="0"/>
              <w:jc w:val="left"/>
            </w:pPr>
            <w:r>
              <w:rPr>
                <w:b w:val="0"/>
                <w:sz w:val="21"/>
              </w:rPr>
              <w:t>标准模板、授权接口或文件交接</w:t>
            </w:r>
          </w:p>
        </w:tc>
      </w:tr>
      <w:tr>
        <w:trPr>
          <w:cantSplit/>
        </w:trPr>
        <w:tc>
          <w:tcPr>
            <w:tcW w:type="dxa" w:w="1638"/>
            <w:vAlign w:val="center"/>
          </w:tcPr>
          <w:p>
            <w:pPr>
              <w:keepNext w:val="0"/>
              <w:spacing w:line="320" w:lineRule="exact" w:after="0" w:before="0"/>
              <w:ind w:firstLine="0"/>
              <w:jc w:val="left"/>
            </w:pPr>
            <w:r>
              <w:rPr>
                <w:b w:val="0"/>
                <w:sz w:val="21"/>
              </w:rPr>
              <w:t>装备使用及服务主体</w:t>
            </w:r>
          </w:p>
        </w:tc>
        <w:tc>
          <w:tcPr>
            <w:tcW w:type="dxa" w:w="2795"/>
            <w:vAlign w:val="center"/>
          </w:tcPr>
          <w:p>
            <w:pPr>
              <w:keepNext w:val="0"/>
              <w:spacing w:line="320" w:lineRule="exact" w:after="0" w:before="0"/>
              <w:ind w:firstLine="0"/>
              <w:jc w:val="left"/>
            </w:pPr>
            <w:r>
              <w:rPr>
                <w:b w:val="0"/>
                <w:sz w:val="21"/>
              </w:rPr>
              <w:t>运行工况、故障事件、维护和使用反馈</w:t>
            </w:r>
          </w:p>
        </w:tc>
        <w:tc>
          <w:tcPr>
            <w:tcW w:type="dxa" w:w="2602"/>
            <w:vAlign w:val="center"/>
          </w:tcPr>
          <w:p>
            <w:pPr>
              <w:keepNext w:val="0"/>
              <w:spacing w:line="320" w:lineRule="exact" w:after="0" w:before="0"/>
              <w:ind w:firstLine="0"/>
              <w:jc w:val="left"/>
            </w:pPr>
            <w:r>
              <w:rPr>
                <w:b w:val="0"/>
                <w:sz w:val="21"/>
              </w:rPr>
              <w:t>设备标识、时间完整和现场条件</w:t>
            </w:r>
          </w:p>
        </w:tc>
        <w:tc>
          <w:tcPr>
            <w:tcW w:type="dxa" w:w="2602"/>
            <w:vAlign w:val="center"/>
          </w:tcPr>
          <w:p>
            <w:pPr>
              <w:keepNext w:val="0"/>
              <w:spacing w:line="320" w:lineRule="exact" w:after="0" w:before="0"/>
              <w:ind w:firstLine="0"/>
              <w:jc w:val="left"/>
            </w:pPr>
            <w:r>
              <w:rPr>
                <w:b w:val="0"/>
                <w:sz w:val="21"/>
              </w:rPr>
              <w:t>事件包、时序接口及工单批次</w:t>
            </w:r>
          </w:p>
        </w:tc>
      </w:tr>
      <w:tr>
        <w:trPr>
          <w:cantSplit/>
        </w:trPr>
        <w:tc>
          <w:tcPr>
            <w:tcW w:type="dxa" w:w="1638"/>
            <w:vAlign w:val="center"/>
          </w:tcPr>
          <w:p>
            <w:pPr>
              <w:keepNext w:val="0"/>
              <w:spacing w:line="320" w:lineRule="exact" w:after="0" w:before="0"/>
              <w:ind w:firstLine="0"/>
              <w:jc w:val="left"/>
            </w:pPr>
            <w:r>
              <w:rPr>
                <w:b w:val="0"/>
                <w:sz w:val="21"/>
              </w:rPr>
              <w:t>数据企业及专业机构</w:t>
            </w:r>
          </w:p>
        </w:tc>
        <w:tc>
          <w:tcPr>
            <w:tcW w:type="dxa" w:w="2795"/>
            <w:vAlign w:val="center"/>
          </w:tcPr>
          <w:p>
            <w:pPr>
              <w:keepNext w:val="0"/>
              <w:spacing w:line="320" w:lineRule="exact" w:after="0" w:before="0"/>
              <w:ind w:firstLine="0"/>
              <w:jc w:val="left"/>
            </w:pPr>
            <w:r>
              <w:rPr>
                <w:b w:val="0"/>
                <w:sz w:val="21"/>
              </w:rPr>
              <w:t>专业数据集、加工成果和评测材料</w:t>
            </w:r>
          </w:p>
        </w:tc>
        <w:tc>
          <w:tcPr>
            <w:tcW w:type="dxa" w:w="2602"/>
            <w:vAlign w:val="center"/>
          </w:tcPr>
          <w:p>
            <w:pPr>
              <w:keepNext w:val="0"/>
              <w:spacing w:line="320" w:lineRule="exact" w:after="0" w:before="0"/>
              <w:ind w:firstLine="0"/>
              <w:jc w:val="left"/>
            </w:pPr>
            <w:r>
              <w:rPr>
                <w:b w:val="0"/>
                <w:sz w:val="21"/>
              </w:rPr>
              <w:t>来源链条、商业许可和质量证据</w:t>
            </w:r>
          </w:p>
        </w:tc>
        <w:tc>
          <w:tcPr>
            <w:tcW w:type="dxa" w:w="2602"/>
            <w:vAlign w:val="center"/>
          </w:tcPr>
          <w:p>
            <w:pPr>
              <w:keepNext w:val="0"/>
              <w:spacing w:line="320" w:lineRule="exact" w:after="0" w:before="0"/>
              <w:ind w:firstLine="0"/>
              <w:jc w:val="left"/>
            </w:pPr>
            <w:r>
              <w:rPr>
                <w:b w:val="0"/>
                <w:sz w:val="21"/>
              </w:rPr>
              <w:t>数据集封装及受控服务</w:t>
            </w:r>
          </w:p>
        </w:tc>
      </w:tr>
      <w:tr>
        <w:trPr>
          <w:cantSplit/>
        </w:trPr>
        <w:tc>
          <w:tcPr>
            <w:tcW w:type="dxa" w:w="1638"/>
            <w:vAlign w:val="center"/>
          </w:tcPr>
          <w:p>
            <w:pPr>
              <w:keepNext w:val="0"/>
              <w:spacing w:line="320" w:lineRule="exact" w:after="0" w:before="0"/>
              <w:ind w:firstLine="0"/>
              <w:jc w:val="left"/>
            </w:pPr>
            <w:r>
              <w:rPr>
                <w:b w:val="0"/>
                <w:sz w:val="21"/>
              </w:rPr>
              <w:t>高校及科研院所</w:t>
            </w:r>
          </w:p>
        </w:tc>
        <w:tc>
          <w:tcPr>
            <w:tcW w:type="dxa" w:w="2795"/>
            <w:vAlign w:val="center"/>
          </w:tcPr>
          <w:p>
            <w:pPr>
              <w:keepNext w:val="0"/>
              <w:spacing w:line="320" w:lineRule="exact" w:after="0" w:before="0"/>
              <w:ind w:firstLine="0"/>
              <w:jc w:val="left"/>
            </w:pPr>
            <w:r>
              <w:rPr>
                <w:b w:val="0"/>
                <w:sz w:val="21"/>
              </w:rPr>
              <w:t>研究数据、方法、标准验证和专业知识</w:t>
            </w:r>
          </w:p>
        </w:tc>
        <w:tc>
          <w:tcPr>
            <w:tcW w:type="dxa" w:w="2602"/>
            <w:vAlign w:val="center"/>
          </w:tcPr>
          <w:p>
            <w:pPr>
              <w:keepNext w:val="0"/>
              <w:spacing w:line="320" w:lineRule="exact" w:after="0" w:before="0"/>
              <w:ind w:firstLine="0"/>
              <w:jc w:val="left"/>
            </w:pPr>
            <w:r>
              <w:rPr>
                <w:b w:val="0"/>
                <w:sz w:val="21"/>
              </w:rPr>
              <w:t>成果权利、复用条件及可验证性</w:t>
            </w:r>
          </w:p>
        </w:tc>
        <w:tc>
          <w:tcPr>
            <w:tcW w:type="dxa" w:w="2602"/>
            <w:vAlign w:val="center"/>
          </w:tcPr>
          <w:p>
            <w:pPr>
              <w:keepNext w:val="0"/>
              <w:spacing w:line="320" w:lineRule="exact" w:after="0" w:before="0"/>
              <w:ind w:firstLine="0"/>
              <w:jc w:val="left"/>
            </w:pPr>
            <w:r>
              <w:rPr>
                <w:b w:val="0"/>
                <w:sz w:val="21"/>
              </w:rPr>
              <w:t>专题协作成果和授权资料</w:t>
            </w:r>
          </w:p>
        </w:tc>
      </w:tr>
    </w:tbl>
    <w:p>
      <w:pPr>
        <w:spacing w:after="40" w:line="240" w:lineRule="auto"/>
        <w:ind w:firstLine="0"/>
      </w:pPr>
      <w:r>
        <w:rPr>
          <w:sz w:val="4"/>
        </w:rPr>
      </w:r>
    </w:p>
    <w:p>
      <w:pPr>
        <w:jc w:val="both"/>
      </w:pPr>
      <w:r>
        <w:t>主体接入前开展需求沟通，形成供给清单、接入条件及实施计划。协作内容以实际任务和交付物确认，参与主体的名称、角色、投入及成果登记到项目协同台账。每个主体可以承担多个任务，但机构数量按真实独立主体核验，不能将同一机构的不同部门重复计算。</w:t>
      </w:r>
    </w:p>
    <w:p>
      <w:pPr>
        <w:pStyle w:val="Heading2"/>
      </w:pPr>
      <w:r>
        <w:t>5.2 资源准入与供给约定</w:t>
      </w:r>
    </w:p>
    <w:p>
      <w:pPr>
        <w:jc w:val="both"/>
      </w:pPr>
      <w:r>
        <w:t>资源准入检查来源、权利、用途、质量和技术条件。提供方说明数据形成过程、原始来源、处理历史和可授权范围，涉及第三方资料的补充相应许可依据。接收方核查当前任务是否处于许可范围内，包括清洗、标注、模型训练、验证、对外展示及服务交付等具体用途。</w:t>
      </w:r>
    </w:p>
    <w:p>
      <w:pPr>
        <w:jc w:val="both"/>
      </w:pPr>
      <w:r>
        <w:t>供给约定明确对象范围、字段、格式、更新方式、交付时间、质量要求、问题反馈、授权期限和变更处理。持续更新的数据约定增量识别方式及历史修订机制；静态资料约定版本和有效时间；已加工数据集提供数据字典、标签说明、质量报告和来源证明。敏感数据在约定阶段完成脱敏并记录方法。</w:t>
      </w:r>
    </w:p>
    <w:p>
      <w:pPr>
        <w:jc w:val="both"/>
      </w:pPr>
      <w:r>
        <w:t>资源准入采用业务、技术和安全联合核查。业务岗位确认任务价值及专业含义，技术岗位确认格式、接口和可处理性，安全岗位确认来源、权限和处理条件。任何一类关键条件未满足时，明确需补充事项和责任岗位，资源保持待处理或隔离状态。</w:t>
      </w:r>
    </w:p>
    <w:p>
      <w:pPr>
        <w:jc w:val="both"/>
      </w:pPr>
      <w:r>
        <w:t>提供方提出用途限制时，将限制写入资源元数据及后续审批规则。例如仅限内部验证、禁止再次分发、限定保存期限或限定特定业务域等要求，在生产任务启动和服务发布时再次检查。授权条款变更形成新版本，影响范围通过血缘关系识别。</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5_资源持续汇聚.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 5-1 跨主体持续汇聚流程</w:t>
      </w:r>
    </w:p>
    <w:p>
      <w:pPr>
        <w:pStyle w:val="Heading2"/>
      </w:pPr>
      <w:r>
        <w:t>5.3 分层接入与技术适配</w:t>
      </w:r>
    </w:p>
    <w:p>
      <w:pPr>
        <w:jc w:val="both"/>
      </w:pPr>
      <w:r>
        <w:t>具备稳定接口的主体采用受控接口持续接入，明确认证、字段、分页、排序、增量条件、错误码和调用限额。接口联调先验证少量代表数据，再扩大到正常批次。请求与响应保留必要审计，敏感字段在日志中脱敏，凭据独立保管并支持轮换。</w:t>
      </w:r>
    </w:p>
    <w:p>
      <w:pPr>
        <w:jc w:val="both"/>
      </w:pPr>
      <w:r>
        <w:t>具备数据库或文件导出能力的主体采用定期批量方式。批次附清单、统计范围、生成时间和摘要，接收后核验完整性及数量。数据库抽取使用批准的只读权限，在规定窗口运行，检查源端负载；文件导出设置目录和命名规范，未完成上传的文件不进入正式处理。</w:t>
      </w:r>
    </w:p>
    <w:p>
      <w:pPr>
        <w:jc w:val="both"/>
      </w:pPr>
      <w:r>
        <w:t>技术条件较弱的主体使用统一模板或受控交接工具。模板明确必填项、类型、单位、枚举和填写规则，接收时自动校验并返回具体错误。对无法直接结构化的文档和图像保留原件，通过解析和人工复核转化，提供方确认关键业务字段。</w:t>
      </w:r>
    </w:p>
    <w:p>
      <w:pPr>
        <w:jc w:val="both"/>
      </w:pPr>
      <w:r>
        <w:t>对于已完成加工的数据集，接收数据包、数据集卡片、标签体系、切分清单、许可信息和质量资料。检查其是否与已有对象重复、是否存在训练测试污染及敏感残留。已通过外部评测的结果作为参考材料，仍须核验版本一致性及本项目适用性。</w:t>
      </w:r>
    </w:p>
    <w:p>
      <w:pPr>
        <w:jc w:val="both"/>
      </w:pPr>
      <w:r>
        <w:t>各接入方式使用统一对象标识、批次记录、授权检查和异常处理方式。提供方改变接口或导出格式时，先进行兼容性检查并安排迁移，保留旧批次的解析方法。新增字段不得静默改变既有字段含义，重要变更通过书面约定确认。</w:t>
      </w:r>
    </w:p>
    <w:p>
      <w:pPr>
        <w:pStyle w:val="Heading2"/>
      </w:pPr>
      <w:r>
        <w:t>5.4 增量汇聚与更新连续性</w:t>
      </w:r>
    </w:p>
    <w:p>
      <w:pPr>
        <w:jc w:val="both"/>
      </w:pPr>
      <w:r>
        <w:t>增量更新按来源能力选择变更时间、事件序号、业务状态或批次水位。水位记录到来源和任务级别，接收成功与处理成功分别登记。只有规定的完整性检查通过后才推进相应状态，失败批次保留重传位置和对象范围。</w:t>
      </w:r>
    </w:p>
    <w:p>
      <w:pPr>
        <w:jc w:val="both"/>
      </w:pPr>
      <w:r>
        <w:t>数据新增、修改、撤销和删除分别处理。新增对象建立来源映射，修改对象形成新版本，撤销对象标记原因和影响，删除请求按照授权及保存要求执行。源端补录和迟到数据保留实际业务时间，不能将接收时间误当业务发生时间。</w:t>
      </w:r>
    </w:p>
    <w:p>
      <w:pPr>
        <w:jc w:val="both"/>
      </w:pPr>
      <w:r>
        <w:t>更新计划区分实时或准实时事件、周期性业务记录、阶段性文件及标准制度修订。实际频率依据业务价值、来源能力和运行负载确定，并写入供给约定。计划包括正常更新、节假日安排、停机通知和补传机制，负责人发生变化时及时交接。</w:t>
      </w:r>
    </w:p>
    <w:p>
      <w:pPr>
        <w:jc w:val="both"/>
      </w:pPr>
      <w:r>
        <w:t>每次更新核对对象数量、时间范围、关键字段完整性和来源分布，异常下降或长期无更新时发起核查。区分业务确无新增、接口中断、授权失效、格式变更和提供方遗漏，按原因采取不同措施。补传后核对缺口是否填平，避免只恢复最新数据而遗漏中间时段。</w:t>
      </w:r>
    </w:p>
    <w:p>
      <w:pPr>
        <w:jc w:val="both"/>
      </w:pPr>
      <w:r>
        <w:t>定期开展来源对账，将源端统计与平台接收、合格入库和发布数量分别比较。差异记录对应具体批次和处理状态，剔除、隔离和重复对象保留原因。供给方能够了解哪些数据被接收、哪些需要修正及哪些形成了有效成果。</w:t>
      </w:r>
    </w:p>
    <w:p>
      <w:pPr>
        <w:pStyle w:val="Heading2"/>
      </w:pPr>
      <w:r>
        <w:t>5.5 权利与合规登记</w:t>
      </w:r>
    </w:p>
    <w:p>
      <w:pPr>
        <w:jc w:val="both"/>
      </w:pPr>
      <w:r>
        <w:t>权利台账以来源主体、资源对象及用途范围为基本单位，登记提供依据、权利证明、使用许可、授权期限、地域或对象限制、再分发条件和撤回规则。原始数据与加工成果分别登记相应权利条件，加工行为不能自动扩大原始许可范围。</w:t>
      </w:r>
    </w:p>
    <w:p>
      <w:pPr>
        <w:jc w:val="both"/>
      </w:pPr>
      <w:r>
        <w:t>对多方共同形成的数据，记录各自贡献对象、授权内容和成果使用约定。数据提供、加工处理、标注、模型训练及评测形成的不同成果分别核查，不将加工贡献直接视为对全部原始数据的所有权。存在争议时暂停相关对外使用，先确认权利关系。</w:t>
      </w:r>
    </w:p>
    <w:p>
      <w:pPr>
        <w:jc w:val="both"/>
      </w:pPr>
      <w:r>
        <w:t>对个人信息、敏感地理信息、重要行业数据和企业秘密开展识别及去标识化或脱敏处理。去标识化映射受控保存，必要的业务关联通过批准的标识完成。多源拼接后重新检查识别风险，单源已脱敏不代表组合后当然安全。</w:t>
      </w:r>
    </w:p>
    <w:p>
      <w:pPr>
        <w:jc w:val="both"/>
      </w:pPr>
      <w:r>
        <w:t>权利核查贯穿准入、生产、发布和续期。任务启动前检查许可是否覆盖本次用途；数据产品发布前检查对外提供条件；许可到期前提示续期或下架；撤回后同步限制目录、接口及后续任务。对已交付数据按约定通知使用方并处理存量使用责任。</w:t>
      </w:r>
    </w:p>
    <w:p>
      <w:pPr>
        <w:pStyle w:val="Heading2"/>
      </w:pPr>
      <w:r>
        <w:t>5.6 贡献评价与汇聚激励</w:t>
      </w:r>
    </w:p>
    <w:p>
      <w:pPr>
        <w:jc w:val="both"/>
      </w:pPr>
      <w:r>
        <w:t>贡献评价以经核验的有效数据和持续服务为基础，综合新增覆盖、质量、时效、稀缺性、更新稳定及实际使用。重复上传、低质量填充和超出许可范围的数据不形成有效贡献。不同模态和业务域分开统计，避免用简单条数比较长文档、视频和时序数据的贡献。</w:t>
      </w:r>
    </w:p>
    <w:p>
      <w:pPr>
        <w:jc w:val="both"/>
      </w:pPr>
      <w:r>
        <w:t>贡献台账记录提供主体、资源版本、合格数量、被使用任务及相关质量结果。高价值贡献通过实际需求和验证证据确认，例如补齐稀缺故障、纠正关键规则或提供持续更新来源。平台使用量作为评价信息之一，与专业价值和维护成本共同分析。</w:t>
      </w:r>
    </w:p>
    <w:p>
      <w:pPr>
        <w:jc w:val="both"/>
      </w:pPr>
      <w:r>
        <w:t>激励可以采取服务权益、专业支持、成果认可和经批准的收益分配等方式。权益设置明确适用服务、有效期、核销方法和预算约束；收益分配依据合同及经确认的贡献规则执行。激励方案先审核来源合规和资源质量，防止以奖励方式诱导超范围提供数据。</w:t>
      </w:r>
    </w:p>
    <w:p>
      <w:pPr>
        <w:jc w:val="both"/>
      </w:pPr>
      <w:r>
        <w:t>评价结果向提供主体反馈，列明采纳范围、质量问题和改进方向。对持续稳定更新的主体保持合作安排，对长期质量不达标的主体组织整改或调整接入状态。激励不替代提供方的数据责任，质量问题产生后仍按协议处理。</w:t>
      </w:r>
    </w:p>
    <w:p>
      <w:pPr>
        <w:pStyle w:val="Heading2"/>
      </w:pPr>
      <w:r>
        <w:t>5.7 争议与异常处理</w:t>
      </w:r>
    </w:p>
    <w:p>
      <w:pPr>
        <w:jc w:val="both"/>
      </w:pPr>
      <w:r>
        <w:t>数据归属、口径、质量和更新争议使用统一问题记录。记录提出方、对象版本、争议事项、证据、影响范围及处理时限，由业务、技术和安全岗位分别核实。涉及多主体权益的事项按运营治理权限协调，处理期间限制有争议数据的使用范围。</w:t>
      </w:r>
    </w:p>
    <w:p>
      <w:pPr>
        <w:jc w:val="both"/>
      </w:pPr>
      <w:r>
        <w:t>重复或相互矛盾的数据先比较来源权威性、有效时间和业务条件。无法确认唯一事实时保留多个来源及争议状态，由专业人员裁决；不能按接收先后或文件大小决定正确性。裁决后保留采用依据，并通过版本关系处理受影响成果。</w:t>
      </w:r>
    </w:p>
    <w:p>
      <w:pPr>
        <w:jc w:val="both"/>
      </w:pPr>
      <w:r>
        <w:t>发生来源中断时，维持已授权历史数据的受控使用，按许可条件决定是否继续服务。替代来源进入新的准入和质量核验流程，不因名称相似直接替换。恢复接入后核对缺失时间段和对象变更，形成恢复验证记录。</w:t>
      </w:r>
    </w:p>
    <w:p>
      <w:pPr>
        <w:pStyle w:val="Heading2"/>
      </w:pPr>
      <w:r>
        <w:t>5.8 汇聚机制的验收</w:t>
      </w:r>
    </w:p>
    <w:p>
      <w:pPr>
        <w:jc w:val="both"/>
      </w:pPr>
      <w:r>
        <w:t>汇聚验收选择不同主体、不同技术条件和不同更新方式的代表链路，验证首次接入、增量更新、错误退回、补传、授权到期和撤回处理。检查资源登记、协议、批次、质量及权利台账能否相互对应，确认问题可以定位到具体提供主体和业务对象。</w:t>
      </w:r>
    </w:p>
    <w:p>
      <w:pPr>
        <w:jc w:val="both"/>
      </w:pPr>
      <w:r>
        <w:t>运行评价按来源汇总有效接入量、合格率、及时更新率、问题处理周期和实际使用情况。指标保留统计窗口、分母和排除条件，报告同时呈现数据量与质量变化。发现供给量增长而有效使用下降时，分析重复、任务不匹配或质量问题，再调整采集重点及激励安排。</w:t>
      </w:r>
    </w:p>
    <w:p>
      <w:pPr>
        <w:pStyle w:val="Heading1"/>
      </w:pPr>
      <w:r>
        <w:t>6 数据集全周期协同管理</w:t>
      </w:r>
    </w:p>
    <w:p>
      <w:pPr>
        <w:pStyle w:val="Heading2"/>
      </w:pPr>
      <w:r>
        <w:t>6.1 需求到成果的统一任务关系</w:t>
      </w:r>
    </w:p>
    <w:p>
      <w:pPr>
        <w:jc w:val="both"/>
      </w:pPr>
      <w:r>
        <w:t>数据需求从业务场景、模型验证、质量整改和运营反馈进入统一任务清单。需求记录预期用途、使用主体、对象范围、模态、时间、质量和许可条件，经评估后分解为采集、加工、标注、验证和交付任务。任务之间保留依赖关系与责任交接，数据生产岗位能够理解产出的实际用途。</w:t>
      </w:r>
    </w:p>
    <w:p>
      <w:pPr>
        <w:jc w:val="both"/>
      </w:pPr>
      <w:r>
        <w:t>需求发生变化时，检查对已采集数据、规则、专家工作和交付计划的影响。业务提出方确认变化内容，技术与质量岗位评估实施条件，经批准后调整后续任务。原需求及历史成果保留对应关系，避免目标变化后无法解释原有处理依据。</w:t>
      </w:r>
    </w:p>
    <w:p>
      <w:pPr>
        <w:pStyle w:val="Heading2"/>
      </w:pPr>
      <w:r>
        <w:t>6.2 阶段准入与质量控制</w:t>
      </w:r>
    </w:p>
    <w:p>
      <w:pPr>
        <w:jc w:val="both"/>
      </w:pPr>
      <w:r>
        <w:t>资源准入检查来源和条件，生产准入检查标准和工具配置，候选冻结检查规模与结构，验证准入检查独立基准及实验条件，发布准入检查质量、安全、许可和报告。各阶段均形成明确通过条件及不通过后的处理方式，审批记录与具体对象版本绑定。</w:t>
      </w:r>
    </w:p>
    <w:p>
      <w:pPr>
        <w:jc w:val="both"/>
      </w:pPr>
      <w:r>
        <w:t>质量检查采用自动校验、人工复核和专家裁决组合。数据集保真度、完备性、规整性、均衡性、可用性和可信性分别形成指标记录；第三方测评覆盖说明文档、数据质量和模型应用三大维度。数据生产内部检查与独立测评分工明确，共用对象和证据标识，保留各自判断过程。</w:t>
      </w:r>
    </w:p>
    <w:p>
      <w:pPr>
        <w:pStyle w:val="Heading2"/>
      </w:pPr>
      <w:r>
        <w:t>6.3 版本冻结与交付责任</w:t>
      </w:r>
    </w:p>
    <w:p>
      <w:pPr>
        <w:jc w:val="both"/>
      </w:pPr>
      <w:r>
        <w:t>候选版本冻结后保存样本清单、文件摘要、切分结果及相关规则，用于训练和场景验证。验证发现问题时形成修订任务，产生新的候选版本，原冻结内容不直接覆盖。验证通过并完成发布审核后形成正式交付版本，版本内容与质检报告和验证报告保持一致。</w:t>
      </w:r>
    </w:p>
    <w:p>
      <w:pPr>
        <w:jc w:val="both"/>
      </w:pPr>
      <w:r>
        <w:t>交付版本包含数据内容、数据字典、标签体系、数据集卡片、自描述封装、版本指纹、质检及验证报告。离开平台后仍能依据文件结构和说明准确解析。移交时通过独立环境读取代表样本，检查结构、编码、标签和元数据绑定关系。</w:t>
      </w:r>
    </w:p>
    <w:p>
      <w:pPr>
        <w:pStyle w:val="Heading2"/>
      </w:pPr>
      <w:r>
        <w:t>6.4 使用反馈与退役管理</w:t>
      </w:r>
    </w:p>
    <w:p>
      <w:pPr>
        <w:jc w:val="both"/>
      </w:pPr>
      <w:r>
        <w:t>运营使用反馈关联产品、版本、接口和用途，问题能够返回到对应生产任务。内容错误、权限异常、服务故障和需求新增分别派发，不能把所有反馈都归为数据质量问题。修订成果发布后通知受影响使用方，明确版本变化和适配要求。</w:t>
      </w:r>
    </w:p>
    <w:p>
      <w:pPr>
        <w:jc w:val="both"/>
      </w:pPr>
      <w:r>
        <w:t>数据退役检查授权、保存期限、历史合同、审计和模型关联。停止对外提供后，按规定保存必要的证据和版本记录；需要删除的对象按批准范围执行，验证存储、缓存和索引中的实际状态。已经训练形成的模型及已交付成果按相应权利和安全要求评估，处置结果纳入档案。</w:t>
      </w:r>
    </w:p>
    <w:p>
      <w:pPr>
        <w:pStyle w:val="Heading1"/>
      </w:pPr>
      <w:r>
        <w:t>7 数据集运营体系与专业服务协同</w:t>
      </w:r>
    </w:p>
    <w:p>
      <w:pPr>
        <w:pStyle w:val="Heading2"/>
      </w:pPr>
      <w:r>
        <w:t>7.1 链主牵头的运营体系</w:t>
      </w:r>
    </w:p>
    <w:p>
      <w:pPr>
        <w:jc w:val="both"/>
      </w:pPr>
      <w:r>
        <w:t>运营体系以链主企业牵头、产学研用协同、市场化运作为基本方针。由甲方依托产业链业务场景组织需求和资源，专业参与方提供采集、标注、训练、评测及相关技术能力，行业用户通过实际使用提出服务需求和改进意见。平台统一登记数据、任务、成果和服务，使协作关系能够落实到具体责任和交付记录。</w:t>
      </w:r>
    </w:p>
    <w:p>
      <w:pPr>
        <w:jc w:val="both"/>
      </w:pPr>
      <w:r>
        <w:t>链主牵头重点落实行业需求征集、公共资源协调、重大事项决策和服务规则确认。跨主体协作按任务约定投入、产出、质量和成果使用条件，各参与方在统一规则下履职。业务数据的使用权、处理成果的使用范围及对外服务条件分别约定，避免协作关系形成后权责不清。</w:t>
      </w:r>
    </w:p>
    <w:p>
      <w:pPr>
        <w:jc w:val="both"/>
      </w:pPr>
      <w:r>
        <w:t>运营需求围绕矿山装备制造的实际业务组织。面向装备制造企业提供工艺、质量、设备和供需相关数据服务；面向使用及维修服务主体提供经授权的运行和故障知识服务；面向研究与技术开发主体提供符合许可条件的训练、验证和专业工具服务。相同数据对不同用户的展示、交付和使用权限分别配置。</w:t>
      </w:r>
    </w:p>
    <w:p>
      <w:pPr>
        <w:jc w:val="both"/>
      </w:pPr>
      <w:r>
        <w:t>运营计划按服务类型设置阶段目标，明确资源准备、产品发布、用户支持和更新维护任务。收入、使用、质量和成本共同分析，公共服务履职与商业服务经营分别记录。运营决策依据真实运行结果调整，市场需求尚未验证的事项通过小范围服务试用获取证据。</w:t>
      </w:r>
    </w:p>
    <w:p>
      <w:pPr>
        <w:pStyle w:val="Heading2"/>
      </w:pPr>
      <w:r>
        <w:t>7.2 产学研用协同任务机制</w:t>
      </w:r>
    </w:p>
    <w:p>
      <w:pPr>
        <w:jc w:val="both"/>
      </w:pPr>
      <w:r>
        <w:t>协同任务以明确的业务问题为起点，形成联合任务书。任务书规定研究或服务对象、输入材料、工作分工、成果形态、验证方法、进度、保密和权益安排。数据企业、高校和科研院所的参与以实际任务及交付记录核验，参与签约、技术讨论和成果交付的状态分别登记。</w:t>
      </w:r>
    </w:p>
    <w:p>
      <w:pPr>
        <w:jc w:val="both"/>
      </w:pPr>
      <w:r>
        <w:t>专业任务可以围绕图纸解析规则、复杂标注方法、稀缺故障数据、模型验证和标准研究展开。任务执行先确定共享数据范围，必要时提供受控计算环境和脱敏材料；专业人员按照批准用途使用，输出成果经过质量和安全检查后移交。协作过程中新增的数据需求重新核查授权条件。</w:t>
      </w:r>
    </w:p>
    <w:p>
      <w:pPr>
        <w:jc w:val="both"/>
      </w:pPr>
      <w:r>
        <w:t>成果共享区分公开成果、授权共享成果和内部受控成果。公开成果发布前完成专业、权利和保密审核；授权共享成果限定对象、期限和用途；内部成果保留访问名单和审计。共同研究产生的新方法、规则或软件按约定登记权利和贡献，使用时核对许可及第三方依赖。</w:t>
      </w:r>
    </w:p>
    <w:p>
      <w:pPr>
        <w:jc w:val="both"/>
      </w:pPr>
      <w:r>
        <w:t>任务评价综合成果可用性、问题解决程度、复用能力和实际贡献。对未达到预期的任务，保留试验条件、失败原因及可复用部分，明确继续改进或终止安排。成果移交后由接收岗位完成复现或运行验证，避免只以论文、汇报材料代替项目所需可用成果。</w:t>
      </w:r>
    </w:p>
    <w:p>
      <w:pPr>
        <w:pStyle w:val="Heading2"/>
      </w:pPr>
      <w:r>
        <w:t>7.3 专业服务架构</w:t>
      </w:r>
    </w:p>
    <w:p>
      <w:pPr>
        <w:jc w:val="both"/>
      </w:pPr>
      <w:r>
        <w:t>运营服务按需求受理、方案编制、资源与能力组织、执行交付、质量确认和持续支持形成统一流程。数据集运营平台作为服务入口和记录载体，专业能力按服务目录调用。服务目录登记名称、适用对象、输入条件、输出成果、质量要求、处理时限和责任接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专业能力</w:t>
            </w:r>
          </w:p>
        </w:tc>
        <w:tc>
          <w:tcPr>
            <w:tcW w:type="dxa" w:w="2795"/>
            <w:vAlign w:val="center"/>
            <w:shd w:fill="EDF1F3"/>
          </w:tcPr>
          <w:p>
            <w:pPr>
              <w:keepNext/>
              <w:spacing w:line="320" w:lineRule="exact" w:after="0" w:before="0"/>
              <w:ind w:firstLine="0"/>
              <w:jc w:val="center"/>
            </w:pPr>
            <w:r>
              <w:rPr>
                <w:b/>
                <w:sz w:val="21"/>
              </w:rPr>
              <w:t>输入条件</w:t>
            </w:r>
          </w:p>
        </w:tc>
        <w:tc>
          <w:tcPr>
            <w:tcW w:type="dxa" w:w="2602"/>
            <w:vAlign w:val="center"/>
            <w:shd w:fill="EDF1F3"/>
          </w:tcPr>
          <w:p>
            <w:pPr>
              <w:keepNext/>
              <w:spacing w:line="320" w:lineRule="exact" w:after="0" w:before="0"/>
              <w:ind w:firstLine="0"/>
              <w:jc w:val="center"/>
            </w:pPr>
            <w:r>
              <w:rPr>
                <w:b/>
                <w:sz w:val="21"/>
              </w:rPr>
              <w:t>交付成果</w:t>
            </w:r>
          </w:p>
        </w:tc>
        <w:tc>
          <w:tcPr>
            <w:tcW w:type="dxa" w:w="2602"/>
            <w:vAlign w:val="center"/>
            <w:shd w:fill="EDF1F3"/>
          </w:tcPr>
          <w:p>
            <w:pPr>
              <w:keepNext/>
              <w:spacing w:line="320" w:lineRule="exact" w:after="0" w:before="0"/>
              <w:ind w:firstLine="0"/>
              <w:jc w:val="center"/>
            </w:pPr>
            <w:r>
              <w:rPr>
                <w:b/>
                <w:sz w:val="21"/>
              </w:rPr>
              <w:t>质量责任</w:t>
            </w:r>
          </w:p>
        </w:tc>
      </w:tr>
      <w:tr>
        <w:trPr>
          <w:cantSplit/>
        </w:trPr>
        <w:tc>
          <w:tcPr>
            <w:tcW w:type="dxa" w:w="1638"/>
            <w:vAlign w:val="center"/>
          </w:tcPr>
          <w:p>
            <w:pPr>
              <w:keepNext w:val="0"/>
              <w:spacing w:line="320" w:lineRule="exact" w:after="0" w:before="0"/>
              <w:ind w:firstLine="0"/>
              <w:jc w:val="left"/>
            </w:pPr>
            <w:r>
              <w:rPr>
                <w:b w:val="0"/>
                <w:sz w:val="21"/>
              </w:rPr>
              <w:t>数据采集服务</w:t>
            </w:r>
          </w:p>
        </w:tc>
        <w:tc>
          <w:tcPr>
            <w:tcW w:type="dxa" w:w="2795"/>
            <w:vAlign w:val="center"/>
          </w:tcPr>
          <w:p>
            <w:pPr>
              <w:keepNext w:val="0"/>
              <w:spacing w:line="320" w:lineRule="exact" w:after="0" w:before="0"/>
              <w:ind w:firstLine="0"/>
              <w:jc w:val="left"/>
            </w:pPr>
            <w:r>
              <w:rPr>
                <w:b w:val="0"/>
                <w:sz w:val="21"/>
              </w:rPr>
              <w:t>明确来源、授权、字段和采集窗口</w:t>
            </w:r>
          </w:p>
        </w:tc>
        <w:tc>
          <w:tcPr>
            <w:tcW w:type="dxa" w:w="2602"/>
            <w:vAlign w:val="center"/>
          </w:tcPr>
          <w:p>
            <w:pPr>
              <w:keepNext w:val="0"/>
              <w:spacing w:line="320" w:lineRule="exact" w:after="0" w:before="0"/>
              <w:ind w:firstLine="0"/>
              <w:jc w:val="left"/>
            </w:pPr>
            <w:r>
              <w:rPr>
                <w:b w:val="0"/>
                <w:sz w:val="21"/>
              </w:rPr>
              <w:t>原始批次、来源登记和质量记录</w:t>
            </w:r>
          </w:p>
        </w:tc>
        <w:tc>
          <w:tcPr>
            <w:tcW w:type="dxa" w:w="2602"/>
            <w:vAlign w:val="center"/>
          </w:tcPr>
          <w:p>
            <w:pPr>
              <w:keepNext w:val="0"/>
              <w:spacing w:line="320" w:lineRule="exact" w:after="0" w:before="0"/>
              <w:ind w:firstLine="0"/>
              <w:jc w:val="left"/>
            </w:pPr>
            <w:r>
              <w:rPr>
                <w:b w:val="0"/>
                <w:sz w:val="21"/>
              </w:rPr>
              <w:t>采集完整、来源可追溯、现场条件准确</w:t>
            </w:r>
          </w:p>
        </w:tc>
      </w:tr>
      <w:tr>
        <w:trPr>
          <w:cantSplit/>
        </w:trPr>
        <w:tc>
          <w:tcPr>
            <w:tcW w:type="dxa" w:w="1638"/>
            <w:vAlign w:val="center"/>
          </w:tcPr>
          <w:p>
            <w:pPr>
              <w:keepNext w:val="0"/>
              <w:spacing w:line="320" w:lineRule="exact" w:after="0" w:before="0"/>
              <w:ind w:firstLine="0"/>
              <w:jc w:val="left"/>
            </w:pPr>
            <w:r>
              <w:rPr>
                <w:b w:val="0"/>
                <w:sz w:val="21"/>
              </w:rPr>
              <w:t>数据标注服务</w:t>
            </w:r>
          </w:p>
        </w:tc>
        <w:tc>
          <w:tcPr>
            <w:tcW w:type="dxa" w:w="2795"/>
            <w:vAlign w:val="center"/>
          </w:tcPr>
          <w:p>
            <w:pPr>
              <w:keepNext w:val="0"/>
              <w:spacing w:line="320" w:lineRule="exact" w:after="0" w:before="0"/>
              <w:ind w:firstLine="0"/>
              <w:jc w:val="left"/>
            </w:pPr>
            <w:r>
              <w:rPr>
                <w:b w:val="0"/>
                <w:sz w:val="21"/>
              </w:rPr>
              <w:t>有效样本、标签规范和业务证据</w:t>
            </w:r>
          </w:p>
        </w:tc>
        <w:tc>
          <w:tcPr>
            <w:tcW w:type="dxa" w:w="2602"/>
            <w:vAlign w:val="center"/>
          </w:tcPr>
          <w:p>
            <w:pPr>
              <w:keepNext w:val="0"/>
              <w:spacing w:line="320" w:lineRule="exact" w:after="0" w:before="0"/>
              <w:ind w:firstLine="0"/>
              <w:jc w:val="left"/>
            </w:pPr>
            <w:r>
              <w:rPr>
                <w:b w:val="0"/>
                <w:sz w:val="21"/>
              </w:rPr>
              <w:t>标注结果、复核及争议处理记录</w:t>
            </w:r>
          </w:p>
        </w:tc>
        <w:tc>
          <w:tcPr>
            <w:tcW w:type="dxa" w:w="2602"/>
            <w:vAlign w:val="center"/>
          </w:tcPr>
          <w:p>
            <w:pPr>
              <w:keepNext w:val="0"/>
              <w:spacing w:line="320" w:lineRule="exact" w:after="0" w:before="0"/>
              <w:ind w:firstLine="0"/>
              <w:jc w:val="left"/>
            </w:pPr>
            <w:r>
              <w:rPr>
                <w:b w:val="0"/>
                <w:sz w:val="21"/>
              </w:rPr>
              <w:t>标签符合规范、专业判断有依据</w:t>
            </w:r>
          </w:p>
        </w:tc>
      </w:tr>
      <w:tr>
        <w:trPr>
          <w:cantSplit/>
        </w:trPr>
        <w:tc>
          <w:tcPr>
            <w:tcW w:type="dxa" w:w="1638"/>
            <w:vAlign w:val="center"/>
          </w:tcPr>
          <w:p>
            <w:pPr>
              <w:keepNext w:val="0"/>
              <w:spacing w:line="320" w:lineRule="exact" w:after="0" w:before="0"/>
              <w:ind w:firstLine="0"/>
              <w:jc w:val="left"/>
            </w:pPr>
            <w:r>
              <w:rPr>
                <w:b w:val="0"/>
                <w:sz w:val="21"/>
              </w:rPr>
              <w:t>模型训练服务</w:t>
            </w:r>
          </w:p>
        </w:tc>
        <w:tc>
          <w:tcPr>
            <w:tcW w:type="dxa" w:w="2795"/>
            <w:vAlign w:val="center"/>
          </w:tcPr>
          <w:p>
            <w:pPr>
              <w:keepNext w:val="0"/>
              <w:spacing w:line="320" w:lineRule="exact" w:after="0" w:before="0"/>
              <w:ind w:firstLine="0"/>
              <w:jc w:val="left"/>
            </w:pPr>
            <w:r>
              <w:rPr>
                <w:b w:val="0"/>
                <w:sz w:val="21"/>
              </w:rPr>
              <w:t>合格训练数据、基础模型许可和运行条件</w:t>
            </w:r>
          </w:p>
        </w:tc>
        <w:tc>
          <w:tcPr>
            <w:tcW w:type="dxa" w:w="2602"/>
            <w:vAlign w:val="center"/>
          </w:tcPr>
          <w:p>
            <w:pPr>
              <w:keepNext w:val="0"/>
              <w:spacing w:line="320" w:lineRule="exact" w:after="0" w:before="0"/>
              <w:ind w:firstLine="0"/>
              <w:jc w:val="left"/>
            </w:pPr>
            <w:r>
              <w:rPr>
                <w:b w:val="0"/>
                <w:sz w:val="21"/>
              </w:rPr>
              <w:t>模型版本、训练日志及评测结果</w:t>
            </w:r>
          </w:p>
        </w:tc>
        <w:tc>
          <w:tcPr>
            <w:tcW w:type="dxa" w:w="2602"/>
            <w:vAlign w:val="center"/>
          </w:tcPr>
          <w:p>
            <w:pPr>
              <w:keepNext w:val="0"/>
              <w:spacing w:line="320" w:lineRule="exact" w:after="0" w:before="0"/>
              <w:ind w:firstLine="0"/>
              <w:jc w:val="left"/>
            </w:pPr>
            <w:r>
              <w:rPr>
                <w:b w:val="0"/>
                <w:sz w:val="21"/>
              </w:rPr>
              <w:t>配置可核对、实验可复核、使用符合许可</w:t>
            </w:r>
          </w:p>
        </w:tc>
      </w:tr>
      <w:tr>
        <w:trPr>
          <w:cantSplit/>
        </w:trPr>
        <w:tc>
          <w:tcPr>
            <w:tcW w:type="dxa" w:w="1638"/>
            <w:vAlign w:val="center"/>
          </w:tcPr>
          <w:p>
            <w:pPr>
              <w:keepNext w:val="0"/>
              <w:spacing w:line="320" w:lineRule="exact" w:after="0" w:before="0"/>
              <w:ind w:firstLine="0"/>
              <w:jc w:val="left"/>
            </w:pPr>
            <w:r>
              <w:rPr>
                <w:b w:val="0"/>
                <w:sz w:val="21"/>
              </w:rPr>
              <w:t>智能体开发服务</w:t>
            </w:r>
          </w:p>
        </w:tc>
        <w:tc>
          <w:tcPr>
            <w:tcW w:type="dxa" w:w="2795"/>
            <w:vAlign w:val="center"/>
          </w:tcPr>
          <w:p>
            <w:pPr>
              <w:keepNext w:val="0"/>
              <w:spacing w:line="320" w:lineRule="exact" w:after="0" w:before="0"/>
              <w:ind w:firstLine="0"/>
              <w:jc w:val="left"/>
            </w:pPr>
            <w:r>
              <w:rPr>
                <w:b w:val="0"/>
                <w:sz w:val="21"/>
              </w:rPr>
              <w:t>业务需求、工具权限和流程约束</w:t>
            </w:r>
          </w:p>
        </w:tc>
        <w:tc>
          <w:tcPr>
            <w:tcW w:type="dxa" w:w="2602"/>
            <w:vAlign w:val="center"/>
          </w:tcPr>
          <w:p>
            <w:pPr>
              <w:keepNext w:val="0"/>
              <w:spacing w:line="320" w:lineRule="exact" w:after="0" w:before="0"/>
              <w:ind w:firstLine="0"/>
              <w:jc w:val="left"/>
            </w:pPr>
            <w:r>
              <w:rPr>
                <w:b w:val="0"/>
                <w:sz w:val="21"/>
              </w:rPr>
              <w:t>服务组件、接口、测试和运行材料</w:t>
            </w:r>
          </w:p>
        </w:tc>
        <w:tc>
          <w:tcPr>
            <w:tcW w:type="dxa" w:w="2602"/>
            <w:vAlign w:val="center"/>
          </w:tcPr>
          <w:p>
            <w:pPr>
              <w:keepNext w:val="0"/>
              <w:spacing w:line="320" w:lineRule="exact" w:after="0" w:before="0"/>
              <w:ind w:firstLine="0"/>
              <w:jc w:val="left"/>
            </w:pPr>
            <w:r>
              <w:rPr>
                <w:b w:val="0"/>
                <w:sz w:val="21"/>
              </w:rPr>
              <w:t>行为符合授权、输出可检验、异常可处理</w:t>
            </w:r>
          </w:p>
        </w:tc>
      </w:tr>
      <w:tr>
        <w:trPr>
          <w:cantSplit/>
        </w:trPr>
        <w:tc>
          <w:tcPr>
            <w:tcW w:type="dxa" w:w="1638"/>
            <w:vAlign w:val="center"/>
          </w:tcPr>
          <w:p>
            <w:pPr>
              <w:keepNext w:val="0"/>
              <w:spacing w:line="320" w:lineRule="exact" w:after="0" w:before="0"/>
              <w:ind w:firstLine="0"/>
              <w:jc w:val="left"/>
            </w:pPr>
            <w:r>
              <w:rPr>
                <w:b w:val="0"/>
                <w:sz w:val="21"/>
              </w:rPr>
              <w:t>数据集评测服务</w:t>
            </w:r>
          </w:p>
        </w:tc>
        <w:tc>
          <w:tcPr>
            <w:tcW w:type="dxa" w:w="2795"/>
            <w:vAlign w:val="center"/>
          </w:tcPr>
          <w:p>
            <w:pPr>
              <w:keepNext w:val="0"/>
              <w:spacing w:line="320" w:lineRule="exact" w:after="0" w:before="0"/>
              <w:ind w:firstLine="0"/>
              <w:jc w:val="left"/>
            </w:pPr>
            <w:r>
              <w:rPr>
                <w:b w:val="0"/>
                <w:sz w:val="21"/>
              </w:rPr>
              <w:t>冻结版本、说明文档和统一评价方案</w:t>
            </w:r>
          </w:p>
        </w:tc>
        <w:tc>
          <w:tcPr>
            <w:tcW w:type="dxa" w:w="2602"/>
            <w:vAlign w:val="center"/>
          </w:tcPr>
          <w:p>
            <w:pPr>
              <w:keepNext w:val="0"/>
              <w:spacing w:line="320" w:lineRule="exact" w:after="0" w:before="0"/>
              <w:ind w:firstLine="0"/>
              <w:jc w:val="left"/>
            </w:pPr>
            <w:r>
              <w:rPr>
                <w:b w:val="0"/>
                <w:sz w:val="21"/>
              </w:rPr>
              <w:t>指标结果、缺陷及正式报告</w:t>
            </w:r>
          </w:p>
        </w:tc>
        <w:tc>
          <w:tcPr>
            <w:tcW w:type="dxa" w:w="2602"/>
            <w:vAlign w:val="center"/>
          </w:tcPr>
          <w:p>
            <w:pPr>
              <w:keepNext w:val="0"/>
              <w:spacing w:line="320" w:lineRule="exact" w:after="0" w:before="0"/>
              <w:ind w:firstLine="0"/>
              <w:jc w:val="left"/>
            </w:pPr>
            <w:r>
              <w:rPr>
                <w:b w:val="0"/>
                <w:sz w:val="21"/>
              </w:rPr>
              <w:t>评价独立、覆盖完整、结论对应实际版本</w:t>
            </w:r>
          </w:p>
        </w:tc>
      </w:tr>
    </w:tbl>
    <w:p>
      <w:pPr>
        <w:spacing w:after="40" w:line="240" w:lineRule="auto"/>
        <w:ind w:firstLine="0"/>
      </w:pPr>
      <w:r>
        <w:rPr>
          <w:sz w:val="4"/>
        </w:rPr>
      </w:r>
    </w:p>
    <w:p>
      <w:pPr>
        <w:jc w:val="both"/>
      </w:pPr>
      <w:r>
        <w:t>服务交接使用统一清单。上游交付数据或模型时，列明对象、版本、许可、质量状态和已知限制；下游接收时核对输入条件，不满足要求的退回具体问题。交接完成与服务验收分别确认，接收成功不代表质量通过。</w:t>
      </w:r>
    </w:p>
    <w:p>
      <w:pPr>
        <w:jc w:val="both"/>
      </w:pPr>
      <w:r>
        <w:t>专业服务可以根据需求组合为定制任务，组合前核对能力依赖和责任界面。涉及数据加工、训练和智能体开发的连续任务，分别明确各阶段成果及验收条件。运营架构支持开展相应专业服务，本项目智能场景建设范围仍按招标要求执行，场景验证交付与后续另行约定的开发服务分别管理。</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5" name="Picture 5"/>
            <wp:cNvGraphicFramePr>
              <a:graphicFrameLocks noChangeAspect="1"/>
            </wp:cNvGraphicFramePr>
            <a:graphic>
              <a:graphicData uri="http://schemas.openxmlformats.org/drawingml/2006/picture">
                <pic:pic>
                  <pic:nvPicPr>
                    <pic:cNvPr id="0" name="图7_运营服务流程.png"/>
                    <pic:cNvPicPr/>
                  </pic:nvPicPr>
                  <pic:blipFill>
                    <a:blip r:embed="rId15"/>
                    <a:stretch>
                      <a:fillRect/>
                    </a:stretch>
                  </pic:blipFill>
                  <pic:spPr>
                    <a:xfrm>
                      <a:off x="0" y="0"/>
                      <a:ext cx="6048000" cy="1942338"/>
                    </a:xfrm>
                    <a:prstGeom prst="rect"/>
                  </pic:spPr>
                </pic:pic>
              </a:graphicData>
            </a:graphic>
          </wp:inline>
        </w:drawing>
      </w:r>
    </w:p>
    <w:p>
      <w:pPr>
        <w:pStyle w:val="Caption"/>
        <w:jc w:val="center"/>
      </w:pPr>
      <w:r>
        <w:t>图 7-1 专业服务组织与交付流程</w:t>
      </w:r>
    </w:p>
    <w:p>
      <w:pPr>
        <w:pStyle w:val="Heading2"/>
      </w:pPr>
      <w:r>
        <w:t>7.4 定制需求受理与方案确认</w:t>
      </w:r>
    </w:p>
    <w:p>
      <w:pPr>
        <w:jc w:val="both"/>
      </w:pPr>
      <w:r>
        <w:t>定制需求受理记录用户业务问题、目标使用方式、现有数据、环境、权限和期望成果。需求访谈形成业务任务描述及限制条件，技术人员判断数据可得性、方法可行性和所需专业资源。对于关键事实不清的需求，先通过样本分析确定边界，再形成完整服务方案。</w:t>
      </w:r>
    </w:p>
    <w:p>
      <w:pPr>
        <w:jc w:val="both"/>
      </w:pPr>
      <w:r>
        <w:t>服务方案列明工作内容、交付物、评价指标、实施安排、用户配合事项、费用和风险处理。指标区分交付完整性、质量要求和业务效果，业务效果评价明确数据条件及测试环境。方案经双方确认后进入执行，执行过程的范围变化通过变更记录管理。</w:t>
      </w:r>
    </w:p>
    <w:p>
      <w:pPr>
        <w:jc w:val="both"/>
      </w:pPr>
      <w:r>
        <w:t>定制任务建立单独的版本和权限空间，客户数据、运行日志和配置按授权隔离。需要调用公共资源时检查许可是否允许该用途，形成使用记录。输出成果交付前完成结构、功能、质量、安全和权利检查，交付文件与实际运行结果一致。</w:t>
      </w:r>
    </w:p>
    <w:p>
      <w:pPr>
        <w:pStyle w:val="Heading2"/>
      </w:pPr>
      <w:r>
        <w:t>7.5 运营组织与权责制衡</w:t>
      </w:r>
    </w:p>
    <w:p>
      <w:pPr>
        <w:jc w:val="both"/>
      </w:pPr>
      <w:r>
        <w:t>运营组织覆盖重大事项决策、专业领域把关和日常运营执行三个层级。重大事项决策承担发展方向、重要规则、重大资源与权益事项的决策；专业把关承担数据质量、技术、标准和安全审查；日常执行承担用户受理、资源维护、任务组织、交付支持和运行统计。</w:t>
      </w:r>
    </w:p>
    <w:p>
      <w:pPr>
        <w:jc w:val="both"/>
      </w:pPr>
      <w:r>
        <w:t>岗位设置依据实际工作建立职责清单，明确谁提出、谁审核、谁批准、谁执行和谁复核。数据产品创建与发布审批、服务计费配置与清算审核、权限申请与授权操作、问题修复与质量确认分别设置必要制衡。人员兼岗时检查冲突，不能通过同一账号完成相互制约的操作。</w:t>
      </w:r>
    </w:p>
    <w:p>
      <w:pPr>
        <w:jc w:val="both"/>
      </w:pPr>
      <w:r>
        <w:t>重大事项形成议题材料，列明背景、选项、依据、资源影响和拟决策内容。会议执行通知、材料提供、回避申报、讨论、表决或批准、纪要和落实跟踪流程。议事制度明确表决成员、召集人、法定或约定的审批权限及回避规则，经甲方批准后执行。常规集体议事按不少于应参会且无回避情形成员的三分之二到会组织，一人一票，赞成票超过全体有表决权成员半数方可通过；涉及重大资源配置、重要权益分配或重大运营规则调整的事项，按不少于全体有表决权成员三分之二赞成执行。回避成员不计入该事项表决基数，弃权计入基数但不计入赞成票，同票或未达到通过条件的事项补充论证后重新审议。属于甲方特定审批权限的事项按相应权限办理，超出权限的事项按程序上报。</w:t>
      </w:r>
    </w:p>
    <w:p>
      <w:pPr>
        <w:jc w:val="both"/>
      </w:pPr>
      <w:r>
        <w:t>专业事实由证据和相应专业判断形成结论。存在质量或安全异议时，记录异议内容及处理要求，必要时补充验证；管理层决策不能直接取消强制性质量或合规要求。日常执行根据已批准规则办理，重要异常及时升级，不等待例会才处置。</w:t>
      </w:r>
    </w:p>
    <w:p>
      <w:pPr>
        <w:pStyle w:val="Heading2"/>
      </w:pPr>
      <w:r>
        <w:t>7.6 日常运营执行</w:t>
      </w:r>
    </w:p>
    <w:p>
      <w:pPr>
        <w:jc w:val="both"/>
      </w:pPr>
      <w:r>
        <w:t>运营执行建立需求、数据、产品、服务、合同、问题和费用台账。每项服务能够定位当前状态、责任岗位、等待条件和下一动作。日常检查关注订单积压、数据更新、授权到期、服务异常和质量反馈，对超期事项形成原因及处理安排。</w:t>
      </w:r>
    </w:p>
    <w:p>
      <w:pPr>
        <w:jc w:val="both"/>
      </w:pPr>
      <w:r>
        <w:t>跨岗位交接明确成果和状态。例如产品审核通过后，发布岗位核对批准版本；合同生效后，授权岗位核对主体、范围和期限；交付完成后，验收岗位核对文件或接口服务；费用清算时，审核岗位核对真实履约记录。状态推进由实际事件触发，防止提前标记完成。</w:t>
      </w:r>
    </w:p>
    <w:p>
      <w:pPr>
        <w:jc w:val="both"/>
      </w:pPr>
      <w:r>
        <w:t>运营例会使用统一统计窗口，分析供需变化、产品使用、质量、成本及风险。问题决策形成责任任务，下一次会议核对执行结果。服务规则调整先评估已有合同和使用方影响，再安排配置、通知和必要的迁移。</w:t>
      </w:r>
    </w:p>
    <w:p>
      <w:pPr>
        <w:pStyle w:val="Heading1"/>
      </w:pPr>
      <w:r>
        <w:t>8 差异化服务与可持续运营机制</w:t>
      </w:r>
    </w:p>
    <w:p>
      <w:pPr>
        <w:pStyle w:val="Heading2"/>
      </w:pPr>
      <w:r>
        <w:t>8.1 用户需求分层</w:t>
      </w:r>
    </w:p>
    <w:p>
      <w:pPr>
        <w:jc w:val="both"/>
      </w:pPr>
      <w:r>
        <w:t>用户分层依据任务、数据条件、专业能力和服务深度，形成基础信息使用、标准数据产品、专业加工支持和定制研发服务等需求类型。大型制造企业重点关注多系统关联、权限和持续更新，中小企业重点关注易使用的标准资源和专业辅导，科研与技术开发用户重点关注许可明确、数据规范及验证条件。</w:t>
      </w:r>
    </w:p>
    <w:p>
      <w:pPr>
        <w:jc w:val="both"/>
      </w:pPr>
      <w:r>
        <w:t>用户需求登记到具体任务，避免仅按企业规模划分服务。相同用户可以同时使用公共服务和商业服务，两类服务的范围、权限及费用分别确认。对缺少数据治理基础的用户，先开展资源诊断和样本核查，再确定后续加工或训练服务。</w:t>
      </w:r>
    </w:p>
    <w:p>
      <w:pPr>
        <w:jc w:val="both"/>
      </w:pPr>
      <w:r>
        <w:t>需求持续通过咨询、试用、任务交付和使用反馈收集。运营岗位将高频共性需求转化为标准产品，将专业差异较大的需求保留为定制服务。产品调整依据实际使用和质量记录，不以访问量单独决定新增方向。</w:t>
      </w:r>
    </w:p>
    <w:p>
      <w:pPr>
        <w:pStyle w:val="Heading2"/>
      </w:pPr>
      <w:r>
        <w:t>8.2 公益与商业服务区分</w:t>
      </w:r>
    </w:p>
    <w:p>
      <w:pPr>
        <w:jc w:val="both"/>
      </w:pPr>
      <w:r>
        <w:t>公益性公共服务面向行业提供基础目录、规范指引、受控工具体验、知识交流和价值转化辅导等内容。每项服务明确开放范围、对象、资源额度和申请方式，公开内容先完成安全及权利检查。需要限制使用的资源采用审核和配额管理，兼顾公平可及与持续维护能力。</w:t>
      </w:r>
    </w:p>
    <w:p>
      <w:pPr>
        <w:jc w:val="both"/>
      </w:pPr>
      <w:r>
        <w:t>标准化增值服务提供经过许可和质量审核的数据产品、批量加工、专业评测和持续更新等能力。定制服务根据任务提供数据加工、标注、训练适配、智能体开发及专题验证，形成专门方案和合同。公益服务与增值服务在目录中清晰标识，申请过程中展示具体服务内容及适用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服务层次</w:t>
            </w:r>
          </w:p>
        </w:tc>
        <w:tc>
          <w:tcPr>
            <w:tcW w:type="dxa" w:w="2795"/>
            <w:vAlign w:val="center"/>
            <w:shd w:fill="EDF1F3"/>
          </w:tcPr>
          <w:p>
            <w:pPr>
              <w:keepNext/>
              <w:spacing w:line="320" w:lineRule="exact" w:after="0" w:before="0"/>
              <w:ind w:firstLine="0"/>
              <w:jc w:val="center"/>
            </w:pPr>
            <w:r>
              <w:rPr>
                <w:b/>
                <w:sz w:val="21"/>
              </w:rPr>
              <w:t>主要供给内容</w:t>
            </w:r>
          </w:p>
        </w:tc>
        <w:tc>
          <w:tcPr>
            <w:tcW w:type="dxa" w:w="2602"/>
            <w:vAlign w:val="center"/>
            <w:shd w:fill="EDF1F3"/>
          </w:tcPr>
          <w:p>
            <w:pPr>
              <w:keepNext/>
              <w:spacing w:line="320" w:lineRule="exact" w:after="0" w:before="0"/>
              <w:ind w:firstLine="0"/>
              <w:jc w:val="center"/>
            </w:pPr>
            <w:r>
              <w:rPr>
                <w:b/>
                <w:sz w:val="21"/>
              </w:rPr>
              <w:t>使用方式</w:t>
            </w:r>
          </w:p>
        </w:tc>
        <w:tc>
          <w:tcPr>
            <w:tcW w:type="dxa" w:w="2602"/>
            <w:vAlign w:val="center"/>
            <w:shd w:fill="EDF1F3"/>
          </w:tcPr>
          <w:p>
            <w:pPr>
              <w:keepNext/>
              <w:spacing w:line="320" w:lineRule="exact" w:after="0" w:before="0"/>
              <w:ind w:firstLine="0"/>
              <w:jc w:val="center"/>
            </w:pPr>
            <w:r>
              <w:rPr>
                <w:b/>
                <w:sz w:val="21"/>
              </w:rPr>
              <w:t>运营核算重点</w:t>
            </w:r>
          </w:p>
        </w:tc>
      </w:tr>
      <w:tr>
        <w:trPr>
          <w:cantSplit/>
        </w:trPr>
        <w:tc>
          <w:tcPr>
            <w:tcW w:type="dxa" w:w="1638"/>
            <w:vAlign w:val="center"/>
          </w:tcPr>
          <w:p>
            <w:pPr>
              <w:keepNext w:val="0"/>
              <w:spacing w:line="320" w:lineRule="exact" w:after="0" w:before="0"/>
              <w:ind w:firstLine="0"/>
              <w:jc w:val="left"/>
            </w:pPr>
            <w:r>
              <w:rPr>
                <w:b w:val="0"/>
                <w:sz w:val="21"/>
              </w:rPr>
              <w:t>公益性公共服务</w:t>
            </w:r>
          </w:p>
        </w:tc>
        <w:tc>
          <w:tcPr>
            <w:tcW w:type="dxa" w:w="2795"/>
            <w:vAlign w:val="center"/>
          </w:tcPr>
          <w:p>
            <w:pPr>
              <w:keepNext w:val="0"/>
              <w:spacing w:line="320" w:lineRule="exact" w:after="0" w:before="0"/>
              <w:ind w:firstLine="0"/>
              <w:jc w:val="left"/>
            </w:pPr>
            <w:r>
              <w:rPr>
                <w:b w:val="0"/>
                <w:sz w:val="21"/>
              </w:rPr>
              <w:t>基础目录、标准知识、使用指导和开放交流</w:t>
            </w:r>
          </w:p>
        </w:tc>
        <w:tc>
          <w:tcPr>
            <w:tcW w:type="dxa" w:w="2602"/>
            <w:vAlign w:val="center"/>
          </w:tcPr>
          <w:p>
            <w:pPr>
              <w:keepNext w:val="0"/>
              <w:spacing w:line="320" w:lineRule="exact" w:after="0" w:before="0"/>
              <w:ind w:firstLine="0"/>
              <w:jc w:val="left"/>
            </w:pPr>
            <w:r>
              <w:rPr>
                <w:b w:val="0"/>
                <w:sz w:val="21"/>
              </w:rPr>
              <w:t>公开访问或经审核使用</w:t>
            </w:r>
          </w:p>
        </w:tc>
        <w:tc>
          <w:tcPr>
            <w:tcW w:type="dxa" w:w="2602"/>
            <w:vAlign w:val="center"/>
          </w:tcPr>
          <w:p>
            <w:pPr>
              <w:keepNext w:val="0"/>
              <w:spacing w:line="320" w:lineRule="exact" w:after="0" w:before="0"/>
              <w:ind w:firstLine="0"/>
              <w:jc w:val="left"/>
            </w:pPr>
            <w:r>
              <w:rPr>
                <w:b w:val="0"/>
                <w:sz w:val="21"/>
              </w:rPr>
              <w:t>公共服务投入、受益覆盖及服务质量</w:t>
            </w:r>
          </w:p>
        </w:tc>
      </w:tr>
      <w:tr>
        <w:trPr>
          <w:cantSplit/>
        </w:trPr>
        <w:tc>
          <w:tcPr>
            <w:tcW w:type="dxa" w:w="1638"/>
            <w:vAlign w:val="center"/>
          </w:tcPr>
          <w:p>
            <w:pPr>
              <w:keepNext w:val="0"/>
              <w:spacing w:line="320" w:lineRule="exact" w:after="0" w:before="0"/>
              <w:ind w:firstLine="0"/>
              <w:jc w:val="left"/>
            </w:pPr>
            <w:r>
              <w:rPr>
                <w:b w:val="0"/>
                <w:sz w:val="21"/>
              </w:rPr>
              <w:t>标准数据产品</w:t>
            </w:r>
          </w:p>
        </w:tc>
        <w:tc>
          <w:tcPr>
            <w:tcW w:type="dxa" w:w="2795"/>
            <w:vAlign w:val="center"/>
          </w:tcPr>
          <w:p>
            <w:pPr>
              <w:keepNext w:val="0"/>
              <w:spacing w:line="320" w:lineRule="exact" w:after="0" w:before="0"/>
              <w:ind w:firstLine="0"/>
              <w:jc w:val="left"/>
            </w:pPr>
            <w:r>
              <w:rPr>
                <w:b w:val="0"/>
                <w:sz w:val="21"/>
              </w:rPr>
              <w:t>固定版本、授权样本包、持续更新订阅</w:t>
            </w:r>
          </w:p>
        </w:tc>
        <w:tc>
          <w:tcPr>
            <w:tcW w:type="dxa" w:w="2602"/>
            <w:vAlign w:val="center"/>
          </w:tcPr>
          <w:p>
            <w:pPr>
              <w:keepNext w:val="0"/>
              <w:spacing w:line="320" w:lineRule="exact" w:after="0" w:before="0"/>
              <w:ind w:firstLine="0"/>
              <w:jc w:val="left"/>
            </w:pPr>
            <w:r>
              <w:rPr>
                <w:b w:val="0"/>
                <w:sz w:val="21"/>
              </w:rPr>
              <w:t>下载、接口或约定交付</w:t>
            </w:r>
          </w:p>
        </w:tc>
        <w:tc>
          <w:tcPr>
            <w:tcW w:type="dxa" w:w="2602"/>
            <w:vAlign w:val="center"/>
          </w:tcPr>
          <w:p>
            <w:pPr>
              <w:keepNext w:val="0"/>
              <w:spacing w:line="320" w:lineRule="exact" w:after="0" w:before="0"/>
              <w:ind w:firstLine="0"/>
              <w:jc w:val="left"/>
            </w:pPr>
            <w:r>
              <w:rPr>
                <w:b w:val="0"/>
                <w:sz w:val="21"/>
              </w:rPr>
              <w:t>产品维护成本、授权范围及实际交付</w:t>
            </w:r>
          </w:p>
        </w:tc>
      </w:tr>
      <w:tr>
        <w:trPr>
          <w:cantSplit/>
        </w:trPr>
        <w:tc>
          <w:tcPr>
            <w:tcW w:type="dxa" w:w="1638"/>
            <w:vAlign w:val="center"/>
          </w:tcPr>
          <w:p>
            <w:pPr>
              <w:keepNext w:val="0"/>
              <w:spacing w:line="320" w:lineRule="exact" w:after="0" w:before="0"/>
              <w:ind w:firstLine="0"/>
              <w:jc w:val="left"/>
            </w:pPr>
            <w:r>
              <w:rPr>
                <w:b w:val="0"/>
                <w:sz w:val="21"/>
              </w:rPr>
              <w:t>专业增值服务</w:t>
            </w:r>
          </w:p>
        </w:tc>
        <w:tc>
          <w:tcPr>
            <w:tcW w:type="dxa" w:w="2795"/>
            <w:vAlign w:val="center"/>
          </w:tcPr>
          <w:p>
            <w:pPr>
              <w:keepNext w:val="0"/>
              <w:spacing w:line="320" w:lineRule="exact" w:after="0" w:before="0"/>
              <w:ind w:firstLine="0"/>
              <w:jc w:val="left"/>
            </w:pPr>
            <w:r>
              <w:rPr>
                <w:b w:val="0"/>
                <w:sz w:val="21"/>
              </w:rPr>
              <w:t>解析、标注、质量检查和模型验证</w:t>
            </w:r>
          </w:p>
        </w:tc>
        <w:tc>
          <w:tcPr>
            <w:tcW w:type="dxa" w:w="2602"/>
            <w:vAlign w:val="center"/>
          </w:tcPr>
          <w:p>
            <w:pPr>
              <w:keepNext w:val="0"/>
              <w:spacing w:line="320" w:lineRule="exact" w:after="0" w:before="0"/>
              <w:ind w:firstLine="0"/>
              <w:jc w:val="left"/>
            </w:pPr>
            <w:r>
              <w:rPr>
                <w:b w:val="0"/>
                <w:sz w:val="21"/>
              </w:rPr>
              <w:t>按任务或服务量提供</w:t>
            </w:r>
          </w:p>
        </w:tc>
        <w:tc>
          <w:tcPr>
            <w:tcW w:type="dxa" w:w="2602"/>
            <w:vAlign w:val="center"/>
          </w:tcPr>
          <w:p>
            <w:pPr>
              <w:keepNext w:val="0"/>
              <w:spacing w:line="320" w:lineRule="exact" w:after="0" w:before="0"/>
              <w:ind w:firstLine="0"/>
              <w:jc w:val="left"/>
            </w:pPr>
            <w:r>
              <w:rPr>
                <w:b w:val="0"/>
                <w:sz w:val="21"/>
              </w:rPr>
              <w:t>有效工作量、返工和质量确认</w:t>
            </w:r>
          </w:p>
        </w:tc>
      </w:tr>
      <w:tr>
        <w:trPr>
          <w:cantSplit/>
        </w:trPr>
        <w:tc>
          <w:tcPr>
            <w:tcW w:type="dxa" w:w="1638"/>
            <w:vAlign w:val="center"/>
          </w:tcPr>
          <w:p>
            <w:pPr>
              <w:keepNext w:val="0"/>
              <w:spacing w:line="320" w:lineRule="exact" w:after="0" w:before="0"/>
              <w:ind w:firstLine="0"/>
              <w:jc w:val="left"/>
            </w:pPr>
            <w:r>
              <w:rPr>
                <w:b w:val="0"/>
                <w:sz w:val="21"/>
              </w:rPr>
              <w:t>定制服务</w:t>
            </w:r>
          </w:p>
        </w:tc>
        <w:tc>
          <w:tcPr>
            <w:tcW w:type="dxa" w:w="2795"/>
            <w:vAlign w:val="center"/>
          </w:tcPr>
          <w:p>
            <w:pPr>
              <w:keepNext w:val="0"/>
              <w:spacing w:line="320" w:lineRule="exact" w:after="0" w:before="0"/>
              <w:ind w:firstLine="0"/>
              <w:jc w:val="left"/>
            </w:pPr>
            <w:r>
              <w:rPr>
                <w:b w:val="0"/>
                <w:sz w:val="21"/>
              </w:rPr>
              <w:t>专题数据建设、训练适配和智能体开发</w:t>
            </w:r>
          </w:p>
        </w:tc>
        <w:tc>
          <w:tcPr>
            <w:tcW w:type="dxa" w:w="2602"/>
            <w:vAlign w:val="center"/>
          </w:tcPr>
          <w:p>
            <w:pPr>
              <w:keepNext w:val="0"/>
              <w:spacing w:line="320" w:lineRule="exact" w:after="0" w:before="0"/>
              <w:ind w:firstLine="0"/>
              <w:jc w:val="left"/>
            </w:pPr>
            <w:r>
              <w:rPr>
                <w:b w:val="0"/>
                <w:sz w:val="21"/>
              </w:rPr>
              <w:t>方案及合同约定</w:t>
            </w:r>
          </w:p>
        </w:tc>
        <w:tc>
          <w:tcPr>
            <w:tcW w:type="dxa" w:w="2602"/>
            <w:vAlign w:val="center"/>
          </w:tcPr>
          <w:p>
            <w:pPr>
              <w:keepNext w:val="0"/>
              <w:spacing w:line="320" w:lineRule="exact" w:after="0" w:before="0"/>
              <w:ind w:firstLine="0"/>
              <w:jc w:val="left"/>
            </w:pPr>
            <w:r>
              <w:rPr>
                <w:b w:val="0"/>
                <w:sz w:val="21"/>
              </w:rPr>
              <w:t>项目成本、阶段验收及变更影响</w:t>
            </w:r>
          </w:p>
        </w:tc>
      </w:tr>
    </w:tbl>
    <w:p>
      <w:pPr>
        <w:spacing w:after="40" w:line="240" w:lineRule="auto"/>
        <w:ind w:firstLine="0"/>
      </w:pPr>
      <w:r>
        <w:rPr>
          <w:sz w:val="4"/>
        </w:rPr>
      </w:r>
    </w:p>
    <w:p>
      <w:pPr>
        <w:pStyle w:val="Heading2"/>
      </w:pPr>
      <w:r>
        <w:t>8.3 服务计费与成本核算</w:t>
      </w:r>
    </w:p>
    <w:p>
      <w:pPr>
        <w:jc w:val="both"/>
      </w:pPr>
      <w:r>
        <w:t>计费规则与服务对象匹配。固定数据产品按版本、许可范围和使用期限核算；接口服务按有效调用、配额或订阅周期核算；加工和标注服务按经确认的有效样本、专业难度及复核要求核算；训练和验证服务根据任务、资源和交付要求核算；定制开发按照工作范围和阶段成果核算。</w:t>
      </w:r>
    </w:p>
    <w:p>
      <w:pPr>
        <w:jc w:val="both"/>
      </w:pPr>
      <w:r>
        <w:t>计量明确成功、失败、重试、重复和取消请求的处理。系统故障造成的无效调用与正常成功服务分别记录，重复回调不重复计量。复杂任务在执行前确认工作量估算和变更规则，实施中发现输入质量不足时按约定调整，不通过隐性减少复核降低成本。</w:t>
      </w:r>
    </w:p>
    <w:p>
      <w:pPr>
        <w:jc w:val="both"/>
      </w:pPr>
      <w:r>
        <w:t>成本包括来源获取、数据处理、专业复核、计算存储、质量评测、安全管理、产品维护和用户支持。可直接归集的成本按任务记录，共享能力成本按经批准方法分摊。费用台账与服务版本和履约记录关联，能够解释单位服务成本的变化。</w:t>
      </w:r>
    </w:p>
    <w:p>
      <w:pPr>
        <w:jc w:val="both"/>
      </w:pPr>
      <w:r>
        <w:t>定价方案综合用户需求、质量等级、交付方式、更新责任和资源成本，经授权审批后发布。价格和折扣配置与审批记录绑定，历史订单保留当时适用规则。公益支持额度、商业折扣和合作权益分别管理，避免无法核实的口头承诺进入交付。</w:t>
      </w:r>
    </w:p>
    <w:p>
      <w:pPr>
        <w:pStyle w:val="Heading2"/>
      </w:pPr>
      <w:r>
        <w:t>8.4 营收目标分解与价值分配</w:t>
      </w:r>
    </w:p>
    <w:p>
      <w:pPr>
        <w:jc w:val="both"/>
      </w:pPr>
      <w:r>
        <w:t>营收目标依据经核实的服务需求、可用产品、交付能力和成本结构形成，按产品、用户类型、服务方式和期间分解。计划同时列明销售机会、需求确认、合同、交付及回款状态，区分预期需求与已实现收入。重大假设变化时调整预测并保留依据。</w:t>
      </w:r>
    </w:p>
    <w:p>
      <w:pPr>
        <w:jc w:val="both"/>
      </w:pPr>
      <w:r>
        <w:t>价值分配依据各主体的合法权利、有效贡献、持续维护责任和合同约定确定。数据供给、加工、标注、评测和运营服务分别记录贡献，分配规则与相应服务产品绑定。权利尚未明确的成果先完成确认，不能仅凭数据量比例自动生成收益归属。</w:t>
      </w:r>
    </w:p>
    <w:p>
      <w:pPr>
        <w:jc w:val="both"/>
      </w:pPr>
      <w:r>
        <w:t>清算前核对合同、订单、交付、使用和收款记录，差异形成待处理清单。清算规则的版本、生效时间和参与主体明确，规则调整不追溯改变已经确认的历史结算，确需调整时按正式程序执行。审核通过后形成可复核的清算报表和凭证。</w:t>
      </w:r>
    </w:p>
    <w:p>
      <w:pPr>
        <w:pStyle w:val="Heading2"/>
      </w:pPr>
      <w:r>
        <w:t>8.5 以服务养服务的运行机制</w:t>
      </w:r>
    </w:p>
    <w:p>
      <w:pPr>
        <w:jc w:val="both"/>
      </w:pPr>
      <w:r>
        <w:t>运营投入优先保障数据更新、质量维护、安全控制和公共服务的基本运行，再根据实际需求扩展服务能力。商业服务形成的可支配资源按批准计划支持产品维护、工具改进和行业公共服务，资金用途与责任形成记录。</w:t>
      </w:r>
    </w:p>
    <w:p>
      <w:pPr>
        <w:jc w:val="both"/>
      </w:pPr>
      <w:r>
        <w:t>定期比较服务收入、成本、维护负担和用户价值。对使用稳定且更新需求明确的产品安排持续供给，对质量维护成本过高或需求下降的产品评估调整方式。公共服务效果通过覆盖、有效使用和问题解决情况评价，不能只用商业收入衡量。</w:t>
      </w:r>
    </w:p>
    <w:p>
      <w:pPr>
        <w:jc w:val="both"/>
      </w:pPr>
      <w:r>
        <w:t>运行报告同时列明资源缺口和改进任务，例如高频人工复核导致成本上升、数据更新中断影响订阅服务、重复调用增加资源占用等。通过工艺优化、服务分层和合理配额改善效率，质量、安全和授权要求保持落实。</w:t>
      </w:r>
    </w:p>
    <w:p>
      <w:pPr>
        <w:pStyle w:val="Heading2"/>
      </w:pPr>
      <w:r>
        <w:t>8.6 服务质量与争议处理</w:t>
      </w:r>
    </w:p>
    <w:p>
      <w:pPr>
        <w:jc w:val="both"/>
      </w:pPr>
      <w:r>
        <w:t>服务目录为各类产品明确可用范围、响应要求、交付标准和支持方式。监控覆盖接口、下载、后台任务、数据库、存储和身份服务，记录成功率、响应时间、错误和恢复情况。统计方法规定时间窗口及异常认定，平均值与高延迟、失败情况共同展示。</w:t>
      </w:r>
    </w:p>
    <w:p>
      <w:pPr>
        <w:jc w:val="both"/>
      </w:pPr>
      <w:r>
        <w:t>用户争议按内容质量、授权范围、交付完整、费用和时效分别受理。处理人员调取合同、版本、请求、交付及确认记录，形成事实核查和解决方案。涉及退款或费用调整时按批准权限办理，技术人员的临时答复不直接改变合同条件。</w:t>
      </w:r>
    </w:p>
    <w:p>
      <w:pPr>
        <w:jc w:val="both"/>
      </w:pPr>
      <w:r>
        <w:t>问题关闭前确认实际服务恢复或交付满足约定，并保留用户确认和复核结果。重复问题进入根因分析，修订产品、规则或支持材料。重大问题的处置情况纳入运营评价及下一阶段维护计划。</w:t>
      </w:r>
    </w:p>
    <w:p>
      <w:pPr>
        <w:pStyle w:val="Heading1"/>
      </w:pPr>
      <w:r>
        <w:t>9 公共服务内容体系</w:t>
      </w:r>
    </w:p>
    <w:p>
      <w:pPr>
        <w:pStyle w:val="Heading2"/>
      </w:pPr>
      <w:r>
        <w:t>9.1 数据资源供给服务</w:t>
      </w:r>
    </w:p>
    <w:p>
      <w:pPr>
        <w:jc w:val="both"/>
      </w:pPr>
      <w:r>
        <w:t>公共数据资源供给建立基础目录，展示可公开的资源主题、模态、覆盖范围、更新周期、质量和申请方式。展示内容与实际权限对应，受控资源可以提供经审核的摘要或脱敏样例，敏感数据的存在性信息也按照分类分级要求管理。</w:t>
      </w:r>
    </w:p>
    <w:p>
      <w:pPr>
        <w:jc w:val="both"/>
      </w:pPr>
      <w:r>
        <w:t>围绕矿山装备制造共性任务提供规范化资源入口，支持按产品、工艺、设备、质量和业务用途检索。数据集卡片说明适用条件、结构及限制，用户能够判断是否满足需求。申请通过后，交付明确版本及授权范围，后续更新采用订阅或通知机制。</w:t>
      </w:r>
    </w:p>
    <w:p>
      <w:pPr>
        <w:jc w:val="both"/>
      </w:pPr>
      <w:r>
        <w:t>公共资源定期核查链接、文件和说明资料的有效性。失效资源标识原因及替代方式，历史使用记录保留。用户发现错误时可提交对象和证据，运营岗位组织核查并反馈处理结果。</w:t>
      </w:r>
    </w:p>
    <w:p>
      <w:pPr>
        <w:pStyle w:val="Heading2"/>
      </w:pPr>
      <w:r>
        <w:t>9.2 技术工具能力服务</w:t>
      </w:r>
    </w:p>
    <w:p>
      <w:pPr>
        <w:jc w:val="both"/>
      </w:pPr>
      <w:r>
        <w:t>技术工具服务面向行业输出经过验证的解析、清洗、标注、质量检查和评测能力。按用户任务提供受控操作入口、接口或辅导，明确输入限制、资源配额、输出格式和服务边界。工具使用不自动扩大用户对输入数据的处理权利。</w:t>
      </w:r>
    </w:p>
    <w:p>
      <w:pPr>
        <w:jc w:val="both"/>
      </w:pPr>
      <w:r>
        <w:t>公共体验采用可公开或经过授权的示例数据，真实业务数据进入服务前完成来源和敏感性检查。执行环境按用户隔离，输出经过必要的权限及内容检查。工具版本更新保留变更内容、适用范围及兼容性信息，用户能够识别结果所用版本。</w:t>
      </w:r>
    </w:p>
    <w:p>
      <w:pPr>
        <w:jc w:val="both"/>
      </w:pPr>
      <w:r>
        <w:t>工具服务配套操作手册、样例和常见问题。培训重点包括输入准备、错误理解、结果复核和使用限制，帮助用户正确判断工具产出。工具不可用或结果异常时提供明确状态和问题入口，避免用户将空结果当作业务结论。</w:t>
      </w:r>
    </w:p>
    <w:p>
      <w:pPr>
        <w:pStyle w:val="Heading2"/>
      </w:pPr>
      <w:r>
        <w:t>9.3 知识与专业支持服务</w:t>
      </w:r>
    </w:p>
    <w:p>
      <w:pPr>
        <w:jc w:val="both"/>
      </w:pPr>
      <w:r>
        <w:t>知识服务提供行业术语、标准规范、数据治理方法和典型案例等内容，采用分层授权和版本管理。专业咨询围绕具体问题受理，匹配专家领域，形成有依据的书面意见。咨询结论明确适用条件，涉及生产安全、工艺批准或合同决策的事项由相应责任主体按管理程序确认。</w:t>
      </w:r>
    </w:p>
    <w:p>
      <w:pPr>
        <w:jc w:val="both"/>
      </w:pPr>
      <w:r>
        <w:t>组织专题培训、标准交流和问题研讨，将专家库中的成熟方法转化为可使用的培训材料。每次活动明确对象、议题、材料和成果，收集问题并跟踪改进。公开交流前审查材料，案例脱敏及成果许可满足要求后使用。</w:t>
      </w:r>
    </w:p>
    <w:p>
      <w:pPr>
        <w:pStyle w:val="Heading2"/>
      </w:pPr>
      <w:r>
        <w:t>9.4 价值转化支持服务</w:t>
      </w:r>
    </w:p>
    <w:p>
      <w:pPr>
        <w:jc w:val="both"/>
      </w:pPr>
      <w:r>
        <w:t>价值转化服务覆盖资源诊断、质量准备、权利核查、产品化、登记、展示和供需对接。对拟进入流通的数据，先检查来源、结构、质量及使用条件，形成改进任务；达到条件后组织产品资料和相应登记材料。登记结果与产品版本及权利台账关联。</w:t>
      </w:r>
    </w:p>
    <w:p>
      <w:pPr>
        <w:jc w:val="both"/>
      </w:pPr>
      <w:r>
        <w:t>供需对接使用经过审核的产品描述和服务能力资料，明确样例、适用场景、质量状态和交付方式。合作意向转为具体任务前完成授权和合同约定。价值评价结合使用需求、质量、时效、权利限制和维护成本，评价结果记录方法和假设，不将估算直接表述为已实现收入。</w:t>
      </w:r>
    </w:p>
    <w:p>
      <w:pPr>
        <w:jc w:val="both"/>
      </w:pPr>
      <w:r>
        <w:t>公共服务运行建立服务清单、受理记录、资源使用、效果反馈和改进台账。公益导向体现在开放规则、公平使用及持续支持，专业能力通过实际服务任务输出，协作成果按许可范围共享，形成行业用户可持续参与的运行方式。</w:t>
      </w:r>
    </w:p>
    <w:p>
      <w:pPr>
        <w:pStyle w:val="Heading1"/>
      </w:pPr>
      <w:r>
        <w:t>10 国家数据基础设施接入机制</w:t>
      </w:r>
    </w:p>
    <w:p>
      <w:pPr>
        <w:pStyle w:val="Heading2"/>
      </w:pPr>
      <w:r>
        <w:t>10.1 接入对象与实施准备</w:t>
      </w:r>
    </w:p>
    <w:p>
      <w:pPr>
        <w:jc w:val="both"/>
      </w:pPr>
      <w:r>
        <w:t>接入对象包括本平台生成的数据集和矿山装备制造行业用户自有数据集。两类对象采用统一登记流程，分别保留来源、权利和质量责任。行业用户自有数据集接入前完成材料核验及质量检查，未经授权的数据不因由平台代理接入而获得流通资格。</w:t>
      </w:r>
    </w:p>
    <w:p>
      <w:pPr>
        <w:jc w:val="both"/>
      </w:pPr>
      <w:r>
        <w:t>我方制定接入技术方案并组织实施，优先采用成熟技术和产品，完成必要的接口适配、开发、联调与验证。方案明确接入对象、目录映射、身份、授权、交换方式、审计、异常处理和运行责任，按照对接环境实际提供的规范和能力落实。</w:t>
      </w:r>
    </w:p>
    <w:p>
      <w:pPr>
        <w:jc w:val="both"/>
      </w:pPr>
      <w:r>
        <w:t>接入准备形成技术条件清单，核对网络、证书、账号、接口文档、测试环境和审批条件。对依赖外部开通的事项，明确责任接口和计划，提前完成本地开发及测试。接入工作以实际注册、调用、交付及验证记录确认完成，不以预留接口代替实施。</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10_基础设施接入.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 10-1 国家数据基础设施接入流程</w:t>
      </w:r>
    </w:p>
    <w:p>
      <w:pPr>
        <w:pStyle w:val="Heading2"/>
      </w:pPr>
      <w:r>
        <w:t>10.2 目录标识与元数据映射</w:t>
      </w:r>
    </w:p>
    <w:p>
      <w:pPr>
        <w:jc w:val="both"/>
      </w:pPr>
      <w:r>
        <w:t>本地目录与外部目录建立字段映射，核对数据集名称、标识、提供主体、来源、主题、模态、规模、更新时间、质量、许可和交付方式。必填字段完整，枚举和单位按对接规范转换。原始值与映射值保留对应，转换规则纳入版本管理。</w:t>
      </w:r>
    </w:p>
    <w:p>
      <w:pPr>
        <w:jc w:val="both"/>
      </w:pPr>
      <w:r>
        <w:t>数据集标识关联本地产品及正式版本，外部登记返回的标识和状态保存到运营台账。重复提交通过业务标识和请求编号识别，避免产生多个无法对应的登记对象。登记信息发生变化时按规则更新，并保存请求、响应及生效时间。</w:t>
      </w:r>
    </w:p>
    <w:p>
      <w:pPr>
        <w:jc w:val="both"/>
      </w:pPr>
      <w:r>
        <w:t>目录展示按授权范围提供信息，敏感字段和受控资源不在公共目录暴露。元数据与实际数据包定期核对，版本下架、授权到期和质量状态变化同步传递。同步失败进入重试和人工处置队列，未确认成功的状态不提前标记完成。</w:t>
      </w:r>
    </w:p>
    <w:p>
      <w:pPr>
        <w:pStyle w:val="Heading2"/>
      </w:pPr>
      <w:r>
        <w:t>10.3 身份认证与授权执行</w:t>
      </w:r>
    </w:p>
    <w:p>
      <w:pPr>
        <w:jc w:val="both"/>
      </w:pPr>
      <w:r>
        <w:t>接入身份按照外部规范完成注册、认证及必要的证书管理，账号与实际主体和使用角色对应。证书、接口密钥和授权凭据独立保管，轮换、停用和恢复执行审批。测试和生产环境分别配置，测试凭据不进入正式服务。</w:t>
      </w:r>
    </w:p>
    <w:p>
      <w:pPr>
        <w:jc w:val="both"/>
      </w:pPr>
      <w:r>
        <w:t>授权核验贯穿申请、交付和使用。平台核查申请主体、用途、对象范围、期限和附加限制，授权结果关联合同或批准记录。下载、接口和任务式使用分别执行相应控制，授权撤回后及时停止新增服务，并按约定处理已交付对象。</w:t>
      </w:r>
    </w:p>
    <w:p>
      <w:pPr>
        <w:jc w:val="both"/>
      </w:pPr>
      <w:r>
        <w:t>跨平台授权信息保持一致，外部状态变化经过验证后同步本地权限。异常状态或认证失败时停止敏感操作并告警，不能通过临时关闭校验恢复服务。恢复后核查任务、凭据和目录状态的一致性。</w:t>
      </w:r>
    </w:p>
    <w:p>
      <w:pPr>
        <w:pStyle w:val="Heading2"/>
      </w:pPr>
      <w:r>
        <w:t>10.4 可信交付与过程审计</w:t>
      </w:r>
    </w:p>
    <w:p>
      <w:pPr>
        <w:jc w:val="both"/>
      </w:pPr>
      <w:r>
        <w:t>数据交付绑定正式版本、文件清单、摘要、许可和质量资料。下载交付支持完整性校验及受控续传，接口交付记录请求对象和返回状态，任务交付记录输入范围、执行配置和输出检查。接收方能够核验实际内容是否与获批对象一致。</w:t>
      </w:r>
    </w:p>
    <w:p>
      <w:pPr>
        <w:jc w:val="both"/>
      </w:pPr>
      <w:r>
        <w:t>交付日志记录主体、对象、动作、时间、授权依据和处理结果，必要时关联签名及校验信息。日志避免写入完整敏感内容，审计访问本身也受权限控制。跨平台争议能够依据请求和交付编号关联两侧记录。</w:t>
      </w:r>
    </w:p>
    <w:p>
      <w:pPr>
        <w:jc w:val="both"/>
      </w:pPr>
      <w:r>
        <w:t>对超时和断网设置幂等及恢复规则。重试前核查外部处理状态，避免重复登记、重复交付或重复计量；发生内容摘要不一致时暂停使用并重新核验。异常处理完成后补齐结果记录，保持业务状态和审计状态一致。</w:t>
      </w:r>
    </w:p>
    <w:p>
      <w:pPr>
        <w:pStyle w:val="Heading2"/>
      </w:pPr>
      <w:r>
        <w:t>10.5 流通运营与资产化支撑</w:t>
      </w:r>
    </w:p>
    <w:p>
      <w:pPr>
        <w:jc w:val="both"/>
      </w:pPr>
      <w:r>
        <w:t>接入后形成资源登记、产品展示、授权申请、交付使用和反馈更新的持续运行机制。外部需求反馈进入平台运营任务，数据修订和授权变化通过统一版本发布。跨平台服务的质量、使用和费用信息按接口能力及约定范围对账。</w:t>
      </w:r>
    </w:p>
    <w:p>
      <w:pPr>
        <w:jc w:val="both"/>
      </w:pPr>
      <w:r>
        <w:t>资产化运营支撑包括目录、权利、质量、版本、使用及价值评价资料的完整管理，并根据适用规则提供登记和运营所需证据。具体权利、会计处理及交易条件由相应责任主体依据适用要求确认，平台保存经批准的结果及依据。技术接入与价值实现分别核验，不能以目录登记代替实际服务成效。</w:t>
      </w:r>
    </w:p>
    <w:p>
      <w:pPr>
        <w:pStyle w:val="Heading2"/>
      </w:pPr>
      <w:r>
        <w:t>10.6 接入验证与运行移交</w:t>
      </w:r>
    </w:p>
    <w:p>
      <w:pPr>
        <w:jc w:val="both"/>
      </w:pPr>
      <w:r>
        <w:t>接入测试覆盖两类数据集的注册、目录发布、授权申请、受控交付、增量更新、撤权、下架、异常恢复及审计查询。测试记录包含环境、输入、请求、返回和判断结果，存在问题时修复并复测。业务人员参与核验目录含义、授权范围和实际交付内容。</w:t>
      </w:r>
    </w:p>
    <w:p>
      <w:pPr>
        <w:jc w:val="both"/>
      </w:pPr>
      <w:r>
        <w:t>运行移交提供接入方案、映射规则、接口及配置、测试报告、账号证书管理要求、监控和应急流程。运维人员在受控环境完成代表性操作，验证能够定位失败原因和恢复服务。外部接口变更纳入持续跟踪，变更前评估影响并完成兼容性验证。</w:t>
      </w:r>
    </w:p>
    <w:p>
      <w:pPr>
        <w:pStyle w:val="Heading1"/>
      </w:pPr>
      <w:r>
        <w:t>11 软建设总体实施</w:t>
      </w:r>
    </w:p>
    <w:p>
      <w:pPr>
        <w:pStyle w:val="Heading2"/>
      </w:pPr>
      <w:r>
        <w:t>11.1 配套成果组织</w:t>
      </w:r>
    </w:p>
    <w:p>
      <w:pPr>
        <w:jc w:val="both"/>
      </w:pPr>
      <w:r>
        <w:t>我方围绕政策体系、政策规划、体制机制、标准规范和人才队伍组织软建设，形成配套文件、措施和运行机制。软建设与平台及数据生产同步实施，制度规定落实到任务、权限、质量检查和交付流程，执行结果用于检验文件的完整性和可操作性。</w:t>
      </w:r>
    </w:p>
    <w:p>
      <w:pPr>
        <w:jc w:val="both"/>
      </w:pPr>
      <w:r>
        <w:t>政策体系梳理覆盖25个相关文件；政策规划完整交付1份中长期发展规划、4项专项实施方案、1套制度体系、1套政策落地动态调整机制和1份年度政策符合性评估报告；体制机制建设覆盖五级组织责任体系、跨主体协同汇聚、全周期管理、绩效考核与激励、能力复用五项机制；标准规范建设包括牵头制定2项关键行业标准、构建包含18项细分标准的五位一体标准体系，以及制定6项项目实施技术规范；人才队伍建设形成不少于50人的六领域专家库。</w:t>
      </w:r>
    </w:p>
    <w:p>
      <w:pPr>
        <w:jc w:val="both"/>
      </w:pPr>
      <w:r>
        <w:t>各类成果建立独立目录和交付清单，按招标规定的具体内容逐项验收。专家库管理机制与软建设中的人才队伍成果建立关联，专家人员数量按唯一身份统计。标准文本、管理办法、实施方案及配套记录分别归档，配套表单和多种文件格式不重复计为独立实质成果。</w:t>
      </w:r>
    </w:p>
    <w:p>
      <w:pPr>
        <w:pStyle w:val="Heading2"/>
      </w:pPr>
      <w:r>
        <w:t>11.2 制定与执行的衔接</w:t>
      </w:r>
    </w:p>
    <w:p>
      <w:pPr>
        <w:jc w:val="both"/>
      </w:pPr>
      <w:r>
        <w:t>文件编制从实际业务动作出发，先确定适用对象、责任岗位、触发条件、处理步骤和完成标准，再形成制度条款。涉及多个部门或参与主体的，核对输入输出及交接责任。对平台能够实现的控制形成配置要求，对需要人工判断的事项设置审批及记录。</w:t>
      </w:r>
    </w:p>
    <w:p>
      <w:pPr>
        <w:jc w:val="both"/>
      </w:pPr>
      <w:r>
        <w:t>文件初稿通过业务和技术评审后开展试运行。试运行选择代表性任务，检查人员能否按规定完成操作、材料能否准备、审批权限是否清楚、异常情况是否有处理路径。问题形成修订记录，正式发布前确认关键问题已经解决。</w:t>
      </w:r>
    </w:p>
    <w:p>
      <w:pPr>
        <w:jc w:val="both"/>
      </w:pPr>
      <w:r>
        <w:t>正式文件标明版本、批准状态、生效日期、适用范围和责任岗位。原版本保留历史查询，日常操作入口默认展示有效版本。文件变更同步评估平台配置、数据处理规则、培训和已有成果的影响，避免制度更新后实际流程继续使用旧口径。</w:t>
      </w:r>
    </w:p>
    <w:p>
      <w:pPr>
        <w:pStyle w:val="Heading1"/>
      </w:pPr>
      <w:r>
        <w:t>12 政策体系梳理与适用性管理</w:t>
      </w:r>
    </w:p>
    <w:p>
      <w:pPr>
        <w:pStyle w:val="Heading2"/>
      </w:pPr>
      <w:r>
        <w:t>12.1 文件收集范围</w:t>
      </w:r>
    </w:p>
    <w:p>
      <w:pPr>
        <w:jc w:val="both"/>
      </w:pPr>
      <w:r>
        <w:t>政策体系梳理覆盖数据要素市场化配置、高质量数据集建设、人工智能产业发展、新型信息基础设施、数据安全和绿色低碳等领域，收集相关法律法规、产业政策、专项规划、技术导则、建设指南和评价标准等25个文件。文件从正式发布渠道核验，登记发布主体、名称、文号、发布日期、生效状态及获取位置。</w:t>
      </w:r>
    </w:p>
    <w:p>
      <w:pPr>
        <w:jc w:val="both"/>
      </w:pPr>
      <w:r>
        <w:t>收集时结合项目业务和实施地域确定适用范围，优先纳入对数据取得、加工、模型使用、共享流通、安全防护和项目运行具有直接影响的文件。同一文件的通知、解读和转载作为关联材料管理，避免重复计数；修订版与旧版建立替代关系，分析生效时间及过渡安排。</w:t>
      </w:r>
    </w:p>
    <w:p>
      <w:pPr>
        <w:jc w:val="both"/>
      </w:pPr>
      <w:r>
        <w:t>政策文件与技术标准分别记录法律效力、约束类型和实施方式。强制要求形成执行检查项，指导性要求形成方案依据和改进任务，评价类文件转化为证据准备要求。适用性判断保留依据，并经相关专业岗位审核。</w:t>
      </w:r>
    </w:p>
    <w:p>
      <w:pPr>
        <w:pStyle w:val="Heading2"/>
      </w:pPr>
      <w:r>
        <w:t>12.2 二十五个文件的专题检索与核查任务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964"/>
        <w:gridCol w:w="2409"/>
        <w:gridCol w:w="6265"/>
      </w:tblGrid>
      <w:tr>
        <w:trPr>
          <w:cantSplit/>
          <w:tblHeader/>
        </w:trPr>
        <w:tc>
          <w:tcPr>
            <w:tcW w:type="dxa" w:w="964"/>
            <w:vAlign w:val="center"/>
            <w:shd w:fill="EDF1F3"/>
          </w:tcPr>
          <w:p>
            <w:pPr>
              <w:keepNext/>
              <w:spacing w:line="320" w:lineRule="exact" w:after="0" w:before="0"/>
              <w:ind w:firstLine="0"/>
              <w:jc w:val="center"/>
            </w:pPr>
            <w:r>
              <w:rPr>
                <w:b/>
                <w:sz w:val="21"/>
              </w:rPr>
              <w:t>序号</w:t>
            </w:r>
          </w:p>
        </w:tc>
        <w:tc>
          <w:tcPr>
            <w:tcW w:type="dxa" w:w="2409"/>
            <w:vAlign w:val="center"/>
            <w:shd w:fill="EDF1F3"/>
          </w:tcPr>
          <w:p>
            <w:pPr>
              <w:keepNext/>
              <w:spacing w:line="320" w:lineRule="exact" w:after="0" w:before="0"/>
              <w:ind w:firstLine="0"/>
              <w:jc w:val="center"/>
            </w:pPr>
            <w:r>
              <w:rPr>
                <w:b/>
                <w:sz w:val="21"/>
              </w:rPr>
              <w:t>专题检索范围</w:t>
            </w:r>
          </w:p>
        </w:tc>
        <w:tc>
          <w:tcPr>
            <w:tcW w:type="dxa" w:w="6265"/>
            <w:vAlign w:val="center"/>
            <w:shd w:fill="EDF1F3"/>
          </w:tcPr>
          <w:p>
            <w:pPr>
              <w:keepNext/>
              <w:spacing w:line="320" w:lineRule="exact" w:after="0" w:before="0"/>
              <w:ind w:firstLine="0"/>
              <w:jc w:val="center"/>
            </w:pPr>
            <w:r>
              <w:rPr>
                <w:b/>
                <w:sz w:val="21"/>
              </w:rPr>
              <w:t>对项目的核查重点</w:t>
            </w:r>
          </w:p>
        </w:tc>
      </w:tr>
      <w:tr>
        <w:trPr>
          <w:cantSplit/>
        </w:trPr>
        <w:tc>
          <w:tcPr>
            <w:tcW w:type="dxa" w:w="964"/>
            <w:vAlign w:val="center"/>
          </w:tcPr>
          <w:p>
            <w:pPr>
              <w:keepNext w:val="0"/>
              <w:spacing w:line="320" w:lineRule="exact" w:after="0" w:before="0"/>
              <w:ind w:firstLine="0"/>
              <w:jc w:val="center"/>
            </w:pPr>
            <w:r>
              <w:rPr>
                <w:b w:val="0"/>
                <w:sz w:val="21"/>
              </w:rPr>
              <w:t>1</w:t>
            </w:r>
          </w:p>
        </w:tc>
        <w:tc>
          <w:tcPr>
            <w:tcW w:type="dxa" w:w="2409"/>
            <w:vAlign w:val="center"/>
          </w:tcPr>
          <w:p>
            <w:pPr>
              <w:keepNext w:val="0"/>
              <w:spacing w:line="320" w:lineRule="exact" w:after="0" w:before="0"/>
              <w:ind w:firstLine="0"/>
              <w:jc w:val="left"/>
            </w:pPr>
            <w:r>
              <w:rPr>
                <w:b w:val="0"/>
                <w:sz w:val="21"/>
              </w:rPr>
              <w:t>数据基础制度与要素配置</w:t>
            </w:r>
          </w:p>
        </w:tc>
        <w:tc>
          <w:tcPr>
            <w:tcW w:type="dxa" w:w="6265"/>
            <w:vAlign w:val="center"/>
          </w:tcPr>
          <w:p>
            <w:pPr>
              <w:keepNext w:val="0"/>
              <w:spacing w:line="320" w:lineRule="exact" w:after="0" w:before="0"/>
              <w:ind w:firstLine="0"/>
              <w:jc w:val="left"/>
            </w:pPr>
            <w:r>
              <w:rPr>
                <w:b w:val="0"/>
                <w:sz w:val="21"/>
              </w:rPr>
              <w:t>数据供给、流通及使用责任</w:t>
            </w:r>
          </w:p>
        </w:tc>
      </w:tr>
      <w:tr>
        <w:trPr>
          <w:cantSplit/>
        </w:trPr>
        <w:tc>
          <w:tcPr>
            <w:tcW w:type="dxa" w:w="964"/>
            <w:vAlign w:val="center"/>
          </w:tcPr>
          <w:p>
            <w:pPr>
              <w:keepNext w:val="0"/>
              <w:spacing w:line="320" w:lineRule="exact" w:after="0" w:before="0"/>
              <w:ind w:firstLine="0"/>
              <w:jc w:val="center"/>
            </w:pPr>
            <w:r>
              <w:rPr>
                <w:b w:val="0"/>
                <w:sz w:val="21"/>
              </w:rPr>
              <w:t>2</w:t>
            </w:r>
          </w:p>
        </w:tc>
        <w:tc>
          <w:tcPr>
            <w:tcW w:type="dxa" w:w="2409"/>
            <w:vAlign w:val="center"/>
          </w:tcPr>
          <w:p>
            <w:pPr>
              <w:keepNext w:val="0"/>
              <w:spacing w:line="320" w:lineRule="exact" w:after="0" w:before="0"/>
              <w:ind w:firstLine="0"/>
              <w:jc w:val="left"/>
            </w:pPr>
            <w:r>
              <w:rPr>
                <w:b w:val="0"/>
                <w:sz w:val="21"/>
              </w:rPr>
              <w:t>数据资源开发利用</w:t>
            </w:r>
          </w:p>
        </w:tc>
        <w:tc>
          <w:tcPr>
            <w:tcW w:type="dxa" w:w="6265"/>
            <w:vAlign w:val="center"/>
          </w:tcPr>
          <w:p>
            <w:pPr>
              <w:keepNext w:val="0"/>
              <w:spacing w:line="320" w:lineRule="exact" w:after="0" w:before="0"/>
              <w:ind w:firstLine="0"/>
              <w:jc w:val="left"/>
            </w:pPr>
            <w:r>
              <w:rPr>
                <w:b w:val="0"/>
                <w:sz w:val="21"/>
              </w:rPr>
              <w:t>资源目录、开发条件和用途管理</w:t>
            </w:r>
          </w:p>
        </w:tc>
      </w:tr>
      <w:tr>
        <w:trPr>
          <w:cantSplit/>
        </w:trPr>
        <w:tc>
          <w:tcPr>
            <w:tcW w:type="dxa" w:w="964"/>
            <w:vAlign w:val="center"/>
          </w:tcPr>
          <w:p>
            <w:pPr>
              <w:keepNext w:val="0"/>
              <w:spacing w:line="320" w:lineRule="exact" w:after="0" w:before="0"/>
              <w:ind w:firstLine="0"/>
              <w:jc w:val="center"/>
            </w:pPr>
            <w:r>
              <w:rPr>
                <w:b w:val="0"/>
                <w:sz w:val="21"/>
              </w:rPr>
              <w:t>3</w:t>
            </w:r>
          </w:p>
        </w:tc>
        <w:tc>
          <w:tcPr>
            <w:tcW w:type="dxa" w:w="2409"/>
            <w:vAlign w:val="center"/>
          </w:tcPr>
          <w:p>
            <w:pPr>
              <w:keepNext w:val="0"/>
              <w:spacing w:line="320" w:lineRule="exact" w:after="0" w:before="0"/>
              <w:ind w:firstLine="0"/>
              <w:jc w:val="left"/>
            </w:pPr>
            <w:r>
              <w:rPr>
                <w:b w:val="0"/>
                <w:sz w:val="21"/>
              </w:rPr>
              <w:t>数据流通服务与交易规则</w:t>
            </w:r>
          </w:p>
        </w:tc>
        <w:tc>
          <w:tcPr>
            <w:tcW w:type="dxa" w:w="6265"/>
            <w:vAlign w:val="center"/>
          </w:tcPr>
          <w:p>
            <w:pPr>
              <w:keepNext w:val="0"/>
              <w:spacing w:line="320" w:lineRule="exact" w:after="0" w:before="0"/>
              <w:ind w:firstLine="0"/>
              <w:jc w:val="left"/>
            </w:pPr>
            <w:r>
              <w:rPr>
                <w:b w:val="0"/>
                <w:sz w:val="21"/>
              </w:rPr>
              <w:t>服务主体、交付和履约证据</w:t>
            </w:r>
          </w:p>
        </w:tc>
      </w:tr>
      <w:tr>
        <w:trPr>
          <w:cantSplit/>
        </w:trPr>
        <w:tc>
          <w:tcPr>
            <w:tcW w:type="dxa" w:w="964"/>
            <w:vAlign w:val="center"/>
          </w:tcPr>
          <w:p>
            <w:pPr>
              <w:keepNext w:val="0"/>
              <w:spacing w:line="320" w:lineRule="exact" w:after="0" w:before="0"/>
              <w:ind w:firstLine="0"/>
              <w:jc w:val="center"/>
            </w:pPr>
            <w:r>
              <w:rPr>
                <w:b w:val="0"/>
                <w:sz w:val="21"/>
              </w:rPr>
              <w:t>4</w:t>
            </w:r>
          </w:p>
        </w:tc>
        <w:tc>
          <w:tcPr>
            <w:tcW w:type="dxa" w:w="2409"/>
            <w:vAlign w:val="center"/>
          </w:tcPr>
          <w:p>
            <w:pPr>
              <w:keepNext w:val="0"/>
              <w:spacing w:line="320" w:lineRule="exact" w:after="0" w:before="0"/>
              <w:ind w:firstLine="0"/>
              <w:jc w:val="left"/>
            </w:pPr>
            <w:r>
              <w:rPr>
                <w:b w:val="0"/>
                <w:sz w:val="21"/>
              </w:rPr>
              <w:t>数据权益及授权管理</w:t>
            </w:r>
          </w:p>
        </w:tc>
        <w:tc>
          <w:tcPr>
            <w:tcW w:type="dxa" w:w="6265"/>
            <w:vAlign w:val="center"/>
          </w:tcPr>
          <w:p>
            <w:pPr>
              <w:keepNext w:val="0"/>
              <w:spacing w:line="320" w:lineRule="exact" w:after="0" w:before="0"/>
              <w:ind w:firstLine="0"/>
              <w:jc w:val="left"/>
            </w:pPr>
            <w:r>
              <w:rPr>
                <w:b w:val="0"/>
                <w:sz w:val="21"/>
              </w:rPr>
              <w:t>来源证明、处理许可和使用范围</w:t>
            </w:r>
          </w:p>
        </w:tc>
      </w:tr>
      <w:tr>
        <w:trPr>
          <w:cantSplit/>
        </w:trPr>
        <w:tc>
          <w:tcPr>
            <w:tcW w:type="dxa" w:w="964"/>
            <w:vAlign w:val="center"/>
          </w:tcPr>
          <w:p>
            <w:pPr>
              <w:keepNext w:val="0"/>
              <w:spacing w:line="320" w:lineRule="exact" w:after="0" w:before="0"/>
              <w:ind w:firstLine="0"/>
              <w:jc w:val="center"/>
            </w:pPr>
            <w:r>
              <w:rPr>
                <w:b w:val="0"/>
                <w:sz w:val="21"/>
              </w:rPr>
              <w:t>5</w:t>
            </w:r>
          </w:p>
        </w:tc>
        <w:tc>
          <w:tcPr>
            <w:tcW w:type="dxa" w:w="2409"/>
            <w:vAlign w:val="center"/>
          </w:tcPr>
          <w:p>
            <w:pPr>
              <w:keepNext w:val="0"/>
              <w:spacing w:line="320" w:lineRule="exact" w:after="0" w:before="0"/>
              <w:ind w:firstLine="0"/>
              <w:jc w:val="left"/>
            </w:pPr>
            <w:r>
              <w:rPr>
                <w:b w:val="0"/>
                <w:sz w:val="21"/>
              </w:rPr>
              <w:t>数据价值评价相关规则</w:t>
            </w:r>
          </w:p>
        </w:tc>
        <w:tc>
          <w:tcPr>
            <w:tcW w:type="dxa" w:w="6265"/>
            <w:vAlign w:val="center"/>
          </w:tcPr>
          <w:p>
            <w:pPr>
              <w:keepNext w:val="0"/>
              <w:spacing w:line="320" w:lineRule="exact" w:after="0" w:before="0"/>
              <w:ind w:firstLine="0"/>
              <w:jc w:val="left"/>
            </w:pPr>
            <w:r>
              <w:rPr>
                <w:b w:val="0"/>
                <w:sz w:val="21"/>
              </w:rPr>
              <w:t>评价方法、假设及使用限制</w:t>
            </w:r>
          </w:p>
        </w:tc>
      </w:tr>
      <w:tr>
        <w:trPr>
          <w:cantSplit/>
        </w:trPr>
        <w:tc>
          <w:tcPr>
            <w:tcW w:type="dxa" w:w="964"/>
            <w:vAlign w:val="center"/>
          </w:tcPr>
          <w:p>
            <w:pPr>
              <w:keepNext w:val="0"/>
              <w:spacing w:line="320" w:lineRule="exact" w:after="0" w:before="0"/>
              <w:ind w:firstLine="0"/>
              <w:jc w:val="center"/>
            </w:pPr>
            <w:r>
              <w:rPr>
                <w:b w:val="0"/>
                <w:sz w:val="21"/>
              </w:rPr>
              <w:t>6</w:t>
            </w:r>
          </w:p>
        </w:tc>
        <w:tc>
          <w:tcPr>
            <w:tcW w:type="dxa" w:w="2409"/>
            <w:vAlign w:val="center"/>
          </w:tcPr>
          <w:p>
            <w:pPr>
              <w:keepNext w:val="0"/>
              <w:spacing w:line="320" w:lineRule="exact" w:after="0" w:before="0"/>
              <w:ind w:firstLine="0"/>
              <w:jc w:val="left"/>
            </w:pPr>
            <w:r>
              <w:rPr>
                <w:b w:val="0"/>
                <w:sz w:val="21"/>
              </w:rPr>
              <w:t>高质量数据集建设要求</w:t>
            </w:r>
          </w:p>
        </w:tc>
        <w:tc>
          <w:tcPr>
            <w:tcW w:type="dxa" w:w="6265"/>
            <w:vAlign w:val="center"/>
          </w:tcPr>
          <w:p>
            <w:pPr>
              <w:keepNext w:val="0"/>
              <w:spacing w:line="320" w:lineRule="exact" w:after="0" w:before="0"/>
              <w:ind w:firstLine="0"/>
              <w:jc w:val="left"/>
            </w:pPr>
            <w:r>
              <w:rPr>
                <w:b w:val="0"/>
                <w:sz w:val="21"/>
              </w:rPr>
              <w:t>数据组成、过程管理和成果要求</w:t>
            </w:r>
          </w:p>
        </w:tc>
      </w:tr>
      <w:tr>
        <w:trPr>
          <w:cantSplit/>
        </w:trPr>
        <w:tc>
          <w:tcPr>
            <w:tcW w:type="dxa" w:w="964"/>
            <w:vAlign w:val="center"/>
          </w:tcPr>
          <w:p>
            <w:pPr>
              <w:keepNext w:val="0"/>
              <w:spacing w:line="320" w:lineRule="exact" w:after="0" w:before="0"/>
              <w:ind w:firstLine="0"/>
              <w:jc w:val="center"/>
            </w:pPr>
            <w:r>
              <w:rPr>
                <w:b w:val="0"/>
                <w:sz w:val="21"/>
              </w:rPr>
              <w:t>7</w:t>
            </w:r>
          </w:p>
        </w:tc>
        <w:tc>
          <w:tcPr>
            <w:tcW w:type="dxa" w:w="2409"/>
            <w:vAlign w:val="center"/>
          </w:tcPr>
          <w:p>
            <w:pPr>
              <w:keepNext w:val="0"/>
              <w:spacing w:line="320" w:lineRule="exact" w:after="0" w:before="0"/>
              <w:ind w:firstLine="0"/>
              <w:jc w:val="left"/>
            </w:pPr>
            <w:r>
              <w:rPr>
                <w:b w:val="0"/>
                <w:sz w:val="21"/>
              </w:rPr>
              <w:t>数据集质量评价要求</w:t>
            </w:r>
          </w:p>
        </w:tc>
        <w:tc>
          <w:tcPr>
            <w:tcW w:type="dxa" w:w="6265"/>
            <w:vAlign w:val="center"/>
          </w:tcPr>
          <w:p>
            <w:pPr>
              <w:keepNext w:val="0"/>
              <w:spacing w:line="320" w:lineRule="exact" w:after="0" w:before="0"/>
              <w:ind w:firstLine="0"/>
              <w:jc w:val="left"/>
            </w:pPr>
            <w:r>
              <w:rPr>
                <w:b w:val="0"/>
                <w:sz w:val="21"/>
              </w:rPr>
              <w:t>指标、方法、缺陷和评价记录</w:t>
            </w:r>
          </w:p>
        </w:tc>
      </w:tr>
      <w:tr>
        <w:trPr>
          <w:cantSplit/>
        </w:trPr>
        <w:tc>
          <w:tcPr>
            <w:tcW w:type="dxa" w:w="964"/>
            <w:vAlign w:val="center"/>
          </w:tcPr>
          <w:p>
            <w:pPr>
              <w:keepNext w:val="0"/>
              <w:spacing w:line="320" w:lineRule="exact" w:after="0" w:before="0"/>
              <w:ind w:firstLine="0"/>
              <w:jc w:val="center"/>
            </w:pPr>
            <w:r>
              <w:rPr>
                <w:b w:val="0"/>
                <w:sz w:val="21"/>
              </w:rPr>
              <w:t>8</w:t>
            </w:r>
          </w:p>
        </w:tc>
        <w:tc>
          <w:tcPr>
            <w:tcW w:type="dxa" w:w="2409"/>
            <w:vAlign w:val="center"/>
          </w:tcPr>
          <w:p>
            <w:pPr>
              <w:keepNext w:val="0"/>
              <w:spacing w:line="320" w:lineRule="exact" w:after="0" w:before="0"/>
              <w:ind w:firstLine="0"/>
              <w:jc w:val="left"/>
            </w:pPr>
            <w:r>
              <w:rPr>
                <w:b w:val="0"/>
                <w:sz w:val="21"/>
              </w:rPr>
              <w:t>数据标注及相关服务要求</w:t>
            </w:r>
          </w:p>
        </w:tc>
        <w:tc>
          <w:tcPr>
            <w:tcW w:type="dxa" w:w="6265"/>
            <w:vAlign w:val="center"/>
          </w:tcPr>
          <w:p>
            <w:pPr>
              <w:keepNext w:val="0"/>
              <w:spacing w:line="320" w:lineRule="exact" w:after="0" w:before="0"/>
              <w:ind w:firstLine="0"/>
              <w:jc w:val="left"/>
            </w:pPr>
            <w:r>
              <w:rPr>
                <w:b w:val="0"/>
                <w:sz w:val="21"/>
              </w:rPr>
              <w:t>标注规范、人员和过程质量</w:t>
            </w:r>
          </w:p>
        </w:tc>
      </w:tr>
      <w:tr>
        <w:trPr>
          <w:cantSplit/>
        </w:trPr>
        <w:tc>
          <w:tcPr>
            <w:tcW w:type="dxa" w:w="964"/>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left"/>
            </w:pPr>
            <w:r>
              <w:rPr>
                <w:b w:val="0"/>
                <w:sz w:val="21"/>
              </w:rPr>
              <w:t>数据分类分级相关要求</w:t>
            </w:r>
          </w:p>
        </w:tc>
        <w:tc>
          <w:tcPr>
            <w:tcW w:type="dxa" w:w="6265"/>
            <w:vAlign w:val="center"/>
          </w:tcPr>
          <w:p>
            <w:pPr>
              <w:keepNext w:val="0"/>
              <w:spacing w:line="320" w:lineRule="exact" w:after="0" w:before="0"/>
              <w:ind w:firstLine="0"/>
              <w:jc w:val="left"/>
            </w:pPr>
            <w:r>
              <w:rPr>
                <w:b w:val="0"/>
                <w:sz w:val="21"/>
              </w:rPr>
              <w:t>分类依据、等级及控制措施</w:t>
            </w:r>
          </w:p>
        </w:tc>
      </w:tr>
      <w:tr>
        <w:trPr>
          <w:cantSplit/>
        </w:trPr>
        <w:tc>
          <w:tcPr>
            <w:tcW w:type="dxa" w:w="964"/>
            <w:vAlign w:val="center"/>
          </w:tcPr>
          <w:p>
            <w:pPr>
              <w:keepNext w:val="0"/>
              <w:spacing w:line="320" w:lineRule="exact" w:after="0" w:before="0"/>
              <w:ind w:firstLine="0"/>
              <w:jc w:val="center"/>
            </w:pPr>
            <w:r>
              <w:rPr>
                <w:b w:val="0"/>
                <w:sz w:val="21"/>
              </w:rPr>
              <w:t>10</w:t>
            </w:r>
          </w:p>
        </w:tc>
        <w:tc>
          <w:tcPr>
            <w:tcW w:type="dxa" w:w="2409"/>
            <w:vAlign w:val="center"/>
          </w:tcPr>
          <w:p>
            <w:pPr>
              <w:keepNext w:val="0"/>
              <w:spacing w:line="320" w:lineRule="exact" w:after="0" w:before="0"/>
              <w:ind w:firstLine="0"/>
              <w:jc w:val="left"/>
            </w:pPr>
            <w:r>
              <w:rPr>
                <w:b w:val="0"/>
                <w:sz w:val="21"/>
              </w:rPr>
              <w:t>人工智能产业与行业应用</w:t>
            </w:r>
          </w:p>
        </w:tc>
        <w:tc>
          <w:tcPr>
            <w:tcW w:type="dxa" w:w="6265"/>
            <w:vAlign w:val="center"/>
          </w:tcPr>
          <w:p>
            <w:pPr>
              <w:keepNext w:val="0"/>
              <w:spacing w:line="320" w:lineRule="exact" w:after="0" w:before="0"/>
              <w:ind w:firstLine="0"/>
              <w:jc w:val="left"/>
            </w:pPr>
            <w:r>
              <w:rPr>
                <w:b w:val="0"/>
                <w:sz w:val="21"/>
              </w:rPr>
              <w:t>应用条件、产业协作和成果方向</w:t>
            </w:r>
          </w:p>
        </w:tc>
      </w:tr>
      <w:tr>
        <w:trPr>
          <w:cantSplit/>
        </w:trPr>
        <w:tc>
          <w:tcPr>
            <w:tcW w:type="dxa" w:w="964"/>
            <w:vAlign w:val="center"/>
          </w:tcPr>
          <w:p>
            <w:pPr>
              <w:keepNext w:val="0"/>
              <w:spacing w:line="320" w:lineRule="exact" w:after="0" w:before="0"/>
              <w:ind w:firstLine="0"/>
              <w:jc w:val="center"/>
            </w:pPr>
            <w:r>
              <w:rPr>
                <w:b w:val="0"/>
                <w:sz w:val="21"/>
              </w:rPr>
              <w:t>11</w:t>
            </w:r>
          </w:p>
        </w:tc>
        <w:tc>
          <w:tcPr>
            <w:tcW w:type="dxa" w:w="2409"/>
            <w:vAlign w:val="center"/>
          </w:tcPr>
          <w:p>
            <w:pPr>
              <w:keepNext w:val="0"/>
              <w:spacing w:line="320" w:lineRule="exact" w:after="0" w:before="0"/>
              <w:ind w:firstLine="0"/>
              <w:jc w:val="left"/>
            </w:pPr>
            <w:r>
              <w:rPr>
                <w:b w:val="0"/>
                <w:sz w:val="21"/>
              </w:rPr>
              <w:t>模型训练及服务相关规范</w:t>
            </w:r>
          </w:p>
        </w:tc>
        <w:tc>
          <w:tcPr>
            <w:tcW w:type="dxa" w:w="6265"/>
            <w:vAlign w:val="center"/>
          </w:tcPr>
          <w:p>
            <w:pPr>
              <w:keepNext w:val="0"/>
              <w:spacing w:line="320" w:lineRule="exact" w:after="0" w:before="0"/>
              <w:ind w:firstLine="0"/>
              <w:jc w:val="left"/>
            </w:pPr>
            <w:r>
              <w:rPr>
                <w:b w:val="0"/>
                <w:sz w:val="21"/>
              </w:rPr>
              <w:t>数据使用、训练管理和服务条件</w:t>
            </w:r>
          </w:p>
        </w:tc>
      </w:tr>
      <w:tr>
        <w:trPr>
          <w:cantSplit/>
        </w:trPr>
        <w:tc>
          <w:tcPr>
            <w:tcW w:type="dxa" w:w="964"/>
            <w:vAlign w:val="center"/>
          </w:tcPr>
          <w:p>
            <w:pPr>
              <w:keepNext w:val="0"/>
              <w:spacing w:line="320" w:lineRule="exact" w:after="0" w:before="0"/>
              <w:ind w:firstLine="0"/>
              <w:jc w:val="center"/>
            </w:pPr>
            <w:r>
              <w:rPr>
                <w:b w:val="0"/>
                <w:sz w:val="21"/>
              </w:rPr>
              <w:t>12</w:t>
            </w:r>
          </w:p>
        </w:tc>
        <w:tc>
          <w:tcPr>
            <w:tcW w:type="dxa" w:w="2409"/>
            <w:vAlign w:val="center"/>
          </w:tcPr>
          <w:p>
            <w:pPr>
              <w:keepNext w:val="0"/>
              <w:spacing w:line="320" w:lineRule="exact" w:after="0" w:before="0"/>
              <w:ind w:firstLine="0"/>
              <w:jc w:val="left"/>
            </w:pPr>
            <w:r>
              <w:rPr>
                <w:b w:val="0"/>
                <w:sz w:val="21"/>
              </w:rPr>
              <w:t>人工智能安全治理要求</w:t>
            </w:r>
          </w:p>
        </w:tc>
        <w:tc>
          <w:tcPr>
            <w:tcW w:type="dxa" w:w="6265"/>
            <w:vAlign w:val="center"/>
          </w:tcPr>
          <w:p>
            <w:pPr>
              <w:keepNext w:val="0"/>
              <w:spacing w:line="320" w:lineRule="exact" w:after="0" w:before="0"/>
              <w:ind w:firstLine="0"/>
              <w:jc w:val="left"/>
            </w:pPr>
            <w:r>
              <w:rPr>
                <w:b w:val="0"/>
                <w:sz w:val="21"/>
              </w:rPr>
              <w:t>风险识别、评测和事件处置</w:t>
            </w:r>
          </w:p>
        </w:tc>
      </w:tr>
      <w:tr>
        <w:trPr>
          <w:cantSplit/>
        </w:trPr>
        <w:tc>
          <w:tcPr>
            <w:tcW w:type="dxa" w:w="964"/>
            <w:vAlign w:val="center"/>
          </w:tcPr>
          <w:p>
            <w:pPr>
              <w:keepNext w:val="0"/>
              <w:spacing w:line="320" w:lineRule="exact" w:after="0" w:before="0"/>
              <w:ind w:firstLine="0"/>
              <w:jc w:val="center"/>
            </w:pPr>
            <w:r>
              <w:rPr>
                <w:b w:val="0"/>
                <w:sz w:val="21"/>
              </w:rPr>
              <w:t>13</w:t>
            </w:r>
          </w:p>
        </w:tc>
        <w:tc>
          <w:tcPr>
            <w:tcW w:type="dxa" w:w="2409"/>
            <w:vAlign w:val="center"/>
          </w:tcPr>
          <w:p>
            <w:pPr>
              <w:keepNext w:val="0"/>
              <w:spacing w:line="320" w:lineRule="exact" w:after="0" w:before="0"/>
              <w:ind w:firstLine="0"/>
              <w:jc w:val="left"/>
            </w:pPr>
            <w:r>
              <w:rPr>
                <w:b w:val="0"/>
                <w:sz w:val="21"/>
              </w:rPr>
              <w:t>新型信息基础设施建设</w:t>
            </w:r>
          </w:p>
        </w:tc>
        <w:tc>
          <w:tcPr>
            <w:tcW w:type="dxa" w:w="6265"/>
            <w:vAlign w:val="center"/>
          </w:tcPr>
          <w:p>
            <w:pPr>
              <w:keepNext w:val="0"/>
              <w:spacing w:line="320" w:lineRule="exact" w:after="0" w:before="0"/>
              <w:ind w:firstLine="0"/>
              <w:jc w:val="left"/>
            </w:pPr>
            <w:r>
              <w:rPr>
                <w:b w:val="0"/>
                <w:sz w:val="21"/>
              </w:rPr>
              <w:t>平台能力、互联和运行要求</w:t>
            </w:r>
          </w:p>
        </w:tc>
      </w:tr>
      <w:tr>
        <w:trPr>
          <w:cantSplit/>
        </w:trPr>
        <w:tc>
          <w:tcPr>
            <w:tcW w:type="dxa" w:w="964"/>
            <w:vAlign w:val="center"/>
          </w:tcPr>
          <w:p>
            <w:pPr>
              <w:keepNext w:val="0"/>
              <w:spacing w:line="320" w:lineRule="exact" w:after="0" w:before="0"/>
              <w:ind w:firstLine="0"/>
              <w:jc w:val="center"/>
            </w:pPr>
            <w:r>
              <w:rPr>
                <w:b w:val="0"/>
                <w:sz w:val="21"/>
              </w:rPr>
              <w:t>14</w:t>
            </w:r>
          </w:p>
        </w:tc>
        <w:tc>
          <w:tcPr>
            <w:tcW w:type="dxa" w:w="2409"/>
            <w:vAlign w:val="center"/>
          </w:tcPr>
          <w:p>
            <w:pPr>
              <w:keepNext w:val="0"/>
              <w:spacing w:line="320" w:lineRule="exact" w:after="0" w:before="0"/>
              <w:ind w:firstLine="0"/>
              <w:jc w:val="left"/>
            </w:pPr>
            <w:r>
              <w:rPr>
                <w:b w:val="0"/>
                <w:sz w:val="21"/>
              </w:rPr>
              <w:t>国家数据基础设施接入</w:t>
            </w:r>
          </w:p>
        </w:tc>
        <w:tc>
          <w:tcPr>
            <w:tcW w:type="dxa" w:w="6265"/>
            <w:vAlign w:val="center"/>
          </w:tcPr>
          <w:p>
            <w:pPr>
              <w:keepNext w:val="0"/>
              <w:spacing w:line="320" w:lineRule="exact" w:after="0" w:before="0"/>
              <w:ind w:firstLine="0"/>
              <w:jc w:val="left"/>
            </w:pPr>
            <w:r>
              <w:rPr>
                <w:b w:val="0"/>
                <w:sz w:val="21"/>
              </w:rPr>
              <w:t>标识、身份、接口及可信流通</w:t>
            </w:r>
          </w:p>
        </w:tc>
      </w:tr>
      <w:tr>
        <w:trPr>
          <w:cantSplit/>
        </w:trPr>
        <w:tc>
          <w:tcPr>
            <w:tcW w:type="dxa" w:w="964"/>
            <w:vAlign w:val="center"/>
          </w:tcPr>
          <w:p>
            <w:pPr>
              <w:keepNext w:val="0"/>
              <w:spacing w:line="320" w:lineRule="exact" w:after="0" w:before="0"/>
              <w:ind w:firstLine="0"/>
              <w:jc w:val="center"/>
            </w:pPr>
            <w:r>
              <w:rPr>
                <w:b w:val="0"/>
                <w:sz w:val="21"/>
              </w:rPr>
              <w:t>15</w:t>
            </w:r>
          </w:p>
        </w:tc>
        <w:tc>
          <w:tcPr>
            <w:tcW w:type="dxa" w:w="2409"/>
            <w:vAlign w:val="center"/>
          </w:tcPr>
          <w:p>
            <w:pPr>
              <w:keepNext w:val="0"/>
              <w:spacing w:line="320" w:lineRule="exact" w:after="0" w:before="0"/>
              <w:ind w:firstLine="0"/>
              <w:jc w:val="left"/>
            </w:pPr>
            <w:r>
              <w:rPr>
                <w:b w:val="0"/>
                <w:sz w:val="21"/>
              </w:rPr>
              <w:t>工业互联网及工业数据应用</w:t>
            </w:r>
          </w:p>
        </w:tc>
        <w:tc>
          <w:tcPr>
            <w:tcW w:type="dxa" w:w="6265"/>
            <w:vAlign w:val="center"/>
          </w:tcPr>
          <w:p>
            <w:pPr>
              <w:keepNext w:val="0"/>
              <w:spacing w:line="320" w:lineRule="exact" w:after="0" w:before="0"/>
              <w:ind w:firstLine="0"/>
              <w:jc w:val="left"/>
            </w:pPr>
            <w:r>
              <w:rPr>
                <w:b w:val="0"/>
                <w:sz w:val="21"/>
              </w:rPr>
              <w:t>工业接入、业务协作和应用边界</w:t>
            </w:r>
          </w:p>
        </w:tc>
      </w:tr>
      <w:tr>
        <w:trPr>
          <w:cantSplit/>
        </w:trPr>
        <w:tc>
          <w:tcPr>
            <w:tcW w:type="dxa" w:w="964"/>
            <w:vAlign w:val="center"/>
          </w:tcPr>
          <w:p>
            <w:pPr>
              <w:keepNext w:val="0"/>
              <w:spacing w:line="320" w:lineRule="exact" w:after="0" w:before="0"/>
              <w:ind w:firstLine="0"/>
              <w:jc w:val="center"/>
            </w:pPr>
            <w:r>
              <w:rPr>
                <w:b w:val="0"/>
                <w:sz w:val="21"/>
              </w:rPr>
              <w:t>16</w:t>
            </w:r>
          </w:p>
        </w:tc>
        <w:tc>
          <w:tcPr>
            <w:tcW w:type="dxa" w:w="2409"/>
            <w:vAlign w:val="center"/>
          </w:tcPr>
          <w:p>
            <w:pPr>
              <w:keepNext w:val="0"/>
              <w:spacing w:line="320" w:lineRule="exact" w:after="0" w:before="0"/>
              <w:ind w:firstLine="0"/>
              <w:jc w:val="left"/>
            </w:pPr>
            <w:r>
              <w:rPr>
                <w:b w:val="0"/>
                <w:sz w:val="21"/>
              </w:rPr>
              <w:t>网络安全相关要求</w:t>
            </w:r>
          </w:p>
        </w:tc>
        <w:tc>
          <w:tcPr>
            <w:tcW w:type="dxa" w:w="6265"/>
            <w:vAlign w:val="center"/>
          </w:tcPr>
          <w:p>
            <w:pPr>
              <w:keepNext w:val="0"/>
              <w:spacing w:line="320" w:lineRule="exact" w:after="0" w:before="0"/>
              <w:ind w:firstLine="0"/>
              <w:jc w:val="left"/>
            </w:pPr>
            <w:r>
              <w:rPr>
                <w:b w:val="0"/>
                <w:sz w:val="21"/>
              </w:rPr>
              <w:t>网络边界、访问和安全管理</w:t>
            </w:r>
          </w:p>
        </w:tc>
      </w:tr>
      <w:tr>
        <w:trPr>
          <w:cantSplit/>
        </w:trPr>
        <w:tc>
          <w:tcPr>
            <w:tcW w:type="dxa" w:w="964"/>
            <w:vAlign w:val="center"/>
          </w:tcPr>
          <w:p>
            <w:pPr>
              <w:keepNext w:val="0"/>
              <w:spacing w:line="320" w:lineRule="exact" w:after="0" w:before="0"/>
              <w:ind w:firstLine="0"/>
              <w:jc w:val="center"/>
            </w:pPr>
            <w:r>
              <w:rPr>
                <w:b w:val="0"/>
                <w:sz w:val="21"/>
              </w:rPr>
              <w:t>17</w:t>
            </w:r>
          </w:p>
        </w:tc>
        <w:tc>
          <w:tcPr>
            <w:tcW w:type="dxa" w:w="2409"/>
            <w:vAlign w:val="center"/>
          </w:tcPr>
          <w:p>
            <w:pPr>
              <w:keepNext w:val="0"/>
              <w:spacing w:line="320" w:lineRule="exact" w:after="0" w:before="0"/>
              <w:ind w:firstLine="0"/>
              <w:jc w:val="left"/>
            </w:pPr>
            <w:r>
              <w:rPr>
                <w:b w:val="0"/>
                <w:sz w:val="21"/>
              </w:rPr>
              <w:t>数据安全相关要求</w:t>
            </w:r>
          </w:p>
        </w:tc>
        <w:tc>
          <w:tcPr>
            <w:tcW w:type="dxa" w:w="6265"/>
            <w:vAlign w:val="center"/>
          </w:tcPr>
          <w:p>
            <w:pPr>
              <w:keepNext w:val="0"/>
              <w:spacing w:line="320" w:lineRule="exact" w:after="0" w:before="0"/>
              <w:ind w:firstLine="0"/>
              <w:jc w:val="left"/>
            </w:pPr>
            <w:r>
              <w:rPr>
                <w:b w:val="0"/>
                <w:sz w:val="21"/>
              </w:rPr>
              <w:t>数据生命周期安全和责任落实</w:t>
            </w:r>
          </w:p>
        </w:tc>
      </w:tr>
      <w:tr>
        <w:trPr>
          <w:cantSplit/>
        </w:trPr>
        <w:tc>
          <w:tcPr>
            <w:tcW w:type="dxa" w:w="964"/>
            <w:vAlign w:val="center"/>
          </w:tcPr>
          <w:p>
            <w:pPr>
              <w:keepNext w:val="0"/>
              <w:spacing w:line="320" w:lineRule="exact" w:after="0" w:before="0"/>
              <w:ind w:firstLine="0"/>
              <w:jc w:val="center"/>
            </w:pPr>
            <w:r>
              <w:rPr>
                <w:b w:val="0"/>
                <w:sz w:val="21"/>
              </w:rPr>
              <w:t>18</w:t>
            </w:r>
          </w:p>
        </w:tc>
        <w:tc>
          <w:tcPr>
            <w:tcW w:type="dxa" w:w="2409"/>
            <w:vAlign w:val="center"/>
          </w:tcPr>
          <w:p>
            <w:pPr>
              <w:keepNext w:val="0"/>
              <w:spacing w:line="320" w:lineRule="exact" w:after="0" w:before="0"/>
              <w:ind w:firstLine="0"/>
              <w:jc w:val="left"/>
            </w:pPr>
            <w:r>
              <w:rPr>
                <w:b w:val="0"/>
                <w:sz w:val="21"/>
              </w:rPr>
              <w:t>个人信息保护相关要求</w:t>
            </w:r>
          </w:p>
        </w:tc>
        <w:tc>
          <w:tcPr>
            <w:tcW w:type="dxa" w:w="6265"/>
            <w:vAlign w:val="center"/>
          </w:tcPr>
          <w:p>
            <w:pPr>
              <w:keepNext w:val="0"/>
              <w:spacing w:line="320" w:lineRule="exact" w:after="0" w:before="0"/>
              <w:ind w:firstLine="0"/>
              <w:jc w:val="left"/>
            </w:pPr>
            <w:r>
              <w:rPr>
                <w:b w:val="0"/>
                <w:sz w:val="21"/>
              </w:rPr>
              <w:t>必要性、处理范围及保护措施</w:t>
            </w:r>
          </w:p>
        </w:tc>
      </w:tr>
      <w:tr>
        <w:trPr>
          <w:cantSplit/>
        </w:trPr>
        <w:tc>
          <w:tcPr>
            <w:tcW w:type="dxa" w:w="964"/>
            <w:vAlign w:val="center"/>
          </w:tcPr>
          <w:p>
            <w:pPr>
              <w:keepNext w:val="0"/>
              <w:spacing w:line="320" w:lineRule="exact" w:after="0" w:before="0"/>
              <w:ind w:firstLine="0"/>
              <w:jc w:val="center"/>
            </w:pPr>
            <w:r>
              <w:rPr>
                <w:b w:val="0"/>
                <w:sz w:val="21"/>
              </w:rPr>
              <w:t>19</w:t>
            </w:r>
          </w:p>
        </w:tc>
        <w:tc>
          <w:tcPr>
            <w:tcW w:type="dxa" w:w="2409"/>
            <w:vAlign w:val="center"/>
          </w:tcPr>
          <w:p>
            <w:pPr>
              <w:keepNext w:val="0"/>
              <w:spacing w:line="320" w:lineRule="exact" w:after="0" w:before="0"/>
              <w:ind w:firstLine="0"/>
              <w:jc w:val="left"/>
            </w:pPr>
            <w:r>
              <w:rPr>
                <w:b w:val="0"/>
                <w:sz w:val="21"/>
              </w:rPr>
              <w:t>商用密码及密码应用要求</w:t>
            </w:r>
          </w:p>
        </w:tc>
        <w:tc>
          <w:tcPr>
            <w:tcW w:type="dxa" w:w="6265"/>
            <w:vAlign w:val="center"/>
          </w:tcPr>
          <w:p>
            <w:pPr>
              <w:keepNext w:val="0"/>
              <w:spacing w:line="320" w:lineRule="exact" w:after="0" w:before="0"/>
              <w:ind w:firstLine="0"/>
              <w:jc w:val="left"/>
            </w:pPr>
            <w:r>
              <w:rPr>
                <w:b w:val="0"/>
                <w:sz w:val="21"/>
              </w:rPr>
              <w:t>密码产品、应用和评估材料</w:t>
            </w:r>
          </w:p>
        </w:tc>
      </w:tr>
      <w:tr>
        <w:trPr>
          <w:cantSplit/>
        </w:trPr>
        <w:tc>
          <w:tcPr>
            <w:tcW w:type="dxa" w:w="964"/>
            <w:vAlign w:val="center"/>
          </w:tcPr>
          <w:p>
            <w:pPr>
              <w:keepNext w:val="0"/>
              <w:spacing w:line="320" w:lineRule="exact" w:after="0" w:before="0"/>
              <w:ind w:firstLine="0"/>
              <w:jc w:val="center"/>
            </w:pPr>
            <w:r>
              <w:rPr>
                <w:b w:val="0"/>
                <w:sz w:val="21"/>
              </w:rPr>
              <w:t>20</w:t>
            </w:r>
          </w:p>
        </w:tc>
        <w:tc>
          <w:tcPr>
            <w:tcW w:type="dxa" w:w="2409"/>
            <w:vAlign w:val="center"/>
          </w:tcPr>
          <w:p>
            <w:pPr>
              <w:keepNext w:val="0"/>
              <w:spacing w:line="320" w:lineRule="exact" w:after="0" w:before="0"/>
              <w:ind w:firstLine="0"/>
              <w:jc w:val="left"/>
            </w:pPr>
            <w:r>
              <w:rPr>
                <w:b w:val="0"/>
                <w:sz w:val="21"/>
              </w:rPr>
              <w:t>网络安全等级保护相关要求</w:t>
            </w:r>
          </w:p>
        </w:tc>
        <w:tc>
          <w:tcPr>
            <w:tcW w:type="dxa" w:w="6265"/>
            <w:vAlign w:val="center"/>
          </w:tcPr>
          <w:p>
            <w:pPr>
              <w:keepNext w:val="0"/>
              <w:spacing w:line="320" w:lineRule="exact" w:after="0" w:before="0"/>
              <w:ind w:firstLine="0"/>
              <w:jc w:val="left"/>
            </w:pPr>
            <w:r>
              <w:rPr>
                <w:b w:val="0"/>
                <w:sz w:val="21"/>
              </w:rPr>
              <w:t>定级、建设、测评和整改衔接</w:t>
            </w:r>
          </w:p>
        </w:tc>
      </w:tr>
      <w:tr>
        <w:trPr>
          <w:cantSplit/>
        </w:trPr>
        <w:tc>
          <w:tcPr>
            <w:tcW w:type="dxa" w:w="964"/>
            <w:vAlign w:val="center"/>
          </w:tcPr>
          <w:p>
            <w:pPr>
              <w:keepNext w:val="0"/>
              <w:spacing w:line="320" w:lineRule="exact" w:after="0" w:before="0"/>
              <w:ind w:firstLine="0"/>
              <w:jc w:val="center"/>
            </w:pPr>
            <w:r>
              <w:rPr>
                <w:b w:val="0"/>
                <w:sz w:val="21"/>
              </w:rPr>
              <w:t>21</w:t>
            </w:r>
          </w:p>
        </w:tc>
        <w:tc>
          <w:tcPr>
            <w:tcW w:type="dxa" w:w="2409"/>
            <w:vAlign w:val="center"/>
          </w:tcPr>
          <w:p>
            <w:pPr>
              <w:keepNext w:val="0"/>
              <w:spacing w:line="320" w:lineRule="exact" w:after="0" w:before="0"/>
              <w:ind w:firstLine="0"/>
              <w:jc w:val="left"/>
            </w:pPr>
            <w:r>
              <w:rPr>
                <w:b w:val="0"/>
                <w:sz w:val="21"/>
              </w:rPr>
              <w:t>知识产权及成果使用要求</w:t>
            </w:r>
          </w:p>
        </w:tc>
        <w:tc>
          <w:tcPr>
            <w:tcW w:type="dxa" w:w="6265"/>
            <w:vAlign w:val="center"/>
          </w:tcPr>
          <w:p>
            <w:pPr>
              <w:keepNext w:val="0"/>
              <w:spacing w:line="320" w:lineRule="exact" w:after="0" w:before="0"/>
              <w:ind w:firstLine="0"/>
              <w:jc w:val="left"/>
            </w:pPr>
            <w:r>
              <w:rPr>
                <w:b w:val="0"/>
                <w:sz w:val="21"/>
              </w:rPr>
              <w:t>软件、文献、模型和合作成果许可</w:t>
            </w:r>
          </w:p>
        </w:tc>
      </w:tr>
      <w:tr>
        <w:trPr>
          <w:cantSplit/>
        </w:trPr>
        <w:tc>
          <w:tcPr>
            <w:tcW w:type="dxa" w:w="964"/>
            <w:vAlign w:val="center"/>
          </w:tcPr>
          <w:p>
            <w:pPr>
              <w:keepNext w:val="0"/>
              <w:spacing w:line="320" w:lineRule="exact" w:after="0" w:before="0"/>
              <w:ind w:firstLine="0"/>
              <w:jc w:val="center"/>
            </w:pPr>
            <w:r>
              <w:rPr>
                <w:b w:val="0"/>
                <w:sz w:val="21"/>
              </w:rPr>
              <w:t>22</w:t>
            </w:r>
          </w:p>
        </w:tc>
        <w:tc>
          <w:tcPr>
            <w:tcW w:type="dxa" w:w="2409"/>
            <w:vAlign w:val="center"/>
          </w:tcPr>
          <w:p>
            <w:pPr>
              <w:keepNext w:val="0"/>
              <w:spacing w:line="320" w:lineRule="exact" w:after="0" w:before="0"/>
              <w:ind w:firstLine="0"/>
              <w:jc w:val="left"/>
            </w:pPr>
            <w:r>
              <w:rPr>
                <w:b w:val="0"/>
                <w:sz w:val="21"/>
              </w:rPr>
              <w:t>绿色制造相关政策</w:t>
            </w:r>
          </w:p>
        </w:tc>
        <w:tc>
          <w:tcPr>
            <w:tcW w:type="dxa" w:w="6265"/>
            <w:vAlign w:val="center"/>
          </w:tcPr>
          <w:p>
            <w:pPr>
              <w:keepNext w:val="0"/>
              <w:spacing w:line="320" w:lineRule="exact" w:after="0" w:before="0"/>
              <w:ind w:firstLine="0"/>
              <w:jc w:val="left"/>
            </w:pPr>
            <w:r>
              <w:rPr>
                <w:b w:val="0"/>
                <w:sz w:val="21"/>
              </w:rPr>
              <w:t>数据采集及服务对绿色制造的支撑</w:t>
            </w:r>
          </w:p>
        </w:tc>
      </w:tr>
      <w:tr>
        <w:trPr>
          <w:cantSplit/>
        </w:trPr>
        <w:tc>
          <w:tcPr>
            <w:tcW w:type="dxa" w:w="964"/>
            <w:vAlign w:val="center"/>
          </w:tcPr>
          <w:p>
            <w:pPr>
              <w:keepNext w:val="0"/>
              <w:spacing w:line="320" w:lineRule="exact" w:after="0" w:before="0"/>
              <w:ind w:firstLine="0"/>
              <w:jc w:val="center"/>
            </w:pPr>
            <w:r>
              <w:rPr>
                <w:b w:val="0"/>
                <w:sz w:val="21"/>
              </w:rPr>
              <w:t>23</w:t>
            </w:r>
          </w:p>
        </w:tc>
        <w:tc>
          <w:tcPr>
            <w:tcW w:type="dxa" w:w="2409"/>
            <w:vAlign w:val="center"/>
          </w:tcPr>
          <w:p>
            <w:pPr>
              <w:keepNext w:val="0"/>
              <w:spacing w:line="320" w:lineRule="exact" w:after="0" w:before="0"/>
              <w:ind w:firstLine="0"/>
              <w:jc w:val="left"/>
            </w:pPr>
            <w:r>
              <w:rPr>
                <w:b w:val="0"/>
                <w:sz w:val="21"/>
              </w:rPr>
              <w:t>节能降碳与能效管理</w:t>
            </w:r>
          </w:p>
        </w:tc>
        <w:tc>
          <w:tcPr>
            <w:tcW w:type="dxa" w:w="6265"/>
            <w:vAlign w:val="center"/>
          </w:tcPr>
          <w:p>
            <w:pPr>
              <w:keepNext w:val="0"/>
              <w:spacing w:line="320" w:lineRule="exact" w:after="0" w:before="0"/>
              <w:ind w:firstLine="0"/>
              <w:jc w:val="left"/>
            </w:pPr>
            <w:r>
              <w:rPr>
                <w:b w:val="0"/>
                <w:sz w:val="21"/>
              </w:rPr>
              <w:t>资源能耗、测量边界和优化记录</w:t>
            </w:r>
          </w:p>
        </w:tc>
      </w:tr>
      <w:tr>
        <w:trPr>
          <w:cantSplit/>
        </w:trPr>
        <w:tc>
          <w:tcPr>
            <w:tcW w:type="dxa" w:w="964"/>
            <w:vAlign w:val="center"/>
          </w:tcPr>
          <w:p>
            <w:pPr>
              <w:keepNext w:val="0"/>
              <w:spacing w:line="320" w:lineRule="exact" w:after="0" w:before="0"/>
              <w:ind w:firstLine="0"/>
              <w:jc w:val="center"/>
            </w:pPr>
            <w:r>
              <w:rPr>
                <w:b w:val="0"/>
                <w:sz w:val="21"/>
              </w:rPr>
              <w:t>24</w:t>
            </w:r>
          </w:p>
        </w:tc>
        <w:tc>
          <w:tcPr>
            <w:tcW w:type="dxa" w:w="2409"/>
            <w:vAlign w:val="center"/>
          </w:tcPr>
          <w:p>
            <w:pPr>
              <w:keepNext w:val="0"/>
              <w:spacing w:line="320" w:lineRule="exact" w:after="0" w:before="0"/>
              <w:ind w:firstLine="0"/>
              <w:jc w:val="left"/>
            </w:pPr>
            <w:r>
              <w:rPr>
                <w:b w:val="0"/>
                <w:sz w:val="21"/>
              </w:rPr>
              <w:t>区域数字经济与产业规划</w:t>
            </w:r>
          </w:p>
        </w:tc>
        <w:tc>
          <w:tcPr>
            <w:tcW w:type="dxa" w:w="6265"/>
            <w:vAlign w:val="center"/>
          </w:tcPr>
          <w:p>
            <w:pPr>
              <w:keepNext w:val="0"/>
              <w:spacing w:line="320" w:lineRule="exact" w:after="0" w:before="0"/>
              <w:ind w:firstLine="0"/>
              <w:jc w:val="left"/>
            </w:pPr>
            <w:r>
              <w:rPr>
                <w:b w:val="0"/>
                <w:sz w:val="21"/>
              </w:rPr>
              <w:t>项目发展、产业协同及实施衔接</w:t>
            </w:r>
          </w:p>
        </w:tc>
      </w:tr>
      <w:tr>
        <w:trPr>
          <w:cantSplit/>
        </w:trPr>
        <w:tc>
          <w:tcPr>
            <w:tcW w:type="dxa" w:w="964"/>
            <w:vAlign w:val="center"/>
          </w:tcPr>
          <w:p>
            <w:pPr>
              <w:keepNext w:val="0"/>
              <w:spacing w:line="320" w:lineRule="exact" w:after="0" w:before="0"/>
              <w:ind w:firstLine="0"/>
              <w:jc w:val="center"/>
            </w:pPr>
            <w:r>
              <w:rPr>
                <w:b w:val="0"/>
                <w:sz w:val="21"/>
              </w:rPr>
              <w:t>25</w:t>
            </w:r>
          </w:p>
        </w:tc>
        <w:tc>
          <w:tcPr>
            <w:tcW w:type="dxa" w:w="2409"/>
            <w:vAlign w:val="center"/>
          </w:tcPr>
          <w:p>
            <w:pPr>
              <w:keepNext w:val="0"/>
              <w:spacing w:line="320" w:lineRule="exact" w:after="0" w:before="0"/>
              <w:ind w:firstLine="0"/>
              <w:jc w:val="left"/>
            </w:pPr>
            <w:r>
              <w:rPr>
                <w:b w:val="0"/>
                <w:sz w:val="21"/>
              </w:rPr>
              <w:t>行业标准与评价导则</w:t>
            </w:r>
          </w:p>
        </w:tc>
        <w:tc>
          <w:tcPr>
            <w:tcW w:type="dxa" w:w="6265"/>
            <w:vAlign w:val="center"/>
          </w:tcPr>
          <w:p>
            <w:pPr>
              <w:keepNext w:val="0"/>
              <w:spacing w:line="320" w:lineRule="exact" w:after="0" w:before="0"/>
              <w:ind w:firstLine="0"/>
              <w:jc w:val="left"/>
            </w:pPr>
            <w:r>
              <w:rPr>
                <w:b w:val="0"/>
                <w:sz w:val="21"/>
              </w:rPr>
              <w:t>矿山装备数据及场景适用要求</w:t>
            </w:r>
          </w:p>
        </w:tc>
      </w:tr>
    </w:tbl>
    <w:p>
      <w:pPr>
        <w:spacing w:after="40" w:line="240" w:lineRule="auto"/>
        <w:ind w:firstLine="0"/>
      </w:pPr>
      <w:r>
        <w:rPr>
          <w:sz w:val="4"/>
        </w:rPr>
      </w:r>
    </w:p>
    <w:p>
      <w:pPr>
        <w:jc w:val="both"/>
      </w:pPr>
      <w:r>
        <w:t>上述专题用于组织检索和适用性检查，最终文件清单以核验后的25个具体文件登记，每个文件单独保留原文、有效性核查及适用分析。一个文件涉及多个专题时建立多重关联，文件数量仍按唯一文件统计；同一专题需要多个文件共同支撑时，完整保留其关系。</w:t>
      </w:r>
    </w:p>
    <w:p>
      <w:pPr>
        <w:pStyle w:val="Heading2"/>
      </w:pPr>
      <w:r>
        <w:t>12.3 文件登记与条款分析</w:t>
      </w:r>
    </w:p>
    <w:p>
      <w:pPr>
        <w:jc w:val="both"/>
      </w:pPr>
      <w:r>
        <w:t>文件登记形成名称、编号、来源、效力状态、适用对象、关键条款、项目活动、责任岗位和检查证据等字段。关键条款按数据准入、处理、训练、发布、运营和安全管理等活动分类，条款与业务任务之间可以多对多关联，避免只在目录中列名而无法执行。</w:t>
      </w:r>
    </w:p>
    <w:p>
      <w:pPr>
        <w:jc w:val="both"/>
      </w:pPr>
      <w:r>
        <w:t>适用性分析先判断主体、数据类别、行为、地域和时间是否满足适用条件，再确定具体要求。对存在解释空间的事项，提交专业评审并形成书面判断；执行条件未明的事项明确核查责任和控制措施，在取得充分依据后实施相应活动。</w:t>
      </w:r>
    </w:p>
    <w:p>
      <w:pPr>
        <w:jc w:val="both"/>
      </w:pPr>
      <w:r>
        <w:t>政策分析结果转化为需求、制度、技术配置或证据任务。数据授权要求进入准入和发布检查，安全要求进入身份权限及审计配置，质量标准进入检查规则和测评方案，绿色低碳要求进入资源统计和优化安排。每项任务均保留来源条款和完成记录。</w:t>
      </w:r>
    </w:p>
    <w:p>
      <w:pPr>
        <w:pStyle w:val="Heading2"/>
      </w:pPr>
      <w:r>
        <w:t>12.4 动态更新与变更评估</w:t>
      </w:r>
    </w:p>
    <w:p>
      <w:pPr>
        <w:jc w:val="both"/>
      </w:pPr>
      <w:r>
        <w:t>建立定期检索与重要发布触发相结合的更新机制。跟踪文件修订、废止、替代及新发布要求，登记发现时间、核验结论和影响对象。转载或非正式解读不直接作为变更依据，重要信息核对正式发布内容后进入评审。</w:t>
      </w:r>
    </w:p>
    <w:p>
      <w:pPr>
        <w:jc w:val="both"/>
      </w:pPr>
      <w:r>
        <w:t>变更评估检查现行制度、平台配置、数据许可、服务产品和在执行合同是否受影响。形成需要立即调整、按过渡期调整和保持跟踪三类任务，分别规定责任和完成时间。涉及对外服务或数据处理边界变化时，先采取相应控制，再完成正式调整。</w:t>
      </w:r>
    </w:p>
    <w:p>
      <w:pPr>
        <w:jc w:val="both"/>
      </w:pPr>
      <w:r>
        <w:t>政策更新完成后检查制度、操作和证据是否同步。培训人员了解变化内容，系统配置通过测试后发布，历史成果按有效期和适用规则处理。评估记录保存旧要求、新要求、处理决定及执行结果，后续审计能够还原判断过程。</w:t>
      </w:r>
    </w:p>
    <w:p>
      <w:pPr>
        <w:pStyle w:val="Heading2"/>
      </w:pPr>
      <w:r>
        <w:t>12.5 政策成果交付</w:t>
      </w:r>
    </w:p>
    <w:p>
      <w:pPr>
        <w:jc w:val="both"/>
      </w:pPr>
      <w:r>
        <w:t>交付政策文件目录、原文及来源记录、有效性核查、逐文件适用分析、条款与项目活动映射、政策更新记录和问题处置台账。文件目录可按专题、效力、责任和活动检索，原文与分析材料一一对应。政策梳理结果纳入规划、制度和标准编制依据，后续修订持续维护关联。</w:t>
      </w:r>
    </w:p>
    <w:p>
      <w:pPr>
        <w:pStyle w:val="Heading1"/>
      </w:pPr>
      <w:r>
        <w:t>13 政策规划制定与落地</w:t>
      </w:r>
    </w:p>
    <w:p>
      <w:pPr>
        <w:pStyle w:val="Heading2"/>
      </w:pPr>
      <w:r>
        <w:t>13.1 中长期发展规划</w:t>
      </w:r>
    </w:p>
    <w:p>
      <w:pPr>
        <w:jc w:val="both"/>
      </w:pPr>
      <w:r>
        <w:t>中长期发展规划从行业需求、资源基础、专业能力、服务体系和持续运营条件出发，明确数据集平台的发展目标和实施路径。现状分析使用实际资源调查、用户需求和能力核查结果，区分已具备条件、需建设能力和外部依赖，形成有依据的发展安排。</w:t>
      </w:r>
    </w:p>
    <w:p>
      <w:pPr>
        <w:jc w:val="both"/>
      </w:pPr>
      <w:r>
        <w:t>规划以本项目建设期为近期实施基础，后续阶段围绕资源持续更新、产品扩展、专业服务和行业协同逐步推进。每一阶段明确重点任务、成果、责任、资源及评价方式。后续发展安排与已约定建设范围分别列明，项目交付责任以本项目要求落实。</w:t>
      </w:r>
    </w:p>
    <w:p>
      <w:pPr>
        <w:jc w:val="both"/>
      </w:pPr>
      <w:r>
        <w:t>数据资源规划围绕四类数据集的持续供给和业务更新，明确新增来源、更新频率、质量和权限。技术能力规划聚焦工具复用、专业标注、模型验证及运营服务的维护升级。运营规划明确公共服务与商业服务的分层供给，人才与标准规划支撑持续运行。</w:t>
      </w:r>
    </w:p>
    <w:p>
      <w:pPr>
        <w:jc w:val="both"/>
      </w:pPr>
      <w:r>
        <w:t>规划设置年度实施衔接，形成目标、任务、资源和考核之间的对应关系。每年依据政策变化、服务需求和实际运行评价调整具体安排，重要目标变化经批准后执行。评价同时检查成果、质量、安全、成本和行业使用效果。</w:t>
      </w:r>
    </w:p>
    <w:p>
      <w:pPr>
        <w:pStyle w:val="Heading2"/>
      </w:pPr>
      <w:r>
        <w:t>13.2 数据资源持续汇聚专项实施方案</w:t>
      </w:r>
    </w:p>
    <w:p>
      <w:pPr>
        <w:jc w:val="both"/>
      </w:pPr>
      <w:r>
        <w:t>本专项明确产业链主体范围、重点资源、需求优先级、接入方式、供给约定和更新机制。按业务域建立资源清单，将来源主体、数据对象、许可、质量、频率及责任关联到具体汇聚任务。首批接入选择对场景验证作用明确且具备条件的资源，后续依据缺口和需求扩展。</w:t>
      </w:r>
    </w:p>
    <w:p>
      <w:pPr>
        <w:jc w:val="both"/>
      </w:pPr>
      <w:r>
        <w:t>实施步骤包括主体沟通、资源调查、授权核查、接口或模板准备、样本测试、批次接入、质量反馈和常态更新。每一步设置交付物及通过条件。对来源中断、质量下降和授权变化形成专门处置流程，保持历史数据和新接入数据的使用边界清楚。</w:t>
      </w:r>
    </w:p>
    <w:p>
      <w:pPr>
        <w:jc w:val="both"/>
      </w:pPr>
      <w:r>
        <w:t>专项成果包括资源地图、主体清单、接入计划、供给协议要素、增量更新规则、质量及权利台账和运行评价。通过代表主体连续更新验证机制可用，阶段报告呈现新增覆盖、更新稳定及实际使用情况。</w:t>
      </w:r>
    </w:p>
    <w:p>
      <w:pPr>
        <w:pStyle w:val="Heading2"/>
      </w:pPr>
      <w:r>
        <w:t>13.3 数据集生产质量专项实施方案</w:t>
      </w:r>
    </w:p>
    <w:p>
      <w:pPr>
        <w:jc w:val="both"/>
      </w:pPr>
      <w:r>
        <w:t>本专项围绕数据采集、预处理、标注、合成增强、质检、训练验证和版本交付建立生产质量安排。四类数据集与四种用途子集分别策划，明确规模、模态、时效、质量和专业覆盖。生产规则与工具版本绑定，批次和样本保留来源及处理记录。</w:t>
      </w:r>
    </w:p>
    <w:p>
      <w:pPr>
        <w:jc w:val="both"/>
      </w:pPr>
      <w:r>
        <w:t>方案明确自检、抽检、仲裁以及跨标注员一致性检查，规定高风险内容的专项复核和问题阻断。基准数据与生产数据隔离，真实样本和合成增强样本分别标识。第三方评测按照统一方案覆盖说明文档、数据质量和模型应用，缺陷整改后重新核验。</w:t>
      </w:r>
    </w:p>
    <w:p>
      <w:pPr>
        <w:jc w:val="both"/>
      </w:pPr>
      <w:r>
        <w:t>成果包括生产计划、质量规则、黄金样本管理办法、抽样及复核安排、缺陷处置流程、验证方案和发布条件。通过完整生产批次演示从原始接入到正式版本的过程，核查每个阶段的实际证据。</w:t>
      </w:r>
    </w:p>
    <w:p>
      <w:pPr>
        <w:pStyle w:val="Heading2"/>
      </w:pPr>
      <w:r>
        <w:t>13.4 运营服务与推广专项实施方案</w:t>
      </w:r>
    </w:p>
    <w:p>
      <w:pPr>
        <w:jc w:val="both"/>
      </w:pPr>
      <w:r>
        <w:t>本专项明确运营对象、用户需求、服务目录、公共服务、商业产品、供需对接和持续支持。围绕行业实际任务安排服务供给，建立咨询、申请、方案、合同、授权、交付、验收和反馈流程。推广材料使用经过审核的真实能力和服务成果，内容与实际产品一致。</w:t>
      </w:r>
    </w:p>
    <w:p>
      <w:pPr>
        <w:jc w:val="both"/>
      </w:pPr>
      <w:r>
        <w:t>方案细化用户分层、服务方式、计费计量、成本核算、价值分配和公共服务投入。营收目标依据需求和能力测算，记录假设及阶段状态，运营效果通过真实合同、交付和使用证据评价。专业能力协同按任务组织，服务边界和质量责任在交接时确认。</w:t>
      </w:r>
    </w:p>
    <w:p>
      <w:pPr>
        <w:jc w:val="both"/>
      </w:pPr>
      <w:r>
        <w:t>成果包括运营计划、服务目录及产品卡片、用户需求台账、推广活动方案、计费及成本模型、服务质量规则和运行分析报告。试运行选择代表用户及服务类型，验证申请、交付和问题处理的完整流程。</w:t>
      </w:r>
    </w:p>
    <w:p>
      <w:pPr>
        <w:pStyle w:val="Heading2"/>
      </w:pPr>
      <w:r>
        <w:t>13.5 安全可信流通与基础设施接入专项实施方案</w:t>
      </w:r>
    </w:p>
    <w:p>
      <w:pPr>
        <w:jc w:val="both"/>
      </w:pPr>
      <w:r>
        <w:t>本专项将来源许可、分类分级、脱敏、身份权限、密码应用、审计和国家数据基础设施接入统一策划。明确各类数据从接入到流通的控制要求，权限与用途、期限和对象关联，形成安全责任及技术配置清单。</w:t>
      </w:r>
    </w:p>
    <w:p>
      <w:pPr>
        <w:jc w:val="both"/>
      </w:pPr>
      <w:r>
        <w:t>接入实施包括对象准备、目录映射、身份注册、接口适配、授权交付、审计及异常恢复。优先采用成熟方案，完成必要开发和联调，分别验证本平台生成数据集与行业用户自有数据集。外部依赖建立计划和跟踪记录，实际接入效果通过测试及运行证据确认。</w:t>
      </w:r>
    </w:p>
    <w:p>
      <w:pPr>
        <w:jc w:val="both"/>
      </w:pPr>
      <w:r>
        <w:t>成果包括安全控制矩阵、授权及脱敏规则、接入技术方案、接口映射、联调测试、应急流程和运行移交材料。安全测评和整改与项目总体安排衔接，重要风险关闭后进入相应发布及验收阶段。</w:t>
      </w:r>
    </w:p>
    <w:p>
      <w:pPr>
        <w:pStyle w:val="Heading2"/>
      </w:pPr>
      <w:r>
        <w:t>13.6 制度体系建设</w:t>
      </w:r>
    </w:p>
    <w:p>
      <w:pPr>
        <w:jc w:val="both"/>
      </w:pPr>
      <w:r>
        <w:t>制度体系围绕数据资源、生产质量、专家管理、协同运营、安全合规、标准变更、成果权益和监督评价组织。每项制度包含目的、范围、术语、岗位责任、业务流程、审批权限、记录要求、异常处理和修订机制。制度之间统一对象、状态和角色定义，交叉事项明确主责与配合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制度主题</w:t>
            </w:r>
          </w:p>
        </w:tc>
        <w:tc>
          <w:tcPr>
            <w:tcW w:type="dxa" w:w="4048"/>
            <w:vAlign w:val="center"/>
            <w:shd w:fill="EDF1F3"/>
          </w:tcPr>
          <w:p>
            <w:pPr>
              <w:keepNext/>
              <w:spacing w:line="320" w:lineRule="exact" w:after="0" w:before="0"/>
              <w:ind w:firstLine="0"/>
              <w:jc w:val="center"/>
            </w:pPr>
            <w:r>
              <w:rPr>
                <w:b/>
                <w:sz w:val="21"/>
              </w:rPr>
              <w:t>主要控制动作</w:t>
            </w:r>
          </w:p>
        </w:tc>
        <w:tc>
          <w:tcPr>
            <w:tcW w:type="dxa" w:w="3470"/>
            <w:vAlign w:val="center"/>
            <w:shd w:fill="EDF1F3"/>
          </w:tcPr>
          <w:p>
            <w:pPr>
              <w:keepNext/>
              <w:spacing w:line="320" w:lineRule="exact" w:after="0" w:before="0"/>
              <w:ind w:firstLine="0"/>
              <w:jc w:val="center"/>
            </w:pPr>
            <w:r>
              <w:rPr>
                <w:b/>
                <w:sz w:val="21"/>
              </w:rPr>
              <w:t>必须保留的记录</w:t>
            </w:r>
          </w:p>
        </w:tc>
      </w:tr>
      <w:tr>
        <w:trPr>
          <w:cantSplit/>
        </w:trPr>
        <w:tc>
          <w:tcPr>
            <w:tcW w:type="dxa" w:w="2120"/>
            <w:vAlign w:val="center"/>
          </w:tcPr>
          <w:p>
            <w:pPr>
              <w:keepNext w:val="0"/>
              <w:spacing w:line="320" w:lineRule="exact" w:after="0" w:before="0"/>
              <w:ind w:firstLine="0"/>
              <w:jc w:val="left"/>
            </w:pPr>
            <w:r>
              <w:rPr>
                <w:b w:val="0"/>
                <w:sz w:val="21"/>
              </w:rPr>
              <w:t>数据资源管理</w:t>
            </w:r>
          </w:p>
        </w:tc>
        <w:tc>
          <w:tcPr>
            <w:tcW w:type="dxa" w:w="4048"/>
            <w:vAlign w:val="center"/>
          </w:tcPr>
          <w:p>
            <w:pPr>
              <w:keepNext w:val="0"/>
              <w:spacing w:line="320" w:lineRule="exact" w:after="0" w:before="0"/>
              <w:ind w:firstLine="0"/>
              <w:jc w:val="left"/>
            </w:pPr>
            <w:r>
              <w:rPr>
                <w:b w:val="0"/>
                <w:sz w:val="21"/>
              </w:rPr>
              <w:t>登记、准入、更新、撤回和退役</w:t>
            </w:r>
          </w:p>
        </w:tc>
        <w:tc>
          <w:tcPr>
            <w:tcW w:type="dxa" w:w="3470"/>
            <w:vAlign w:val="center"/>
          </w:tcPr>
          <w:p>
            <w:pPr>
              <w:keepNext w:val="0"/>
              <w:spacing w:line="320" w:lineRule="exact" w:after="0" w:before="0"/>
              <w:ind w:firstLine="0"/>
              <w:jc w:val="left"/>
            </w:pPr>
            <w:r>
              <w:rPr>
                <w:b w:val="0"/>
                <w:sz w:val="21"/>
              </w:rPr>
              <w:t>来源、许可、批次和处置记录</w:t>
            </w:r>
          </w:p>
        </w:tc>
      </w:tr>
      <w:tr>
        <w:trPr>
          <w:cantSplit/>
        </w:trPr>
        <w:tc>
          <w:tcPr>
            <w:tcW w:type="dxa" w:w="2120"/>
            <w:vAlign w:val="center"/>
          </w:tcPr>
          <w:p>
            <w:pPr>
              <w:keepNext w:val="0"/>
              <w:spacing w:line="320" w:lineRule="exact" w:after="0" w:before="0"/>
              <w:ind w:firstLine="0"/>
              <w:jc w:val="left"/>
            </w:pPr>
            <w:r>
              <w:rPr>
                <w:b w:val="0"/>
                <w:sz w:val="21"/>
              </w:rPr>
              <w:t>生产与质量管理</w:t>
            </w:r>
          </w:p>
        </w:tc>
        <w:tc>
          <w:tcPr>
            <w:tcW w:type="dxa" w:w="4048"/>
            <w:vAlign w:val="center"/>
          </w:tcPr>
          <w:p>
            <w:pPr>
              <w:keepNext w:val="0"/>
              <w:spacing w:line="320" w:lineRule="exact" w:after="0" w:before="0"/>
              <w:ind w:firstLine="0"/>
              <w:jc w:val="left"/>
            </w:pPr>
            <w:r>
              <w:rPr>
                <w:b w:val="0"/>
                <w:sz w:val="21"/>
              </w:rPr>
              <w:t>规范发布、生产检查、复核及版本放行</w:t>
            </w:r>
          </w:p>
        </w:tc>
        <w:tc>
          <w:tcPr>
            <w:tcW w:type="dxa" w:w="3470"/>
            <w:vAlign w:val="center"/>
          </w:tcPr>
          <w:p>
            <w:pPr>
              <w:keepNext w:val="0"/>
              <w:spacing w:line="320" w:lineRule="exact" w:after="0" w:before="0"/>
              <w:ind w:firstLine="0"/>
              <w:jc w:val="left"/>
            </w:pPr>
            <w:r>
              <w:rPr>
                <w:b w:val="0"/>
                <w:sz w:val="21"/>
              </w:rPr>
              <w:t>工具配置、质量结论和发布审批</w:t>
            </w:r>
          </w:p>
        </w:tc>
      </w:tr>
      <w:tr>
        <w:trPr>
          <w:cantSplit/>
        </w:trPr>
        <w:tc>
          <w:tcPr>
            <w:tcW w:type="dxa" w:w="2120"/>
            <w:vAlign w:val="center"/>
          </w:tcPr>
          <w:p>
            <w:pPr>
              <w:keepNext w:val="0"/>
              <w:spacing w:line="320" w:lineRule="exact" w:after="0" w:before="0"/>
              <w:ind w:firstLine="0"/>
              <w:jc w:val="left"/>
            </w:pPr>
            <w:r>
              <w:rPr>
                <w:b w:val="0"/>
                <w:sz w:val="21"/>
              </w:rPr>
              <w:t>专家管理</w:t>
            </w:r>
          </w:p>
        </w:tc>
        <w:tc>
          <w:tcPr>
            <w:tcW w:type="dxa" w:w="4048"/>
            <w:vAlign w:val="center"/>
          </w:tcPr>
          <w:p>
            <w:pPr>
              <w:keepNext w:val="0"/>
              <w:spacing w:line="320" w:lineRule="exact" w:after="0" w:before="0"/>
              <w:ind w:firstLine="0"/>
              <w:jc w:val="left"/>
            </w:pPr>
            <w:r>
              <w:rPr>
                <w:b w:val="0"/>
                <w:sz w:val="21"/>
              </w:rPr>
              <w:t>入库、派单、回避、考核及调整</w:t>
            </w:r>
          </w:p>
        </w:tc>
        <w:tc>
          <w:tcPr>
            <w:tcW w:type="dxa" w:w="3470"/>
            <w:vAlign w:val="center"/>
          </w:tcPr>
          <w:p>
            <w:pPr>
              <w:keepNext w:val="0"/>
              <w:spacing w:line="320" w:lineRule="exact" w:after="0" w:before="0"/>
              <w:ind w:firstLine="0"/>
              <w:jc w:val="left"/>
            </w:pPr>
            <w:r>
              <w:rPr>
                <w:b w:val="0"/>
                <w:sz w:val="21"/>
              </w:rPr>
              <w:t>能力档案、任务和履职记录</w:t>
            </w:r>
          </w:p>
        </w:tc>
      </w:tr>
      <w:tr>
        <w:trPr>
          <w:cantSplit/>
        </w:trPr>
        <w:tc>
          <w:tcPr>
            <w:tcW w:type="dxa" w:w="2120"/>
            <w:vAlign w:val="center"/>
          </w:tcPr>
          <w:p>
            <w:pPr>
              <w:keepNext w:val="0"/>
              <w:spacing w:line="320" w:lineRule="exact" w:after="0" w:before="0"/>
              <w:ind w:firstLine="0"/>
              <w:jc w:val="left"/>
            </w:pPr>
            <w:r>
              <w:rPr>
                <w:b w:val="0"/>
                <w:sz w:val="21"/>
              </w:rPr>
              <w:t>协同运营管理</w:t>
            </w:r>
          </w:p>
        </w:tc>
        <w:tc>
          <w:tcPr>
            <w:tcW w:type="dxa" w:w="4048"/>
            <w:vAlign w:val="center"/>
          </w:tcPr>
          <w:p>
            <w:pPr>
              <w:keepNext w:val="0"/>
              <w:spacing w:line="320" w:lineRule="exact" w:after="0" w:before="0"/>
              <w:ind w:firstLine="0"/>
              <w:jc w:val="left"/>
            </w:pPr>
            <w:r>
              <w:rPr>
                <w:b w:val="0"/>
                <w:sz w:val="21"/>
              </w:rPr>
              <w:t>需求、服务、交接、验收和反馈</w:t>
            </w:r>
          </w:p>
        </w:tc>
        <w:tc>
          <w:tcPr>
            <w:tcW w:type="dxa" w:w="3470"/>
            <w:vAlign w:val="center"/>
          </w:tcPr>
          <w:p>
            <w:pPr>
              <w:keepNext w:val="0"/>
              <w:spacing w:line="320" w:lineRule="exact" w:after="0" w:before="0"/>
              <w:ind w:firstLine="0"/>
              <w:jc w:val="left"/>
            </w:pPr>
            <w:r>
              <w:rPr>
                <w:b w:val="0"/>
                <w:sz w:val="21"/>
              </w:rPr>
              <w:t>任务书、交付及问题处理记录</w:t>
            </w:r>
          </w:p>
        </w:tc>
      </w:tr>
      <w:tr>
        <w:trPr>
          <w:cantSplit/>
        </w:trPr>
        <w:tc>
          <w:tcPr>
            <w:tcW w:type="dxa" w:w="2120"/>
            <w:vAlign w:val="center"/>
          </w:tcPr>
          <w:p>
            <w:pPr>
              <w:keepNext w:val="0"/>
              <w:spacing w:line="320" w:lineRule="exact" w:after="0" w:before="0"/>
              <w:ind w:firstLine="0"/>
              <w:jc w:val="left"/>
            </w:pPr>
            <w:r>
              <w:rPr>
                <w:b w:val="0"/>
                <w:sz w:val="21"/>
              </w:rPr>
              <w:t>安全与保密管理</w:t>
            </w:r>
          </w:p>
        </w:tc>
        <w:tc>
          <w:tcPr>
            <w:tcW w:type="dxa" w:w="4048"/>
            <w:vAlign w:val="center"/>
          </w:tcPr>
          <w:p>
            <w:pPr>
              <w:keepNext w:val="0"/>
              <w:spacing w:line="320" w:lineRule="exact" w:after="0" w:before="0"/>
              <w:ind w:firstLine="0"/>
              <w:jc w:val="left"/>
            </w:pPr>
            <w:r>
              <w:rPr>
                <w:b w:val="0"/>
                <w:sz w:val="21"/>
              </w:rPr>
              <w:t>身份、权限、脱敏、导出和事件处置</w:t>
            </w:r>
          </w:p>
        </w:tc>
        <w:tc>
          <w:tcPr>
            <w:tcW w:type="dxa" w:w="3470"/>
            <w:vAlign w:val="center"/>
          </w:tcPr>
          <w:p>
            <w:pPr>
              <w:keepNext w:val="0"/>
              <w:spacing w:line="320" w:lineRule="exact" w:after="0" w:before="0"/>
              <w:ind w:firstLine="0"/>
              <w:jc w:val="left"/>
            </w:pPr>
            <w:r>
              <w:rPr>
                <w:b w:val="0"/>
                <w:sz w:val="21"/>
              </w:rPr>
              <w:t>授权、审计及安全核查记录</w:t>
            </w:r>
          </w:p>
        </w:tc>
      </w:tr>
      <w:tr>
        <w:trPr>
          <w:cantSplit/>
        </w:trPr>
        <w:tc>
          <w:tcPr>
            <w:tcW w:type="dxa" w:w="2120"/>
            <w:vAlign w:val="center"/>
          </w:tcPr>
          <w:p>
            <w:pPr>
              <w:keepNext w:val="0"/>
              <w:spacing w:line="320" w:lineRule="exact" w:after="0" w:before="0"/>
              <w:ind w:firstLine="0"/>
              <w:jc w:val="left"/>
            </w:pPr>
            <w:r>
              <w:rPr>
                <w:b w:val="0"/>
                <w:sz w:val="21"/>
              </w:rPr>
              <w:t>标准与变更管理</w:t>
            </w:r>
          </w:p>
        </w:tc>
        <w:tc>
          <w:tcPr>
            <w:tcW w:type="dxa" w:w="4048"/>
            <w:vAlign w:val="center"/>
          </w:tcPr>
          <w:p>
            <w:pPr>
              <w:keepNext w:val="0"/>
              <w:spacing w:line="320" w:lineRule="exact" w:after="0" w:before="0"/>
              <w:ind w:firstLine="0"/>
              <w:jc w:val="left"/>
            </w:pPr>
            <w:r>
              <w:rPr>
                <w:b w:val="0"/>
                <w:sz w:val="21"/>
              </w:rPr>
              <w:t>立项、评审、发布、变更及废止</w:t>
            </w:r>
          </w:p>
        </w:tc>
        <w:tc>
          <w:tcPr>
            <w:tcW w:type="dxa" w:w="3470"/>
            <w:vAlign w:val="center"/>
          </w:tcPr>
          <w:p>
            <w:pPr>
              <w:keepNext w:val="0"/>
              <w:spacing w:line="320" w:lineRule="exact" w:after="0" w:before="0"/>
              <w:ind w:firstLine="0"/>
              <w:jc w:val="left"/>
            </w:pPr>
            <w:r>
              <w:rPr>
                <w:b w:val="0"/>
                <w:sz w:val="21"/>
              </w:rPr>
              <w:t>标准版本、验证和影响分析</w:t>
            </w:r>
          </w:p>
        </w:tc>
      </w:tr>
      <w:tr>
        <w:trPr>
          <w:cantSplit/>
        </w:trPr>
        <w:tc>
          <w:tcPr>
            <w:tcW w:type="dxa" w:w="2120"/>
            <w:vAlign w:val="center"/>
          </w:tcPr>
          <w:p>
            <w:pPr>
              <w:keepNext w:val="0"/>
              <w:spacing w:line="320" w:lineRule="exact" w:after="0" w:before="0"/>
              <w:ind w:firstLine="0"/>
              <w:jc w:val="left"/>
            </w:pPr>
            <w:r>
              <w:rPr>
                <w:b w:val="0"/>
                <w:sz w:val="21"/>
              </w:rPr>
              <w:t>成果与权益管理</w:t>
            </w:r>
          </w:p>
        </w:tc>
        <w:tc>
          <w:tcPr>
            <w:tcW w:type="dxa" w:w="4048"/>
            <w:vAlign w:val="center"/>
          </w:tcPr>
          <w:p>
            <w:pPr>
              <w:keepNext w:val="0"/>
              <w:spacing w:line="320" w:lineRule="exact" w:after="0" w:before="0"/>
              <w:ind w:firstLine="0"/>
              <w:jc w:val="left"/>
            </w:pPr>
            <w:r>
              <w:rPr>
                <w:b w:val="0"/>
                <w:sz w:val="21"/>
              </w:rPr>
              <w:t>成果登记、使用、共享和分配</w:t>
            </w:r>
          </w:p>
        </w:tc>
        <w:tc>
          <w:tcPr>
            <w:tcW w:type="dxa" w:w="3470"/>
            <w:vAlign w:val="center"/>
          </w:tcPr>
          <w:p>
            <w:pPr>
              <w:keepNext w:val="0"/>
              <w:spacing w:line="320" w:lineRule="exact" w:after="0" w:before="0"/>
              <w:ind w:firstLine="0"/>
              <w:jc w:val="left"/>
            </w:pPr>
            <w:r>
              <w:rPr>
                <w:b w:val="0"/>
                <w:sz w:val="21"/>
              </w:rPr>
              <w:t>权利约定、贡献和批准记录</w:t>
            </w:r>
          </w:p>
        </w:tc>
      </w:tr>
      <w:tr>
        <w:trPr>
          <w:cantSplit/>
        </w:trPr>
        <w:tc>
          <w:tcPr>
            <w:tcW w:type="dxa" w:w="2120"/>
            <w:vAlign w:val="center"/>
          </w:tcPr>
          <w:p>
            <w:pPr>
              <w:keepNext w:val="0"/>
              <w:spacing w:line="320" w:lineRule="exact" w:after="0" w:before="0"/>
              <w:ind w:firstLine="0"/>
              <w:jc w:val="left"/>
            </w:pPr>
            <w:r>
              <w:rPr>
                <w:b w:val="0"/>
                <w:sz w:val="21"/>
              </w:rPr>
              <w:t>监督与评价管理</w:t>
            </w:r>
          </w:p>
        </w:tc>
        <w:tc>
          <w:tcPr>
            <w:tcW w:type="dxa" w:w="4048"/>
            <w:vAlign w:val="center"/>
          </w:tcPr>
          <w:p>
            <w:pPr>
              <w:keepNext w:val="0"/>
              <w:spacing w:line="320" w:lineRule="exact" w:after="0" w:before="0"/>
              <w:ind w:firstLine="0"/>
              <w:jc w:val="left"/>
            </w:pPr>
            <w:r>
              <w:rPr>
                <w:b w:val="0"/>
                <w:sz w:val="21"/>
              </w:rPr>
              <w:t>检查、整改、考核和申诉</w:t>
            </w:r>
          </w:p>
        </w:tc>
        <w:tc>
          <w:tcPr>
            <w:tcW w:type="dxa" w:w="3470"/>
            <w:vAlign w:val="center"/>
          </w:tcPr>
          <w:p>
            <w:pPr>
              <w:keepNext w:val="0"/>
              <w:spacing w:line="320" w:lineRule="exact" w:after="0" w:before="0"/>
              <w:ind w:firstLine="0"/>
              <w:jc w:val="left"/>
            </w:pPr>
            <w:r>
              <w:rPr>
                <w:b w:val="0"/>
                <w:sz w:val="21"/>
              </w:rPr>
              <w:t>证据、结论及整改复核记录</w:t>
            </w:r>
          </w:p>
        </w:tc>
      </w:tr>
    </w:tbl>
    <w:p>
      <w:pPr>
        <w:spacing w:after="40" w:line="240" w:lineRule="auto"/>
        <w:ind w:firstLine="0"/>
      </w:pPr>
      <w:r>
        <w:rPr>
          <w:sz w:val="4"/>
        </w:rPr>
      </w:r>
    </w:p>
    <w:p>
      <w:pPr>
        <w:jc w:val="both"/>
      </w:pPr>
      <w:r>
        <w:t>制度发布后开展岗位培训，培训内容与岗位实际操作对应。通过代表性业务演练验证执行能力，存在流程冲突或权限不清时先修订制度和配置。监督检查以真实业务记录为依据，发现制度长期不执行或无法执行时分析原因并落实改进。</w:t>
      </w:r>
    </w:p>
    <w:p>
      <w:pPr>
        <w:pStyle w:val="Heading2"/>
      </w:pPr>
      <w:r>
        <w:t>13.7 政策落地动态调整机制</w:t>
      </w:r>
    </w:p>
    <w:p>
      <w:pPr>
        <w:jc w:val="both"/>
      </w:pPr>
      <w:r>
        <w:t>政策落地机制建立发现、分析、决策、实施、验证和归档六个环节。责任岗位获取新要求后登记来源及有效性，专业人员分析适用范围，管理岗位决定调整事项和资源，执行岗位完成文件与配置修改，复核岗位核验实际效果。</w:t>
      </w:r>
    </w:p>
    <w:p>
      <w:pPr>
        <w:jc w:val="both"/>
      </w:pPr>
      <w:r>
        <w:t>调整任务按影响程度排序。涉及数据使用合法性、关键安全要求或强制性标准的优先处理；涉及管理优化和服务改进的纳入正常计划。过渡期间的控制方式明确，未经验证的临时措施不能长期替代正式调整。</w:t>
      </w:r>
    </w:p>
    <w:p>
      <w:pPr>
        <w:jc w:val="both"/>
      </w:pPr>
      <w:r>
        <w:t>每项调整关联原要求、受影响制度、系统配置、对象版本和交付成果。执行完成后开展抽查或测试，确认新规则已经生效，旧规则不再错误使用。调整结果纳入年度政策符合性评估，为后续规划修订提供依据。</w:t>
      </w:r>
    </w:p>
    <w:p>
      <w:pPr>
        <w:pStyle w:val="Heading2"/>
      </w:pPr>
      <w:r>
        <w:t>13.8 年度政策符合性评估</w:t>
      </w:r>
    </w:p>
    <w:p>
      <w:pPr>
        <w:jc w:val="both"/>
      </w:pPr>
      <w:r>
        <w:t>年度评估以有效政策清单和实际业务活动为基础，逐项检查数据来源、加工、训练、流通、安全、组织和绿色低碳等事项。评估计划明确范围、材料、检查方式、责任及时间，重要事项采用文件审查、系统核验和实际记录抽查相结合的方法。</w:t>
      </w:r>
    </w:p>
    <w:p>
      <w:pPr>
        <w:jc w:val="both"/>
      </w:pPr>
      <w:r>
        <w:t>检查结果分为符合、需改进、不符合和不适用，并记录依据。不适用结论说明主体、活动或时间条件；需改进和不符合事项明确影响、原因、责任、措施和完成期限。整改完成后复核实际变化，证据不足的事项保持未关闭状态。</w:t>
      </w:r>
    </w:p>
    <w:p>
      <w:pPr>
        <w:jc w:val="both"/>
      </w:pPr>
      <w:r>
        <w:t>形成年度政策符合性评估报告，包含文件变化、适用分析、检查结果、问题整改、重大风险及下一年度任务。报告经规定程序审核后归档，与发展规划、专项实施方案和制度修订形成衔接。</w:t>
      </w:r>
    </w:p>
    <w:p>
      <w:pPr>
        <w:pStyle w:val="Heading1"/>
      </w:pPr>
      <w:r>
        <w:t>14 五项体制机制创新</w:t>
      </w:r>
    </w:p>
    <w:p>
      <w:pPr>
        <w:pStyle w:val="Heading2"/>
      </w:pPr>
      <w:r>
        <w:t>14.1 五级组织责任体系</w:t>
      </w:r>
    </w:p>
    <w:p>
      <w:pPr>
        <w:jc w:val="both"/>
      </w:pPr>
      <w:r>
        <w:t>五级组织责任体系按照战略决策、统筹管理、专业管控、任务执行和参与协作设置责任层次。五级体系用于贯通目标、资源、规则、任务和主体协作，与运营组织的重大事项决策、专业把关、日常执行三个层级建立职责映射，使用甲方确认的组织和岗位承载相应责任。</w:t>
      </w:r>
    </w:p>
    <w:p>
      <w:pPr>
        <w:jc w:val="both"/>
      </w:pPr>
      <w:r>
        <w:t>战略决策层明确建设及运营方向，批准重大规划、重要制度、资源安排和重大权益事项。统筹管理层将目标分解为项目和年度任务，协调进度、资源、依赖及跨主体问题。专业管控层负责数据、技术、质量、标准和安全的专业审核，形成进入下一阶段的判断依据。</w:t>
      </w:r>
    </w:p>
    <w:p>
      <w:pPr>
        <w:jc w:val="both"/>
      </w:pPr>
      <w:r>
        <w:t>任务执行层按照批准规则组织采集、加工、标注、验证、服务及档案管理，记录实际产出和问题。参与协作层落实数据供给、用户验证、专业研究和成果交接，按约定反馈更新与质量信息。责任层次之间通过任务书、审批、交接和运行报告建立联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责任层次</w:t>
            </w:r>
          </w:p>
        </w:tc>
        <w:tc>
          <w:tcPr>
            <w:tcW w:type="dxa" w:w="2795"/>
            <w:vAlign w:val="center"/>
            <w:shd w:fill="EDF1F3"/>
          </w:tcPr>
          <w:p>
            <w:pPr>
              <w:keepNext/>
              <w:spacing w:line="320" w:lineRule="exact" w:after="0" w:before="0"/>
              <w:ind w:firstLine="0"/>
              <w:jc w:val="center"/>
            </w:pPr>
            <w:r>
              <w:rPr>
                <w:b/>
                <w:sz w:val="21"/>
              </w:rPr>
              <w:t>主要决策或工作</w:t>
            </w:r>
          </w:p>
        </w:tc>
        <w:tc>
          <w:tcPr>
            <w:tcW w:type="dxa" w:w="2602"/>
            <w:vAlign w:val="center"/>
            <w:shd w:fill="EDF1F3"/>
          </w:tcPr>
          <w:p>
            <w:pPr>
              <w:keepNext/>
              <w:spacing w:line="320" w:lineRule="exact" w:after="0" w:before="0"/>
              <w:ind w:firstLine="0"/>
              <w:jc w:val="center"/>
            </w:pPr>
            <w:r>
              <w:rPr>
                <w:b/>
                <w:sz w:val="21"/>
              </w:rPr>
              <w:t>接收的输入</w:t>
            </w:r>
          </w:p>
        </w:tc>
        <w:tc>
          <w:tcPr>
            <w:tcW w:type="dxa" w:w="2602"/>
            <w:vAlign w:val="center"/>
            <w:shd w:fill="EDF1F3"/>
          </w:tcPr>
          <w:p>
            <w:pPr>
              <w:keepNext/>
              <w:spacing w:line="320" w:lineRule="exact" w:after="0" w:before="0"/>
              <w:ind w:firstLine="0"/>
              <w:jc w:val="center"/>
            </w:pPr>
            <w:r>
              <w:rPr>
                <w:b/>
                <w:sz w:val="21"/>
              </w:rPr>
              <w:t>形成的输出</w:t>
            </w:r>
          </w:p>
        </w:tc>
      </w:tr>
      <w:tr>
        <w:trPr>
          <w:cantSplit/>
        </w:trPr>
        <w:tc>
          <w:tcPr>
            <w:tcW w:type="dxa" w:w="1638"/>
            <w:vAlign w:val="center"/>
          </w:tcPr>
          <w:p>
            <w:pPr>
              <w:keepNext w:val="0"/>
              <w:spacing w:line="320" w:lineRule="exact" w:after="0" w:before="0"/>
              <w:ind w:firstLine="0"/>
              <w:jc w:val="left"/>
            </w:pPr>
            <w:r>
              <w:rPr>
                <w:b w:val="0"/>
                <w:sz w:val="21"/>
              </w:rPr>
              <w:t>战略决策</w:t>
            </w:r>
          </w:p>
        </w:tc>
        <w:tc>
          <w:tcPr>
            <w:tcW w:type="dxa" w:w="2795"/>
            <w:vAlign w:val="center"/>
          </w:tcPr>
          <w:p>
            <w:pPr>
              <w:keepNext w:val="0"/>
              <w:spacing w:line="320" w:lineRule="exact" w:after="0" w:before="0"/>
              <w:ind w:firstLine="0"/>
              <w:jc w:val="left"/>
            </w:pPr>
            <w:r>
              <w:rPr>
                <w:b w:val="0"/>
                <w:sz w:val="21"/>
              </w:rPr>
              <w:t>方向、重大制度和资源权益事项</w:t>
            </w:r>
          </w:p>
        </w:tc>
        <w:tc>
          <w:tcPr>
            <w:tcW w:type="dxa" w:w="2602"/>
            <w:vAlign w:val="center"/>
          </w:tcPr>
          <w:p>
            <w:pPr>
              <w:keepNext w:val="0"/>
              <w:spacing w:line="320" w:lineRule="exact" w:after="0" w:before="0"/>
              <w:ind w:firstLine="0"/>
              <w:jc w:val="left"/>
            </w:pPr>
            <w:r>
              <w:rPr>
                <w:b w:val="0"/>
                <w:sz w:val="21"/>
              </w:rPr>
              <w:t>规划、重大风险和专题方案</w:t>
            </w:r>
          </w:p>
        </w:tc>
        <w:tc>
          <w:tcPr>
            <w:tcW w:type="dxa" w:w="2602"/>
            <w:vAlign w:val="center"/>
          </w:tcPr>
          <w:p>
            <w:pPr>
              <w:keepNext w:val="0"/>
              <w:spacing w:line="320" w:lineRule="exact" w:after="0" w:before="0"/>
              <w:ind w:firstLine="0"/>
              <w:jc w:val="left"/>
            </w:pPr>
            <w:r>
              <w:rPr>
                <w:b w:val="0"/>
                <w:sz w:val="21"/>
              </w:rPr>
              <w:t>决策、授权和资源安排</w:t>
            </w:r>
          </w:p>
        </w:tc>
      </w:tr>
      <w:tr>
        <w:trPr>
          <w:cantSplit/>
        </w:trPr>
        <w:tc>
          <w:tcPr>
            <w:tcW w:type="dxa" w:w="1638"/>
            <w:vAlign w:val="center"/>
          </w:tcPr>
          <w:p>
            <w:pPr>
              <w:keepNext w:val="0"/>
              <w:spacing w:line="320" w:lineRule="exact" w:after="0" w:before="0"/>
              <w:ind w:firstLine="0"/>
              <w:jc w:val="left"/>
            </w:pPr>
            <w:r>
              <w:rPr>
                <w:b w:val="0"/>
                <w:sz w:val="21"/>
              </w:rPr>
              <w:t>统筹管理</w:t>
            </w:r>
          </w:p>
        </w:tc>
        <w:tc>
          <w:tcPr>
            <w:tcW w:type="dxa" w:w="2795"/>
            <w:vAlign w:val="center"/>
          </w:tcPr>
          <w:p>
            <w:pPr>
              <w:keepNext w:val="0"/>
              <w:spacing w:line="320" w:lineRule="exact" w:after="0" w:before="0"/>
              <w:ind w:firstLine="0"/>
              <w:jc w:val="left"/>
            </w:pPr>
            <w:r>
              <w:rPr>
                <w:b w:val="0"/>
                <w:sz w:val="21"/>
              </w:rPr>
              <w:t>计划分解、协调和过程控制</w:t>
            </w:r>
          </w:p>
        </w:tc>
        <w:tc>
          <w:tcPr>
            <w:tcW w:type="dxa" w:w="2602"/>
            <w:vAlign w:val="center"/>
          </w:tcPr>
          <w:p>
            <w:pPr>
              <w:keepNext w:val="0"/>
              <w:spacing w:line="320" w:lineRule="exact" w:after="0" w:before="0"/>
              <w:ind w:firstLine="0"/>
              <w:jc w:val="left"/>
            </w:pPr>
            <w:r>
              <w:rPr>
                <w:b w:val="0"/>
                <w:sz w:val="21"/>
              </w:rPr>
              <w:t>决策、需求和阶段结果</w:t>
            </w:r>
          </w:p>
        </w:tc>
        <w:tc>
          <w:tcPr>
            <w:tcW w:type="dxa" w:w="2602"/>
            <w:vAlign w:val="center"/>
          </w:tcPr>
          <w:p>
            <w:pPr>
              <w:keepNext w:val="0"/>
              <w:spacing w:line="320" w:lineRule="exact" w:after="0" w:before="0"/>
              <w:ind w:firstLine="0"/>
              <w:jc w:val="left"/>
            </w:pPr>
            <w:r>
              <w:rPr>
                <w:b w:val="0"/>
                <w:sz w:val="21"/>
              </w:rPr>
              <w:t>任务计划、协调决定和进度报告</w:t>
            </w:r>
          </w:p>
        </w:tc>
      </w:tr>
      <w:tr>
        <w:trPr>
          <w:cantSplit/>
        </w:trPr>
        <w:tc>
          <w:tcPr>
            <w:tcW w:type="dxa" w:w="1638"/>
            <w:vAlign w:val="center"/>
          </w:tcPr>
          <w:p>
            <w:pPr>
              <w:keepNext w:val="0"/>
              <w:spacing w:line="320" w:lineRule="exact" w:after="0" w:before="0"/>
              <w:ind w:firstLine="0"/>
              <w:jc w:val="left"/>
            </w:pPr>
            <w:r>
              <w:rPr>
                <w:b w:val="0"/>
                <w:sz w:val="21"/>
              </w:rPr>
              <w:t>专业管控</w:t>
            </w:r>
          </w:p>
        </w:tc>
        <w:tc>
          <w:tcPr>
            <w:tcW w:type="dxa" w:w="2795"/>
            <w:vAlign w:val="center"/>
          </w:tcPr>
          <w:p>
            <w:pPr>
              <w:keepNext w:val="0"/>
              <w:spacing w:line="320" w:lineRule="exact" w:after="0" w:before="0"/>
              <w:ind w:firstLine="0"/>
              <w:jc w:val="left"/>
            </w:pPr>
            <w:r>
              <w:rPr>
                <w:b w:val="0"/>
                <w:sz w:val="21"/>
              </w:rPr>
              <w:t>技术、质量、标准和安全审核</w:t>
            </w:r>
          </w:p>
        </w:tc>
        <w:tc>
          <w:tcPr>
            <w:tcW w:type="dxa" w:w="2602"/>
            <w:vAlign w:val="center"/>
          </w:tcPr>
          <w:p>
            <w:pPr>
              <w:keepNext w:val="0"/>
              <w:spacing w:line="320" w:lineRule="exact" w:after="0" w:before="0"/>
              <w:ind w:firstLine="0"/>
              <w:jc w:val="left"/>
            </w:pPr>
            <w:r>
              <w:rPr>
                <w:b w:val="0"/>
                <w:sz w:val="21"/>
              </w:rPr>
              <w:t>设计、样本、规则和测试证据</w:t>
            </w:r>
          </w:p>
        </w:tc>
        <w:tc>
          <w:tcPr>
            <w:tcW w:type="dxa" w:w="2602"/>
            <w:vAlign w:val="center"/>
          </w:tcPr>
          <w:p>
            <w:pPr>
              <w:keepNext w:val="0"/>
              <w:spacing w:line="320" w:lineRule="exact" w:after="0" w:before="0"/>
              <w:ind w:firstLine="0"/>
              <w:jc w:val="left"/>
            </w:pPr>
            <w:r>
              <w:rPr>
                <w:b w:val="0"/>
                <w:sz w:val="21"/>
              </w:rPr>
              <w:t>评审结论、约束及整改要求</w:t>
            </w:r>
          </w:p>
        </w:tc>
      </w:tr>
      <w:tr>
        <w:trPr>
          <w:cantSplit/>
        </w:trPr>
        <w:tc>
          <w:tcPr>
            <w:tcW w:type="dxa" w:w="1638"/>
            <w:vAlign w:val="center"/>
          </w:tcPr>
          <w:p>
            <w:pPr>
              <w:keepNext w:val="0"/>
              <w:spacing w:line="320" w:lineRule="exact" w:after="0" w:before="0"/>
              <w:ind w:firstLine="0"/>
              <w:jc w:val="left"/>
            </w:pPr>
            <w:r>
              <w:rPr>
                <w:b w:val="0"/>
                <w:sz w:val="21"/>
              </w:rPr>
              <w:t>任务执行</w:t>
            </w:r>
          </w:p>
        </w:tc>
        <w:tc>
          <w:tcPr>
            <w:tcW w:type="dxa" w:w="2795"/>
            <w:vAlign w:val="center"/>
          </w:tcPr>
          <w:p>
            <w:pPr>
              <w:keepNext w:val="0"/>
              <w:spacing w:line="320" w:lineRule="exact" w:after="0" w:before="0"/>
              <w:ind w:firstLine="0"/>
              <w:jc w:val="left"/>
            </w:pPr>
            <w:r>
              <w:rPr>
                <w:b w:val="0"/>
                <w:sz w:val="21"/>
              </w:rPr>
              <w:t>数据生产、平台配置和服务交付</w:t>
            </w:r>
          </w:p>
        </w:tc>
        <w:tc>
          <w:tcPr>
            <w:tcW w:type="dxa" w:w="2602"/>
            <w:vAlign w:val="center"/>
          </w:tcPr>
          <w:p>
            <w:pPr>
              <w:keepNext w:val="0"/>
              <w:spacing w:line="320" w:lineRule="exact" w:after="0" w:before="0"/>
              <w:ind w:firstLine="0"/>
              <w:jc w:val="left"/>
            </w:pPr>
            <w:r>
              <w:rPr>
                <w:b w:val="0"/>
                <w:sz w:val="21"/>
              </w:rPr>
              <w:t>已批准任务、规范和资源</w:t>
            </w:r>
          </w:p>
        </w:tc>
        <w:tc>
          <w:tcPr>
            <w:tcW w:type="dxa" w:w="2602"/>
            <w:vAlign w:val="center"/>
          </w:tcPr>
          <w:p>
            <w:pPr>
              <w:keepNext w:val="0"/>
              <w:spacing w:line="320" w:lineRule="exact" w:after="0" w:before="0"/>
              <w:ind w:firstLine="0"/>
              <w:jc w:val="left"/>
            </w:pPr>
            <w:r>
              <w:rPr>
                <w:b w:val="0"/>
                <w:sz w:val="21"/>
              </w:rPr>
              <w:t>版本成果、执行记录和问题单</w:t>
            </w:r>
          </w:p>
        </w:tc>
      </w:tr>
      <w:tr>
        <w:trPr>
          <w:cantSplit/>
        </w:trPr>
        <w:tc>
          <w:tcPr>
            <w:tcW w:type="dxa" w:w="1638"/>
            <w:vAlign w:val="center"/>
          </w:tcPr>
          <w:p>
            <w:pPr>
              <w:keepNext w:val="0"/>
              <w:spacing w:line="320" w:lineRule="exact" w:after="0" w:before="0"/>
              <w:ind w:firstLine="0"/>
              <w:jc w:val="left"/>
            </w:pPr>
            <w:r>
              <w:rPr>
                <w:b w:val="0"/>
                <w:sz w:val="21"/>
              </w:rPr>
              <w:t>参与协作</w:t>
            </w:r>
          </w:p>
        </w:tc>
        <w:tc>
          <w:tcPr>
            <w:tcW w:type="dxa" w:w="2795"/>
            <w:vAlign w:val="center"/>
          </w:tcPr>
          <w:p>
            <w:pPr>
              <w:keepNext w:val="0"/>
              <w:spacing w:line="320" w:lineRule="exact" w:after="0" w:before="0"/>
              <w:ind w:firstLine="0"/>
              <w:jc w:val="left"/>
            </w:pPr>
            <w:r>
              <w:rPr>
                <w:b w:val="0"/>
                <w:sz w:val="21"/>
              </w:rPr>
              <w:t>资源供给、应用反馈和专业合作</w:t>
            </w:r>
          </w:p>
        </w:tc>
        <w:tc>
          <w:tcPr>
            <w:tcW w:type="dxa" w:w="2602"/>
            <w:vAlign w:val="center"/>
          </w:tcPr>
          <w:p>
            <w:pPr>
              <w:keepNext w:val="0"/>
              <w:spacing w:line="320" w:lineRule="exact" w:after="0" w:before="0"/>
              <w:ind w:firstLine="0"/>
              <w:jc w:val="left"/>
            </w:pPr>
            <w:r>
              <w:rPr>
                <w:b w:val="0"/>
                <w:sz w:val="21"/>
              </w:rPr>
              <w:t>协作约定和任务要求</w:t>
            </w:r>
          </w:p>
        </w:tc>
        <w:tc>
          <w:tcPr>
            <w:tcW w:type="dxa" w:w="2602"/>
            <w:vAlign w:val="center"/>
          </w:tcPr>
          <w:p>
            <w:pPr>
              <w:keepNext w:val="0"/>
              <w:spacing w:line="320" w:lineRule="exact" w:after="0" w:before="0"/>
              <w:ind w:firstLine="0"/>
              <w:jc w:val="left"/>
            </w:pPr>
            <w:r>
              <w:rPr>
                <w:b w:val="0"/>
                <w:sz w:val="21"/>
              </w:rPr>
              <w:t>数据、验证意见及协同成果</w:t>
            </w:r>
          </w:p>
        </w:tc>
      </w:tr>
    </w:tbl>
    <w:p>
      <w:pPr>
        <w:spacing w:after="40" w:line="240" w:lineRule="auto"/>
        <w:ind w:firstLine="0"/>
      </w:pPr>
      <w:r>
        <w:rPr>
          <w:sz w:val="4"/>
        </w:rPr>
      </w:r>
    </w:p>
    <w:p>
      <w:pPr>
        <w:jc w:val="both"/>
      </w:pPr>
      <w:r>
        <w:t>每项重要任务明确主责、执行、审核、批准和知会岗位。主责岗位对成果完整性和推进负责，专业审核对相应判断负责，批准岗位按权限承担决策责任。多人参与不分散主责，跨层级问题记录升级原因和待决事项。</w:t>
      </w:r>
    </w:p>
    <w:p>
      <w:pPr>
        <w:jc w:val="both"/>
      </w:pPr>
      <w:r>
        <w:t>授权矩阵规定日常事项、重要变更和重大事项的权限范围。一般任务在既定规则内执行，超出数据用途、预算、服务范围或安全条件的事项按权限升级。临时授权明确对象、期限和可执行动作，到期复核或回收，相关操作保留审计。</w:t>
      </w:r>
    </w:p>
    <w:p>
      <w:pPr>
        <w:jc w:val="both"/>
      </w:pPr>
      <w:r>
        <w:t>责任落实通过计划、任务和成果核验。每次阶段检查从目标追溯到任务，再从任务查验实际产出；发现职责缺口时及时指定主责并修订职责清单。对反复出现的跨层级等待，分析授权不足、材料缺失或规则不清，采取相应改进。</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7" name="Picture 7"/>
            <wp:cNvGraphicFramePr>
              <a:graphicFrameLocks noChangeAspect="1"/>
            </wp:cNvGraphicFramePr>
            <a:graphic>
              <a:graphicData uri="http://schemas.openxmlformats.org/drawingml/2006/picture">
                <pic:pic>
                  <pic:nvPicPr>
                    <pic:cNvPr id="0" name="图14_五级责任体系.png"/>
                    <pic:cNvPicPr/>
                  </pic:nvPicPr>
                  <pic:blipFill>
                    <a:blip r:embed="rId17"/>
                    <a:stretch>
                      <a:fillRect/>
                    </a:stretch>
                  </pic:blipFill>
                  <pic:spPr>
                    <a:xfrm>
                      <a:off x="0" y="0"/>
                      <a:ext cx="6048000" cy="3004615"/>
                    </a:xfrm>
                    <a:prstGeom prst="rect"/>
                  </pic:spPr>
                </pic:pic>
              </a:graphicData>
            </a:graphic>
          </wp:inline>
        </w:drawing>
      </w:r>
    </w:p>
    <w:p>
      <w:pPr>
        <w:pStyle w:val="Caption"/>
        <w:jc w:val="center"/>
      </w:pPr>
      <w:r>
        <w:t>图 14-1 五级组织责任体系</w:t>
      </w:r>
    </w:p>
    <w:p>
      <w:pPr>
        <w:pStyle w:val="Heading2"/>
      </w:pPr>
      <w:r>
        <w:t>14.2 跨主体协同汇聚机制</w:t>
      </w:r>
    </w:p>
    <w:p>
      <w:pPr>
        <w:jc w:val="both"/>
      </w:pPr>
      <w:r>
        <w:t>跨主体协同以资源目录和具体任务为纽带，统一供给协议、对象标识、质量要求及交接方式。提供主体对来源及业务事实负责，加工岗位对转换和标注负责，专业岗位对相应判断负责，运营岗位对授权服务和版本管理负责。各方责任沿数据过程保持可追溯。</w:t>
      </w:r>
    </w:p>
    <w:p>
      <w:pPr>
        <w:jc w:val="both"/>
      </w:pPr>
      <w:r>
        <w:t>协同启动前确认主体资格、合作范围、授权条件、费用和成果使用规则。实施中通过任务和交付记录管理，新增范围及时评估并确认。对同一资源的重复加工、共同完善和持续更新分别登记贡献，形成后续质量责任及价值分配依据。</w:t>
      </w:r>
    </w:p>
    <w:p>
      <w:pPr>
        <w:jc w:val="both"/>
      </w:pPr>
      <w:r>
        <w:t>协同运行设置固定联系和异常联系渠道，接口变更、数据中断、质量问题及授权变化按规定通知。问题单记录影响版本和服务，主责岗位组织处理，配合岗位按约定提供材料。复杂争议提交专业或管理层处理，日常执行保持有据可查。</w:t>
      </w:r>
    </w:p>
    <w:p>
      <w:pPr>
        <w:jc w:val="both"/>
      </w:pPr>
      <w:r>
        <w:t>机制执行评价关注来源覆盖、增量连续性、质量改善、争议处理和有效使用。新增主体数量与数据实际贡献分别统计，长期没有有效供给或无法满足质量条件的协作关系进行评估。新主体接入优先复用成熟模板和接口，必要差异通过配置与补充约定处理。</w:t>
      </w:r>
    </w:p>
    <w:p>
      <w:pPr>
        <w:pStyle w:val="Heading2"/>
      </w:pPr>
      <w:r>
        <w:t>14.3 全周期管理机制</w:t>
      </w:r>
    </w:p>
    <w:p>
      <w:pPr>
        <w:jc w:val="both"/>
      </w:pPr>
      <w:r>
        <w:t>全周期管理覆盖需求、资源、生产、验证、发布运营和退役六个阶段。每个阶段明确准入条件、责任、质量检查和产出，阶段完成状态与实际证据关联。数据对象、任务和版本保持统一标识，使管理能够从单条样本延伸到产品服务。</w:t>
      </w:r>
    </w:p>
    <w:p>
      <w:pPr>
        <w:jc w:val="both"/>
      </w:pPr>
      <w:r>
        <w:t>需求阶段确认用途与质量，资源阶段确认来源与权限，生产阶段执行标准及工具配置，验证阶段形成训练和业务结论，发布运营阶段控制授权及更新，退役阶段处理存量使用和历史证据。任何阶段发生重大变化，均评估对上下游对象的影响。</w:t>
      </w:r>
    </w:p>
    <w:p>
      <w:pPr>
        <w:jc w:val="both"/>
      </w:pPr>
      <w:r>
        <w:t>异常处理按缺陷类型返回具体环节。来源许可问题返回准入核查，标签冲突返回专业复核，分布不足返回采集或补数，模型表现异常进入数据与模型联合分析，服务授权问题返回审批与配置核查。返回处理形成新的任务和版本，保留原有状态。</w:t>
      </w:r>
    </w:p>
    <w:p>
      <w:pPr>
        <w:jc w:val="both"/>
      </w:pPr>
      <w:r>
        <w:t>管理机制同时覆盖静态资源与持续更新资源。静态资源按版本验收，增量资源按批次检查并周期汇总；更新频率、数据年龄和使用情况进入运行监控。历史数据保留时间、备份、恢复和删除按许可及管理要求执行。</w:t>
      </w:r>
    </w:p>
    <w:p>
      <w:pPr>
        <w:jc w:val="both"/>
      </w:pPr>
      <w:r>
        <w:t>阶段评价将数据质量和业务适用性结合，检查数据是否能够在实际训练及场景验证中使用。正式发布前具备质检报告和绑定版本的验证报告，未通过的成果保持候选状态。质量整改与版本审批分别确认，修复动作完成后仍需经过复核。</w:t>
      </w:r>
    </w:p>
    <w:p>
      <w:pPr>
        <w:pStyle w:val="Heading2"/>
      </w:pPr>
      <w:r>
        <w:t>14.4 绩效考核与激励机制</w:t>
      </w:r>
    </w:p>
    <w:p>
      <w:pPr>
        <w:jc w:val="both"/>
      </w:pPr>
      <w:r>
        <w:t>绩效考核按角色和任务设置，覆盖数据供给、生产加工、专业复核、标准建设、平台服务及运营交付。每项指标明确对象、公式、周期、数据来源、例外条件及核验岗位。数量、质量、及时性和有效使用共同评价，避免单一产量指标驱动重复数据和低质量产出。</w:t>
      </w:r>
    </w:p>
    <w:p>
      <w:pPr>
        <w:jc w:val="both"/>
      </w:pPr>
      <w:r>
        <w:t>数据供给评价有效新增、关键覆盖、合规完整及更新稳定；生产评价合格产出、返工、处理工时和记录完整；专家评价专业判断、履职及知识贡献；运营评价交付、服务质量、用户问题和成本；标准制度评价实际执行及问题改善。不同任务的复杂度分层统计。</w:t>
      </w:r>
    </w:p>
    <w:p>
      <w:pPr>
        <w:jc w:val="both"/>
      </w:pPr>
      <w:r>
        <w:t>考核数据优先取自受控系统和已确认记录，人工补充需注明依据并审核。统计期间、分母和剔除规则在评价前确定，不能为改善结果临时调整。对跨岗位共同完成的任务分别评价可归属贡献，不重复计算同一成果。</w:t>
      </w:r>
    </w:p>
    <w:p>
      <w:pPr>
        <w:jc w:val="both"/>
      </w:pPr>
      <w:r>
        <w:t>激励方案与质量和合规约束联动。未通过质量验收的产出不进入有效贡献奖励，存在来源问题的资源暂缓激励，安全违规按制度处理。经批准的激励可采用培训支持、专业认可、服务权益及相应费用安排，预算和审批责任明确。</w:t>
      </w:r>
    </w:p>
    <w:p>
      <w:pPr>
        <w:jc w:val="both"/>
      </w:pPr>
      <w:r>
        <w:t>考核结果向相关对象反馈，提供申诉及复核途径。申诉围绕具体记录、计算或事实提出，复核由具有独立性和相应权限的岗位办理。复核调整保留原结果、理由和批准记录，改进措施进入后续任务。</w:t>
      </w:r>
    </w:p>
    <w:p>
      <w:pPr>
        <w:pStyle w:val="Heading2"/>
      </w:pPr>
      <w:r>
        <w:t>14.5 能力复用机制</w:t>
      </w:r>
    </w:p>
    <w:p>
      <w:pPr>
        <w:jc w:val="both"/>
      </w:pPr>
      <w:r>
        <w:t>能力复用以经过验证的规则、工具配置、标注规范、数据字典、工艺包、接口适配和专家知识为对象。复用目录记录适用范围、输入条件、依赖、版本、权利、验证结果及维护责任。未经验证的实验代码或个人经验先进入候选区，完成审核后发布。</w:t>
      </w:r>
    </w:p>
    <w:p>
      <w:pPr>
        <w:jc w:val="both"/>
      </w:pPr>
      <w:r>
        <w:t>复用申请先判断目标场景与原适用条件的差异。设备型号、材料、工艺、来源系统、采样条件或标签定义变化时，形成差异检查和适配任务。复用过程中保留原版本与新版本关系，不能通过直接修改公共配置影响其他正在运行的任务。</w:t>
      </w:r>
    </w:p>
    <w:p>
      <w:pPr>
        <w:jc w:val="both"/>
      </w:pPr>
      <w:r>
        <w:t>能力包交付包含运行配置、接口结构、规则说明、代表样本、质量检查和异常处理。部署后先通过固定回归样本，再验证目标业务样本。跨来源适配效果单独统计，发现质量下降时停止扩大使用并重新确认适用范围。</w:t>
      </w:r>
    </w:p>
    <w:p>
      <w:pPr>
        <w:jc w:val="both"/>
      </w:pPr>
      <w:r>
        <w:t>复用成效通过准备时间、重复开发工作量、维护成本和质量比较评价。节省工时以同类任务的实际记录为依据，新增适配和复核投入计入成本。复用次数与有效复用分别统计，导入能力包但未实际运行不计入使用成效。</w:t>
      </w:r>
    </w:p>
    <w:p>
      <w:pPr>
        <w:jc w:val="both"/>
      </w:pPr>
      <w:r>
        <w:t>公共能力维护建立版本兼容和退出机制。重要升级通知使用任务，提供迁移说明及回归要求；旧版本停止维护前确认使用情况和替代安排。出现共性缺陷时通过使用关系定位所有受影响任务，统一组织修复和验证。</w:t>
      </w:r>
    </w:p>
    <w:p>
      <w:pPr>
        <w:pStyle w:val="Heading1"/>
      </w:pPr>
      <w:r>
        <w:t>15 管理机制的执行控制</w:t>
      </w:r>
    </w:p>
    <w:p>
      <w:pPr>
        <w:pStyle w:val="Heading2"/>
      </w:pPr>
      <w:r>
        <w:t>15.1 议事与决策执行</w:t>
      </w:r>
    </w:p>
    <w:p>
      <w:pPr>
        <w:jc w:val="both"/>
      </w:pPr>
      <w:r>
        <w:t>管理事项按权限进入日常处理、专题评审或重大事项决策。提交材料写明问题、依据、可选方案、影响和需要决定的内容，材料不齐时明确补充要求。决策记录注明适用范围和有效条件，执行岗位据此安排任务。</w:t>
      </w:r>
    </w:p>
    <w:p>
      <w:pPr>
        <w:jc w:val="both"/>
      </w:pPr>
      <w:r>
        <w:t>会议纪要落实到行动清单，包含责任、完成时间、产出和复核方式。涉及跨部门事项由主责岗位统一协调，配合岗位明确交付内容。行动完成后提交证据，复核通过再关闭；未完成事项分析原因并更新计划。</w:t>
      </w:r>
    </w:p>
    <w:p>
      <w:pPr>
        <w:pStyle w:val="Heading2"/>
      </w:pPr>
      <w:r>
        <w:t>15.2 合作权益与成果管理</w:t>
      </w:r>
    </w:p>
    <w:p>
      <w:pPr>
        <w:jc w:val="both"/>
      </w:pPr>
      <w:r>
        <w:t>合作开始前确认已有知识、拟投入资源和预期成果，分别登记权利及使用条件。共同形成的标准、软件、模型、数据集和方法按约定记录贡献及使用范围。第三方材料和组件单独核查许可，避免新成果包含无法交付或无法商业使用的内容。</w:t>
      </w:r>
    </w:p>
    <w:p>
      <w:pPr>
        <w:jc w:val="both"/>
      </w:pPr>
      <w:r>
        <w:t>成果登记包含名称、类型、版本、形成任务、参与主体、权利依据、保密级别和可使用范围。对外发布、申请知识产权或提供给其他用户时，按规定完成审核。成果更改或下架同步更新目录和使用关系，历史授权保留可追溯记录。</w:t>
      </w:r>
    </w:p>
    <w:p>
      <w:pPr>
        <w:pStyle w:val="Heading2"/>
      </w:pPr>
      <w:r>
        <w:t>15.3 档案与配置管理</w:t>
      </w:r>
    </w:p>
    <w:p>
      <w:pPr>
        <w:jc w:val="both"/>
      </w:pPr>
      <w:r>
        <w:t>档案按项目、任务和版本归集，包含制度、标准、数据、测试、审批、会议和服务记录。文件名、标识、状态及保存位置统一管理，重要文件保存摘要和批准信息。工作草稿与正式成果分别存放，正式发布渠道只展示有效版本。</w:t>
      </w:r>
    </w:p>
    <w:p>
      <w:pPr>
        <w:jc w:val="both"/>
      </w:pPr>
      <w:r>
        <w:t>配置管理覆盖工具、模型、接口、权限、规则和环境。变更申请描述原因、影响、验证及回退方式，批准后实施并记录实际结果。紧急故障处理先控制影响，随后补齐必要记录和复核，临时配置设置复查时间。</w:t>
      </w:r>
    </w:p>
    <w:p>
      <w:pPr>
        <w:pStyle w:val="Heading2"/>
      </w:pPr>
      <w:r>
        <w:t>15.4 资金及资源控制</w:t>
      </w:r>
    </w:p>
    <w:p>
      <w:pPr>
        <w:jc w:val="both"/>
      </w:pPr>
      <w:r>
        <w:t>实施和运营所需资源按任务规划，明确人员、计算存储、专家服务和外部协作等投入。费用事项对应合同、批准计划或任务，支出与实际履约证据核对。共享资源分配记录用途和使用情况，便于分析成本及调整容量。</w:t>
      </w:r>
    </w:p>
    <w:p>
      <w:pPr>
        <w:jc w:val="both"/>
      </w:pPr>
      <w:r>
        <w:t>资源不足影响质量或进度时，优先分析瓶颈和任务优先级，提出补充资源、优化工艺或调整排期方案。调整经过相应权限批准，质量与安全条件保持执行。运营服务的收益、成本及公共服务投入分别归集，定期形成核对结果。</w:t>
      </w:r>
    </w:p>
    <w:p>
      <w:pPr>
        <w:pStyle w:val="Heading2"/>
      </w:pPr>
      <w:r>
        <w:t>15.5 保密与环境管理</w:t>
      </w:r>
    </w:p>
    <w:p>
      <w:pPr>
        <w:jc w:val="both"/>
      </w:pPr>
      <w:r>
        <w:t>人员在接触数据前完成保密和安全要求确认，按岗位配置权限。现场及远程访问遵循甲方管理要求，敏感资料的复制、带离、导出和销毁留存审批及记录。项目结束或人员离岗时核对账号、介质、文件和资料交接。项目原始数据及加工生产活动均在甲方指定的本地受控环境实施，原始数据不得上传云端处理。模型调用、远程维护和工具调试检查实际数据流向，关闭未经批准的外传通道；日志、提示材料、临时文件和故障附件同步执行数据保护要求，防止通过辅助渠道泄露资料。</w:t>
      </w:r>
    </w:p>
    <w:p>
      <w:pPr>
        <w:jc w:val="both"/>
      </w:pPr>
      <w:r>
        <w:t>环境管理关注生产任务对现场、源系统及计算资源的影响。数据采集安排与现场作业协调，避免未经批准干扰设备和业务运行。计算资源按任务需求配置，监测空闲占用、重复运行和无效存储，通过合理调度及清理降低资源浪费，保留必要审计和恢复资料。</w:t>
      </w:r>
    </w:p>
    <w:p>
      <w:pPr>
        <w:pStyle w:val="Heading2"/>
      </w:pPr>
      <w:r>
        <w:t>15.6 监督检查与整改</w:t>
      </w:r>
    </w:p>
    <w:p>
      <w:pPr>
        <w:jc w:val="both"/>
      </w:pPr>
      <w:r>
        <w:t>监督检查采用计划检查和问题触发检查相结合的方式，检查范围覆盖责任落实、数据权限、质量流程、费用、档案和协同执行。抽查从实际任务选取，验证制度条款是否转化为操作和记录。问题分类并明确影响，不以材料齐全代替实际合规和质量。</w:t>
      </w:r>
    </w:p>
    <w:p>
      <w:pPr>
        <w:jc w:val="both"/>
      </w:pPr>
      <w:r>
        <w:t>整改任务规定措施、责任和验证方法，关闭依据为实际修订及复核结果。重复问题分析制度设计、人员能力、技术控制和资源条件，采取针对性改进。重要整改结果纳入培训、配置和规则更新，后续检查确认问题没有反复发生。</w:t>
      </w:r>
    </w:p>
    <w:p>
      <w:pPr>
        <w:pStyle w:val="Heading1"/>
      </w:pPr>
      <w:r>
        <w:t>16 行业标准与五位一体标准体系</w:t>
      </w:r>
    </w:p>
    <w:p>
      <w:pPr>
        <w:pStyle w:val="Heading2"/>
      </w:pPr>
      <w:r>
        <w:t>16.1 标准建设组织与技术路线</w:t>
      </w:r>
    </w:p>
    <w:p>
      <w:pPr>
        <w:jc w:val="both"/>
      </w:pPr>
      <w:r>
        <w:t>我方将牵头制定两项关键行业标准，构建包含十八项细分标准的五位一体标准体系，制定六项项目实施技术规范。标准建设与数据生产同步开展，将实际业务对象、加工方法、质量测量和服务交付转化为可检验的条款，避免标准内容与生产操作脱节。</w:t>
      </w:r>
    </w:p>
    <w:p>
      <w:pPr>
        <w:jc w:val="both"/>
      </w:pPr>
      <w:r>
        <w:t>标准任务分别设置牵头、起草、业务验证、质量审核和发布管理责任。标准编制专家负责结构和规范性要求，数据生产专家负责处理规则，质量管控专家负责检验方法，行业应用专家负责业务适用性，安全合规专家审核流通与使用约束。项目管理岗位负责进度、征求意见和过程档案。</w:t>
      </w:r>
    </w:p>
    <w:p>
      <w:pPr>
        <w:jc w:val="both"/>
      </w:pPr>
      <w:r>
        <w:t>编制前建立标准需求清单，核查现行适用标准及相关项目，明确引用关系、已有规定和本项目需细化的内容。已经存在且适用的要求直接执行，行业特有对象、字段关系和质量方法通过补充规定落地。引用文件登记名称、版本和有效状态，版本变化时评估对已形成条款及运行配置的影响。</w:t>
      </w:r>
    </w:p>
    <w:p>
      <w:pPr>
        <w:jc w:val="both"/>
      </w:pPr>
      <w:r>
        <w:t>每项标准采用需求分析、提纲评审、条款起草、样本验证、征求意见、修改审查和发布实施的过程。验证样本覆盖主要业务类型、边界条件和异常情况，记录条款是否能够操作、结果是否能够复核、不同岗位理解是否一致。存在歧义或无法测量的条款在发布前完成修订。</w:t>
      </w:r>
    </w:p>
    <w:p>
      <w:pPr>
        <w:pStyle w:val="Heading2"/>
      </w:pPr>
      <w:r>
        <w:t>16.2 两项关键行业标准的牵头制定</w:t>
      </w:r>
    </w:p>
    <w:p>
      <w:pPr>
        <w:jc w:val="both"/>
      </w:pPr>
      <w:r>
        <w:t>第一项拟推进矿山装备制造领域高质量数据集建设要求，覆盖数据资源分类、采集接入、加工标注、用途划分、质量控制、版本发布和更新管理。以供需计划、产品工艺设计、制造过程、产品质量四类数据为验证对象，统一设备、零部件、订单、工序、检验和故障等核心对象的表达要求，规定各环节应保存的来源及处理记录。</w:t>
      </w:r>
    </w:p>
    <w:p>
      <w:pPr>
        <w:jc w:val="both"/>
      </w:pPr>
      <w:r>
        <w:t>该标准重点解决行业数据结构差异大、专业语义依赖强、跨环节关系难以保留的问题。对文本明确章节、表格、术语和业务关系保留要求；对图像明确目标、尺寸、缺陷及来源关联；对时序明确采样、单位、时间基准、工况和有效窗口；对视频明确事件、片段、时间戳及与其他数据的对应关系。标准规定数据集版本的组成、用途限制、更新和撤回条件，形成可供行业重复执行的建设方法。</w:t>
      </w:r>
    </w:p>
    <w:p>
      <w:pPr>
        <w:jc w:val="both"/>
      </w:pPr>
      <w:r>
        <w:t>第二项拟推进矿山装备制造领域高质量数据集质量评价与应用验证要求，覆盖质量指标、样本抽取、缺陷分级、评测执行、结果判定、整改复测和应用验证。质量评价区分数据本身、加工过程及应用适用性，保持指标定义、样本边界和统计口径明确，避免以模型单项效果替代数据整体质量。</w:t>
      </w:r>
    </w:p>
    <w:p>
      <w:pPr>
        <w:jc w:val="both"/>
      </w:pPr>
      <w:r>
        <w:t>该标准重点明确专业事实、对象关联、跨模态一致性、标签可靠性及业务场景验证的检查方法。质量抽样覆盖业务域、数据模态、来源、风险和主要长尾类别，抽样清单与数据集版本绑定。应用验证固定任务条件、模型配置和评价方式，报告同时保留总体结果、分层结果及失败样本，保证评价能够复现和追溯。</w:t>
      </w:r>
    </w:p>
    <w:p>
      <w:pPr>
        <w:jc w:val="both"/>
      </w:pPr>
      <w:r>
        <w:t>我方负责组织标准需求论证、立项材料编制及申报、起草协作、征求意见、试验验证、审查材料和报批材料形成，推动两项标准按规定程序制定。成立起草工作组，明确参与单位和章节责任，形成阶段计划并跟踪立项、征求意见、技术审查及报批等关键节点。对征求意见逐条登记采纳情况及技术依据，对审查提出的问题完成修订与再次核验。</w:t>
      </w:r>
    </w:p>
    <w:p>
      <w:pPr>
        <w:jc w:val="both"/>
      </w:pPr>
      <w:r>
        <w:t>标准档案按项目归集，包含需求和立项资料、起草版本、样本及验证报告、征求意见与处理记录、审查材料、报批材料及后续程序记录。行业标准进展与项目执行规范分别管理，项目生产按照已批准且适用的技术要求开展。标准制定过程中形成的成熟技术条款及时转化为项目规范，经变更评估和批准后实施。</w:t>
      </w:r>
    </w:p>
    <w:p>
      <w:pPr>
        <w:pStyle w:val="Heading2"/>
      </w:pPr>
      <w:r>
        <w:t>16.3 五位一体标准体系组成</w:t>
      </w:r>
    </w:p>
    <w:p>
      <w:pPr>
        <w:jc w:val="both"/>
      </w:pPr>
      <w:r>
        <w:t>五位一体标准体系由基础通用、资源治理、加工标注、质量验证、运营安全五个部分构成，共设置十八项细分标准。五个部分通过统一对象标识、元数据、版本和审计关联，形成从资源进入到服务退出的完整要求。各项标准明确适用对象、输入条件、操作要求、输出记录和检查方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体系部分</w:t>
            </w:r>
          </w:p>
        </w:tc>
        <w:tc>
          <w:tcPr>
            <w:tcW w:type="dxa" w:w="2795"/>
            <w:vAlign w:val="center"/>
            <w:shd w:fill="EDF1F3"/>
          </w:tcPr>
          <w:p>
            <w:pPr>
              <w:keepNext/>
              <w:spacing w:line="320" w:lineRule="exact" w:after="0" w:before="0"/>
              <w:ind w:firstLine="0"/>
              <w:jc w:val="center"/>
            </w:pPr>
            <w:r>
              <w:rPr>
                <w:b/>
                <w:sz w:val="21"/>
              </w:rPr>
              <w:t>细分标准数量</w:t>
            </w:r>
          </w:p>
        </w:tc>
        <w:tc>
          <w:tcPr>
            <w:tcW w:type="dxa" w:w="2602"/>
            <w:vAlign w:val="center"/>
            <w:shd w:fill="EDF1F3"/>
          </w:tcPr>
          <w:p>
            <w:pPr>
              <w:keepNext/>
              <w:spacing w:line="320" w:lineRule="exact" w:after="0" w:before="0"/>
              <w:ind w:firstLine="0"/>
              <w:jc w:val="center"/>
            </w:pPr>
            <w:r>
              <w:rPr>
                <w:b/>
                <w:sz w:val="21"/>
              </w:rPr>
              <w:t>主要管控对象</w:t>
            </w:r>
          </w:p>
        </w:tc>
        <w:tc>
          <w:tcPr>
            <w:tcW w:type="dxa" w:w="2602"/>
            <w:vAlign w:val="center"/>
            <w:shd w:fill="EDF1F3"/>
          </w:tcPr>
          <w:p>
            <w:pPr>
              <w:keepNext/>
              <w:spacing w:line="320" w:lineRule="exact" w:after="0" w:before="0"/>
              <w:ind w:firstLine="0"/>
              <w:jc w:val="center"/>
            </w:pPr>
            <w:r>
              <w:rPr>
                <w:b/>
                <w:sz w:val="21"/>
              </w:rPr>
              <w:t>与其他部分的联系</w:t>
            </w:r>
          </w:p>
        </w:tc>
      </w:tr>
      <w:tr>
        <w:trPr>
          <w:cantSplit/>
        </w:trPr>
        <w:tc>
          <w:tcPr>
            <w:tcW w:type="dxa" w:w="1638"/>
            <w:vAlign w:val="center"/>
          </w:tcPr>
          <w:p>
            <w:pPr>
              <w:keepNext w:val="0"/>
              <w:spacing w:line="320" w:lineRule="exact" w:after="0" w:before="0"/>
              <w:ind w:firstLine="0"/>
              <w:jc w:val="left"/>
            </w:pPr>
            <w:r>
              <w:rPr>
                <w:b w:val="0"/>
                <w:sz w:val="21"/>
              </w:rPr>
              <w:t>基础通用</w:t>
            </w:r>
          </w:p>
        </w:tc>
        <w:tc>
          <w:tcPr>
            <w:tcW w:type="dxa" w:w="2795"/>
            <w:vAlign w:val="center"/>
          </w:tcPr>
          <w:p>
            <w:pPr>
              <w:keepNext w:val="0"/>
              <w:spacing w:line="320" w:lineRule="exact" w:after="0" w:before="0"/>
              <w:ind w:firstLine="0"/>
              <w:jc w:val="left"/>
            </w:pPr>
            <w:r>
              <w:rPr>
                <w:b w:val="0"/>
                <w:sz w:val="21"/>
              </w:rPr>
              <w:t>3项</w:t>
            </w:r>
          </w:p>
        </w:tc>
        <w:tc>
          <w:tcPr>
            <w:tcW w:type="dxa" w:w="2602"/>
            <w:vAlign w:val="center"/>
          </w:tcPr>
          <w:p>
            <w:pPr>
              <w:keepNext w:val="0"/>
              <w:spacing w:line="320" w:lineRule="exact" w:after="0" w:before="0"/>
              <w:ind w:firstLine="0"/>
              <w:jc w:val="left"/>
            </w:pPr>
            <w:r>
              <w:rPr>
                <w:b w:val="0"/>
                <w:sz w:val="21"/>
              </w:rPr>
              <w:t>术语分类、对象标识、元数据</w:t>
            </w:r>
          </w:p>
        </w:tc>
        <w:tc>
          <w:tcPr>
            <w:tcW w:type="dxa" w:w="2602"/>
            <w:vAlign w:val="center"/>
          </w:tcPr>
          <w:p>
            <w:pPr>
              <w:keepNext w:val="0"/>
              <w:spacing w:line="320" w:lineRule="exact" w:after="0" w:before="0"/>
              <w:ind w:firstLine="0"/>
              <w:jc w:val="left"/>
            </w:pPr>
            <w:r>
              <w:rPr>
                <w:b w:val="0"/>
                <w:sz w:val="21"/>
              </w:rPr>
              <w:t>为资源、生产、质量和运营提供共同表达</w:t>
            </w:r>
          </w:p>
        </w:tc>
      </w:tr>
      <w:tr>
        <w:trPr>
          <w:cantSplit/>
        </w:trPr>
        <w:tc>
          <w:tcPr>
            <w:tcW w:type="dxa" w:w="1638"/>
            <w:vAlign w:val="center"/>
          </w:tcPr>
          <w:p>
            <w:pPr>
              <w:keepNext w:val="0"/>
              <w:spacing w:line="320" w:lineRule="exact" w:after="0" w:before="0"/>
              <w:ind w:firstLine="0"/>
              <w:jc w:val="left"/>
            </w:pPr>
            <w:r>
              <w:rPr>
                <w:b w:val="0"/>
                <w:sz w:val="21"/>
              </w:rPr>
              <w:t>资源治理</w:t>
            </w:r>
          </w:p>
        </w:tc>
        <w:tc>
          <w:tcPr>
            <w:tcW w:type="dxa" w:w="2795"/>
            <w:vAlign w:val="center"/>
          </w:tcPr>
          <w:p>
            <w:pPr>
              <w:keepNext w:val="0"/>
              <w:spacing w:line="320" w:lineRule="exact" w:after="0" w:before="0"/>
              <w:ind w:firstLine="0"/>
              <w:jc w:val="left"/>
            </w:pPr>
            <w:r>
              <w:rPr>
                <w:b w:val="0"/>
                <w:sz w:val="21"/>
              </w:rPr>
              <w:t>4项</w:t>
            </w:r>
          </w:p>
        </w:tc>
        <w:tc>
          <w:tcPr>
            <w:tcW w:type="dxa" w:w="2602"/>
            <w:vAlign w:val="center"/>
          </w:tcPr>
          <w:p>
            <w:pPr>
              <w:keepNext w:val="0"/>
              <w:spacing w:line="320" w:lineRule="exact" w:after="0" w:before="0"/>
              <w:ind w:firstLine="0"/>
              <w:jc w:val="left"/>
            </w:pPr>
            <w:r>
              <w:rPr>
                <w:b w:val="0"/>
                <w:sz w:val="21"/>
              </w:rPr>
              <w:t>来源授权、接入汇聚、清洗转换、血缘版本</w:t>
            </w:r>
          </w:p>
        </w:tc>
        <w:tc>
          <w:tcPr>
            <w:tcW w:type="dxa" w:w="2602"/>
            <w:vAlign w:val="center"/>
          </w:tcPr>
          <w:p>
            <w:pPr>
              <w:keepNext w:val="0"/>
              <w:spacing w:line="320" w:lineRule="exact" w:after="0" w:before="0"/>
              <w:ind w:firstLine="0"/>
              <w:jc w:val="left"/>
            </w:pPr>
            <w:r>
              <w:rPr>
                <w:b w:val="0"/>
                <w:sz w:val="21"/>
              </w:rPr>
              <w:t>为加工提供可信来源和受控数据</w:t>
            </w:r>
          </w:p>
        </w:tc>
      </w:tr>
      <w:tr>
        <w:trPr>
          <w:cantSplit/>
        </w:trPr>
        <w:tc>
          <w:tcPr>
            <w:tcW w:type="dxa" w:w="1638"/>
            <w:vAlign w:val="center"/>
          </w:tcPr>
          <w:p>
            <w:pPr>
              <w:keepNext w:val="0"/>
              <w:spacing w:line="320" w:lineRule="exact" w:after="0" w:before="0"/>
              <w:ind w:firstLine="0"/>
              <w:jc w:val="left"/>
            </w:pPr>
            <w:r>
              <w:rPr>
                <w:b w:val="0"/>
                <w:sz w:val="21"/>
              </w:rPr>
              <w:t>加工标注</w:t>
            </w:r>
          </w:p>
        </w:tc>
        <w:tc>
          <w:tcPr>
            <w:tcW w:type="dxa" w:w="2795"/>
            <w:vAlign w:val="center"/>
          </w:tcPr>
          <w:p>
            <w:pPr>
              <w:keepNext w:val="0"/>
              <w:spacing w:line="320" w:lineRule="exact" w:after="0" w:before="0"/>
              <w:ind w:firstLine="0"/>
              <w:jc w:val="left"/>
            </w:pPr>
            <w:r>
              <w:rPr>
                <w:b w:val="0"/>
                <w:sz w:val="21"/>
              </w:rPr>
              <w:t>4项</w:t>
            </w:r>
          </w:p>
        </w:tc>
        <w:tc>
          <w:tcPr>
            <w:tcW w:type="dxa" w:w="2602"/>
            <w:vAlign w:val="center"/>
          </w:tcPr>
          <w:p>
            <w:pPr>
              <w:keepNext w:val="0"/>
              <w:spacing w:line="320" w:lineRule="exact" w:after="0" w:before="0"/>
              <w:ind w:firstLine="0"/>
              <w:jc w:val="left"/>
            </w:pPr>
            <w:r>
              <w:rPr>
                <w:b w:val="0"/>
                <w:sz w:val="21"/>
              </w:rPr>
              <w:t>文本、图像、时序视频、多模态关联</w:t>
            </w:r>
          </w:p>
        </w:tc>
        <w:tc>
          <w:tcPr>
            <w:tcW w:type="dxa" w:w="2602"/>
            <w:vAlign w:val="center"/>
          </w:tcPr>
          <w:p>
            <w:pPr>
              <w:keepNext w:val="0"/>
              <w:spacing w:line="320" w:lineRule="exact" w:after="0" w:before="0"/>
              <w:ind w:firstLine="0"/>
              <w:jc w:val="left"/>
            </w:pPr>
            <w:r>
              <w:rPr>
                <w:b w:val="0"/>
                <w:sz w:val="21"/>
              </w:rPr>
              <w:t>形成与业务任务一致的训练样本</w:t>
            </w:r>
          </w:p>
        </w:tc>
      </w:tr>
      <w:tr>
        <w:trPr>
          <w:cantSplit/>
        </w:trPr>
        <w:tc>
          <w:tcPr>
            <w:tcW w:type="dxa" w:w="1638"/>
            <w:vAlign w:val="center"/>
          </w:tcPr>
          <w:p>
            <w:pPr>
              <w:keepNext w:val="0"/>
              <w:spacing w:line="320" w:lineRule="exact" w:after="0" w:before="0"/>
              <w:ind w:firstLine="0"/>
              <w:jc w:val="left"/>
            </w:pPr>
            <w:r>
              <w:rPr>
                <w:b w:val="0"/>
                <w:sz w:val="21"/>
              </w:rPr>
              <w:t>质量验证</w:t>
            </w:r>
          </w:p>
        </w:tc>
        <w:tc>
          <w:tcPr>
            <w:tcW w:type="dxa" w:w="2795"/>
            <w:vAlign w:val="center"/>
          </w:tcPr>
          <w:p>
            <w:pPr>
              <w:keepNext w:val="0"/>
              <w:spacing w:line="320" w:lineRule="exact" w:after="0" w:before="0"/>
              <w:ind w:firstLine="0"/>
              <w:jc w:val="left"/>
            </w:pPr>
            <w:r>
              <w:rPr>
                <w:b w:val="0"/>
                <w:sz w:val="21"/>
              </w:rPr>
              <w:t>4项</w:t>
            </w:r>
          </w:p>
        </w:tc>
        <w:tc>
          <w:tcPr>
            <w:tcW w:type="dxa" w:w="2602"/>
            <w:vAlign w:val="center"/>
          </w:tcPr>
          <w:p>
            <w:pPr>
              <w:keepNext w:val="0"/>
              <w:spacing w:line="320" w:lineRule="exact" w:after="0" w:before="0"/>
              <w:ind w:firstLine="0"/>
              <w:jc w:val="left"/>
            </w:pPr>
            <w:r>
              <w:rPr>
                <w:b w:val="0"/>
                <w:sz w:val="21"/>
              </w:rPr>
              <w:t>规则检测、人工复核、用途切分、应用验证</w:t>
            </w:r>
          </w:p>
        </w:tc>
        <w:tc>
          <w:tcPr>
            <w:tcW w:type="dxa" w:w="2602"/>
            <w:vAlign w:val="center"/>
          </w:tcPr>
          <w:p>
            <w:pPr>
              <w:keepNext w:val="0"/>
              <w:spacing w:line="320" w:lineRule="exact" w:after="0" w:before="0"/>
              <w:ind w:firstLine="0"/>
              <w:jc w:val="left"/>
            </w:pPr>
            <w:r>
              <w:rPr>
                <w:b w:val="0"/>
                <w:sz w:val="21"/>
              </w:rPr>
              <w:t>为版本发布提供质量和适用性依据</w:t>
            </w:r>
          </w:p>
        </w:tc>
      </w:tr>
      <w:tr>
        <w:trPr>
          <w:cantSplit/>
        </w:trPr>
        <w:tc>
          <w:tcPr>
            <w:tcW w:type="dxa" w:w="1638"/>
            <w:vAlign w:val="center"/>
          </w:tcPr>
          <w:p>
            <w:pPr>
              <w:keepNext w:val="0"/>
              <w:spacing w:line="320" w:lineRule="exact" w:after="0" w:before="0"/>
              <w:ind w:firstLine="0"/>
              <w:jc w:val="left"/>
            </w:pPr>
            <w:r>
              <w:rPr>
                <w:b w:val="0"/>
                <w:sz w:val="21"/>
              </w:rPr>
              <w:t>运营安全</w:t>
            </w:r>
          </w:p>
        </w:tc>
        <w:tc>
          <w:tcPr>
            <w:tcW w:type="dxa" w:w="2795"/>
            <w:vAlign w:val="center"/>
          </w:tcPr>
          <w:p>
            <w:pPr>
              <w:keepNext w:val="0"/>
              <w:spacing w:line="320" w:lineRule="exact" w:after="0" w:before="0"/>
              <w:ind w:firstLine="0"/>
              <w:jc w:val="left"/>
            </w:pPr>
            <w:r>
              <w:rPr>
                <w:b w:val="0"/>
                <w:sz w:val="21"/>
              </w:rPr>
              <w:t>3项</w:t>
            </w:r>
          </w:p>
        </w:tc>
        <w:tc>
          <w:tcPr>
            <w:tcW w:type="dxa" w:w="2602"/>
            <w:vAlign w:val="center"/>
          </w:tcPr>
          <w:p>
            <w:pPr>
              <w:keepNext w:val="0"/>
              <w:spacing w:line="320" w:lineRule="exact" w:after="0" w:before="0"/>
              <w:ind w:firstLine="0"/>
              <w:jc w:val="left"/>
            </w:pPr>
            <w:r>
              <w:rPr>
                <w:b w:val="0"/>
                <w:sz w:val="21"/>
              </w:rPr>
              <w:t>产品发布、授权交付、安全审计</w:t>
            </w:r>
          </w:p>
        </w:tc>
        <w:tc>
          <w:tcPr>
            <w:tcW w:type="dxa" w:w="2602"/>
            <w:vAlign w:val="center"/>
          </w:tcPr>
          <w:p>
            <w:pPr>
              <w:keepNext w:val="0"/>
              <w:spacing w:line="320" w:lineRule="exact" w:after="0" w:before="0"/>
              <w:ind w:firstLine="0"/>
              <w:jc w:val="left"/>
            </w:pPr>
            <w:r>
              <w:rPr>
                <w:b w:val="0"/>
                <w:sz w:val="21"/>
              </w:rPr>
              <w:t>将成果转化为受控服务并反馈运行问题</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8" name="Picture 8"/>
            <wp:cNvGraphicFramePr>
              <a:graphicFrameLocks noChangeAspect="1"/>
            </wp:cNvGraphicFramePr>
            <a:graphic>
              <a:graphicData uri="http://schemas.openxmlformats.org/drawingml/2006/picture">
                <pic:pic>
                  <pic:nvPicPr>
                    <pic:cNvPr id="0" name="图16_标准体系.png"/>
                    <pic:cNvPicPr/>
                  </pic:nvPicPr>
                  <pic:blipFill>
                    <a:blip r:embed="rId18"/>
                    <a:stretch>
                      <a:fillRect/>
                    </a:stretch>
                  </pic:blipFill>
                  <pic:spPr>
                    <a:xfrm>
                      <a:off x="0" y="0"/>
                      <a:ext cx="6048000" cy="3004615"/>
                    </a:xfrm>
                    <a:prstGeom prst="rect"/>
                  </pic:spPr>
                </pic:pic>
              </a:graphicData>
            </a:graphic>
          </wp:inline>
        </w:drawing>
      </w:r>
    </w:p>
    <w:p>
      <w:pPr>
        <w:pStyle w:val="Caption"/>
        <w:jc w:val="center"/>
      </w:pPr>
      <w:r>
        <w:t>图 16-1 五位一体标准体系</w:t>
      </w:r>
    </w:p>
    <w:p>
      <w:pPr>
        <w:pStyle w:val="Heading2"/>
      </w:pPr>
      <w:r>
        <w:t>16.4 基础通用类三项细分标准</w:t>
      </w:r>
    </w:p>
    <w:p>
      <w:pPr>
        <w:jc w:val="both"/>
      </w:pPr>
      <w:r>
        <w:t>行业术语与数据分类标准统一业务域、数据模态、数据用途、资源状态和质量状态的分类方法。对同义词、简称和不同企业惯用表达建立映射，专业术语由相应领域专家确认。术语记录定义、适用范围、来源、推荐名称和禁混用关系；同一名称存在不同业务含义时按上下文区分，禁止简单合并。新增术语经审核后进入有效词表，历史版本保留映射和变更原因。</w:t>
      </w:r>
    </w:p>
    <w:p>
      <w:pPr>
        <w:jc w:val="both"/>
      </w:pPr>
      <w:r>
        <w:t>业务对象标识与关联标准规定设备、型号、零部件、图纸、材料、炉批、工单、工序、检验及故障事件的标识规则。对象标识区分业务主键、平台标识和来源标识，保留映射关系。关系记录关联类型、方向、有效时间和依据；无法确定的关系保持待核验状态。对象合并、拆分或替换时记录历史对应，确保跨系统和跨批次的数据能够准确关联。</w:t>
      </w:r>
    </w:p>
    <w:p>
      <w:pPr>
        <w:jc w:val="both"/>
      </w:pPr>
      <w:r>
        <w:t>元数据与数据字典标准规定字段名称、含义、类型、单位、值域、空值语义、来源和更新规则。元数据覆盖数据集、文件、样本及必要字段层级，分别记录责任主体、许可、版本、质量和使用限制。字典变更区分名称调整、类型变化和语义变化，语义变化必须评估历史数据。接口交付附带有效字典，接收方能够据此解析和检查数据。</w:t>
      </w:r>
    </w:p>
    <w:p>
      <w:pPr>
        <w:pStyle w:val="Heading2"/>
      </w:pPr>
      <w:r>
        <w:t>16.5 资源治理类四项细分标准</w:t>
      </w:r>
    </w:p>
    <w:p>
      <w:pPr>
        <w:jc w:val="both"/>
      </w:pPr>
      <w:r>
        <w:t>数据来源与授权登记标准规定来源主体、获取方式、授权依据、允许用途、有效期限、再提供条件和限制事项的登记要求。登记内容与合同、协议、审批或其他有效依据关联，核验人员记录结论及日期。授权存在冲突、资料缺失或范围不明时，数据进入隔离状态，不进入正式加工和对外服务。授权变更根据血缘定位衍生数据及已提供服务，落实限制调整。</w:t>
      </w:r>
    </w:p>
    <w:p>
      <w:pPr>
        <w:jc w:val="both"/>
      </w:pPr>
      <w:r>
        <w:t>数据采集与增量汇聚标准规定接口、文件、数据库交换及受控采集的接入方式，明确对象范围、频率、增量字段、删除标记、重传和对账。首批接入验证字段、数量、时间和编码，后续按批次检查变化。采用可靠水位和幂等标识避免漏采与重复，迟到数据及历史更正保留业务时间和接收时间。接口中断后从确认位置恢复，恢复批次重新对账。</w:t>
      </w:r>
    </w:p>
    <w:p>
      <w:pPr>
        <w:jc w:val="both"/>
      </w:pPr>
      <w:r>
        <w:t>数据清洗转换与脱敏标准规定格式统一、缺失处理、重复判定、单位换算、异常识别和敏感内容处理。清洗规则保留业务前提，无法自动判断的内容进入复核，不能以填充默认值改变业务事实。转换保存原值、规则和结果对应，脱敏结果通过识别风险和业务可用性检查。异常剔除建立清单和理由，汇总前后数量并验证守恒关系。</w:t>
      </w:r>
    </w:p>
    <w:p>
      <w:pPr>
        <w:jc w:val="both"/>
      </w:pPr>
      <w:r>
        <w:t>数据血缘与版本管理标准规定来源对象、处理任务、工具配置、标签版本、样本及数据集之间的关联记录。每次发布形成不可混淆的版本标识和清单摘要，已冻结内容不得原位替换。修正产生新版本，记录新增、删除、修订及影响范围。通过正向查询确认某一来源形成的成果，通过反向查询还原某一样本的来源和处理过程，定期抽查两类查询的完整性。</w:t>
      </w:r>
    </w:p>
    <w:p>
      <w:pPr>
        <w:pStyle w:val="Heading2"/>
      </w:pPr>
      <w:r>
        <w:t>16.6 加工标注类四项细分标准</w:t>
      </w:r>
    </w:p>
    <w:p>
      <w:pPr>
        <w:jc w:val="both"/>
      </w:pPr>
      <w:r>
        <w:t>文本与结构化数据标注标准规定行业实体、属性、关系、事件、问答和指令的标注方法。实体边界、否定表达、条件限制、时间范围和证据位置分别处理，表格表头、跨页续表及单元格合并关系在解析后核验。指令答案与依据保持一致，不将缺失信息编造成确定结论。歧义样本进入问题库，由专业复核形成裁决和示例，再同步更新规范与已处理样本。</w:t>
      </w:r>
    </w:p>
    <w:p>
      <w:pPr>
        <w:jc w:val="both"/>
      </w:pPr>
      <w:r>
        <w:t>图像与工程资料标注标准规定目标、区域、缺陷、文字、尺寸及图纸关联的标注要求。工程图纸保留图号、版本、视图、比例与技术要求的关系，尺寸、公差和表面要求关联到正确对象。缺陷图像登记成像条件、目标范围和类别依据，无法辨认的内容标记为不确定并复核。几何标注检查边界、遮挡、重叠及类别一致性，输出与原始图像坐标对应。</w:t>
      </w:r>
    </w:p>
    <w:p>
      <w:pPr>
        <w:jc w:val="both"/>
      </w:pPr>
      <w:r>
        <w:t>时序与视频标注标准规定时间基准、采样间隔、窗口、事件边界、状态标签和工况关联。采样缺失、设备停机、通信异常和真实工艺异常分别识别，不能使用同一标签混合处理。视频事件标注确定开始、结束和关键帧，记录镜头变化和遮挡。时间偏差通过同步依据校正并保存原始时间，超出可确认范围的数据不进入确定性关联样本。</w:t>
      </w:r>
    </w:p>
    <w:p>
      <w:pPr>
        <w:jc w:val="both"/>
      </w:pPr>
      <w:r>
        <w:t>多模态关联与语义一致性标准规定文本、图像、时序和视频的对象匹配、时间匹配、事件关联和证据要求。关联顺序先核对业务对象，再核对时段和事件，单纯语义相似不足以确认同一对象。每项关系保存关联依据及复核状态，专业描述与视觉或时序证据冲突时进入仲裁。形成跨模态样本后检查信息互补、重复表达和结论一致，避免将不同设备或不同批次拼接成完整事实。</w:t>
      </w:r>
    </w:p>
    <w:p>
      <w:pPr>
        <w:pStyle w:val="Heading2"/>
      </w:pPr>
      <w:r>
        <w:t>16.7 质量验证类四项细分标准</w:t>
      </w:r>
    </w:p>
    <w:p>
      <w:pPr>
        <w:jc w:val="both"/>
      </w:pPr>
      <w:r>
        <w:t>数据质量规则与缺陷分级标准规定规则类型、适用对象、检测方法、阈值、缺陷等级和整改方式。规则分别检查结构、内容、专业事实、关联、权限及用途安全，并与项目质量评价要求建立对应。自动检测结果保留命中对象和证据，人工确认区分真实缺陷与误报。高风险问题及时阻断相关数据流转，修复后进行针对性复测及关联回归。</w:t>
      </w:r>
    </w:p>
    <w:p>
      <w:pPr>
        <w:jc w:val="both"/>
      </w:pPr>
      <w:r>
        <w:t>标注一致性与专家复核标准规定标注员自检、交叉检查、独立抽检和争议仲裁的责任及记录。检查按照标签类型选用完全一致率、类别混淆、边界偏差或其他适用指标，分母、容差和排除条件在执行前固定。专家复核围绕原始证据和有效规范形成判断，不能直接以模型预测替代裁决。规则变更后抽查历史样本，确定是否需要批量重标。</w:t>
      </w:r>
    </w:p>
    <w:p>
      <w:pPr>
        <w:jc w:val="both"/>
      </w:pPr>
      <w:r>
        <w:t>数据用途切分与污染检查标准规定预训练、指令微调、偏好对齐和测试基准的数据组织方式。同源对象、派生样本、关联事件及近重复内容按组管理，避免跨用途泄漏。测试基准采用符合要求的真实数据，不使用合成数据，题目和答案权限与生产使用相分离。发布前检查精确重复、近重复、上下文包含和衍生关系，发现污染后重新切分并重做相应验证。</w:t>
      </w:r>
    </w:p>
    <w:p>
      <w:pPr>
        <w:jc w:val="both"/>
      </w:pPr>
      <w:r>
        <w:t>训练效果与业务应用验证标准规定模型、训练配置、输入版本、评测协议和场景样本的固定方式。评价同时检查专业正确、业务约束、证据可追溯及错误后果，记录失败样本和原因。数据改进效果通过条件一致的对照比较确认，模型或参数变化单独登记。形成数据版本、训练产物、测评结果和业务确认之间的关联，为后续归因及更新提供依据。</w:t>
      </w:r>
    </w:p>
    <w:p>
      <w:pPr>
        <w:pStyle w:val="Heading2"/>
      </w:pPr>
      <w:r>
        <w:t>16.8 运营安全类三项细分标准</w:t>
      </w:r>
    </w:p>
    <w:p>
      <w:pPr>
        <w:jc w:val="both"/>
      </w:pPr>
      <w:r>
        <w:t>数据产品登记与发布标准规定产品名称、内容范围、版本、质量、许可、更新方式和服务形态。产品发布前完成数据、技术、质量、安全和权益审核，已发布目录与实际交付内容保持一致。预览和样本展示控制在允许范围，不能通过展示泄露受限信息。更新、暂停和下架设置触发条件及通知流程，服务用户能够识别在用版本和状态变化。</w:t>
      </w:r>
    </w:p>
    <w:p>
      <w:pPr>
        <w:jc w:val="both"/>
      </w:pPr>
      <w:r>
        <w:t>服务授权与交付计量标准规定用户身份、申请用途、数据范围、期限、配额和交付渠道。授权与合同或服务约定一致，下载、接口调用及受控计算分别设置计量事件，记录成功、失败、重复和撤销状态。交付回执关联版本、对象及校验结果，费用核对使用有效服务记录。到期或撤权后及时关闭访问，已交付数据按约定落实后续管理并保存处理证据。</w:t>
      </w:r>
    </w:p>
    <w:p>
      <w:pPr>
        <w:jc w:val="both"/>
      </w:pPr>
      <w:r>
        <w:t>安全控制与审计追溯标准规定账号权限、访问名单、操作审计、数据导出、异常处置和日志保护。数据访问按最小必要配置，重要操作实行申请、审核和执行分离。日志记录主体、时间、对象、动作、结果和关联任务，敏感内容避免无必要地进入日志。定期核查日志完整性、时间同步和异常行为，保留可查询、可核验且访问受控的审计证据。</w:t>
      </w:r>
    </w:p>
    <w:p>
      <w:pPr>
        <w:pStyle w:val="Heading2"/>
      </w:pPr>
      <w:r>
        <w:t>16.9 标准验证与试点应用</w:t>
      </w:r>
    </w:p>
    <w:p>
      <w:pPr>
        <w:jc w:val="both"/>
      </w:pPr>
      <w:r>
        <w:t>我方结合矿山装备制造行业特点和项目建设实践，积极参与全国数标委标准验证和试点应用工作。建立可用于验证的场景、数据和测试条件清单，按参与任务落实人员、样本、环境及结果提交。参与验证的数据完成授权与脱敏检查，提交内容控制在批准范围。</w:t>
      </w:r>
    </w:p>
    <w:p>
      <w:pPr>
        <w:jc w:val="both"/>
      </w:pPr>
      <w:r>
        <w:t>标准验证以条款为单位设计测试。每项测试记录适用对象、输入条件、执行步骤、预期判定、实际结果和证据位置，分别验证正常条件、边界条件和异常条件。对不同岗位执行同一条款的结果进行比较，检验条款的明确性和可重复性；对不同设备及来源数据进行比较，检验适用范围。</w:t>
      </w:r>
    </w:p>
    <w:p>
      <w:pPr>
        <w:jc w:val="both"/>
      </w:pPr>
      <w:r>
        <w:t>发现条款不适配、指标不可测或结果不稳定时，形成问题记录和修改建议，附实际样本及测量结果。建议说明影响、建议调整的条款和验证依据，纳入标准修改及试点反馈。采用修改后的条款重新验证，确认原问题解决且没有引入新的不一致。</w:t>
      </w:r>
    </w:p>
    <w:p>
      <w:pPr>
        <w:jc w:val="both"/>
      </w:pPr>
      <w:r>
        <w:t>试点应用成果形成场景描述、实施记录、结果报告、问题清单和改进建议。标准实施培训使用已验证样本，使生产、质量和运营岗位掌握实际操作。运行中持续收集不符合项和解释争议，定期复审标准及项目规范，保持与政策、技术和业务变化相适应。</w:t>
      </w:r>
    </w:p>
    <w:p>
      <w:pPr>
        <w:pStyle w:val="Heading1"/>
      </w:pPr>
      <w:r>
        <w:t>17 六项项目实施技术规范</w:t>
      </w:r>
    </w:p>
    <w:p>
      <w:pPr>
        <w:pStyle w:val="Heading2"/>
      </w:pPr>
      <w:r>
        <w:t>17.1 数据采集与接入技术规范</w:t>
      </w:r>
    </w:p>
    <w:p>
      <w:pPr>
        <w:jc w:val="both"/>
      </w:pPr>
      <w:r>
        <w:t>采集实施前登记来源系统、数据对象、负责人、授权依据、敏感等级及采集窗口，确认对源系统和现场生产的影响。接口方案明确连接方式、账号权限、字段字典、分页或分批策略、增量逻辑、超时和重试条件。文件交换约定目录、命名、编码、压缩方式、校验摘要和交接清单。</w:t>
      </w:r>
    </w:p>
    <w:p>
      <w:pPr>
        <w:jc w:val="both"/>
      </w:pPr>
      <w:r>
        <w:t>首批采集采用代表性对象核验，逐项检查对象数量、字段类型、时间范围、单位和关联主键，确认不存在因权限、分页或编码造成的漏采。正式采集按批次保存开始及结束时间、范围、数量、异常、摘要和执行状态，接收区核验后转入受控原始区。未通过检查的数据隔离保存，生成问题单并通知来源责任岗位。</w:t>
      </w:r>
    </w:p>
    <w:p>
      <w:pPr>
        <w:jc w:val="both"/>
      </w:pPr>
      <w:r>
        <w:t>增量采集将水位推进与数据落盘及校验结果关联，未确认成功的批次不能直接推进水位。重复批次依据业务键和版本处理，保留接收记录；历史更正和删除事件按业务语义更新，不能简单视为新增。断点恢复后对交界时间范围复核，检查迟到记录、重传记录和遗漏对象。</w:t>
      </w:r>
    </w:p>
    <w:p>
      <w:pPr>
        <w:jc w:val="both"/>
      </w:pPr>
      <w:r>
        <w:t>采集验收检查来源授权、字段映射、批次守恒、异常处理及恢复能力。以正常接入、权限失效、源端中断、重复发送、字段变化和历史更正作为必测情形，形成测试记录。未经批准的数据不得离开甲方指定的受控环境，采集账号只保留所需读取及约定操作权限。</w:t>
      </w:r>
    </w:p>
    <w:p>
      <w:pPr>
        <w:pStyle w:val="Heading2"/>
      </w:pPr>
      <w:r>
        <w:t>17.2 清洗解析与多模态对齐技术规范</w:t>
      </w:r>
    </w:p>
    <w:p>
      <w:pPr>
        <w:jc w:val="both"/>
      </w:pPr>
      <w:r>
        <w:t>清洗任务先加载有效数据字典和规则版本，生成输入清单并检查文件完整性。文本解析识别标题、正文、表格和图注，保留页码及位置；工程资料解析重点检查尺寸、公差、材料和技术要求；时序及视频分别检查时间连续性、采样信息和片段结构。无法可靠恢复的内容保持原始证据并交由复核。</w:t>
      </w:r>
    </w:p>
    <w:p>
      <w:pPr>
        <w:jc w:val="both"/>
      </w:pPr>
      <w:r>
        <w:t>单位换算和字段转换明确适用条件与精度，原始值和转换值同时可追溯。缺失、异常、重复和冲突分别记录原因，专业字段不得通过无依据的常量或模型推断补齐。重复判定区分同一对象重复传输、不同版本和业务上真实相同事件，删除或合并前检查关联影响。</w:t>
      </w:r>
    </w:p>
    <w:p>
      <w:pPr>
        <w:jc w:val="both"/>
      </w:pPr>
      <w:r>
        <w:t>多模态对齐按对象、时间、业务事件的顺序执行，使用设备号、图号、工单、炉批、工序或检验单等可信关联。对齐记录来源对象、匹配规则、偏移量和证据，候选关系与已确认关系分开保存。跨时间窗口的事件明确起止和容差，存在冲突时暂停生成确定性样本。</w:t>
      </w:r>
    </w:p>
    <w:p>
      <w:pPr>
        <w:jc w:val="both"/>
      </w:pPr>
      <w:r>
        <w:t>工序结束后核对输入、保留、转换、合并、隔离和剔除数量，随机回溯原始对象，并对高风险字段实施专项检查。规则升级先在固定回归样本执行，再检查新增来源的代表样本。输出包括处理结果、异常清单、规则配置、关联清单和质量检查记录，经确认后进入标注环节。</w:t>
      </w:r>
    </w:p>
    <w:p>
      <w:pPr>
        <w:pStyle w:val="Heading2"/>
      </w:pPr>
      <w:r>
        <w:t>17.3 数据标注与专家复核技术规范</w:t>
      </w:r>
    </w:p>
    <w:p>
      <w:pPr>
        <w:jc w:val="both"/>
      </w:pPr>
      <w:r>
        <w:t>标注任务建立样本范围、标签定义、证据要求、疑难情形和验收方法，作业前以代表性样本完成培训与试标。试标比较不同人员的理解，修正规范歧义后再进行批量分发。任务分配与人员专业能力匹配，涉及关键工艺、安全或专业事实的样本明确复核责任。</w:t>
      </w:r>
    </w:p>
    <w:p>
      <w:pPr>
        <w:jc w:val="both"/>
      </w:pPr>
      <w:r>
        <w:t>作业过程中保存样本、标签、标注人、时间、规范版本及证据位置。模型辅助生成的标签明确其来源，并经过适用的规则检查和人工审核。标注员完成自检，质量岗位进行交叉检查及独立抽检，抽样覆盖各类人员、标签、来源和风险，不能只选择容易通过的样本。</w:t>
      </w:r>
    </w:p>
    <w:p>
      <w:pPr>
        <w:jc w:val="both"/>
      </w:pPr>
      <w:r>
        <w:t>分歧样本保留各方原始结果及理由，由符合专业要求且无利益冲突的专家复核。专家根据有效规范和原始资料给出结论，必要时补充来源证据或提请仲裁。确实无法确定的样本标记不确定并按用途限制处理，不将多数意见直接认定为客观事实。</w:t>
      </w:r>
    </w:p>
    <w:p>
      <w:pPr>
        <w:jc w:val="both"/>
      </w:pPr>
      <w:r>
        <w:t>批次验收核对标注完整性、专业正确性、标签一致性和证据覆盖。未通过的批次分析人员、规范、工具或来源原因，确定重标范围并复检。形成的新裁决经批准转化为规范条款和案例，检查历史同类样本；规范修订前后结果分别留存，保持处理过程可追溯。</w:t>
      </w:r>
    </w:p>
    <w:p>
      <w:pPr>
        <w:pStyle w:val="Heading2"/>
      </w:pPr>
      <w:r>
        <w:t>17.4 数据生成增强与用途切分技术规范</w:t>
      </w:r>
    </w:p>
    <w:p>
      <w:pPr>
        <w:jc w:val="both"/>
      </w:pPr>
      <w:r>
        <w:t>生成增强任务登记种子数据来源、许可、用途、生成方法、约束和预期补充类别，确认任务确有覆盖或分布需求。提示、模型、参数、随机种子及筛选规则纳入版本管理，生成记录与输入种子关联。合成数据持续保留可识别标记，不能在后续加工中删除其生成属性。</w:t>
      </w:r>
    </w:p>
    <w:p>
      <w:pPr>
        <w:jc w:val="both"/>
      </w:pPr>
      <w:r>
        <w:t>生成内容进行结构、事实、逻辑、专业约束和重复检查，重点识别尺寸关系错误、工艺顺序冲突、无依据结论及不安全操作建议。增强方法不得破坏标签语义，图像变换检查目标和几何一致性，时序变换检查采样、事件和物理约束。需要专家确认的样本经复核后才进入可用集合。</w:t>
      </w:r>
    </w:p>
    <w:p>
      <w:pPr>
        <w:jc w:val="both"/>
      </w:pPr>
      <w:r>
        <w:t>用途切分前建立同源组，包含同一原件的段落和图像、同一事件的不同片段、同一问题的改写及生成衍生样本。先按组分配再形成用途子集，切分清单固定对象、版本、用途和依据。测试基准不得使用合成数据，基准题目、参考答案及其衍生内容不得进入训练集合。</w:t>
      </w:r>
    </w:p>
    <w:p>
      <w:pPr>
        <w:jc w:val="both"/>
      </w:pPr>
      <w:r>
        <w:t>发布前开展精确重复、近重复及关联泄漏检查，记录发现、处理和复查结果。新增数据与既有基准比对，发现污染时追溯受影响训练和评价活动，重新形成有效切分及验证结果。输出包括种子台账、生成参数、筛选结果、合成标记、用途清单和污染检查报告。</w:t>
      </w:r>
    </w:p>
    <w:p>
      <w:pPr>
        <w:pStyle w:val="Heading2"/>
      </w:pPr>
      <w:r>
        <w:t>17.5 质量检测与训练验证技术规范</w:t>
      </w:r>
    </w:p>
    <w:p>
      <w:pPr>
        <w:jc w:val="both"/>
      </w:pPr>
      <w:r>
        <w:t>质量检测依据已批准指标和规则执行，先检查输入版本及清单一致，再进行自动检测、人工检查和专业核验。指标分别记录定义、分母、样本量、统计周期和判定方式，缺陷关联到具体对象与证据。检测工具版本和人工抽样方法固定，保证不同批次结果可比较。</w:t>
      </w:r>
    </w:p>
    <w:p>
      <w:pPr>
        <w:jc w:val="both"/>
      </w:pPr>
      <w:r>
        <w:t>训练验证使用已冻结的候选数据集，记录数据版本、模型版本、训练配置、运行环境及评测协议。对照实验保持非研究因素一致，训练和测试严格分离，业务任务采用能够代表实际使用条件的样本。评价报告保留总体指标、分层指标、失败案例和限制条件，不以个别成功案例替代整体结论。</w:t>
      </w:r>
    </w:p>
    <w:p>
      <w:pPr>
        <w:jc w:val="both"/>
      </w:pPr>
      <w:r>
        <w:t>问题归因同时检查数据内容、标签、覆盖、切分、模型配置和业务使用条件。根据证据确定整改责任，数据问题生成新的加工任务和版本，模型或部署问题进入相应调整流程。整改后先复测问题样本，再执行相关回归，检查修正是否影响其他场景或类别。</w:t>
      </w:r>
    </w:p>
    <w:p>
      <w:pPr>
        <w:jc w:val="both"/>
      </w:pPr>
      <w:r>
        <w:t>正式验收落实项目规定的质量门槛，各维度达到合格要求，综合得分不低于85分，高危缺陷清零，中低风险缺陷整改率达到100%。验收资料包含质量报告、抽样清单、缺陷及整改记录、训练验证记录和业务确认。未满足发布条件的版本不得以正式成果状态交付。</w:t>
      </w:r>
    </w:p>
    <w:p>
      <w:pPr>
        <w:pStyle w:val="Heading2"/>
      </w:pPr>
      <w:r>
        <w:t>17.6 数据封装发布与运营接入技术规范</w:t>
      </w:r>
    </w:p>
    <w:p>
      <w:pPr>
        <w:jc w:val="both"/>
      </w:pPr>
      <w:r>
        <w:t>数据封装以通过审核的版本为输入，整理数据文件、元数据、字典、用途清单、质量报告、许可、更新及使用要求。封装清单记录文件、大小、数量、摘要和内部关系，检查内容与登记信息一致。解包验证在指定环境执行，确认结构、编码、依赖及读取方式可用。</w:t>
      </w:r>
    </w:p>
    <w:p>
      <w:pPr>
        <w:jc w:val="both"/>
      </w:pPr>
      <w:r>
        <w:t>发布审核检查权利、安全、质量、产品描述和服务能力，明确允许用户、用途、期限及渠道。运营平台登记产品与版本，关联审批、交付方式、计量规则和服务责任。样本预览、目录公开和完整交付采用分别授权，预览内容经审核后展示。</w:t>
      </w:r>
    </w:p>
    <w:p>
      <w:pPr>
        <w:jc w:val="both"/>
      </w:pPr>
      <w:r>
        <w:t>接入国家数据基础设施时完成目录映射、身份与信任关系配置、授权策略转换、连接适配和交付审计联调。平台生成数据集与行业用户自有数据集分别核验来源及处置权限，使用统一接入流程管理。成熟组件通过适配验证后使用，必要开发纳入代码、配置及测试管理。</w:t>
      </w:r>
    </w:p>
    <w:p>
      <w:pPr>
        <w:jc w:val="both"/>
      </w:pPr>
      <w:r>
        <w:t>交付测试覆盖目录发现、授权成功、授权拒绝、版本变化、重复请求、超时恢复和撤权。实际交付与订单、授权、版本及回执关联，计量结果与有效服务事件一致。运营中出现质量、安全或授权问题时，能够暂停相应版本、通知受影响用户、完成修复和复测，再按审批恢复服务。</w:t>
      </w:r>
    </w:p>
    <w:p>
      <w:pPr>
        <w:pStyle w:val="Heading1"/>
      </w:pPr>
      <w:r>
        <w:t>18 业务场景中的创新实施</w:t>
      </w:r>
    </w:p>
    <w:p>
      <w:pPr>
        <w:pStyle w:val="Heading2"/>
      </w:pPr>
      <w:r>
        <w:t>18.1 供需计划数据的协同生产与验证</w:t>
      </w:r>
    </w:p>
    <w:p>
      <w:pPr>
        <w:jc w:val="both"/>
      </w:pPr>
      <w:r>
        <w:t>供需计划数据以订单、产品、物料、库存、采购、生产计划和实际执行记录为主要关联对象，先统一对象标识、单位、日期和状态，再建立跨环节联系。对同一物料的不同编码建立经业务确认的映射，保留企业原编码；对计划数量、需求数量、可用数量和实际数量分别定义，避免将不同业务口径混用。</w:t>
      </w:r>
    </w:p>
    <w:p>
      <w:pPr>
        <w:jc w:val="both"/>
      </w:pPr>
      <w:r>
        <w:t>协同汇聚按照数据变化方式设置更新机制。订单新增和变更记录业务生效时间，库存变化区分账面、在途、占用及其他业务状态，生产计划保留调整前后版本和批准依据。加工时按照任务所需时间截面组织样本，避免将事后信息混入只能使用当时信息的预测或决策任务。</w:t>
      </w:r>
    </w:p>
    <w:p>
      <w:pPr>
        <w:jc w:val="both"/>
      </w:pPr>
      <w:r>
        <w:t>长上下文样本围绕同一计划任务组织订单约束、物料条件、资源状态和执行结果，保留材料出处。多轮对话样本覆盖需求澄清、约束补充、方案比较和调整确认，后续轮次只使用截至该轮已提供的信息。偏好样本比较满足约束、依据完整且可执行的回答与存在事实或条件错误的回答，偏好理由与专业判断一致。</w:t>
      </w:r>
    </w:p>
    <w:p>
      <w:pPr>
        <w:jc w:val="both"/>
      </w:pPr>
      <w:r>
        <w:t>验证从实际业务任务抽取独立样本，检查对象匹配、数量和日期逻辑、约束识别及回答依据。发现计划结论错误时，沿证据链判断是基础数据过期、口径映射错误、上下文缺失还是模型推理问题。修正后的数据在相同任务条件下复测，并检查同类物料、订单和时间段，形成可复用的跨系统协同规则。</w:t>
      </w:r>
    </w:p>
    <w:p>
      <w:pPr>
        <w:pStyle w:val="Heading2"/>
      </w:pPr>
      <w:r>
        <w:t>18.2 工程图纸与产品工艺设计数据</w:t>
      </w:r>
    </w:p>
    <w:p>
      <w:pPr>
        <w:jc w:val="both"/>
      </w:pPr>
      <w:r>
        <w:t>工程图纸加工先核实图号、版本、产品和零部件关系，图纸变更单与相应版本关联。图面解析将标题栏、视图、尺寸、公差、材料、表面要求和技术条件分开识别，再依据引线、位置及业务规则建立关系。相同数字出现在不同视图或不同对象上时，依靠几何和上下文确定含义，不按文字相同直接合并。</w:t>
      </w:r>
    </w:p>
    <w:p>
      <w:pPr>
        <w:jc w:val="both"/>
      </w:pPr>
      <w:r>
        <w:t>智能工具形成候选字段和证据坐标，规则检查单位、格式、引用和关系，专家重点复核关键尺寸、形位要求、工艺条件及冲突。图纸清晰度不足或扫描变形影响判断时，记录受影响区域和原因，向来源岗位补充核验。无法确认的字段保留不确定状态，不生成确定性工艺结论。</w:t>
      </w:r>
    </w:p>
    <w:p>
      <w:pPr>
        <w:jc w:val="both"/>
      </w:pPr>
      <w:r>
        <w:t>标注规范将专业裁决转化为同类图样的操作规则。例如同一要求涉及多个视图时，规定主证据、补充证据和关联方式；图纸修订仅改变局部内容时，明确受影响标签及关联工艺的核查范围。新规则先在固定样本回归，再扩展到生产批次，旧版本仍可查询其原始处理依据。</w:t>
      </w:r>
    </w:p>
    <w:p>
      <w:pPr>
        <w:jc w:val="both"/>
      </w:pPr>
      <w:r>
        <w:t>场景验证检查工程图纸识读的正确性、完整性和证据定位，测试样本覆盖不同图纸质量、复杂结构和关键专业表达。对失败样本按文字识别、版面解析、对象关联和专业理解分别归因，确定工具修订或专家规则补充。成果以图纸版本、结构化字段、标签和验证结果关联交付，为后续工艺应用提供可靠依据。</w:t>
      </w:r>
    </w:p>
    <w:p>
      <w:pPr>
        <w:pStyle w:val="Heading2"/>
      </w:pPr>
      <w:r>
        <w:t>18.3 热处理过程控制数据</w:t>
      </w:r>
    </w:p>
    <w:p>
      <w:pPr>
        <w:jc w:val="both"/>
      </w:pPr>
      <w:r>
        <w:t>热处理数据以材料、零件、炉批、设备、工艺路线和检验结果为主线，关联工艺设定、实际温度曲线、保温阶段、冷却记录及质量结果。采集时核对测点、采样频率、量纲、设备时间和记录完整性，区分工艺设定值、实际测量值与人工记录值。</w:t>
      </w:r>
    </w:p>
    <w:p>
      <w:pPr>
        <w:jc w:val="both"/>
      </w:pPr>
      <w:r>
        <w:t>时序处理先识别阶段和有效窗口，再开展异常检查。设备通信中断、测点故障与真实温度异常分别标记，阶段划分依据工艺及实际过程核验。跨来源时间对齐保留校正依据和偏移，不能将不同炉批或不同测点的数据拼成一条过程曲线。关键阶段缺失时说明对应的数据状态，并限制用于需要完整过程的训练任务。</w:t>
      </w:r>
    </w:p>
    <w:p>
      <w:pPr>
        <w:jc w:val="both"/>
      </w:pPr>
      <w:r>
        <w:t>专家参与材料适用条件、阶段边界、异常类型及质量关联的确认。模型发现的异常先作为候选，结合设备记录、工艺文件和检验结果复核；缺少足够证据时维持候选状态。偏好和指令样本保留安全条件与工艺约束，禁止生成脱离材料、设备和工艺依据的确定性调整建议。</w:t>
      </w:r>
    </w:p>
    <w:p>
      <w:pPr>
        <w:jc w:val="both"/>
      </w:pPr>
      <w:r>
        <w:t>场景验证在与实际工况一致的条件下检查阶段识别、异常发现、专业解释及依据完整性。质量结果与过程数据关联时区分相关性和可确认的业务因果，避免将偶然共现固化为工艺规则。验证发现覆盖不足的材料、工况或异常类别后，形成定向采集任务，经过真实数据补充和复核后更新版本。</w:t>
      </w:r>
    </w:p>
    <w:p>
      <w:pPr>
        <w:pStyle w:val="Heading2"/>
      </w:pPr>
      <w:r>
        <w:t>18.4 焊接过程控制数据</w:t>
      </w:r>
    </w:p>
    <w:p>
      <w:pPr>
        <w:jc w:val="both"/>
      </w:pPr>
      <w:r>
        <w:t>焊接数据围绕工件、接头、焊缝、焊接方法、设备、材料、工艺参数和检验结果组织。电流、电压、速度、保护条件、操作记录及图像视频按焊缝或相应工艺事件关联，采集时核实单位、测点、时间和设备状态。工艺设定与实际执行分别保存，参数变更保留发生时刻和依据。</w:t>
      </w:r>
    </w:p>
    <w:p>
      <w:pPr>
        <w:jc w:val="both"/>
      </w:pPr>
      <w:r>
        <w:t>多模态工具对视频事件和时序窗口建立候选关联，依据工件及焊缝标识确认对象一致。遮挡、光照、镜头切换、传感器缺失或时钟异常分别记录，避免将采集缺陷误认作焊接缺陷。视觉标签与检验结果之间的关系由专业岗位确认，不能仅凭图像相似程度给出内部质量结论。</w:t>
      </w:r>
    </w:p>
    <w:p>
      <w:pPr>
        <w:jc w:val="both"/>
      </w:pPr>
      <w:r>
        <w:t>专家规则覆盖缺陷定义、标注边界、工艺条件和复核证据。争议样本同时提供原始片段、参数窗口、工艺记录和检验依据，使裁决能够回溯。已确认的新缺陷案例纳入案例库，更新标签规范并检查历史同类样本，形成工具辅助、专业复核和规则沉淀的持续改进过程。</w:t>
      </w:r>
    </w:p>
    <w:p>
      <w:pPr>
        <w:jc w:val="both"/>
      </w:pPr>
      <w:r>
        <w:t>验证以实际业务要求检查异常识别、过程解释、证据关联和处置建议的约束完整性。评价分工艺类型、材料、设备及数据质量统计，识别总体指标掩盖的薄弱环节。对模型建议涉及现场操作的内容，由具有相应责任的业务人员确认使用条件，数据与应用验证不替代现场工艺审批。</w:t>
      </w:r>
    </w:p>
    <w:p>
      <w:pPr>
        <w:pStyle w:val="Heading2"/>
      </w:pPr>
      <w:r>
        <w:t>18.5 刮板输送装备健康诊断数据</w:t>
      </w:r>
    </w:p>
    <w:p>
      <w:pPr>
        <w:jc w:val="both"/>
      </w:pPr>
      <w:r>
        <w:t>健康诊断数据以设备标识、部件层级、运行工况、监测点位、报警、检修和故障事件为对象建立关联。运行时序与实际故障记录对齐，保留报警时间、故障确认时间和维修完成时间，区分故障现象、可能原因、确认原因和处理措施，避免将初步判断当作最终事实。</w:t>
      </w:r>
    </w:p>
    <w:p>
      <w:pPr>
        <w:jc w:val="both"/>
      </w:pPr>
      <w:r>
        <w:t>标签制作按照可获得证据确定粒度。已确认部件及故障类型的样本形成明确标签，只有异常现象而无原因确认的样本用于相应异常识别任务，不强制细化为故障机理。故障前后窗口根据业务任务划定，窗口划分不得引入预测时点之后的信息。维修后恢复情况作为独立验证证据保存。</w:t>
      </w:r>
    </w:p>
    <w:p>
      <w:pPr>
        <w:jc w:val="both"/>
      </w:pPr>
      <w:r>
        <w:t>持续汇聚重点补充不同设备、工况和少见故障的真实记录，贡献评价兼顾关键覆盖和可验证程度。长尾样本由专家复核，生成增强仅在批准用途和严格条件下使用，测试基准保持真实、独立。相似故障案例的检索和推理过程保留设备与条件差异，避免忽略适用边界。</w:t>
      </w:r>
    </w:p>
    <w:p>
      <w:pPr>
        <w:jc w:val="both"/>
      </w:pPr>
      <w:r>
        <w:t>验证检查故障识别、原因分析、依据引用和建议适用性，对漏报、误报及高风险错误分别分析。数据归因定位到具体传感器窗口、事件记录或标签，形成补采、重标、关联修正或模型调整任务。通过版本比较确认改进，并持续跟踪新工况下的适用性。</w:t>
      </w:r>
    </w:p>
    <w:p>
      <w:pPr>
        <w:pStyle w:val="Heading2"/>
      </w:pPr>
      <w:r>
        <w:t>18.6 行业知识与通用智能助手数据</w:t>
      </w:r>
    </w:p>
    <w:p>
      <w:pPr>
        <w:jc w:val="both"/>
      </w:pPr>
      <w:r>
        <w:t>制度、技术标准、招标文件、合同及经营管理资料按照来源、适用对象、生效时间和版本登记。解析时保留章节、条款、表格和引用关系，区分有效文件、历史文件和仅作背景参考的材料。问答样本必须能够定位到原始依据，涉及条件、例外和权限的内容与主规则一并保留。</w:t>
      </w:r>
    </w:p>
    <w:p>
      <w:pPr>
        <w:jc w:val="both"/>
      </w:pPr>
      <w:r>
        <w:t>多轮对话构建覆盖对象澄清、版本确认、条件补充、证据引用和结论调整。用户条件发生变化时，后续回答重新核验适用条款，不能沿用已失效前提。合同合规审查样本围绕合规、责任、交付和付款等风险组织，风险识别同时保留对应条款及判断条件，不将信息缺失直接认定为确定性违规。</w:t>
      </w:r>
    </w:p>
    <w:p>
      <w:pPr>
        <w:jc w:val="both"/>
      </w:pPr>
      <w:r>
        <w:t>知识更新采用文件生效及废止事件驱动，变更影响追溯到关联片段、问题、答案和服务。新版文件发布后检查旧答案是否仍适用，限制失效内容进入当前问答。对需要保留历史查询能力的服务，明确时间范围和版本选取方式，使当前使用与历史追溯均有依据。</w:t>
      </w:r>
    </w:p>
    <w:p>
      <w:pPr>
        <w:jc w:val="both"/>
      </w:pPr>
      <w:r>
        <w:t>验证覆盖正确引用、适用版本、条件完整、缺失信息处理和越权访问等情形。时间效率测量固定任务范围和开始、结束条件，与同等质量要求下的人工过程比较，记录实际耗时。错误样本按来源解析、知识时效、检索、推理和授权分别归因，形成针对性整改。</w:t>
      </w:r>
    </w:p>
    <w:p>
      <w:pPr>
        <w:pStyle w:val="Heading1"/>
      </w:pPr>
      <w:r>
        <w:t>19 创新效果评价与运行监测</w:t>
      </w:r>
    </w:p>
    <w:p>
      <w:pPr>
        <w:pStyle w:val="Heading2"/>
      </w:pPr>
      <w:r>
        <w:t>19.1 评价基线与对照方法</w:t>
      </w:r>
    </w:p>
    <w:p>
      <w:pPr>
        <w:jc w:val="both"/>
      </w:pPr>
      <w:r>
        <w:t>各项创新投入运行前建立基线，记录原有或经确认的常规方法、任务范围、样本条件、人员投入、运行资源和质量结果。基线来自实际可复核的任务记录，缺少历史记录时采用同批代表样本开展对照，不能用估计值代替实测结果。评价方案在执行前经专业和管理岗位确认。</w:t>
      </w:r>
    </w:p>
    <w:p>
      <w:pPr>
        <w:jc w:val="both"/>
      </w:pPr>
      <w:r>
        <w:t>工具效果比较保持数据范围、任务目标、质量要求和计时口径一致。测试顺序和样本分配避免重复学习造成偏差，人工复核、返工和失败恢复的时间一并计入。记录运行耗时与人员实际工时，两类数据分别报告，不能以机器处理速度直接替代整体交付效率。</w:t>
      </w:r>
    </w:p>
    <w:p>
      <w:pPr>
        <w:jc w:val="both"/>
      </w:pPr>
      <w:r>
        <w:t>机制效果评价关注任务是否按规则执行、问题是否能够发现、责任是否明确及结果是否改善。专家库评价结合实际派单和复核，协同汇聚评价结合真实增量及授权变化，运营评价结合交付和服务记录，标准制度评价结合任务抽查。文件完成数量与实际执行效果分别记录。</w:t>
      </w:r>
    </w:p>
    <w:p>
      <w:pPr>
        <w:pStyle w:val="Heading2"/>
      </w:pPr>
      <w:r>
        <w:t>19.2 技术创新评价指标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评价对象</w:t>
            </w:r>
          </w:p>
        </w:tc>
        <w:tc>
          <w:tcPr>
            <w:tcW w:type="dxa" w:w="2795"/>
            <w:vAlign w:val="center"/>
            <w:shd w:fill="EDF1F3"/>
          </w:tcPr>
          <w:p>
            <w:pPr>
              <w:keepNext/>
              <w:spacing w:line="320" w:lineRule="exact" w:after="0" w:before="0"/>
              <w:ind w:firstLine="0"/>
              <w:jc w:val="center"/>
            </w:pPr>
            <w:r>
              <w:rPr>
                <w:b/>
                <w:sz w:val="21"/>
              </w:rPr>
              <w:t>指标与计算方式</w:t>
            </w:r>
          </w:p>
        </w:tc>
        <w:tc>
          <w:tcPr>
            <w:tcW w:type="dxa" w:w="2602"/>
            <w:vAlign w:val="center"/>
            <w:shd w:fill="EDF1F3"/>
          </w:tcPr>
          <w:p>
            <w:pPr>
              <w:keepNext/>
              <w:spacing w:line="320" w:lineRule="exact" w:after="0" w:before="0"/>
              <w:ind w:firstLine="0"/>
              <w:jc w:val="center"/>
            </w:pPr>
            <w:r>
              <w:rPr>
                <w:b/>
                <w:sz w:val="21"/>
              </w:rPr>
              <w:t>统计边界</w:t>
            </w:r>
          </w:p>
        </w:tc>
        <w:tc>
          <w:tcPr>
            <w:tcW w:type="dxa" w:w="2602"/>
            <w:vAlign w:val="center"/>
            <w:shd w:fill="EDF1F3"/>
          </w:tcPr>
          <w:p>
            <w:pPr>
              <w:keepNext/>
              <w:spacing w:line="320" w:lineRule="exact" w:after="0" w:before="0"/>
              <w:ind w:firstLine="0"/>
              <w:jc w:val="center"/>
            </w:pPr>
            <w:r>
              <w:rPr>
                <w:b/>
                <w:sz w:val="21"/>
              </w:rPr>
              <w:t>主要证据</w:t>
            </w:r>
          </w:p>
        </w:tc>
      </w:tr>
      <w:tr>
        <w:trPr>
          <w:cantSplit/>
        </w:trPr>
        <w:tc>
          <w:tcPr>
            <w:tcW w:type="dxa" w:w="1638"/>
            <w:vAlign w:val="center"/>
          </w:tcPr>
          <w:p>
            <w:pPr>
              <w:keepNext w:val="0"/>
              <w:spacing w:line="320" w:lineRule="exact" w:after="0" w:before="0"/>
              <w:ind w:firstLine="0"/>
              <w:jc w:val="left"/>
            </w:pPr>
            <w:r>
              <w:rPr>
                <w:b w:val="0"/>
                <w:sz w:val="21"/>
              </w:rPr>
              <w:t>加工产出</w:t>
            </w:r>
          </w:p>
        </w:tc>
        <w:tc>
          <w:tcPr>
            <w:tcW w:type="dxa" w:w="2795"/>
            <w:vAlign w:val="center"/>
          </w:tcPr>
          <w:p>
            <w:pPr>
              <w:keepNext w:val="0"/>
              <w:spacing w:line="320" w:lineRule="exact" w:after="0" w:before="0"/>
              <w:ind w:firstLine="0"/>
              <w:jc w:val="left"/>
            </w:pPr>
            <w:r>
              <w:rPr>
                <w:b w:val="0"/>
                <w:sz w:val="21"/>
              </w:rPr>
              <w:t>有效产出率为通过规定检查的产出量占总产出量比例</w:t>
            </w:r>
          </w:p>
        </w:tc>
        <w:tc>
          <w:tcPr>
            <w:tcW w:type="dxa" w:w="2602"/>
            <w:vAlign w:val="center"/>
          </w:tcPr>
          <w:p>
            <w:pPr>
              <w:keepNext w:val="0"/>
              <w:spacing w:line="320" w:lineRule="exact" w:after="0" w:before="0"/>
              <w:ind w:firstLine="0"/>
              <w:jc w:val="left"/>
            </w:pPr>
            <w:r>
              <w:rPr>
                <w:b w:val="0"/>
                <w:sz w:val="21"/>
              </w:rPr>
              <w:t>同业务域 同用途 同批次</w:t>
            </w:r>
          </w:p>
        </w:tc>
        <w:tc>
          <w:tcPr>
            <w:tcW w:type="dxa" w:w="2602"/>
            <w:vAlign w:val="center"/>
          </w:tcPr>
          <w:p>
            <w:pPr>
              <w:keepNext w:val="0"/>
              <w:spacing w:line="320" w:lineRule="exact" w:after="0" w:before="0"/>
              <w:ind w:firstLine="0"/>
              <w:jc w:val="left"/>
            </w:pPr>
            <w:r>
              <w:rPr>
                <w:b w:val="0"/>
                <w:sz w:val="21"/>
              </w:rPr>
              <w:t>输入输出清单与质检结果</w:t>
            </w:r>
          </w:p>
        </w:tc>
      </w:tr>
      <w:tr>
        <w:trPr>
          <w:cantSplit/>
        </w:trPr>
        <w:tc>
          <w:tcPr>
            <w:tcW w:type="dxa" w:w="1638"/>
            <w:vAlign w:val="center"/>
          </w:tcPr>
          <w:p>
            <w:pPr>
              <w:keepNext w:val="0"/>
              <w:spacing w:line="320" w:lineRule="exact" w:after="0" w:before="0"/>
              <w:ind w:firstLine="0"/>
              <w:jc w:val="left"/>
            </w:pPr>
            <w:r>
              <w:rPr>
                <w:b w:val="0"/>
                <w:sz w:val="21"/>
              </w:rPr>
              <w:t>人工作业</w:t>
            </w:r>
          </w:p>
        </w:tc>
        <w:tc>
          <w:tcPr>
            <w:tcW w:type="dxa" w:w="2795"/>
            <w:vAlign w:val="center"/>
          </w:tcPr>
          <w:p>
            <w:pPr>
              <w:keepNext w:val="0"/>
              <w:spacing w:line="320" w:lineRule="exact" w:after="0" w:before="0"/>
              <w:ind w:firstLine="0"/>
              <w:jc w:val="left"/>
            </w:pPr>
            <w:r>
              <w:rPr>
                <w:b w:val="0"/>
                <w:sz w:val="21"/>
              </w:rPr>
              <w:t>单位合格产出人工工时为总人工工时除以合格产出量</w:t>
            </w:r>
          </w:p>
        </w:tc>
        <w:tc>
          <w:tcPr>
            <w:tcW w:type="dxa" w:w="2602"/>
            <w:vAlign w:val="center"/>
          </w:tcPr>
          <w:p>
            <w:pPr>
              <w:keepNext w:val="0"/>
              <w:spacing w:line="320" w:lineRule="exact" w:after="0" w:before="0"/>
              <w:ind w:firstLine="0"/>
              <w:jc w:val="left"/>
            </w:pPr>
            <w:r>
              <w:rPr>
                <w:b w:val="0"/>
                <w:sz w:val="21"/>
              </w:rPr>
              <w:t>包含复核 返工及异常处理</w:t>
            </w:r>
          </w:p>
        </w:tc>
        <w:tc>
          <w:tcPr>
            <w:tcW w:type="dxa" w:w="2602"/>
            <w:vAlign w:val="center"/>
          </w:tcPr>
          <w:p>
            <w:pPr>
              <w:keepNext w:val="0"/>
              <w:spacing w:line="320" w:lineRule="exact" w:after="0" w:before="0"/>
              <w:ind w:firstLine="0"/>
              <w:jc w:val="left"/>
            </w:pPr>
            <w:r>
              <w:rPr>
                <w:b w:val="0"/>
                <w:sz w:val="21"/>
              </w:rPr>
              <w:t>任务工时和验收记录</w:t>
            </w:r>
          </w:p>
        </w:tc>
      </w:tr>
      <w:tr>
        <w:trPr>
          <w:cantSplit/>
        </w:trPr>
        <w:tc>
          <w:tcPr>
            <w:tcW w:type="dxa" w:w="1638"/>
            <w:vAlign w:val="center"/>
          </w:tcPr>
          <w:p>
            <w:pPr>
              <w:keepNext w:val="0"/>
              <w:spacing w:line="320" w:lineRule="exact" w:after="0" w:before="0"/>
              <w:ind w:firstLine="0"/>
              <w:jc w:val="left"/>
            </w:pPr>
            <w:r>
              <w:rPr>
                <w:b w:val="0"/>
                <w:sz w:val="21"/>
              </w:rPr>
              <w:t>专业抽取</w:t>
            </w:r>
          </w:p>
        </w:tc>
        <w:tc>
          <w:tcPr>
            <w:tcW w:type="dxa" w:w="2795"/>
            <w:vAlign w:val="center"/>
          </w:tcPr>
          <w:p>
            <w:pPr>
              <w:keepNext w:val="0"/>
              <w:spacing w:line="320" w:lineRule="exact" w:after="0" w:before="0"/>
              <w:ind w:firstLine="0"/>
              <w:jc w:val="left"/>
            </w:pPr>
            <w:r>
              <w:rPr>
                <w:b w:val="0"/>
                <w:sz w:val="21"/>
              </w:rPr>
              <w:t>正确字段比例与关键字段缺陷分别统计</w:t>
            </w:r>
          </w:p>
        </w:tc>
        <w:tc>
          <w:tcPr>
            <w:tcW w:type="dxa" w:w="2602"/>
            <w:vAlign w:val="center"/>
          </w:tcPr>
          <w:p>
            <w:pPr>
              <w:keepNext w:val="0"/>
              <w:spacing w:line="320" w:lineRule="exact" w:after="0" w:before="0"/>
              <w:ind w:firstLine="0"/>
              <w:jc w:val="left"/>
            </w:pPr>
            <w:r>
              <w:rPr>
                <w:b w:val="0"/>
                <w:sz w:val="21"/>
              </w:rPr>
              <w:t>字段定义和检查样本固定</w:t>
            </w:r>
          </w:p>
        </w:tc>
        <w:tc>
          <w:tcPr>
            <w:tcW w:type="dxa" w:w="2602"/>
            <w:vAlign w:val="center"/>
          </w:tcPr>
          <w:p>
            <w:pPr>
              <w:keepNext w:val="0"/>
              <w:spacing w:line="320" w:lineRule="exact" w:after="0" w:before="0"/>
              <w:ind w:firstLine="0"/>
              <w:jc w:val="left"/>
            </w:pPr>
            <w:r>
              <w:rPr>
                <w:b w:val="0"/>
                <w:sz w:val="21"/>
              </w:rPr>
              <w:t>原件 字段及专家结论</w:t>
            </w:r>
          </w:p>
        </w:tc>
      </w:tr>
      <w:tr>
        <w:trPr>
          <w:cantSplit/>
        </w:trPr>
        <w:tc>
          <w:tcPr>
            <w:tcW w:type="dxa" w:w="1638"/>
            <w:vAlign w:val="center"/>
          </w:tcPr>
          <w:p>
            <w:pPr>
              <w:keepNext w:val="0"/>
              <w:spacing w:line="320" w:lineRule="exact" w:after="0" w:before="0"/>
              <w:ind w:firstLine="0"/>
              <w:jc w:val="left"/>
            </w:pPr>
            <w:r>
              <w:rPr>
                <w:b w:val="0"/>
                <w:sz w:val="21"/>
              </w:rPr>
              <w:t>标注一致</w:t>
            </w:r>
          </w:p>
        </w:tc>
        <w:tc>
          <w:tcPr>
            <w:tcW w:type="dxa" w:w="2795"/>
            <w:vAlign w:val="center"/>
          </w:tcPr>
          <w:p>
            <w:pPr>
              <w:keepNext w:val="0"/>
              <w:spacing w:line="320" w:lineRule="exact" w:after="0" w:before="0"/>
              <w:ind w:firstLine="0"/>
              <w:jc w:val="left"/>
            </w:pPr>
            <w:r>
              <w:rPr>
                <w:b w:val="0"/>
                <w:sz w:val="21"/>
              </w:rPr>
              <w:t>按标签类型计算一致率或适用的一致性指标</w:t>
            </w:r>
          </w:p>
        </w:tc>
        <w:tc>
          <w:tcPr>
            <w:tcW w:type="dxa" w:w="2602"/>
            <w:vAlign w:val="center"/>
          </w:tcPr>
          <w:p>
            <w:pPr>
              <w:keepNext w:val="0"/>
              <w:spacing w:line="320" w:lineRule="exact" w:after="0" w:before="0"/>
              <w:ind w:firstLine="0"/>
              <w:jc w:val="left"/>
            </w:pPr>
            <w:r>
              <w:rPr>
                <w:b w:val="0"/>
                <w:sz w:val="21"/>
              </w:rPr>
              <w:t>容差 分母和抽样方式固定</w:t>
            </w:r>
          </w:p>
        </w:tc>
        <w:tc>
          <w:tcPr>
            <w:tcW w:type="dxa" w:w="2602"/>
            <w:vAlign w:val="center"/>
          </w:tcPr>
          <w:p>
            <w:pPr>
              <w:keepNext w:val="0"/>
              <w:spacing w:line="320" w:lineRule="exact" w:after="0" w:before="0"/>
              <w:ind w:firstLine="0"/>
              <w:jc w:val="left"/>
            </w:pPr>
            <w:r>
              <w:rPr>
                <w:b w:val="0"/>
                <w:sz w:val="21"/>
              </w:rPr>
              <w:t>独立标注与裁决记录</w:t>
            </w:r>
          </w:p>
        </w:tc>
      </w:tr>
      <w:tr>
        <w:trPr>
          <w:cantSplit/>
        </w:trPr>
        <w:tc>
          <w:tcPr>
            <w:tcW w:type="dxa" w:w="1638"/>
            <w:vAlign w:val="center"/>
          </w:tcPr>
          <w:p>
            <w:pPr>
              <w:keepNext w:val="0"/>
              <w:spacing w:line="320" w:lineRule="exact" w:after="0" w:before="0"/>
              <w:ind w:firstLine="0"/>
              <w:jc w:val="left"/>
            </w:pPr>
            <w:r>
              <w:rPr>
                <w:b w:val="0"/>
                <w:sz w:val="21"/>
              </w:rPr>
              <w:t>多模态关联</w:t>
            </w:r>
          </w:p>
        </w:tc>
        <w:tc>
          <w:tcPr>
            <w:tcW w:type="dxa" w:w="2795"/>
            <w:vAlign w:val="center"/>
          </w:tcPr>
          <w:p>
            <w:pPr>
              <w:keepNext w:val="0"/>
              <w:spacing w:line="320" w:lineRule="exact" w:after="0" w:before="0"/>
              <w:ind w:firstLine="0"/>
              <w:jc w:val="left"/>
            </w:pPr>
            <w:r>
              <w:rPr>
                <w:b w:val="0"/>
                <w:sz w:val="21"/>
              </w:rPr>
              <w:t>正确关联数量占已检查关联数量比例</w:t>
            </w:r>
          </w:p>
        </w:tc>
        <w:tc>
          <w:tcPr>
            <w:tcW w:type="dxa" w:w="2602"/>
            <w:vAlign w:val="center"/>
          </w:tcPr>
          <w:p>
            <w:pPr>
              <w:keepNext w:val="0"/>
              <w:spacing w:line="320" w:lineRule="exact" w:after="0" w:before="0"/>
              <w:ind w:firstLine="0"/>
              <w:jc w:val="left"/>
            </w:pPr>
            <w:r>
              <w:rPr>
                <w:b w:val="0"/>
                <w:sz w:val="21"/>
              </w:rPr>
              <w:t>分对象 时间及事件层级</w:t>
            </w:r>
          </w:p>
        </w:tc>
        <w:tc>
          <w:tcPr>
            <w:tcW w:type="dxa" w:w="2602"/>
            <w:vAlign w:val="center"/>
          </w:tcPr>
          <w:p>
            <w:pPr>
              <w:keepNext w:val="0"/>
              <w:spacing w:line="320" w:lineRule="exact" w:after="0" w:before="0"/>
              <w:ind w:firstLine="0"/>
              <w:jc w:val="left"/>
            </w:pPr>
            <w:r>
              <w:rPr>
                <w:b w:val="0"/>
                <w:sz w:val="21"/>
              </w:rPr>
              <w:t>关联清单及证据</w:t>
            </w:r>
          </w:p>
        </w:tc>
      </w:tr>
      <w:tr>
        <w:trPr>
          <w:cantSplit/>
        </w:trPr>
        <w:tc>
          <w:tcPr>
            <w:tcW w:type="dxa" w:w="1638"/>
            <w:vAlign w:val="center"/>
          </w:tcPr>
          <w:p>
            <w:pPr>
              <w:keepNext w:val="0"/>
              <w:spacing w:line="320" w:lineRule="exact" w:after="0" w:before="0"/>
              <w:ind w:firstLine="0"/>
              <w:jc w:val="left"/>
            </w:pPr>
            <w:r>
              <w:rPr>
                <w:b w:val="0"/>
                <w:sz w:val="21"/>
              </w:rPr>
              <w:t>版本追溯</w:t>
            </w:r>
          </w:p>
        </w:tc>
        <w:tc>
          <w:tcPr>
            <w:tcW w:type="dxa" w:w="2795"/>
            <w:vAlign w:val="center"/>
          </w:tcPr>
          <w:p>
            <w:pPr>
              <w:keepNext w:val="0"/>
              <w:spacing w:line="320" w:lineRule="exact" w:after="0" w:before="0"/>
              <w:ind w:firstLine="0"/>
              <w:jc w:val="left"/>
            </w:pPr>
            <w:r>
              <w:rPr>
                <w:b w:val="0"/>
                <w:sz w:val="21"/>
              </w:rPr>
              <w:t>能完整追溯的抽查对象占抽查对象比例</w:t>
            </w:r>
          </w:p>
        </w:tc>
        <w:tc>
          <w:tcPr>
            <w:tcW w:type="dxa" w:w="2602"/>
            <w:vAlign w:val="center"/>
          </w:tcPr>
          <w:p>
            <w:pPr>
              <w:keepNext w:val="0"/>
              <w:spacing w:line="320" w:lineRule="exact" w:after="0" w:before="0"/>
              <w:ind w:firstLine="0"/>
              <w:jc w:val="left"/>
            </w:pPr>
            <w:r>
              <w:rPr>
                <w:b w:val="0"/>
                <w:sz w:val="21"/>
              </w:rPr>
              <w:t>追溯至来源 规则及处理任务</w:t>
            </w:r>
          </w:p>
        </w:tc>
        <w:tc>
          <w:tcPr>
            <w:tcW w:type="dxa" w:w="2602"/>
            <w:vAlign w:val="center"/>
          </w:tcPr>
          <w:p>
            <w:pPr>
              <w:keepNext w:val="0"/>
              <w:spacing w:line="320" w:lineRule="exact" w:after="0" w:before="0"/>
              <w:ind w:firstLine="0"/>
              <w:jc w:val="left"/>
            </w:pPr>
            <w:r>
              <w:rPr>
                <w:b w:val="0"/>
                <w:sz w:val="21"/>
              </w:rPr>
              <w:t>血缘查询与原始记录</w:t>
            </w:r>
          </w:p>
        </w:tc>
      </w:tr>
      <w:tr>
        <w:trPr>
          <w:cantSplit/>
        </w:trPr>
        <w:tc>
          <w:tcPr>
            <w:tcW w:type="dxa" w:w="1638"/>
            <w:vAlign w:val="center"/>
          </w:tcPr>
          <w:p>
            <w:pPr>
              <w:keepNext w:val="0"/>
              <w:spacing w:line="320" w:lineRule="exact" w:after="0" w:before="0"/>
              <w:ind w:firstLine="0"/>
              <w:jc w:val="left"/>
            </w:pPr>
            <w:r>
              <w:rPr>
                <w:b w:val="0"/>
                <w:sz w:val="21"/>
              </w:rPr>
              <w:t>业务验证</w:t>
            </w:r>
          </w:p>
        </w:tc>
        <w:tc>
          <w:tcPr>
            <w:tcW w:type="dxa" w:w="2795"/>
            <w:vAlign w:val="center"/>
          </w:tcPr>
          <w:p>
            <w:pPr>
              <w:keepNext w:val="0"/>
              <w:spacing w:line="320" w:lineRule="exact" w:after="0" w:before="0"/>
              <w:ind w:firstLine="0"/>
              <w:jc w:val="left"/>
            </w:pPr>
            <w:r>
              <w:rPr>
                <w:b w:val="0"/>
                <w:sz w:val="21"/>
              </w:rPr>
              <w:t>按场景既定指标形成总体及分层结果</w:t>
            </w:r>
          </w:p>
        </w:tc>
        <w:tc>
          <w:tcPr>
            <w:tcW w:type="dxa" w:w="2602"/>
            <w:vAlign w:val="center"/>
          </w:tcPr>
          <w:p>
            <w:pPr>
              <w:keepNext w:val="0"/>
              <w:spacing w:line="320" w:lineRule="exact" w:after="0" w:before="0"/>
              <w:ind w:firstLine="0"/>
              <w:jc w:val="left"/>
            </w:pPr>
            <w:r>
              <w:rPr>
                <w:b w:val="0"/>
                <w:sz w:val="21"/>
              </w:rPr>
              <w:t>固定模型 版本和评测协议</w:t>
            </w:r>
          </w:p>
        </w:tc>
        <w:tc>
          <w:tcPr>
            <w:tcW w:type="dxa" w:w="2602"/>
            <w:vAlign w:val="center"/>
          </w:tcPr>
          <w:p>
            <w:pPr>
              <w:keepNext w:val="0"/>
              <w:spacing w:line="320" w:lineRule="exact" w:after="0" w:before="0"/>
              <w:ind w:firstLine="0"/>
              <w:jc w:val="left"/>
            </w:pPr>
            <w:r>
              <w:rPr>
                <w:b w:val="0"/>
                <w:sz w:val="21"/>
              </w:rPr>
              <w:t>运行记录及业务确认</w:t>
            </w:r>
          </w:p>
        </w:tc>
      </w:tr>
    </w:tbl>
    <w:p>
      <w:pPr>
        <w:spacing w:after="40" w:line="240" w:lineRule="auto"/>
        <w:ind w:firstLine="0"/>
      </w:pPr>
      <w:r>
        <w:rPr>
          <w:sz w:val="4"/>
        </w:rPr>
      </w:r>
    </w:p>
    <w:p>
      <w:pPr>
        <w:jc w:val="both"/>
      </w:pPr>
      <w:r>
        <w:t>效率改善以同等质量条件下的工时变化计算，成本改善包含计算、存储、人工、专家和必要适配投入。出现效率提升但专业错误增加时，不能判定综合改进成立。高风险错误单独统计并处置，不通过总体平均掩盖关键问题。</w:t>
      </w:r>
    </w:p>
    <w:p>
      <w:pPr>
        <w:jc w:val="both"/>
      </w:pPr>
      <w:r>
        <w:t>规则与模型协同效果按自动通过、转人工、隔离和返工分别分析，检查是否存在模型置信度过高但专业事实错误的情况。阈值调整使用开发和验证数据完成，调整后冻结配置，再在独立测试数据上评价。测试结果反馈用于后续版本改进，不反复修改当前测试条件以提高结果。</w:t>
      </w:r>
    </w:p>
    <w:p>
      <w:pPr>
        <w:pStyle w:val="Heading2"/>
      </w:pPr>
      <w:r>
        <w:t>19.3 专家协同与资源汇聚评价</w:t>
      </w:r>
    </w:p>
    <w:p>
      <w:pPr>
        <w:jc w:val="both"/>
      </w:pPr>
      <w:r>
        <w:t>专家库规模按去重后的有效在库人员统计，不少于50人，并检查六大领域覆盖。一个专家具备多个领域能力时，在人员总数中仅计一次，在专业覆盖中分别记录其经确认的能力。人员退出、暂停或不能履职时及时补充和调整，保持有效支撑能力符合项目要求。</w:t>
      </w:r>
    </w:p>
    <w:p>
      <w:pPr>
        <w:jc w:val="both"/>
      </w:pPr>
      <w:r>
        <w:t>参与数据集建设的机构不少于5家，机构参与以明确任务、实际投入和可核验成果为依据。专家个人所属机构与参与建设机构分别核验，不能仅凭专家来源名单证明机构参与。合作记录应能够对应到数据供给、加工、标准、验证或其他实际建设活动。</w:t>
      </w:r>
    </w:p>
    <w:p>
      <w:pPr>
        <w:jc w:val="both"/>
      </w:pPr>
      <w:r>
        <w:t>汇聚评价分别统计有效新增、有效更新、重复、隔离和退回数量，持续性以约定周期内实际交付和异常恢复情况核验。对关键稀缺数据关注业务覆盖及质量，对常规大批量数据关注稳定性和成本。来源许可完整性、权属争议和撤权处理纳入独立检查。</w:t>
      </w:r>
    </w:p>
    <w:p>
      <w:pPr>
        <w:jc w:val="both"/>
      </w:pPr>
      <w:r>
        <w:t>专家履职评价采用任务响应、专业质量、裁决依据、协同纪律和知识贡献记录。不同难度和风险的任务分层比较，申诉及仲裁结果用于校正评价。协同激励与有效贡献关联，质量未通过或权利存在问题的产出不计入合格贡献。</w:t>
      </w:r>
    </w:p>
    <w:p>
      <w:pPr>
        <w:pStyle w:val="Heading2"/>
      </w:pPr>
      <w:r>
        <w:t>19.4 软建设成果与执行效果评价</w:t>
      </w:r>
    </w:p>
    <w:p>
      <w:pPr>
        <w:jc w:val="both"/>
      </w:pPr>
      <w:r>
        <w:t>政策体系梳理完成25个相关文件的收集、有效性核查及适用条款分析，文件清单与原文和获取渠道关联。中长期发展规划、四项专项实施方案、制度体系、动态调整机制及年度政策符合性评估报告分别形成正式成果，并通过执行任务和记录检查其落实情况。</w:t>
      </w:r>
    </w:p>
    <w:p>
      <w:pPr>
        <w:jc w:val="both"/>
      </w:pPr>
      <w:r>
        <w:t>五项体制机制分别建立责任、流程、记录和监督要求，抽查实际任务能否沿责任链和证据链核验。两项关键行业标准按制定程序推动并保留过程成果，十八项细分标准和六项技术规范形成完整体系，检查标准条款与平台配置、生产作业及验收方法之间的对应。</w:t>
      </w:r>
    </w:p>
    <w:p>
      <w:pPr>
        <w:jc w:val="both"/>
      </w:pPr>
      <w:r>
        <w:t>执行效果通过任务抽样检验。选择采集、标注、专家裁决、版本发布、运营交付和制度变更等实际活动，逐项核对适用规定、审批和执行证据。发现仅有文件而未形成实际操作的情况，明确责任和补充措施，整改复核后再关闭问题。</w:t>
      </w:r>
    </w:p>
    <w:p>
      <w:pPr>
        <w:pStyle w:val="Heading2"/>
      </w:pPr>
      <w:r>
        <w:t>19.5 运营服务与基础设施接入评价</w:t>
      </w:r>
    </w:p>
    <w:p>
      <w:pPr>
        <w:jc w:val="both"/>
      </w:pPr>
      <w:r>
        <w:t>运营服务统计目录供给、有效申请、服务完成、用户问题、履约质量、收入及成本，公共服务和商业服务分别归集。转化率的分母使用同一期间和明确状态的有效需求，排除重复申请和无效测试。服务满意度结合具体交付和问题处理分析，保留调查范围及反馈依据。</w:t>
      </w:r>
    </w:p>
    <w:p>
      <w:pPr>
        <w:jc w:val="both"/>
      </w:pPr>
      <w:r>
        <w:t>接入国家数据基础设施的验证覆盖平台生成数据集和行业用户自有数据集两类对象，分别检查目录、身份、授权、可信交付、计量和审计。能够完成端到端交付并形成可核验回执，才计入实际接入成果；仅配置连接信息或形成方案不计作完整交付。</w:t>
      </w:r>
    </w:p>
    <w:p>
      <w:pPr>
        <w:jc w:val="both"/>
      </w:pPr>
      <w:r>
        <w:t>服务中断、授权错误、版本不一致、异常计量和撤权失败单独记录，分析影响对象及恢复过程。恢复后重做失败环节和关联测试，核对重复请求是否引起重复交付或重复计费。运营结论与实际订单、授权、交付和结算证据保持一致。</w:t>
      </w:r>
    </w:p>
    <w:p>
      <w:pPr>
        <w:pStyle w:val="Heading2"/>
      </w:pPr>
      <w:r>
        <w:t>19.6 监测结果的改进应用</w:t>
      </w:r>
    </w:p>
    <w:p>
      <w:pPr>
        <w:jc w:val="both"/>
      </w:pPr>
      <w:r>
        <w:t>监测按任务、批次和运营周期形成报告，内容包括指标、变化、问题、原因及改进动作。指标异常先核查统计完整性，再分析业务原因，防止接口缺报或口径变化造成错误判断。对关键质量与安全问题及时处置，不能等待例行报告周期结束。</w:t>
      </w:r>
    </w:p>
    <w:p>
      <w:pPr>
        <w:jc w:val="both"/>
      </w:pPr>
      <w:r>
        <w:t>改进动作确定责任、完成条件和复核方式，并关联受影响数据、工具、规范和服务。完成后比较修订前后的结果，保留实际变化及未解决问题。形成稳定效果的方法进入能力复用目录，仍处于试验状态的方法保持限定范围使用。</w:t>
      </w:r>
    </w:p>
    <w:p>
      <w:pPr>
        <w:pStyle w:val="Heading1"/>
      </w:pPr>
      <w:r>
        <w:t>20 实施计划与成果交付</w:t>
      </w:r>
    </w:p>
    <w:p>
      <w:pPr>
        <w:pStyle w:val="Heading2"/>
      </w:pPr>
      <w:r>
        <w:t>20.1 启动与基线建立</w:t>
      </w:r>
    </w:p>
    <w:p>
      <w:pPr>
        <w:jc w:val="both"/>
      </w:pPr>
      <w:r>
        <w:t>启动阶段完成创新工作责任分工、任务分解和依赖梳理，核实甲方现有组织、制度、工具、专家资源和协作条件。建立招标要求、实施任务、成果和验证方法之间的对应关系，形成可执行的进度计划。实施安排纳入项目总体计划，确保2028年5月前完成终验收。</w:t>
      </w:r>
    </w:p>
    <w:p>
      <w:pPr>
        <w:jc w:val="both"/>
      </w:pPr>
      <w:r>
        <w:t>资源调查覆盖四类业务数据、主要来源主体、关键专业问题及既有运营基础，先确定代表性业务链和试点样本。专家库同步开展类别规划、候选征集和入库审核，政策梳理和标准需求分析同步启动。基线任务记录实际质量、时间和成本，为后续评价提供依据。</w:t>
      </w:r>
    </w:p>
    <w:p>
      <w:pPr>
        <w:jc w:val="both"/>
      </w:pPr>
      <w:r>
        <w:t>阶段退出条件为任务及责任明确、关键资料可获得、试点范围和质量方法已确认、风险和依赖有处置安排。来源授权或关键样本尚不具备条件的任务建立专项跟踪，不使用无依据数据填补。计划变更及时评估对标准、试点、运营和最终交付的影响。</w:t>
      </w:r>
    </w:p>
    <w:p>
      <w:pPr>
        <w:pStyle w:val="Heading2"/>
      </w:pPr>
      <w:r>
        <w:t>20.2 样板验证与规则固化</w:t>
      </w:r>
    </w:p>
    <w:p>
      <w:pPr>
        <w:jc w:val="both"/>
      </w:pPr>
      <w:r>
        <w:t>样板阶段选择能覆盖文本、图像、时序、视频及专业复核的典型任务，贯通接入、加工、标注、质量、验证和版本发布。工具创新先在限定范围试运行，记录错误、人工介入和资源需求，验证通过后形成可复用配置。高风险专业判断保持专家复核。</w:t>
      </w:r>
    </w:p>
    <w:p>
      <w:pPr>
        <w:jc w:val="both"/>
      </w:pPr>
      <w:r>
        <w:t>同步试行专家派单、争议仲裁、跨主体交接、贡献核算和制度检查，使用真实任务检验机制是否能够执行。标准规范根据试运行结果修订，明确边界条件和异常处置。运营服务选择代表产品和服务方式完成受控交付，验证目录、授权、计量和审计的关联。</w:t>
      </w:r>
    </w:p>
    <w:p>
      <w:pPr>
        <w:jc w:val="both"/>
      </w:pPr>
      <w:r>
        <w:t>阶段评审检查链路完整、质量达标、证据可追溯和规则可重复执行。对未达到条件的样板明确整改范围，不直接扩大生产。通过评审的样板形成工艺包、规范、测试样本和操作资料，作为批量推广的受控基线。</w:t>
      </w:r>
    </w:p>
    <w:p>
      <w:pPr>
        <w:pStyle w:val="Heading2"/>
      </w:pPr>
      <w:r>
        <w:t>20.3 批量推广与持续汇聚</w:t>
      </w:r>
    </w:p>
    <w:p>
      <w:pPr>
        <w:jc w:val="both"/>
      </w:pPr>
      <w:r>
        <w:t>批量推广按照业务域、来源和数据模态分批实施，优先复用已验证工艺，新增差异通过适配任务解决。每批固定输入、规则、人员和质量门槛，汇总产出、返工、问题及工时。对新来源、新设备和新标签加强初期检查，稳定后按风险调整检查安排。</w:t>
      </w:r>
    </w:p>
    <w:p>
      <w:pPr>
        <w:jc w:val="both"/>
      </w:pPr>
      <w:r>
        <w:t>协同汇聚持续落实增量、更新和授权管理，机构参与、专家履职及能力复用形成周期记录。政策、标准和制度同步维护，变化通过影响评估转化为任务。运营产品逐步增加，发布前完成相应审核，用户反馈回流到数据及服务改进。</w:t>
      </w:r>
    </w:p>
    <w:p>
      <w:pPr>
        <w:jc w:val="both"/>
      </w:pPr>
      <w:r>
        <w:t>推广进度与质量结果联动。出现共性规则缺陷时暂停相关批次扩大，定位已处理范围并组织回查。生产任务、整改任务和资源安排统一协调，保证新增产出和存量质量处理均有明确责任。</w:t>
      </w:r>
    </w:p>
    <w:p>
      <w:pPr>
        <w:pStyle w:val="Heading2"/>
      </w:pPr>
      <w:r>
        <w:t>20.4 运营接入与综合验证</w:t>
      </w:r>
    </w:p>
    <w:p>
      <w:pPr>
        <w:jc w:val="both"/>
      </w:pPr>
      <w:r>
        <w:t>运营接入阶段完成两类数据集接入国家数据基础设施的技术方案、必要开发、联调和实测，验证可信流通与资产化运营相关流程。公共服务、增值服务和定制服务分别执行代表性任务，检查服务边界、履约质量、计量和反馈处理。</w:t>
      </w:r>
    </w:p>
    <w:p>
      <w:pPr>
        <w:jc w:val="both"/>
      </w:pPr>
      <w:r>
        <w:t>综合验证将工具、专家、汇聚、软建设和运营机制联动检查。以完整业务任务贯穿来源、处理、判断、发布和交付，验证责任、制度、平台配置和实际记录相互一致。异常测试覆盖授权变化、数据更正、工具失败、专家回避、版本撤回及外部连接中断。</w:t>
      </w:r>
    </w:p>
    <w:p>
      <w:pPr>
        <w:jc w:val="both"/>
      </w:pPr>
      <w:r>
        <w:t>验证发现的问题统一登记并分类整改，整改后复测相关链路。对影响多个产品或服务的共性问题扩大检查范围，完成影响确认后再恢复相关操作。综合报告保留实际结果、未关闭事项及后续处置，正式验收前完成规定问题的整改和复核。</w:t>
      </w:r>
    </w:p>
    <w:p>
      <w:pPr>
        <w:pStyle w:val="Heading2"/>
      </w:pPr>
      <w:r>
        <w:t>20.5 成果交付清单与核验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成果类别</w:t>
            </w:r>
          </w:p>
        </w:tc>
        <w:tc>
          <w:tcPr>
            <w:tcW w:type="dxa" w:w="2795"/>
            <w:vAlign w:val="center"/>
            <w:shd w:fill="EDF1F3"/>
          </w:tcPr>
          <w:p>
            <w:pPr>
              <w:keepNext/>
              <w:spacing w:line="320" w:lineRule="exact" w:after="0" w:before="0"/>
              <w:ind w:firstLine="0"/>
              <w:jc w:val="center"/>
            </w:pPr>
            <w:r>
              <w:rPr>
                <w:b/>
                <w:sz w:val="21"/>
              </w:rPr>
              <w:t>交付内容</w:t>
            </w:r>
          </w:p>
        </w:tc>
        <w:tc>
          <w:tcPr>
            <w:tcW w:type="dxa" w:w="2602"/>
            <w:vAlign w:val="center"/>
            <w:shd w:fill="EDF1F3"/>
          </w:tcPr>
          <w:p>
            <w:pPr>
              <w:keepNext/>
              <w:spacing w:line="320" w:lineRule="exact" w:after="0" w:before="0"/>
              <w:ind w:firstLine="0"/>
              <w:jc w:val="center"/>
            </w:pPr>
            <w:r>
              <w:rPr>
                <w:b/>
                <w:sz w:val="21"/>
              </w:rPr>
              <w:t>核验要点</w:t>
            </w:r>
          </w:p>
        </w:tc>
        <w:tc>
          <w:tcPr>
            <w:tcW w:type="dxa" w:w="2602"/>
            <w:vAlign w:val="center"/>
            <w:shd w:fill="EDF1F3"/>
          </w:tcPr>
          <w:p>
            <w:pPr>
              <w:keepNext/>
              <w:spacing w:line="320" w:lineRule="exact" w:after="0" w:before="0"/>
              <w:ind w:firstLine="0"/>
              <w:jc w:val="center"/>
            </w:pPr>
            <w:r>
              <w:rPr>
                <w:b/>
                <w:sz w:val="21"/>
              </w:rPr>
              <w:t>配套执行证据</w:t>
            </w:r>
          </w:p>
        </w:tc>
      </w:tr>
      <w:tr>
        <w:trPr>
          <w:cantSplit/>
        </w:trPr>
        <w:tc>
          <w:tcPr>
            <w:tcW w:type="dxa" w:w="1638"/>
            <w:vAlign w:val="center"/>
          </w:tcPr>
          <w:p>
            <w:pPr>
              <w:keepNext w:val="0"/>
              <w:spacing w:line="320" w:lineRule="exact" w:after="0" w:before="0"/>
              <w:ind w:firstLine="0"/>
              <w:jc w:val="left"/>
            </w:pPr>
            <w:r>
              <w:rPr>
                <w:b w:val="0"/>
                <w:sz w:val="21"/>
              </w:rPr>
              <w:t>工具创新</w:t>
            </w:r>
          </w:p>
        </w:tc>
        <w:tc>
          <w:tcPr>
            <w:tcW w:type="dxa" w:w="2795"/>
            <w:vAlign w:val="center"/>
          </w:tcPr>
          <w:p>
            <w:pPr>
              <w:keepNext w:val="0"/>
              <w:spacing w:line="320" w:lineRule="exact" w:after="0" w:before="0"/>
              <w:ind w:firstLine="0"/>
              <w:jc w:val="left"/>
            </w:pPr>
            <w:r>
              <w:rPr>
                <w:b w:val="0"/>
                <w:sz w:val="21"/>
              </w:rPr>
              <w:t>九类工具链创新实现 配置及复用工艺包</w:t>
            </w:r>
          </w:p>
        </w:tc>
        <w:tc>
          <w:tcPr>
            <w:tcW w:type="dxa" w:w="2602"/>
            <w:vAlign w:val="center"/>
          </w:tcPr>
          <w:p>
            <w:pPr>
              <w:keepNext w:val="0"/>
              <w:spacing w:line="320" w:lineRule="exact" w:after="0" w:before="0"/>
              <w:ind w:firstLine="0"/>
              <w:jc w:val="left"/>
            </w:pPr>
            <w:r>
              <w:rPr>
                <w:b w:val="0"/>
                <w:sz w:val="21"/>
              </w:rPr>
              <w:t>二十五项功能对应及实际运行</w:t>
            </w:r>
          </w:p>
        </w:tc>
        <w:tc>
          <w:tcPr>
            <w:tcW w:type="dxa" w:w="2602"/>
            <w:vAlign w:val="center"/>
          </w:tcPr>
          <w:p>
            <w:pPr>
              <w:keepNext w:val="0"/>
              <w:spacing w:line="320" w:lineRule="exact" w:after="0" w:before="0"/>
              <w:ind w:firstLine="0"/>
              <w:jc w:val="left"/>
            </w:pPr>
            <w:r>
              <w:rPr>
                <w:b w:val="0"/>
                <w:sz w:val="21"/>
              </w:rPr>
              <w:t>测试记录 版本及生产批次</w:t>
            </w:r>
          </w:p>
        </w:tc>
      </w:tr>
      <w:tr>
        <w:trPr>
          <w:cantSplit/>
        </w:trPr>
        <w:tc>
          <w:tcPr>
            <w:tcW w:type="dxa" w:w="1638"/>
            <w:vAlign w:val="center"/>
          </w:tcPr>
          <w:p>
            <w:pPr>
              <w:keepNext w:val="0"/>
              <w:spacing w:line="320" w:lineRule="exact" w:after="0" w:before="0"/>
              <w:ind w:firstLine="0"/>
              <w:jc w:val="left"/>
            </w:pPr>
            <w:r>
              <w:rPr>
                <w:b w:val="0"/>
                <w:sz w:val="21"/>
              </w:rPr>
              <w:t>专家库机制</w:t>
            </w:r>
          </w:p>
        </w:tc>
        <w:tc>
          <w:tcPr>
            <w:tcW w:type="dxa" w:w="2795"/>
            <w:vAlign w:val="center"/>
          </w:tcPr>
          <w:p>
            <w:pPr>
              <w:keepNext w:val="0"/>
              <w:spacing w:line="320" w:lineRule="exact" w:after="0" w:before="0"/>
              <w:ind w:firstLine="0"/>
              <w:jc w:val="left"/>
            </w:pPr>
            <w:r>
              <w:rPr>
                <w:b w:val="0"/>
                <w:sz w:val="21"/>
              </w:rPr>
              <w:t>建设原则 类别 标准 遴选 职责及考核机制</w:t>
            </w:r>
          </w:p>
        </w:tc>
        <w:tc>
          <w:tcPr>
            <w:tcW w:type="dxa" w:w="2602"/>
            <w:vAlign w:val="center"/>
          </w:tcPr>
          <w:p>
            <w:pPr>
              <w:keepNext w:val="0"/>
              <w:spacing w:line="320" w:lineRule="exact" w:after="0" w:before="0"/>
              <w:ind w:firstLine="0"/>
              <w:jc w:val="left"/>
            </w:pPr>
            <w:r>
              <w:rPr>
                <w:b w:val="0"/>
                <w:sz w:val="21"/>
              </w:rPr>
              <w:t>不少于50人 六大领域覆盖</w:t>
            </w:r>
          </w:p>
        </w:tc>
        <w:tc>
          <w:tcPr>
            <w:tcW w:type="dxa" w:w="2602"/>
            <w:vAlign w:val="center"/>
          </w:tcPr>
          <w:p>
            <w:pPr>
              <w:keepNext w:val="0"/>
              <w:spacing w:line="320" w:lineRule="exact" w:after="0" w:before="0"/>
              <w:ind w:firstLine="0"/>
              <w:jc w:val="left"/>
            </w:pPr>
            <w:r>
              <w:rPr>
                <w:b w:val="0"/>
                <w:sz w:val="21"/>
              </w:rPr>
              <w:t>审核 派单 复核及评价记录</w:t>
            </w:r>
          </w:p>
        </w:tc>
      </w:tr>
      <w:tr>
        <w:trPr>
          <w:cantSplit/>
        </w:trPr>
        <w:tc>
          <w:tcPr>
            <w:tcW w:type="dxa" w:w="1638"/>
            <w:vAlign w:val="center"/>
          </w:tcPr>
          <w:p>
            <w:pPr>
              <w:keepNext w:val="0"/>
              <w:spacing w:line="320" w:lineRule="exact" w:after="0" w:before="0"/>
              <w:ind w:firstLine="0"/>
              <w:jc w:val="left"/>
            </w:pPr>
            <w:r>
              <w:rPr>
                <w:b w:val="0"/>
                <w:sz w:val="21"/>
              </w:rPr>
              <w:t>协同汇聚</w:t>
            </w:r>
          </w:p>
        </w:tc>
        <w:tc>
          <w:tcPr>
            <w:tcW w:type="dxa" w:w="2795"/>
            <w:vAlign w:val="center"/>
          </w:tcPr>
          <w:p>
            <w:pPr>
              <w:keepNext w:val="0"/>
              <w:spacing w:line="320" w:lineRule="exact" w:after="0" w:before="0"/>
              <w:ind w:firstLine="0"/>
              <w:jc w:val="left"/>
            </w:pPr>
            <w:r>
              <w:rPr>
                <w:b w:val="0"/>
                <w:sz w:val="21"/>
              </w:rPr>
              <w:t>主体协作 增量接入 权属登记及激励机制</w:t>
            </w:r>
          </w:p>
        </w:tc>
        <w:tc>
          <w:tcPr>
            <w:tcW w:type="dxa" w:w="2602"/>
            <w:vAlign w:val="center"/>
          </w:tcPr>
          <w:p>
            <w:pPr>
              <w:keepNext w:val="0"/>
              <w:spacing w:line="320" w:lineRule="exact" w:after="0" w:before="0"/>
              <w:ind w:firstLine="0"/>
              <w:jc w:val="left"/>
            </w:pPr>
            <w:r>
              <w:rPr>
                <w:b w:val="0"/>
                <w:sz w:val="21"/>
              </w:rPr>
              <w:t>不少于5家机构实际参与建设</w:t>
            </w:r>
          </w:p>
        </w:tc>
        <w:tc>
          <w:tcPr>
            <w:tcW w:type="dxa" w:w="2602"/>
            <w:vAlign w:val="center"/>
          </w:tcPr>
          <w:p>
            <w:pPr>
              <w:keepNext w:val="0"/>
              <w:spacing w:line="320" w:lineRule="exact" w:after="0" w:before="0"/>
              <w:ind w:firstLine="0"/>
              <w:jc w:val="left"/>
            </w:pPr>
            <w:r>
              <w:rPr>
                <w:b w:val="0"/>
                <w:sz w:val="21"/>
              </w:rPr>
              <w:t>协作成果 批次及授权记录</w:t>
            </w:r>
          </w:p>
        </w:tc>
      </w:tr>
      <w:tr>
        <w:trPr>
          <w:cantSplit/>
        </w:trPr>
        <w:tc>
          <w:tcPr>
            <w:tcW w:type="dxa" w:w="1638"/>
            <w:vAlign w:val="center"/>
          </w:tcPr>
          <w:p>
            <w:pPr>
              <w:keepNext w:val="0"/>
              <w:spacing w:line="320" w:lineRule="exact" w:after="0" w:before="0"/>
              <w:ind w:firstLine="0"/>
              <w:jc w:val="left"/>
            </w:pPr>
            <w:r>
              <w:rPr>
                <w:b w:val="0"/>
                <w:sz w:val="21"/>
              </w:rPr>
              <w:t>政策梳理</w:t>
            </w:r>
          </w:p>
        </w:tc>
        <w:tc>
          <w:tcPr>
            <w:tcW w:type="dxa" w:w="2795"/>
            <w:vAlign w:val="center"/>
          </w:tcPr>
          <w:p>
            <w:pPr>
              <w:keepNext w:val="0"/>
              <w:spacing w:line="320" w:lineRule="exact" w:after="0" w:before="0"/>
              <w:ind w:firstLine="0"/>
              <w:jc w:val="left"/>
            </w:pPr>
            <w:r>
              <w:rPr>
                <w:b w:val="0"/>
                <w:sz w:val="21"/>
              </w:rPr>
              <w:t>25个相关文件及适用性分析</w:t>
            </w:r>
          </w:p>
        </w:tc>
        <w:tc>
          <w:tcPr>
            <w:tcW w:type="dxa" w:w="2602"/>
            <w:vAlign w:val="center"/>
          </w:tcPr>
          <w:p>
            <w:pPr>
              <w:keepNext w:val="0"/>
              <w:spacing w:line="320" w:lineRule="exact" w:after="0" w:before="0"/>
              <w:ind w:firstLine="0"/>
              <w:jc w:val="left"/>
            </w:pPr>
            <w:r>
              <w:rPr>
                <w:b w:val="0"/>
                <w:sz w:val="21"/>
              </w:rPr>
              <w:t>来源 有效性 条款及责任对应</w:t>
            </w:r>
          </w:p>
        </w:tc>
        <w:tc>
          <w:tcPr>
            <w:tcW w:type="dxa" w:w="2602"/>
            <w:vAlign w:val="center"/>
          </w:tcPr>
          <w:p>
            <w:pPr>
              <w:keepNext w:val="0"/>
              <w:spacing w:line="320" w:lineRule="exact" w:after="0" w:before="0"/>
              <w:ind w:firstLine="0"/>
              <w:jc w:val="left"/>
            </w:pPr>
            <w:r>
              <w:rPr>
                <w:b w:val="0"/>
                <w:sz w:val="21"/>
              </w:rPr>
              <w:t>文件原文 核查和更新记录</w:t>
            </w:r>
          </w:p>
        </w:tc>
      </w:tr>
      <w:tr>
        <w:trPr>
          <w:cantSplit/>
        </w:trPr>
        <w:tc>
          <w:tcPr>
            <w:tcW w:type="dxa" w:w="1638"/>
            <w:vAlign w:val="center"/>
          </w:tcPr>
          <w:p>
            <w:pPr>
              <w:keepNext w:val="0"/>
              <w:spacing w:line="320" w:lineRule="exact" w:after="0" w:before="0"/>
              <w:ind w:firstLine="0"/>
              <w:jc w:val="left"/>
            </w:pPr>
            <w:r>
              <w:rPr>
                <w:b w:val="0"/>
                <w:sz w:val="21"/>
              </w:rPr>
              <w:t>政策规划</w:t>
            </w:r>
          </w:p>
        </w:tc>
        <w:tc>
          <w:tcPr>
            <w:tcW w:type="dxa" w:w="2795"/>
            <w:vAlign w:val="center"/>
          </w:tcPr>
          <w:p>
            <w:pPr>
              <w:keepNext w:val="0"/>
              <w:spacing w:line="320" w:lineRule="exact" w:after="0" w:before="0"/>
              <w:ind w:firstLine="0"/>
              <w:jc w:val="left"/>
            </w:pPr>
            <w:r>
              <w:rPr>
                <w:b w:val="0"/>
                <w:sz w:val="21"/>
              </w:rPr>
              <w:t>中长期规划 四项专项方案及配套制度和报告</w:t>
            </w:r>
          </w:p>
        </w:tc>
        <w:tc>
          <w:tcPr>
            <w:tcW w:type="dxa" w:w="2602"/>
            <w:vAlign w:val="center"/>
          </w:tcPr>
          <w:p>
            <w:pPr>
              <w:keepNext w:val="0"/>
              <w:spacing w:line="320" w:lineRule="exact" w:after="0" w:before="0"/>
              <w:ind w:firstLine="0"/>
              <w:jc w:val="left"/>
            </w:pPr>
            <w:r>
              <w:rPr>
                <w:b w:val="0"/>
                <w:sz w:val="21"/>
              </w:rPr>
              <w:t>目标 任务 资源及执行安排</w:t>
            </w:r>
          </w:p>
        </w:tc>
        <w:tc>
          <w:tcPr>
            <w:tcW w:type="dxa" w:w="2602"/>
            <w:vAlign w:val="center"/>
          </w:tcPr>
          <w:p>
            <w:pPr>
              <w:keepNext w:val="0"/>
              <w:spacing w:line="320" w:lineRule="exact" w:after="0" w:before="0"/>
              <w:ind w:firstLine="0"/>
              <w:jc w:val="left"/>
            </w:pPr>
            <w:r>
              <w:rPr>
                <w:b w:val="0"/>
                <w:sz w:val="21"/>
              </w:rPr>
              <w:t>评审 批准和执行记录</w:t>
            </w:r>
          </w:p>
        </w:tc>
      </w:tr>
      <w:tr>
        <w:trPr>
          <w:cantSplit/>
        </w:trPr>
        <w:tc>
          <w:tcPr>
            <w:tcW w:type="dxa" w:w="1638"/>
            <w:vAlign w:val="center"/>
          </w:tcPr>
          <w:p>
            <w:pPr>
              <w:keepNext w:val="0"/>
              <w:spacing w:line="320" w:lineRule="exact" w:after="0" w:before="0"/>
              <w:ind w:firstLine="0"/>
              <w:jc w:val="left"/>
            </w:pPr>
            <w:r>
              <w:rPr>
                <w:b w:val="0"/>
                <w:sz w:val="21"/>
              </w:rPr>
              <w:t>体制机制</w:t>
            </w:r>
          </w:p>
        </w:tc>
        <w:tc>
          <w:tcPr>
            <w:tcW w:type="dxa" w:w="2795"/>
            <w:vAlign w:val="center"/>
          </w:tcPr>
          <w:p>
            <w:pPr>
              <w:keepNext w:val="0"/>
              <w:spacing w:line="320" w:lineRule="exact" w:after="0" w:before="0"/>
              <w:ind w:firstLine="0"/>
              <w:jc w:val="left"/>
            </w:pPr>
            <w:r>
              <w:rPr>
                <w:b w:val="0"/>
                <w:sz w:val="21"/>
              </w:rPr>
              <w:t>五级责任 协同汇聚 全周期 考核激励 能力复用</w:t>
            </w:r>
          </w:p>
        </w:tc>
        <w:tc>
          <w:tcPr>
            <w:tcW w:type="dxa" w:w="2602"/>
            <w:vAlign w:val="center"/>
          </w:tcPr>
          <w:p>
            <w:pPr>
              <w:keepNext w:val="0"/>
              <w:spacing w:line="320" w:lineRule="exact" w:after="0" w:before="0"/>
              <w:ind w:firstLine="0"/>
              <w:jc w:val="left"/>
            </w:pPr>
            <w:r>
              <w:rPr>
                <w:b w:val="0"/>
                <w:sz w:val="21"/>
              </w:rPr>
              <w:t>责任 流程 监督及异常处置</w:t>
            </w:r>
          </w:p>
        </w:tc>
        <w:tc>
          <w:tcPr>
            <w:tcW w:type="dxa" w:w="2602"/>
            <w:vAlign w:val="center"/>
          </w:tcPr>
          <w:p>
            <w:pPr>
              <w:keepNext w:val="0"/>
              <w:spacing w:line="320" w:lineRule="exact" w:after="0" w:before="0"/>
              <w:ind w:firstLine="0"/>
              <w:jc w:val="left"/>
            </w:pPr>
            <w:r>
              <w:rPr>
                <w:b w:val="0"/>
                <w:sz w:val="21"/>
              </w:rPr>
              <w:t>实际任务和整改记录</w:t>
            </w:r>
          </w:p>
        </w:tc>
      </w:tr>
      <w:tr>
        <w:trPr>
          <w:cantSplit/>
        </w:trPr>
        <w:tc>
          <w:tcPr>
            <w:tcW w:type="dxa" w:w="1638"/>
            <w:vAlign w:val="center"/>
          </w:tcPr>
          <w:p>
            <w:pPr>
              <w:keepNext w:val="0"/>
              <w:spacing w:line="320" w:lineRule="exact" w:after="0" w:before="0"/>
              <w:ind w:firstLine="0"/>
              <w:jc w:val="left"/>
            </w:pPr>
            <w:r>
              <w:rPr>
                <w:b w:val="0"/>
                <w:sz w:val="21"/>
              </w:rPr>
              <w:t>标准规范</w:t>
            </w:r>
          </w:p>
        </w:tc>
        <w:tc>
          <w:tcPr>
            <w:tcW w:type="dxa" w:w="2795"/>
            <w:vAlign w:val="center"/>
          </w:tcPr>
          <w:p>
            <w:pPr>
              <w:keepNext w:val="0"/>
              <w:spacing w:line="320" w:lineRule="exact" w:after="0" w:before="0"/>
              <w:ind w:firstLine="0"/>
              <w:jc w:val="left"/>
            </w:pPr>
            <w:r>
              <w:rPr>
                <w:b w:val="0"/>
                <w:sz w:val="21"/>
              </w:rPr>
              <w:t>两项行业标准 十八项细分标准 六项实施规范</w:t>
            </w:r>
          </w:p>
        </w:tc>
        <w:tc>
          <w:tcPr>
            <w:tcW w:type="dxa" w:w="2602"/>
            <w:vAlign w:val="center"/>
          </w:tcPr>
          <w:p>
            <w:pPr>
              <w:keepNext w:val="0"/>
              <w:spacing w:line="320" w:lineRule="exact" w:after="0" w:before="0"/>
              <w:ind w:firstLine="0"/>
              <w:jc w:val="left"/>
            </w:pPr>
            <w:r>
              <w:rPr>
                <w:b w:val="0"/>
                <w:sz w:val="21"/>
              </w:rPr>
              <w:t>制定程序 条款完整及可验证性</w:t>
            </w:r>
          </w:p>
        </w:tc>
        <w:tc>
          <w:tcPr>
            <w:tcW w:type="dxa" w:w="2602"/>
            <w:vAlign w:val="center"/>
          </w:tcPr>
          <w:p>
            <w:pPr>
              <w:keepNext w:val="0"/>
              <w:spacing w:line="320" w:lineRule="exact" w:after="0" w:before="0"/>
              <w:ind w:firstLine="0"/>
              <w:jc w:val="left"/>
            </w:pPr>
            <w:r>
              <w:rPr>
                <w:b w:val="0"/>
                <w:sz w:val="21"/>
              </w:rPr>
              <w:t>起草 意见处理 验证及发布资料</w:t>
            </w:r>
          </w:p>
        </w:tc>
      </w:tr>
      <w:tr>
        <w:trPr>
          <w:cantSplit/>
        </w:trPr>
        <w:tc>
          <w:tcPr>
            <w:tcW w:type="dxa" w:w="1638"/>
            <w:vAlign w:val="center"/>
          </w:tcPr>
          <w:p>
            <w:pPr>
              <w:keepNext w:val="0"/>
              <w:spacing w:line="320" w:lineRule="exact" w:after="0" w:before="0"/>
              <w:ind w:firstLine="0"/>
              <w:jc w:val="left"/>
            </w:pPr>
            <w:r>
              <w:rPr>
                <w:b w:val="0"/>
                <w:sz w:val="21"/>
              </w:rPr>
              <w:t>运营服务</w:t>
            </w:r>
          </w:p>
        </w:tc>
        <w:tc>
          <w:tcPr>
            <w:tcW w:type="dxa" w:w="2795"/>
            <w:vAlign w:val="center"/>
          </w:tcPr>
          <w:p>
            <w:pPr>
              <w:keepNext w:val="0"/>
              <w:spacing w:line="320" w:lineRule="exact" w:after="0" w:before="0"/>
              <w:ind w:firstLine="0"/>
              <w:jc w:val="left"/>
            </w:pPr>
            <w:r>
              <w:rPr>
                <w:b w:val="0"/>
                <w:sz w:val="21"/>
              </w:rPr>
              <w:t>七个方面的运营能力与机制</w:t>
            </w:r>
          </w:p>
        </w:tc>
        <w:tc>
          <w:tcPr>
            <w:tcW w:type="dxa" w:w="2602"/>
            <w:vAlign w:val="center"/>
          </w:tcPr>
          <w:p>
            <w:pPr>
              <w:keepNext w:val="0"/>
              <w:spacing w:line="320" w:lineRule="exact" w:after="0" w:before="0"/>
              <w:ind w:firstLine="0"/>
              <w:jc w:val="left"/>
            </w:pPr>
            <w:r>
              <w:rPr>
                <w:b w:val="0"/>
                <w:sz w:val="21"/>
              </w:rPr>
              <w:t>服务可执行 责任和计量明确</w:t>
            </w:r>
          </w:p>
        </w:tc>
        <w:tc>
          <w:tcPr>
            <w:tcW w:type="dxa" w:w="2602"/>
            <w:vAlign w:val="center"/>
          </w:tcPr>
          <w:p>
            <w:pPr>
              <w:keepNext w:val="0"/>
              <w:spacing w:line="320" w:lineRule="exact" w:after="0" w:before="0"/>
              <w:ind w:firstLine="0"/>
              <w:jc w:val="left"/>
            </w:pPr>
            <w:r>
              <w:rPr>
                <w:b w:val="0"/>
                <w:sz w:val="21"/>
              </w:rPr>
              <w:t>服务任务 交付及运行报告</w:t>
            </w:r>
          </w:p>
        </w:tc>
      </w:tr>
      <w:tr>
        <w:trPr>
          <w:cantSplit/>
        </w:trPr>
        <w:tc>
          <w:tcPr>
            <w:tcW w:type="dxa" w:w="1638"/>
            <w:vAlign w:val="center"/>
          </w:tcPr>
          <w:p>
            <w:pPr>
              <w:keepNext w:val="0"/>
              <w:spacing w:line="320" w:lineRule="exact" w:after="0" w:before="0"/>
              <w:ind w:firstLine="0"/>
              <w:jc w:val="left"/>
            </w:pPr>
            <w:r>
              <w:rPr>
                <w:b w:val="0"/>
                <w:sz w:val="21"/>
              </w:rPr>
              <w:t>基础设施接入</w:t>
            </w:r>
          </w:p>
        </w:tc>
        <w:tc>
          <w:tcPr>
            <w:tcW w:type="dxa" w:w="2795"/>
            <w:vAlign w:val="center"/>
          </w:tcPr>
          <w:p>
            <w:pPr>
              <w:keepNext w:val="0"/>
              <w:spacing w:line="320" w:lineRule="exact" w:after="0" w:before="0"/>
              <w:ind w:firstLine="0"/>
              <w:jc w:val="left"/>
            </w:pPr>
            <w:r>
              <w:rPr>
                <w:b w:val="0"/>
                <w:sz w:val="21"/>
              </w:rPr>
              <w:t>技术方案 适配实施及两类数据集接入</w:t>
            </w:r>
          </w:p>
        </w:tc>
        <w:tc>
          <w:tcPr>
            <w:tcW w:type="dxa" w:w="2602"/>
            <w:vAlign w:val="center"/>
          </w:tcPr>
          <w:p>
            <w:pPr>
              <w:keepNext w:val="0"/>
              <w:spacing w:line="320" w:lineRule="exact" w:after="0" w:before="0"/>
              <w:ind w:firstLine="0"/>
              <w:jc w:val="left"/>
            </w:pPr>
            <w:r>
              <w:rPr>
                <w:b w:val="0"/>
                <w:sz w:val="21"/>
              </w:rPr>
              <w:t>端到端流通和运营流程验证</w:t>
            </w:r>
          </w:p>
        </w:tc>
        <w:tc>
          <w:tcPr>
            <w:tcW w:type="dxa" w:w="2602"/>
            <w:vAlign w:val="center"/>
          </w:tcPr>
          <w:p>
            <w:pPr>
              <w:keepNext w:val="0"/>
              <w:spacing w:line="320" w:lineRule="exact" w:after="0" w:before="0"/>
              <w:ind w:firstLine="0"/>
              <w:jc w:val="left"/>
            </w:pPr>
            <w:r>
              <w:rPr>
                <w:b w:val="0"/>
                <w:sz w:val="21"/>
              </w:rPr>
              <w:t>联调 授权 交付及审计记录</w:t>
            </w:r>
          </w:p>
        </w:tc>
      </w:tr>
    </w:tbl>
    <w:p>
      <w:pPr>
        <w:spacing w:after="40" w:line="240" w:lineRule="auto"/>
        <w:ind w:firstLine="0"/>
      </w:pPr>
      <w:r>
        <w:rPr>
          <w:sz w:val="4"/>
        </w:rPr>
      </w:r>
    </w:p>
    <w:p>
      <w:pPr>
        <w:jc w:val="both"/>
      </w:pPr>
      <w:r>
        <w:t>交付文件采用统一标识、版本、状态和目录管理，正式成果与工作过程资料建立关联。每项成果注明适用范围、责任、执行要求和维护方式，附必要记录及测试证据。交付清单逐项核对文件完整性、可读性、引用一致性和实际执行情况。</w:t>
      </w:r>
    </w:p>
    <w:p>
      <w:pPr>
        <w:jc w:val="both"/>
      </w:pPr>
      <w:r>
        <w:t>交付核验包含文件审查、系统演示、记录抽查、场景测试和人员操作验证。对机制类成果从实际任务抽取证据，对工具类成果执行代表性测试，对运营接入成果核验真实链路。核验问题形成清单，整改及复核记录与交付版本一同归档。</w:t>
      </w:r>
    </w:p>
    <w:p>
      <w:pPr>
        <w:pStyle w:val="Heading2"/>
      </w:pPr>
      <w:r>
        <w:t>20.6 培训交接与持续维护</w:t>
      </w:r>
    </w:p>
    <w:p>
      <w:pPr>
        <w:jc w:val="both"/>
      </w:pPr>
      <w:r>
        <w:t>培训围绕实际岗位任务组织，分别覆盖数据接入、加工标注、质量检查、专家管理、标准制度和运营服务。使用经授权且适合培训的样本演示正常处理及异常处置，使受训人员能够按照规范完成操作、查找依据和提交问题。培训记录包含对象、内容、材料、实操及考核结果。</w:t>
      </w:r>
    </w:p>
    <w:p>
      <w:pPr>
        <w:jc w:val="both"/>
      </w:pPr>
      <w:r>
        <w:t>交接时核对账号、权限、配置、工具、规则、文件、专家及合作联系机制、运行问题和维护任务。重要操作由接收岗位实际执行并核验结果，不能仅以资料签收代替能力交接。存在跨系统依赖的任务确认接口责任和异常联系渠道，保证后续运行有明确承接。</w:t>
      </w:r>
    </w:p>
    <w:p>
      <w:pPr>
        <w:jc w:val="both"/>
      </w:pPr>
      <w:r>
        <w:t>持续维护围绕政策标准变化、数据来源变化、业务需求及质量反馈开展，按已建立的变更流程更新工具和机制。新版本经过评审、测试和批准后发布，保留历史版本及迁移关系。运行效果定期复核，成熟方法持续进入复用目录，支撑高质量数据集长期更新和行业服务。</w:t>
      </w:r>
    </w:p>
    <w:p>
      <w:pPr>
        <w:jc w:val="both"/>
      </w:pPr>
      <w:r>
        <w:t>运行移交后建立维护日历，将数据更新、专家资源盘点、制度复审、接口兼容检查、权限复核和恢复演练落实到具体周期及责任岗位。数据更新周期与来源协议一致，专家履职按月分析，政策和标准采用定期检索与新发布触发相结合的方式。周期调整依据任务量、风险和实际运行情况批准，保留调整前后的安排及原因。</w:t>
      </w:r>
    </w:p>
    <w:p>
      <w:pPr>
        <w:jc w:val="both"/>
      </w:pPr>
      <w:r>
        <w:t>维护问题按影响和紧迫程度分级。涉及来源违法、敏感数据泄露、关键专业错误或错误授权的事项，先停止相关数据流转和服务，再核查范围；影响任务运行但未造成数据风险的事项，采用恢复任务、切换已验证配置或重新接入等方式处理；一般咨询和操作问题按受理流程解决。每项处理记录发现时间、影响、采取措施、恢复结果和责任确认，不能仅以系统恢复在线认定业务已经恢复。</w:t>
      </w:r>
    </w:p>
    <w:p>
      <w:pPr>
        <w:jc w:val="both"/>
      </w:pPr>
      <w:r>
        <w:t>恢复验证按实际故障对象执行。采集中断后核对水位和缺失批次，处理任务失败后核对输入、检查点和输出清单，目录同步失败后核对两侧标识及状态，授权异常恢复后再次测试允许及拒绝两类请求。涉及数据内容或标签变更的，增加质量复测和相关业务回归；涉及计量的，核对重复请求、成功事件及费用记录，防止恢复过程形成新的差错。</w:t>
      </w:r>
    </w:p>
    <w:p>
      <w:pPr>
        <w:jc w:val="both"/>
      </w:pPr>
      <w:r>
        <w:t>维护资料持续与运行版本同步，包含操作手册、接口及配置、规则清单、常见问题、恢复方法和联系人责任。人员更替采用资料核对与实际操作交接，临时权限及时回收。甲方提出新的业务或服务需求时，先确认来源、用途、质量及资源条件，再按变更程序实施，更新对应规范、培训及验收记录，使后续扩展能够沿用已建立的管理和技术体系。</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技术创新与机制创新方案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8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8"/>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6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技术创新与机制创新方案</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