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ind w:firstLine="0"/>
        <w:jc w:val="center"/>
      </w:pPr>
      <w:r>
        <w:t>数据治理专项规划与落地实施方案</w:t>
      </w:r>
    </w:p>
    <w:p>
      <w:pPr>
        <w:spacing w:line="324" w:lineRule="auto"/>
        <w:ind w:firstLine="0"/>
        <w:jc w:val="center"/>
      </w:pPr>
      <w:r>
        <w:t>矿山装备制造领域高质量数据集建设及场景应用项目配套设施</w:t>
        <w:br/>
        <w:t>数据加工生产服务</w:t>
      </w:r>
    </w:p>
    <w:p>
      <w:pPr>
        <w:spacing w:after="200"/>
      </w:pPr>
      <w:r>
        <w:t>我方完成数据标准、数据质量、数据安全、数据生存周期、数据应用流通专项规划，按三十七项规划成果组织交付，在九个业务域落实九项治理能力，形成可执行的制度、配置、流程和运行证据，持续支撑数据集生产及场景验证。</w:t>
      </w:r>
    </w:p>
    <w:p>
      <w:pPr>
        <w:spacing w:line="264" w:lineRule="auto"/>
        <w:ind w:firstLine="0"/>
      </w:pPr>
      <w:r>
        <w:rPr>
          <w:b/>
        </w:rPr>
        <w:t>目录</w:t>
      </w:r>
    </w:p>
    <w:p>
      <w:pPr>
        <w:tabs>
          <w:tab w:pos="9411" w:val="right" w:leader="dot"/>
        </w:tabs>
        <w:spacing w:line="300" w:lineRule="exact" w:after="40"/>
        <w:ind w:firstLine="0"/>
      </w:pPr>
      <w:r>
        <w:rPr>
          <w:sz w:val="21"/>
        </w:rPr>
        <w:t>1 建设目标与实施安排</w:t>
        <w:tab/>
        <w:t>2</w:t>
      </w:r>
    </w:p>
    <w:p>
      <w:pPr>
        <w:tabs>
          <w:tab w:pos="9411" w:val="right" w:leader="dot"/>
        </w:tabs>
        <w:spacing w:line="300" w:lineRule="exact" w:after="40"/>
        <w:ind w:firstLine="0"/>
      </w:pPr>
      <w:r>
        <w:rPr>
          <w:sz w:val="21"/>
        </w:rPr>
        <w:t>2 数据标准规划与应用</w:t>
        <w:tab/>
        <w:t>4</w:t>
      </w:r>
    </w:p>
    <w:p>
      <w:pPr>
        <w:tabs>
          <w:tab w:pos="9411" w:val="right" w:leader="dot"/>
        </w:tabs>
        <w:spacing w:line="300" w:lineRule="exact" w:after="40"/>
        <w:ind w:firstLine="0"/>
      </w:pPr>
      <w:r>
        <w:rPr>
          <w:sz w:val="21"/>
        </w:rPr>
        <w:t>3 数据质量规划与持续改进</w:t>
        <w:tab/>
        <w:t>12</w:t>
      </w:r>
    </w:p>
    <w:p>
      <w:pPr>
        <w:tabs>
          <w:tab w:pos="9411" w:val="right" w:leader="dot"/>
        </w:tabs>
        <w:spacing w:line="300" w:lineRule="exact" w:after="40"/>
        <w:ind w:firstLine="0"/>
      </w:pPr>
      <w:r>
        <w:rPr>
          <w:sz w:val="21"/>
        </w:rPr>
        <w:t>4 数据安全规划与管理控制</w:t>
        <w:tab/>
        <w:t>20</w:t>
      </w:r>
    </w:p>
    <w:p>
      <w:pPr>
        <w:tabs>
          <w:tab w:pos="9411" w:val="right" w:leader="dot"/>
        </w:tabs>
        <w:spacing w:line="300" w:lineRule="exact" w:after="40"/>
        <w:ind w:firstLine="0"/>
      </w:pPr>
      <w:r>
        <w:rPr>
          <w:sz w:val="21"/>
        </w:rPr>
        <w:t>5 数据生存周期规划</w:t>
        <w:tab/>
        <w:t>27</w:t>
      </w:r>
    </w:p>
    <w:p>
      <w:pPr>
        <w:tabs>
          <w:tab w:pos="9411" w:val="right" w:leader="dot"/>
        </w:tabs>
        <w:spacing w:line="300" w:lineRule="exact" w:after="40"/>
        <w:ind w:firstLine="0"/>
      </w:pPr>
      <w:r>
        <w:rPr>
          <w:sz w:val="21"/>
        </w:rPr>
        <w:t>6 数据应用流通规划</w:t>
        <w:tab/>
        <w:t>33</w:t>
      </w:r>
    </w:p>
    <w:p>
      <w:pPr>
        <w:tabs>
          <w:tab w:pos="9411" w:val="right" w:leader="dot"/>
        </w:tabs>
        <w:spacing w:line="300" w:lineRule="exact" w:after="40"/>
        <w:ind w:firstLine="0"/>
      </w:pPr>
      <w:r>
        <w:rPr>
          <w:sz w:val="21"/>
        </w:rPr>
        <w:t>7 数据治理规划成果交付</w:t>
        <w:tab/>
        <w:t>38</w:t>
      </w:r>
    </w:p>
    <w:p>
      <w:pPr>
        <w:tabs>
          <w:tab w:pos="9411" w:val="right" w:leader="dot"/>
        </w:tabs>
        <w:spacing w:line="300" w:lineRule="exact" w:after="40"/>
        <w:ind w:firstLine="0"/>
      </w:pPr>
      <w:r>
        <w:rPr>
          <w:sz w:val="21"/>
        </w:rPr>
        <w:t>8 九项治理能力平台实施</w:t>
        <w:tab/>
        <w:t>43</w:t>
      </w:r>
    </w:p>
    <w:p>
      <w:pPr>
        <w:tabs>
          <w:tab w:pos="9411" w:val="right" w:leader="dot"/>
        </w:tabs>
        <w:spacing w:line="300" w:lineRule="exact" w:after="40"/>
        <w:ind w:firstLine="0"/>
      </w:pPr>
      <w:r>
        <w:rPr>
          <w:sz w:val="21"/>
        </w:rPr>
        <w:t>9 九个业务域治理实施</w:t>
        <w:tab/>
        <w:t>50</w:t>
      </w:r>
    </w:p>
    <w:p>
      <w:pPr>
        <w:tabs>
          <w:tab w:pos="9411" w:val="right" w:leader="dot"/>
        </w:tabs>
        <w:spacing w:line="300" w:lineRule="exact" w:after="40"/>
        <w:ind w:firstLine="0"/>
      </w:pPr>
      <w:r>
        <w:rPr>
          <w:sz w:val="21"/>
        </w:rPr>
        <w:t>10 实施计划与验收移交</w:t>
        <w:tab/>
        <w:t>59</w:t>
      </w:r>
    </w:p>
    <w:p>
      <w:r>
        <w:br w:type="page"/>
      </w:r>
    </w:p>
    <w:p>
      <w:pPr>
        <w:pStyle w:val="Heading1"/>
      </w:pPr>
      <w:r>
        <w:t>1 建设目标与实施安排</w:t>
      </w:r>
    </w:p>
    <w:p>
      <w:pPr>
        <w:pStyle w:val="Heading2"/>
      </w:pPr>
      <w:r>
        <w:t>1.1 建设目标</w:t>
      </w:r>
    </w:p>
    <w:p>
      <w:pPr>
        <w:jc w:val="both"/>
      </w:pPr>
      <w:r>
        <w:t>我方依据数据治理现状评估和全域数据资产盘点结果，完成数据标准、数据质量、数据安全、数据生存周期、数据应用流通五个规划域的建设，并将九个规划域形成的管理要求落实到数据治理开发工具平台。实施覆盖人力资源、研发设计、生产制造、仓储物流、财务管理、设备管理、采购管理、营销管理、质量管理九个业务域，为供需计划、产品工艺设计、制造过程、产品质量四大高质量数据集持续供给来源清楚、定义一致、质量可核查、权限可控制的数据。</w:t>
      </w:r>
    </w:p>
    <w:p>
      <w:pPr>
        <w:jc w:val="both"/>
      </w:pPr>
      <w:r>
        <w:t>建设以实际业务对象和数据使用任务为起点。每项标准对应使用系统、字段和责任岗位；每项质量规则对应适用对象、检查方法和整改路径；每项安全要求对应分级标签、审批条件和技术控制；每项生命周期要求对应需求、开发、运行与退役记录；每项共享要求对应申请、授权、服务及退出状态。形成的文件、平台配置与实际操作相互对应，能够支撑数据管理能力成熟度三级建设与评估取证。</w:t>
      </w:r>
    </w:p>
    <w:p>
      <w:pPr>
        <w:jc w:val="both"/>
      </w:pPr>
      <w:r>
        <w:t>我方按照招标列明的三十七项规划成果逐项编制、评审和交付，满足不少于二十五份数据治理规划文档的要求。数据治理现状诊断报告、高质量数据集验证场景数据需求清单单独登记，配套字典、规则、映射、流程记录和运行证据随对应成果移交。成果数量和名称在实施阶段按批准程序滚动优化，具体要求、业务范围和实施责任持续保持完整。</w:t>
      </w:r>
    </w:p>
    <w:p>
      <w:pPr>
        <w:pStyle w:val="Heading2"/>
      </w:pPr>
      <w:r>
        <w:t>1.2 规划与实施关系</w:t>
      </w:r>
    </w:p>
    <w:p>
      <w:pPr>
        <w:jc w:val="both"/>
      </w:pPr>
      <w:r>
        <w:t>数据标准规划统一业务术语、主数据管理、参考数据、数据元及指标定义，为模型、映射和质量检查提供依据。数据质量规划将业务要求转化为可执行规则，发现异常后沿来源、处理任务和使用结果定位原因。数据安全规划贯穿各环节，通过分类分级、权限、脱敏、水印、访问审批及日志审计控制数据使用。数据生存周期规划规范需求受理、设计开发、运维和退役，保证版本、责任与处理记录连续。数据应用流通规划组织内外部数据引入、共享及服务，将治理结果落实到实际使用任务。</w:t>
      </w:r>
    </w:p>
    <w:p>
      <w:pPr>
        <w:jc w:val="both"/>
      </w:pPr>
      <w:r>
        <w:t>实施先完成对象范围、责任归属和关键定义确认，再配置首批标准、质量、安全和生命周期规则。采集及接入准备与规划编制同步推进，正式汇聚按已批准的范围、授权和规则执行。待核验数据在受控区域登记处理，完成必要核验后再进入正式供给。各批次在新增对象或发现问题时更新规划与配置，避免一次性编制完成后脱离实际运行。</w:t>
      </w:r>
    </w:p>
    <w:p>
      <w:pPr>
        <w:pStyle w:val="Caption"/>
        <w:keepNext/>
      </w:pPr>
      <w:r>
        <w:t>表1-1 规划成果与实施对象</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规划领域</w:t>
            </w:r>
          </w:p>
        </w:tc>
        <w:tc>
          <w:tcPr>
            <w:tcW w:type="dxa" w:w="3855"/>
            <w:vAlign w:val="center"/>
            <w:shd w:fill="EDF1F3"/>
          </w:tcPr>
          <w:p>
            <w:pPr>
              <w:keepNext/>
              <w:spacing w:line="320" w:lineRule="exact" w:after="0" w:before="0"/>
              <w:ind w:firstLine="0"/>
              <w:jc w:val="center"/>
            </w:pPr>
            <w:r>
              <w:rPr>
                <w:b/>
                <w:sz w:val="21"/>
              </w:rPr>
              <w:t>主要管理对象</w:t>
            </w:r>
          </w:p>
        </w:tc>
        <w:tc>
          <w:tcPr>
            <w:tcW w:type="dxa" w:w="3277"/>
            <w:vAlign w:val="center"/>
            <w:shd w:fill="EDF1F3"/>
          </w:tcPr>
          <w:p>
            <w:pPr>
              <w:keepNext/>
              <w:spacing w:line="320" w:lineRule="exact" w:after="0" w:before="0"/>
              <w:ind w:firstLine="0"/>
              <w:jc w:val="center"/>
            </w:pPr>
            <w:r>
              <w:rPr>
                <w:b/>
                <w:sz w:val="21"/>
              </w:rPr>
              <w:t>平台落实内容</w:t>
            </w:r>
          </w:p>
        </w:tc>
      </w:tr>
      <w:tr>
        <w:trPr>
          <w:cantSplit/>
        </w:trPr>
        <w:tc>
          <w:tcPr>
            <w:tcW w:type="dxa" w:w="2506"/>
            <w:vAlign w:val="center"/>
          </w:tcPr>
          <w:p>
            <w:pPr>
              <w:keepNext w:val="0"/>
              <w:spacing w:line="320" w:lineRule="exact" w:after="0" w:before="0"/>
              <w:ind w:firstLine="0"/>
              <w:jc w:val="left"/>
            </w:pPr>
            <w:r>
              <w:rPr>
                <w:b w:val="0"/>
                <w:sz w:val="21"/>
              </w:rPr>
              <w:t>数据标准</w:t>
            </w:r>
          </w:p>
        </w:tc>
        <w:tc>
          <w:tcPr>
            <w:tcW w:type="dxa" w:w="3855"/>
            <w:vAlign w:val="center"/>
          </w:tcPr>
          <w:p>
            <w:pPr>
              <w:keepNext w:val="0"/>
              <w:spacing w:line="320" w:lineRule="exact" w:after="0" w:before="0"/>
              <w:ind w:firstLine="0"/>
              <w:jc w:val="left"/>
            </w:pPr>
            <w:r>
              <w:rPr>
                <w:b w:val="0"/>
                <w:sz w:val="21"/>
              </w:rPr>
              <w:t>术语、主数据、参考数据、数据元和指标</w:t>
            </w:r>
          </w:p>
        </w:tc>
        <w:tc>
          <w:tcPr>
            <w:tcW w:type="dxa" w:w="3277"/>
            <w:vAlign w:val="center"/>
          </w:tcPr>
          <w:p>
            <w:pPr>
              <w:keepNext w:val="0"/>
              <w:spacing w:line="320" w:lineRule="exact" w:after="0" w:before="0"/>
              <w:ind w:firstLine="0"/>
              <w:jc w:val="left"/>
            </w:pPr>
            <w:r>
              <w:rPr>
                <w:b w:val="0"/>
                <w:sz w:val="21"/>
              </w:rPr>
              <w:t>标准登记、审批发布、字段映射和符合性检查</w:t>
            </w:r>
          </w:p>
        </w:tc>
      </w:tr>
      <w:tr>
        <w:trPr>
          <w:cantSplit/>
        </w:trPr>
        <w:tc>
          <w:tcPr>
            <w:tcW w:type="dxa" w:w="2506"/>
            <w:vAlign w:val="center"/>
          </w:tcPr>
          <w:p>
            <w:pPr>
              <w:keepNext w:val="0"/>
              <w:spacing w:line="320" w:lineRule="exact" w:after="0" w:before="0"/>
              <w:ind w:firstLine="0"/>
              <w:jc w:val="left"/>
            </w:pPr>
            <w:r>
              <w:rPr>
                <w:b w:val="0"/>
                <w:sz w:val="21"/>
              </w:rPr>
              <w:t>数据质量</w:t>
            </w:r>
          </w:p>
        </w:tc>
        <w:tc>
          <w:tcPr>
            <w:tcW w:type="dxa" w:w="3855"/>
            <w:vAlign w:val="center"/>
          </w:tcPr>
          <w:p>
            <w:pPr>
              <w:keepNext w:val="0"/>
              <w:spacing w:line="320" w:lineRule="exact" w:after="0" w:before="0"/>
              <w:ind w:firstLine="0"/>
              <w:jc w:val="left"/>
            </w:pPr>
            <w:r>
              <w:rPr>
                <w:b w:val="0"/>
                <w:sz w:val="21"/>
              </w:rPr>
              <w:t>质量需求、规则、结果和问题</w:t>
            </w:r>
          </w:p>
        </w:tc>
        <w:tc>
          <w:tcPr>
            <w:tcW w:type="dxa" w:w="3277"/>
            <w:vAlign w:val="center"/>
          </w:tcPr>
          <w:p>
            <w:pPr>
              <w:keepNext w:val="0"/>
              <w:spacing w:line="320" w:lineRule="exact" w:after="0" w:before="0"/>
              <w:ind w:firstLine="0"/>
              <w:jc w:val="left"/>
            </w:pPr>
            <w:r>
              <w:rPr>
                <w:b w:val="0"/>
                <w:sz w:val="21"/>
              </w:rPr>
              <w:t>校验调度、异常定位、整改复核和趋势分析</w:t>
            </w:r>
          </w:p>
        </w:tc>
      </w:tr>
      <w:tr>
        <w:trPr>
          <w:cantSplit/>
        </w:trPr>
        <w:tc>
          <w:tcPr>
            <w:tcW w:type="dxa" w:w="2506"/>
            <w:vAlign w:val="center"/>
          </w:tcPr>
          <w:p>
            <w:pPr>
              <w:keepNext w:val="0"/>
              <w:spacing w:line="320" w:lineRule="exact" w:after="0" w:before="0"/>
              <w:ind w:firstLine="0"/>
              <w:jc w:val="left"/>
            </w:pPr>
            <w:r>
              <w:rPr>
                <w:b w:val="0"/>
                <w:sz w:val="21"/>
              </w:rPr>
              <w:t>数据安全</w:t>
            </w:r>
          </w:p>
        </w:tc>
        <w:tc>
          <w:tcPr>
            <w:tcW w:type="dxa" w:w="3855"/>
            <w:vAlign w:val="center"/>
          </w:tcPr>
          <w:p>
            <w:pPr>
              <w:keepNext w:val="0"/>
              <w:spacing w:line="320" w:lineRule="exact" w:after="0" w:before="0"/>
              <w:ind w:firstLine="0"/>
              <w:jc w:val="left"/>
            </w:pPr>
            <w:r>
              <w:rPr>
                <w:b w:val="0"/>
                <w:sz w:val="21"/>
              </w:rPr>
              <w:t>分级、主体、资源、操作和使用条件</w:t>
            </w:r>
          </w:p>
        </w:tc>
        <w:tc>
          <w:tcPr>
            <w:tcW w:type="dxa" w:w="3277"/>
            <w:vAlign w:val="center"/>
          </w:tcPr>
          <w:p>
            <w:pPr>
              <w:keepNext w:val="0"/>
              <w:spacing w:line="320" w:lineRule="exact" w:after="0" w:before="0"/>
              <w:ind w:firstLine="0"/>
              <w:jc w:val="left"/>
            </w:pPr>
            <w:r>
              <w:rPr>
                <w:b w:val="0"/>
                <w:sz w:val="21"/>
              </w:rPr>
              <w:t>权限、脱敏、水印、审批、审计和到期回收</w:t>
            </w:r>
          </w:p>
        </w:tc>
      </w:tr>
      <w:tr>
        <w:trPr>
          <w:cantSplit/>
        </w:trPr>
        <w:tc>
          <w:tcPr>
            <w:tcW w:type="dxa" w:w="2506"/>
            <w:vAlign w:val="center"/>
          </w:tcPr>
          <w:p>
            <w:pPr>
              <w:keepNext w:val="0"/>
              <w:spacing w:line="320" w:lineRule="exact" w:after="0" w:before="0"/>
              <w:ind w:firstLine="0"/>
              <w:jc w:val="left"/>
            </w:pPr>
            <w:r>
              <w:rPr>
                <w:b w:val="0"/>
                <w:sz w:val="21"/>
              </w:rPr>
              <w:t>数据生存周期</w:t>
            </w:r>
          </w:p>
        </w:tc>
        <w:tc>
          <w:tcPr>
            <w:tcW w:type="dxa" w:w="3855"/>
            <w:vAlign w:val="center"/>
          </w:tcPr>
          <w:p>
            <w:pPr>
              <w:keepNext w:val="0"/>
              <w:spacing w:line="320" w:lineRule="exact" w:after="0" w:before="0"/>
              <w:ind w:firstLine="0"/>
              <w:jc w:val="left"/>
            </w:pPr>
            <w:r>
              <w:rPr>
                <w:b w:val="0"/>
                <w:sz w:val="21"/>
              </w:rPr>
              <w:t>需求、设计、任务、服务和退役资产</w:t>
            </w:r>
          </w:p>
        </w:tc>
        <w:tc>
          <w:tcPr>
            <w:tcW w:type="dxa" w:w="3277"/>
            <w:vAlign w:val="center"/>
          </w:tcPr>
          <w:p>
            <w:pPr>
              <w:keepNext w:val="0"/>
              <w:spacing w:line="320" w:lineRule="exact" w:after="0" w:before="0"/>
              <w:ind w:firstLine="0"/>
              <w:jc w:val="left"/>
            </w:pPr>
            <w:r>
              <w:rPr>
                <w:b w:val="0"/>
                <w:sz w:val="21"/>
              </w:rPr>
              <w:t>流程受理、版本发布、监控恢复和退出处置</w:t>
            </w:r>
          </w:p>
        </w:tc>
      </w:tr>
      <w:tr>
        <w:trPr>
          <w:cantSplit/>
        </w:trPr>
        <w:tc>
          <w:tcPr>
            <w:tcW w:type="dxa" w:w="2506"/>
            <w:vAlign w:val="center"/>
          </w:tcPr>
          <w:p>
            <w:pPr>
              <w:keepNext w:val="0"/>
              <w:spacing w:line="320" w:lineRule="exact" w:after="0" w:before="0"/>
              <w:ind w:firstLine="0"/>
              <w:jc w:val="left"/>
            </w:pPr>
            <w:r>
              <w:rPr>
                <w:b w:val="0"/>
                <w:sz w:val="21"/>
              </w:rPr>
              <w:t>数据应用流通</w:t>
            </w:r>
          </w:p>
        </w:tc>
        <w:tc>
          <w:tcPr>
            <w:tcW w:type="dxa" w:w="3855"/>
            <w:vAlign w:val="center"/>
          </w:tcPr>
          <w:p>
            <w:pPr>
              <w:keepNext w:val="0"/>
              <w:spacing w:line="320" w:lineRule="exact" w:after="0" w:before="0"/>
              <w:ind w:firstLine="0"/>
              <w:jc w:val="left"/>
            </w:pPr>
            <w:r>
              <w:rPr>
                <w:b w:val="0"/>
                <w:sz w:val="21"/>
              </w:rPr>
              <w:t>应用需求、外部来源、共享申请和服务</w:t>
            </w:r>
          </w:p>
        </w:tc>
        <w:tc>
          <w:tcPr>
            <w:tcW w:type="dxa" w:w="3277"/>
            <w:vAlign w:val="center"/>
          </w:tcPr>
          <w:p>
            <w:pPr>
              <w:keepNext w:val="0"/>
              <w:spacing w:line="320" w:lineRule="exact" w:after="0" w:before="0"/>
              <w:ind w:firstLine="0"/>
              <w:jc w:val="left"/>
            </w:pPr>
            <w:r>
              <w:rPr>
                <w:b w:val="0"/>
                <w:sz w:val="21"/>
              </w:rPr>
              <w:t>来源核验、供给发布、调用控制和使用评价</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1" name="Picture 1"/>
            <wp:cNvGraphicFramePr>
              <a:graphicFrameLocks noChangeAspect="1"/>
            </wp:cNvGraphicFramePr>
            <a:graphic>
              <a:graphicData uri="http://schemas.openxmlformats.org/drawingml/2006/picture">
                <pic:pic>
                  <pic:nvPicPr>
                    <pic:cNvPr id="0" name="图1_规划实施.png"/>
                    <pic:cNvPicPr/>
                  </pic:nvPicPr>
                  <pic:blipFill>
                    <a:blip r:embed="rId11"/>
                    <a:stretch>
                      <a:fillRect/>
                    </a:stretch>
                  </pic:blipFill>
                  <pic:spPr>
                    <a:xfrm>
                      <a:off x="0" y="0"/>
                      <a:ext cx="6048000" cy="3004615"/>
                    </a:xfrm>
                    <a:prstGeom prst="rect"/>
                  </pic:spPr>
                </pic:pic>
              </a:graphicData>
            </a:graphic>
          </wp:inline>
        </w:drawing>
      </w:r>
    </w:p>
    <w:p>
      <w:pPr>
        <w:pStyle w:val="Caption"/>
        <w:jc w:val="center"/>
      </w:pPr>
      <w:r>
        <w:t>图1-1 专项规划与平台实施关系</w:t>
      </w:r>
    </w:p>
    <w:p>
      <w:pPr>
        <w:pStyle w:val="Heading2"/>
      </w:pPr>
      <w:r>
        <w:t>1.3 组织职责与工作交接</w:t>
      </w:r>
    </w:p>
    <w:p>
      <w:pPr>
        <w:jc w:val="both"/>
      </w:pPr>
      <w:r>
        <w:t>决策层审定重要标准、安全管理要求、跨部门争议和重大资源安排；管理层统筹规划编制、审批组织、任务分解、考核和变更；执行层承担业务定义确认、数据维护、质量整改、权限核验与日常运行。我方配置业务治理、数据架构、开发实施、质量、安全和交付岗位，分别对规划内容、技术实现及运行结果负责，并通过同一任务台账组织交接。</w:t>
      </w:r>
    </w:p>
    <w:p>
      <w:pPr>
        <w:jc w:val="both"/>
      </w:pPr>
      <w:r>
        <w:t>业务责任岗位确认定义、适用条件、数据正确性和使用目的，系统责任岗位确认实际字段、接口、采集条件及变更影响，治理岗位维护标准与规则，安全岗位审查用途和访问条件，开发岗位落实配置与作业，运维岗位负责监测和恢复。审批、执行与复核保留必要分离；确因人员配置需兼任时，采用独立复核和操作留痕控制风险，不能由执行人员自行取消其应接受的检查。</w:t>
      </w:r>
    </w:p>
    <w:p>
      <w:pPr>
        <w:jc w:val="both"/>
      </w:pPr>
      <w:r>
        <w:t>交接记录以对象、版本、批次或任务为单位，明确输入状态、输出要求、责任人、接收人和完成条件。出现跨域问题时，由治理管理岗位组织联合定位，先明确临时控制和业务影响，再落实长期修复。责任争议不影响异常隔离、使用提示和证据保全，最终结论及依据纳入问题记录。</w:t>
      </w:r>
    </w:p>
    <w:p>
      <w:pPr>
        <w:pStyle w:val="Heading2"/>
      </w:pPr>
      <w:r>
        <w:t>1.4 建设周期与交付控制</w:t>
      </w:r>
    </w:p>
    <w:p>
      <w:pPr>
        <w:jc w:val="both"/>
      </w:pPr>
      <w:r>
        <w:t>建设周期衔接项目总体计划至2028年5月，按招标要求在2028年5月前完成终验收。启动后完成现状结论复核和首批业务范围确认，随后形成专项规划及实施设计，按业务批次部署规则与任务，完成联调、试运行、整改、评估支撑和运行移交。每阶段明确输入、成果、批准条件及后续任务，不以文档上传或页面展示代替实际业务验证。</w:t>
      </w:r>
    </w:p>
    <w:p>
      <w:pPr>
        <w:jc w:val="both"/>
      </w:pPr>
      <w:r>
        <w:t>规划评审检查内容完整性、执行可行性、权限适当性和前后口径一致性；平台测试检查配置是否正确执行；业务验证检查结果是否满足对应场景；交付检查核对文件、配置、数据、日志与版本。对未关闭问题分别记录影响、临时控制、责任和期限，涉及关键质量、安全或可用性的缺陷在整改验证完成后进入相应正式使用阶段。</w:t>
      </w:r>
    </w:p>
    <w:p>
      <w:pPr>
        <w:pStyle w:val="Heading1"/>
      </w:pPr>
      <w:r>
        <w:t>2 数据标准规划与应用</w:t>
      </w:r>
    </w:p>
    <w:p>
      <w:pPr>
        <w:pStyle w:val="Heading2"/>
      </w:pPr>
      <w:r>
        <w:t>2.1 标准范围与管理体系</w:t>
      </w:r>
    </w:p>
    <w:p>
      <w:pPr>
        <w:jc w:val="both"/>
      </w:pPr>
      <w:r>
        <w:t>数据标准覆盖九个业务域中与数据集建设、场景验证和经营管理有关的业务对象、关键属性、状态、时间、计量和统计口径。标准建设承接现状评估已发现的定义差异、编码差异和映射缺口，通过资料核对、业务访谈、样本分析及跨系统比对形成候选清单。对尚未证实的差异保留核验状态，取得业务和系统证据后再确定整改要求。</w:t>
      </w:r>
    </w:p>
    <w:p>
      <w:pPr>
        <w:jc w:val="both"/>
      </w:pPr>
      <w:r>
        <w:t>业务术语负责统一概念及使用边界；主数据管理负责对象身份、权威来源和全生命周期审批；参考数据负责受控取值及其含义；数据元负责字段语义、类型、格式和值域；指标标准负责统计对象、公式、维度及来源。五类内容通过稳定标识关联，由数据标准管理办法统一规定提出、审核、批准、发布、应用、变更和停用流程。</w:t>
      </w:r>
    </w:p>
    <w:p>
      <w:pPr>
        <w:jc w:val="both"/>
      </w:pPr>
      <w:r>
        <w:t>标准标识采用类别码、域码、序号的统一结构，类别和域的代码登记后受控使用。业务术语、数据元、指标等类别分别管理，标准项版本与标识分开保存，同一含义下的表述完善保留原标识并更新版本；实质含义发生变化时停用原项、建立新标识并保存替代关系，停用标识不回收、不重用。主数据业务编码沿用经甲方确认的权威体系，标准项标识不替代物料、设备、客户等业务对象已有编码。</w:t>
      </w:r>
    </w:p>
    <w:p>
      <w:pPr>
        <w:jc w:val="both"/>
      </w:pPr>
      <w:r>
        <w:t>标准管理办法明确归口岗位、批准权限、协同方式和检查要求。新增标准需说明业务需求及已有标准无法满足的原因；跨域标准由相关责任岗位共同评审；重复或冲突标准经裁决后统一。发布前核对引用依赖、使用范围及实施日期，发布后检查系统配置、数据映射和业务文档是否按期更新。</w:t>
      </w:r>
    </w:p>
    <w:p>
      <w:pPr>
        <w:pStyle w:val="Caption"/>
        <w:keepNext/>
      </w:pPr>
      <w:r>
        <w:t>表2-1 标准类别与应用关系</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标准类别</w:t>
            </w:r>
          </w:p>
        </w:tc>
        <w:tc>
          <w:tcPr>
            <w:tcW w:type="dxa" w:w="3855"/>
            <w:vAlign w:val="center"/>
            <w:shd w:fill="EDF1F3"/>
          </w:tcPr>
          <w:p>
            <w:pPr>
              <w:keepNext/>
              <w:spacing w:line="320" w:lineRule="exact" w:after="0" w:before="0"/>
              <w:ind w:firstLine="0"/>
              <w:jc w:val="center"/>
            </w:pPr>
            <w:r>
              <w:rPr>
                <w:b/>
                <w:sz w:val="21"/>
              </w:rPr>
              <w:t>核心内容</w:t>
            </w:r>
          </w:p>
        </w:tc>
        <w:tc>
          <w:tcPr>
            <w:tcW w:type="dxa" w:w="3277"/>
            <w:vAlign w:val="center"/>
            <w:shd w:fill="EDF1F3"/>
          </w:tcPr>
          <w:p>
            <w:pPr>
              <w:keepNext/>
              <w:spacing w:line="320" w:lineRule="exact" w:after="0" w:before="0"/>
              <w:ind w:firstLine="0"/>
              <w:jc w:val="center"/>
            </w:pPr>
            <w:r>
              <w:rPr>
                <w:b/>
                <w:sz w:val="21"/>
              </w:rPr>
              <w:t>主要应用位置</w:t>
            </w:r>
          </w:p>
        </w:tc>
      </w:tr>
      <w:tr>
        <w:trPr>
          <w:cantSplit/>
        </w:trPr>
        <w:tc>
          <w:tcPr>
            <w:tcW w:type="dxa" w:w="2506"/>
            <w:vAlign w:val="center"/>
          </w:tcPr>
          <w:p>
            <w:pPr>
              <w:keepNext w:val="0"/>
              <w:spacing w:line="320" w:lineRule="exact" w:after="0" w:before="0"/>
              <w:ind w:firstLine="0"/>
              <w:jc w:val="left"/>
            </w:pPr>
            <w:r>
              <w:rPr>
                <w:b w:val="0"/>
                <w:sz w:val="21"/>
              </w:rPr>
              <w:t>业务术语</w:t>
            </w:r>
          </w:p>
        </w:tc>
        <w:tc>
          <w:tcPr>
            <w:tcW w:type="dxa" w:w="3855"/>
            <w:vAlign w:val="center"/>
          </w:tcPr>
          <w:p>
            <w:pPr>
              <w:keepNext w:val="0"/>
              <w:spacing w:line="320" w:lineRule="exact" w:after="0" w:before="0"/>
              <w:ind w:firstLine="0"/>
              <w:jc w:val="left"/>
            </w:pPr>
            <w:r>
              <w:rPr>
                <w:b w:val="0"/>
                <w:sz w:val="21"/>
              </w:rPr>
              <w:t>定义、含义、同义词和易混概念</w:t>
            </w:r>
          </w:p>
        </w:tc>
        <w:tc>
          <w:tcPr>
            <w:tcW w:type="dxa" w:w="3277"/>
            <w:vAlign w:val="center"/>
          </w:tcPr>
          <w:p>
            <w:pPr>
              <w:keepNext w:val="0"/>
              <w:spacing w:line="320" w:lineRule="exact" w:after="0" w:before="0"/>
              <w:ind w:firstLine="0"/>
              <w:jc w:val="left"/>
            </w:pPr>
            <w:r>
              <w:rPr>
                <w:b w:val="0"/>
                <w:sz w:val="21"/>
              </w:rPr>
              <w:t>业务文档、字段注释、指标说明及知识本体</w:t>
            </w:r>
          </w:p>
        </w:tc>
      </w:tr>
      <w:tr>
        <w:trPr>
          <w:cantSplit/>
        </w:trPr>
        <w:tc>
          <w:tcPr>
            <w:tcW w:type="dxa" w:w="2506"/>
            <w:vAlign w:val="center"/>
          </w:tcPr>
          <w:p>
            <w:pPr>
              <w:keepNext w:val="0"/>
              <w:spacing w:line="320" w:lineRule="exact" w:after="0" w:before="0"/>
              <w:ind w:firstLine="0"/>
              <w:jc w:val="left"/>
            </w:pPr>
            <w:r>
              <w:rPr>
                <w:b w:val="0"/>
                <w:sz w:val="21"/>
              </w:rPr>
              <w:t>主数据管理</w:t>
            </w:r>
          </w:p>
        </w:tc>
        <w:tc>
          <w:tcPr>
            <w:tcW w:type="dxa" w:w="3855"/>
            <w:vAlign w:val="center"/>
          </w:tcPr>
          <w:p>
            <w:pPr>
              <w:keepNext w:val="0"/>
              <w:spacing w:line="320" w:lineRule="exact" w:after="0" w:before="0"/>
              <w:ind w:firstLine="0"/>
              <w:jc w:val="left"/>
            </w:pPr>
            <w:r>
              <w:rPr>
                <w:b w:val="0"/>
                <w:sz w:val="21"/>
              </w:rPr>
              <w:t>唯一身份、权威来源、关系及审批</w:t>
            </w:r>
          </w:p>
        </w:tc>
        <w:tc>
          <w:tcPr>
            <w:tcW w:type="dxa" w:w="3277"/>
            <w:vAlign w:val="center"/>
          </w:tcPr>
          <w:p>
            <w:pPr>
              <w:keepNext w:val="0"/>
              <w:spacing w:line="320" w:lineRule="exact" w:after="0" w:before="0"/>
              <w:ind w:firstLine="0"/>
              <w:jc w:val="left"/>
            </w:pPr>
            <w:r>
              <w:rPr>
                <w:b w:val="0"/>
                <w:sz w:val="21"/>
              </w:rPr>
              <w:t>主数据平台、业务系统、对象关联和供给目录</w:t>
            </w:r>
          </w:p>
        </w:tc>
      </w:tr>
      <w:tr>
        <w:trPr>
          <w:cantSplit/>
        </w:trPr>
        <w:tc>
          <w:tcPr>
            <w:tcW w:type="dxa" w:w="2506"/>
            <w:vAlign w:val="center"/>
          </w:tcPr>
          <w:p>
            <w:pPr>
              <w:keepNext w:val="0"/>
              <w:spacing w:line="320" w:lineRule="exact" w:after="0" w:before="0"/>
              <w:ind w:firstLine="0"/>
              <w:jc w:val="left"/>
            </w:pPr>
            <w:r>
              <w:rPr>
                <w:b w:val="0"/>
                <w:sz w:val="21"/>
              </w:rPr>
              <w:t>参考数据</w:t>
            </w:r>
          </w:p>
        </w:tc>
        <w:tc>
          <w:tcPr>
            <w:tcW w:type="dxa" w:w="3855"/>
            <w:vAlign w:val="center"/>
          </w:tcPr>
          <w:p>
            <w:pPr>
              <w:keepNext w:val="0"/>
              <w:spacing w:line="320" w:lineRule="exact" w:after="0" w:before="0"/>
              <w:ind w:firstLine="0"/>
              <w:jc w:val="left"/>
            </w:pPr>
            <w:r>
              <w:rPr>
                <w:b w:val="0"/>
                <w:sz w:val="21"/>
              </w:rPr>
              <w:t>代码、含义、值域、状态和有效期</w:t>
            </w:r>
          </w:p>
        </w:tc>
        <w:tc>
          <w:tcPr>
            <w:tcW w:type="dxa" w:w="3277"/>
            <w:vAlign w:val="center"/>
          </w:tcPr>
          <w:p>
            <w:pPr>
              <w:keepNext w:val="0"/>
              <w:spacing w:line="320" w:lineRule="exact" w:after="0" w:before="0"/>
              <w:ind w:firstLine="0"/>
              <w:jc w:val="left"/>
            </w:pPr>
            <w:r>
              <w:rPr>
                <w:b w:val="0"/>
                <w:sz w:val="21"/>
              </w:rPr>
              <w:t>下拉选项、状态判断、类别标签和检查规则</w:t>
            </w:r>
          </w:p>
        </w:tc>
      </w:tr>
      <w:tr>
        <w:trPr>
          <w:cantSplit/>
        </w:trPr>
        <w:tc>
          <w:tcPr>
            <w:tcW w:type="dxa" w:w="2506"/>
            <w:vAlign w:val="center"/>
          </w:tcPr>
          <w:p>
            <w:pPr>
              <w:keepNext w:val="0"/>
              <w:spacing w:line="320" w:lineRule="exact" w:after="0" w:before="0"/>
              <w:ind w:firstLine="0"/>
              <w:jc w:val="left"/>
            </w:pPr>
            <w:r>
              <w:rPr>
                <w:b w:val="0"/>
                <w:sz w:val="21"/>
              </w:rPr>
              <w:t>数据元</w:t>
            </w:r>
          </w:p>
        </w:tc>
        <w:tc>
          <w:tcPr>
            <w:tcW w:type="dxa" w:w="3855"/>
            <w:vAlign w:val="center"/>
          </w:tcPr>
          <w:p>
            <w:pPr>
              <w:keepNext w:val="0"/>
              <w:spacing w:line="320" w:lineRule="exact" w:after="0" w:before="0"/>
              <w:ind w:firstLine="0"/>
              <w:jc w:val="left"/>
            </w:pPr>
            <w:r>
              <w:rPr>
                <w:b w:val="0"/>
                <w:sz w:val="21"/>
              </w:rPr>
              <w:t>标识、名称、定义、类型、格式和值域</w:t>
            </w:r>
          </w:p>
        </w:tc>
        <w:tc>
          <w:tcPr>
            <w:tcW w:type="dxa" w:w="3277"/>
            <w:vAlign w:val="center"/>
          </w:tcPr>
          <w:p>
            <w:pPr>
              <w:keepNext w:val="0"/>
              <w:spacing w:line="320" w:lineRule="exact" w:after="0" w:before="0"/>
              <w:ind w:firstLine="0"/>
              <w:jc w:val="left"/>
            </w:pPr>
            <w:r>
              <w:rPr>
                <w:b w:val="0"/>
                <w:sz w:val="21"/>
              </w:rPr>
              <w:t>模型字段、采集映射、接口及加工配置</w:t>
            </w:r>
          </w:p>
        </w:tc>
      </w:tr>
      <w:tr>
        <w:trPr>
          <w:cantSplit/>
        </w:trPr>
        <w:tc>
          <w:tcPr>
            <w:tcW w:type="dxa" w:w="2506"/>
            <w:vAlign w:val="center"/>
          </w:tcPr>
          <w:p>
            <w:pPr>
              <w:keepNext w:val="0"/>
              <w:spacing w:line="320" w:lineRule="exact" w:after="0" w:before="0"/>
              <w:ind w:firstLine="0"/>
              <w:jc w:val="left"/>
            </w:pPr>
            <w:r>
              <w:rPr>
                <w:b w:val="0"/>
                <w:sz w:val="21"/>
              </w:rPr>
              <w:t>指标标准</w:t>
            </w:r>
          </w:p>
        </w:tc>
        <w:tc>
          <w:tcPr>
            <w:tcW w:type="dxa" w:w="3855"/>
            <w:vAlign w:val="center"/>
          </w:tcPr>
          <w:p>
            <w:pPr>
              <w:keepNext w:val="0"/>
              <w:spacing w:line="320" w:lineRule="exact" w:after="0" w:before="0"/>
              <w:ind w:firstLine="0"/>
              <w:jc w:val="left"/>
            </w:pPr>
            <w:r>
              <w:rPr>
                <w:b w:val="0"/>
                <w:sz w:val="21"/>
              </w:rPr>
              <w:t>业务含义、统计口径、公式、维度和来源</w:t>
            </w:r>
          </w:p>
        </w:tc>
        <w:tc>
          <w:tcPr>
            <w:tcW w:type="dxa" w:w="3277"/>
            <w:vAlign w:val="center"/>
          </w:tcPr>
          <w:p>
            <w:pPr>
              <w:keepNext w:val="0"/>
              <w:spacing w:line="320" w:lineRule="exact" w:after="0" w:before="0"/>
              <w:ind w:firstLine="0"/>
              <w:jc w:val="left"/>
            </w:pPr>
            <w:r>
              <w:rPr>
                <w:b w:val="0"/>
                <w:sz w:val="21"/>
              </w:rPr>
              <w:t>计算任务、指标目录、决策查询及复核</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2" name="Picture 2"/>
            <wp:cNvGraphicFramePr>
              <a:graphicFrameLocks noChangeAspect="1"/>
            </wp:cNvGraphicFramePr>
            <a:graphic>
              <a:graphicData uri="http://schemas.openxmlformats.org/drawingml/2006/picture">
                <pic:pic>
                  <pic:nvPicPr>
                    <pic:cNvPr id="0" name="图2_标准体系.png"/>
                    <pic:cNvPicPr/>
                  </pic:nvPicPr>
                  <pic:blipFill>
                    <a:blip r:embed="rId12"/>
                    <a:stretch>
                      <a:fillRect/>
                    </a:stretch>
                  </pic:blipFill>
                  <pic:spPr>
                    <a:xfrm>
                      <a:off x="0" y="0"/>
                      <a:ext cx="6048000" cy="3004615"/>
                    </a:xfrm>
                    <a:prstGeom prst="rect"/>
                  </pic:spPr>
                </pic:pic>
              </a:graphicData>
            </a:graphic>
          </wp:inline>
        </w:drawing>
      </w:r>
    </w:p>
    <w:p>
      <w:pPr>
        <w:pStyle w:val="Caption"/>
        <w:jc w:val="center"/>
      </w:pPr>
      <w:r>
        <w:t>图2-1 数据标准体系及应用</w:t>
      </w:r>
    </w:p>
    <w:p>
      <w:pPr>
        <w:pStyle w:val="Heading2"/>
      </w:pPr>
      <w:r>
        <w:t>2.2 业务术语采集与定义</w:t>
      </w:r>
    </w:p>
    <w:p>
      <w:pPr>
        <w:jc w:val="both"/>
      </w:pPr>
      <w:r>
        <w:t>术语采集从业务制度、工艺规程、图纸说明、检验规范、系统字典、业务表单和指标说明入手，按业务域记录名称及原始出处。采集时保留文档版本、条款位置、系统字段和使用岗位，便于解释某个称谓的实际用途。自动识别和聚类结果由业务人员核验，不能将高频词直接认定为正式术语。</w:t>
      </w:r>
    </w:p>
    <w:p>
      <w:pPr>
        <w:jc w:val="both"/>
      </w:pPr>
      <w:r>
        <w:t>定义先说明该概念指向的业务对象或活动，再明确适用范围、判断条件和相邻概念。工件、物料、产品、批次、炉次、检验批等对象分别定义身份与关系；订单日期、计划日期、实际完成时间和数据接收时间分别定义事件含义。涉及数量时同步明确计量单位、统计粒度和包含范围，避免名称相同而实际测量对象不同。</w:t>
      </w:r>
    </w:p>
    <w:p>
      <w:pPr>
        <w:jc w:val="both"/>
      </w:pPr>
      <w:r>
        <w:t>同义词经核对后关联到同一标准术语，保留来源系统和使用场景。名称近似但含义不同的词分别登记，通过易混概念关系提示区别。地区、车间或历史习惯用语能够准确对应时形成映射；存在一对多关系时增加业务条件，不能仅依据文字相似度合并。停用称谓保留历史查询入口，并记录替代术语及生效时间。</w:t>
      </w:r>
    </w:p>
    <w:p>
      <w:pPr>
        <w:jc w:val="both"/>
      </w:pPr>
      <w:r>
        <w:t>术语评审由业务归口岗位确认定义，相关业务域确认跨域理解，数据架构岗位确认与模型及字段的对应，标准管理员检查重复和引用。对争议项收集具体业务记录和使用证据，组织裁决并记录依据。正式发布前完成必要确认，未解决概念不得被包装成已经统一的企业口径。</w:t>
      </w:r>
    </w:p>
    <w:p>
      <w:pPr>
        <w:pStyle w:val="Heading2"/>
      </w:pPr>
      <w:r>
        <w:t>2.3 业务术语落地与维护</w:t>
      </w:r>
    </w:p>
    <w:p>
      <w:pPr>
        <w:jc w:val="both"/>
      </w:pPr>
      <w:r>
        <w:t>业务文档应用在新建和修订模板中引用标准名称与定义，包括工艺卡、检验记录、设备台账、采购申请及质量问题单。模板字段提示与标准版本关联，使用人员能够查询定义和取值要求。已归档原始文档保留原貌，在检索和加工环节通过映射提供标准化视图，同时保留原始称谓与出处。</w:t>
      </w:r>
    </w:p>
    <w:p>
      <w:pPr>
        <w:jc w:val="both"/>
      </w:pPr>
      <w:r>
        <w:t>系统应用核对字段中文名称、注释、页面标签和接口说明与术语的关系。新开发内容按标准设计；存量系统在不影响现行业务的条件下制定调整计划，能够通过映射解决的先在治理层统一。字段名相同不自动认定含义相同，字段名不同也不直接认定语义不同，映射依据定义、样本和业务确认形成。</w:t>
      </w:r>
    </w:p>
    <w:p>
      <w:pPr>
        <w:jc w:val="both"/>
      </w:pPr>
      <w:r>
        <w:t>指标说明引用标准术语描述统计对象、维度及过滤条件。知识本体实体和关系引用对应术语，并保存本体版本、术语版本及映射关系。标准修订时检查业务文档、模型、指标、标签和知识库的受影响范围，安排同步更新与验证。历史结果按其生效时点查询相应定义，避免新定义覆盖旧业务事实。</w:t>
      </w:r>
    </w:p>
    <w:p>
      <w:pPr>
        <w:jc w:val="both"/>
      </w:pPr>
      <w:r>
        <w:t>术语应用检查以实际使用对象为范围，核对关键业务字段、正式指标和知识概念是否存在明确对应。发现缺项、误用或冲突时记录具体位置和影响，形成补充或修订任务。检查结果按业务域反馈，并纳入标准应用情况与治理考核，不以词条数量替代标准使用效果。</w:t>
      </w:r>
    </w:p>
    <w:p>
      <w:pPr>
        <w:pStyle w:val="Heading2"/>
      </w:pPr>
      <w:r>
        <w:t>2.4 主数据对象与权威来源</w:t>
      </w:r>
    </w:p>
    <w:p>
      <w:pPr>
        <w:jc w:val="both"/>
      </w:pPr>
      <w:r>
        <w:t>主数据围绕在多个业务流程或系统持续复用的对象识别，重点核查组织、人员岗位、客户、供应商、物料、产品、设备、仓库和工艺基础对象。每类对象明确业务归属、权威维护入口、关键属性、唯一识别规则及系统分发范围。已有主数据管理平台作为统一管理的重要基础，具体权威关系根据甲方现行职责和系统运行情况确认。</w:t>
      </w:r>
    </w:p>
    <w:p>
      <w:pPr>
        <w:jc w:val="both"/>
      </w:pPr>
      <w:r>
        <w:t>对象识别同时检查同物异码、同码异物、编码失效和历史合并情况。跨系统关联优先采用权威编码及批准的对应关系；对缺少稳定编码的历史对象，结合属性、业务记录和人工复核建立映射。相似名称仅作为候选线索，不能作为自动合并的唯一依据。合并前核对订单、库存、设备履历及质量记录等下游关系，防止把不同实物或责任主体混为一体。</w:t>
      </w:r>
    </w:p>
    <w:p>
      <w:pPr>
        <w:jc w:val="both"/>
      </w:pPr>
      <w:r>
        <w:t>主数据属性区分长期稳定信息与随时间变化的信息。组织归属、设备安装位置、供应商资质和物料状态等变化保存有效时间，历史业务关联到当时有效版本。对象注销或停用后保留历史身份和引用关系，限制新业务使用，不直接删除仍被历史记录引用的编码。</w:t>
      </w:r>
    </w:p>
    <w:p>
      <w:pPr>
        <w:jc w:val="both"/>
      </w:pPr>
      <w:r>
        <w:t>主数据与业务交易数据分开管理。设备档案与故障事件、物料定义与库存流水、供应商档案与采购订单分别形成关联。治理平台建立统一引用关系，数据集加工使用经确认的对象标识和版本，既保证跨系统追溯，又保留交易事实的独立时间与状态。</w:t>
      </w:r>
    </w:p>
    <w:p>
      <w:pPr>
        <w:pStyle w:val="Heading2"/>
      </w:pPr>
      <w:r>
        <w:t>2.5 主数据全生命周期审批</w:t>
      </w:r>
    </w:p>
    <w:p>
      <w:pPr>
        <w:jc w:val="both"/>
      </w:pPr>
      <w:r>
        <w:t>主数据新增从业务申请开始，记录对象类型、业务依据、关键属性、重复检查结果、申请岗位及期望生效时间。业务归口岗位审核必要性和定义，相关岗位核查编码、关联关系与使用条件，批准后由授权人员建立记录并执行分发。分发完成核对目标系统状态，失败任务保留原因并重试，不能将已批准视为已全部生效。</w:t>
      </w:r>
    </w:p>
    <w:p>
      <w:pPr>
        <w:jc w:val="both"/>
      </w:pPr>
      <w:r>
        <w:t>变更申请明确变更前后值、原因、影响对象及生效安排。涉及关键身份、计量单位、组织关系或业务状态时，检查对库存、订单、成本、设备履历和历史统计的影响。审批结论决定是否保留历史版本、是否重新映射和是否重算有关结果。执行后由独立岗位核验实际配置和下游同步结果，确认完成后关闭申请。</w:t>
      </w:r>
    </w:p>
    <w:p>
      <w:pPr>
        <w:jc w:val="both"/>
      </w:pPr>
      <w:r>
        <w:t>合并、拆分、停用、恢复与注销分别制定操作条件。合并需验证对象确属同一实体并处理下游引用，拆分需明确历史记录归属和无法判定部分；停用阻止新业务引用并保留历史查询；恢复核对原停用原因是否解除；注销依照保留要求和实际依赖完成处置。每一操作都保留申请、审核、批准、执行、分发和复核记录。</w:t>
      </w:r>
    </w:p>
    <w:p>
      <w:pPr>
        <w:jc w:val="both"/>
      </w:pPr>
      <w:r>
        <w:t>流程记录绑定主数据标识、版本、变更事项、审批意见、操作者、时间和结果。紧急变更按照已批准的应急权限实施，保留触发原因和临时措施，随后完成必要复核。不得以紧急处理为由长期绕过审批，也不得用补录记录掩盖实际执行顺序。</w:t>
      </w:r>
    </w:p>
    <w:p>
      <w:pPr>
        <w:pStyle w:val="Caption"/>
        <w:keepNext/>
      </w:pPr>
      <w:r>
        <w:t>表2-2 主数据生命周期留痕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业务事项</w:t>
            </w:r>
          </w:p>
        </w:tc>
        <w:tc>
          <w:tcPr>
            <w:tcW w:type="dxa" w:w="3855"/>
            <w:vAlign w:val="center"/>
            <w:shd w:fill="EDF1F3"/>
          </w:tcPr>
          <w:p>
            <w:pPr>
              <w:keepNext/>
              <w:spacing w:line="320" w:lineRule="exact" w:after="0" w:before="0"/>
              <w:ind w:firstLine="0"/>
              <w:jc w:val="center"/>
            </w:pPr>
            <w:r>
              <w:rPr>
                <w:b/>
                <w:sz w:val="21"/>
              </w:rPr>
              <w:t>关键检查</w:t>
            </w:r>
          </w:p>
        </w:tc>
        <w:tc>
          <w:tcPr>
            <w:tcW w:type="dxa" w:w="3277"/>
            <w:vAlign w:val="center"/>
            <w:shd w:fill="EDF1F3"/>
          </w:tcPr>
          <w:p>
            <w:pPr>
              <w:keepNext/>
              <w:spacing w:line="320" w:lineRule="exact" w:after="0" w:before="0"/>
              <w:ind w:firstLine="0"/>
              <w:jc w:val="center"/>
            </w:pPr>
            <w:r>
              <w:rPr>
                <w:b/>
                <w:sz w:val="21"/>
              </w:rPr>
              <w:t>必须保留的记录</w:t>
            </w:r>
          </w:p>
        </w:tc>
      </w:tr>
      <w:tr>
        <w:trPr>
          <w:cantSplit/>
        </w:trPr>
        <w:tc>
          <w:tcPr>
            <w:tcW w:type="dxa" w:w="2506"/>
            <w:vAlign w:val="center"/>
          </w:tcPr>
          <w:p>
            <w:pPr>
              <w:keepNext w:val="0"/>
              <w:spacing w:line="320" w:lineRule="exact" w:after="0" w:before="0"/>
              <w:ind w:firstLine="0"/>
              <w:jc w:val="left"/>
            </w:pPr>
            <w:r>
              <w:rPr>
                <w:b w:val="0"/>
                <w:sz w:val="21"/>
              </w:rPr>
              <w:t>新增</w:t>
            </w:r>
          </w:p>
        </w:tc>
        <w:tc>
          <w:tcPr>
            <w:tcW w:type="dxa" w:w="3855"/>
            <w:vAlign w:val="center"/>
          </w:tcPr>
          <w:p>
            <w:pPr>
              <w:keepNext w:val="0"/>
              <w:spacing w:line="320" w:lineRule="exact" w:after="0" w:before="0"/>
              <w:ind w:firstLine="0"/>
              <w:jc w:val="left"/>
            </w:pPr>
            <w:r>
              <w:rPr>
                <w:b w:val="0"/>
                <w:sz w:val="21"/>
              </w:rPr>
              <w:t>必要性、重复性、编码及属性</w:t>
            </w:r>
          </w:p>
        </w:tc>
        <w:tc>
          <w:tcPr>
            <w:tcW w:type="dxa" w:w="3277"/>
            <w:vAlign w:val="center"/>
          </w:tcPr>
          <w:p>
            <w:pPr>
              <w:keepNext w:val="0"/>
              <w:spacing w:line="320" w:lineRule="exact" w:after="0" w:before="0"/>
              <w:ind w:firstLine="0"/>
              <w:jc w:val="left"/>
            </w:pPr>
            <w:r>
              <w:rPr>
                <w:b w:val="0"/>
                <w:sz w:val="21"/>
              </w:rPr>
              <w:t>申请、审核、批准、创建、分发和核验</w:t>
            </w:r>
          </w:p>
        </w:tc>
      </w:tr>
      <w:tr>
        <w:trPr>
          <w:cantSplit/>
        </w:trPr>
        <w:tc>
          <w:tcPr>
            <w:tcW w:type="dxa" w:w="2506"/>
            <w:vAlign w:val="center"/>
          </w:tcPr>
          <w:p>
            <w:pPr>
              <w:keepNext w:val="0"/>
              <w:spacing w:line="320" w:lineRule="exact" w:after="0" w:before="0"/>
              <w:ind w:firstLine="0"/>
              <w:jc w:val="left"/>
            </w:pPr>
            <w:r>
              <w:rPr>
                <w:b w:val="0"/>
                <w:sz w:val="21"/>
              </w:rPr>
              <w:t>属性变更</w:t>
            </w:r>
          </w:p>
        </w:tc>
        <w:tc>
          <w:tcPr>
            <w:tcW w:type="dxa" w:w="3855"/>
            <w:vAlign w:val="center"/>
          </w:tcPr>
          <w:p>
            <w:pPr>
              <w:keepNext w:val="0"/>
              <w:spacing w:line="320" w:lineRule="exact" w:after="0" w:before="0"/>
              <w:ind w:firstLine="0"/>
              <w:jc w:val="left"/>
            </w:pPr>
            <w:r>
              <w:rPr>
                <w:b w:val="0"/>
                <w:sz w:val="21"/>
              </w:rPr>
              <w:t>前后差异、影响及生效时间</w:t>
            </w:r>
          </w:p>
        </w:tc>
        <w:tc>
          <w:tcPr>
            <w:tcW w:type="dxa" w:w="3277"/>
            <w:vAlign w:val="center"/>
          </w:tcPr>
          <w:p>
            <w:pPr>
              <w:keepNext w:val="0"/>
              <w:spacing w:line="320" w:lineRule="exact" w:after="0" w:before="0"/>
              <w:ind w:firstLine="0"/>
              <w:jc w:val="left"/>
            </w:pPr>
            <w:r>
              <w:rPr>
                <w:b w:val="0"/>
                <w:sz w:val="21"/>
              </w:rPr>
              <w:t>变更依据、审批、执行和下游确认</w:t>
            </w:r>
          </w:p>
        </w:tc>
      </w:tr>
      <w:tr>
        <w:trPr>
          <w:cantSplit/>
        </w:trPr>
        <w:tc>
          <w:tcPr>
            <w:tcW w:type="dxa" w:w="2506"/>
            <w:vAlign w:val="center"/>
          </w:tcPr>
          <w:p>
            <w:pPr>
              <w:keepNext w:val="0"/>
              <w:spacing w:line="320" w:lineRule="exact" w:after="0" w:before="0"/>
              <w:ind w:firstLine="0"/>
              <w:jc w:val="left"/>
            </w:pPr>
            <w:r>
              <w:rPr>
                <w:b w:val="0"/>
                <w:sz w:val="21"/>
              </w:rPr>
              <w:t>合并与拆分</w:t>
            </w:r>
          </w:p>
        </w:tc>
        <w:tc>
          <w:tcPr>
            <w:tcW w:type="dxa" w:w="3855"/>
            <w:vAlign w:val="center"/>
          </w:tcPr>
          <w:p>
            <w:pPr>
              <w:keepNext w:val="0"/>
              <w:spacing w:line="320" w:lineRule="exact" w:after="0" w:before="0"/>
              <w:ind w:firstLine="0"/>
              <w:jc w:val="left"/>
            </w:pPr>
            <w:r>
              <w:rPr>
                <w:b w:val="0"/>
                <w:sz w:val="21"/>
              </w:rPr>
              <w:t>实体身份、引用关系和历史归属</w:t>
            </w:r>
          </w:p>
        </w:tc>
        <w:tc>
          <w:tcPr>
            <w:tcW w:type="dxa" w:w="3277"/>
            <w:vAlign w:val="center"/>
          </w:tcPr>
          <w:p>
            <w:pPr>
              <w:keepNext w:val="0"/>
              <w:spacing w:line="320" w:lineRule="exact" w:after="0" w:before="0"/>
              <w:ind w:firstLine="0"/>
              <w:jc w:val="left"/>
            </w:pPr>
            <w:r>
              <w:rPr>
                <w:b w:val="0"/>
                <w:sz w:val="21"/>
              </w:rPr>
              <w:t>判定证据、映射、迁移及复核</w:t>
            </w:r>
          </w:p>
        </w:tc>
      </w:tr>
      <w:tr>
        <w:trPr>
          <w:cantSplit/>
        </w:trPr>
        <w:tc>
          <w:tcPr>
            <w:tcW w:type="dxa" w:w="2506"/>
            <w:vAlign w:val="center"/>
          </w:tcPr>
          <w:p>
            <w:pPr>
              <w:keepNext w:val="0"/>
              <w:spacing w:line="320" w:lineRule="exact" w:after="0" w:before="0"/>
              <w:ind w:firstLine="0"/>
              <w:jc w:val="left"/>
            </w:pPr>
            <w:r>
              <w:rPr>
                <w:b w:val="0"/>
                <w:sz w:val="21"/>
              </w:rPr>
              <w:t>停用与恢复</w:t>
            </w:r>
          </w:p>
        </w:tc>
        <w:tc>
          <w:tcPr>
            <w:tcW w:type="dxa" w:w="3855"/>
            <w:vAlign w:val="center"/>
          </w:tcPr>
          <w:p>
            <w:pPr>
              <w:keepNext w:val="0"/>
              <w:spacing w:line="320" w:lineRule="exact" w:after="0" w:before="0"/>
              <w:ind w:firstLine="0"/>
              <w:jc w:val="left"/>
            </w:pPr>
            <w:r>
              <w:rPr>
                <w:b w:val="0"/>
                <w:sz w:val="21"/>
              </w:rPr>
              <w:t>使用条件、在途业务和风险</w:t>
            </w:r>
          </w:p>
        </w:tc>
        <w:tc>
          <w:tcPr>
            <w:tcW w:type="dxa" w:w="3277"/>
            <w:vAlign w:val="center"/>
          </w:tcPr>
          <w:p>
            <w:pPr>
              <w:keepNext w:val="0"/>
              <w:spacing w:line="320" w:lineRule="exact" w:after="0" w:before="0"/>
              <w:ind w:firstLine="0"/>
              <w:jc w:val="left"/>
            </w:pPr>
            <w:r>
              <w:rPr>
                <w:b w:val="0"/>
                <w:sz w:val="21"/>
              </w:rPr>
              <w:t>原因、批准、控制及恢复核验</w:t>
            </w:r>
          </w:p>
        </w:tc>
      </w:tr>
      <w:tr>
        <w:trPr>
          <w:cantSplit/>
        </w:trPr>
        <w:tc>
          <w:tcPr>
            <w:tcW w:type="dxa" w:w="2506"/>
            <w:vAlign w:val="center"/>
          </w:tcPr>
          <w:p>
            <w:pPr>
              <w:keepNext w:val="0"/>
              <w:spacing w:line="320" w:lineRule="exact" w:after="0" w:before="0"/>
              <w:ind w:firstLine="0"/>
              <w:jc w:val="left"/>
            </w:pPr>
            <w:r>
              <w:rPr>
                <w:b w:val="0"/>
                <w:sz w:val="21"/>
              </w:rPr>
              <w:t>注销与退役</w:t>
            </w:r>
          </w:p>
        </w:tc>
        <w:tc>
          <w:tcPr>
            <w:tcW w:type="dxa" w:w="3855"/>
            <w:vAlign w:val="center"/>
          </w:tcPr>
          <w:p>
            <w:pPr>
              <w:keepNext w:val="0"/>
              <w:spacing w:line="320" w:lineRule="exact" w:after="0" w:before="0"/>
              <w:ind w:firstLine="0"/>
              <w:jc w:val="left"/>
            </w:pPr>
            <w:r>
              <w:rPr>
                <w:b w:val="0"/>
                <w:sz w:val="21"/>
              </w:rPr>
              <w:t>保留依据、依赖及处置方式</w:t>
            </w:r>
          </w:p>
        </w:tc>
        <w:tc>
          <w:tcPr>
            <w:tcW w:type="dxa" w:w="3277"/>
            <w:vAlign w:val="center"/>
          </w:tcPr>
          <w:p>
            <w:pPr>
              <w:keepNext w:val="0"/>
              <w:spacing w:line="320" w:lineRule="exact" w:after="0" w:before="0"/>
              <w:ind w:firstLine="0"/>
              <w:jc w:val="left"/>
            </w:pPr>
            <w:r>
              <w:rPr>
                <w:b w:val="0"/>
                <w:sz w:val="21"/>
              </w:rPr>
              <w:t>评估、审批、执行、验收和历史索引</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3" name="Picture 3"/>
            <wp:cNvGraphicFramePr>
              <a:graphicFrameLocks noChangeAspect="1"/>
            </wp:cNvGraphicFramePr>
            <a:graphic>
              <a:graphicData uri="http://schemas.openxmlformats.org/drawingml/2006/picture">
                <pic:pic>
                  <pic:nvPicPr>
                    <pic:cNvPr id="0" name="图3_主数据审批.png"/>
                    <pic:cNvPicPr/>
                  </pic:nvPicPr>
                  <pic:blipFill>
                    <a:blip r:embed="rId13"/>
                    <a:stretch>
                      <a:fillRect/>
                    </a:stretch>
                  </pic:blipFill>
                  <pic:spPr>
                    <a:xfrm>
                      <a:off x="0" y="0"/>
                      <a:ext cx="6048000" cy="1942338"/>
                    </a:xfrm>
                    <a:prstGeom prst="rect"/>
                  </pic:spPr>
                </pic:pic>
              </a:graphicData>
            </a:graphic>
          </wp:inline>
        </w:drawing>
      </w:r>
    </w:p>
    <w:p>
      <w:pPr>
        <w:pStyle w:val="Caption"/>
        <w:jc w:val="center"/>
      </w:pPr>
      <w:r>
        <w:t>图2-2 主数据审批与维护流程</w:t>
      </w:r>
    </w:p>
    <w:p>
      <w:pPr>
        <w:pStyle w:val="Heading2"/>
      </w:pPr>
      <w:r>
        <w:t>2.6 历史审批记录核查与补齐</w:t>
      </w:r>
    </w:p>
    <w:p>
      <w:pPr>
        <w:jc w:val="both"/>
      </w:pPr>
      <w:r>
        <w:t>我方对历史主数据按对象类型和有效状态建立核查清单，检查当前记录、变更日志、审批系统、邮件或纸质批准材料等可用证据。能够取得原始证据的，保存原件或经确认的可信副本及来源位置，将证据与对应主数据和变更事项关联。不同载体之间存在差异时记录差异及核验结果，不能选择性保留有利记录。</w:t>
      </w:r>
    </w:p>
    <w:p>
      <w:pPr>
        <w:jc w:val="both"/>
      </w:pPr>
      <w:r>
        <w:t>历史记录缺失时，明确缺失事项、时间范围、受影响对象和现有替代证据。由业务责任岗位组织当前有效性核验，根据现有事实完成现状确认及必要的重新批准，记录本次确认的实际时间和依据。现状确认不写成过去已经发生的审批，不倒填日期，不代签历史意见，原始缺口保持可见。</w:t>
      </w:r>
    </w:p>
    <w:p>
      <w:pPr>
        <w:jc w:val="both"/>
      </w:pPr>
      <w:r>
        <w:t>补齐工作按风险和使用影响排定优先顺序。首先处理正在用于关键生产、质量判断、指标计算及数据集供给的主数据，再处理历史查询和低频使用对象。缺少关键依据且无法确认正确性的对象限制新用途，保留业务连续性所需的受控处理安排，并落实责任岗位和复核时点。</w:t>
      </w:r>
    </w:p>
    <w:p>
      <w:pPr>
        <w:jc w:val="both"/>
      </w:pPr>
      <w:r>
        <w:t>形成的材料包括对象清单、证据索引、缺口登记、当前确认、修复记录和持续管理要求。评估取证时能够从主数据追溯其实际审批和现状核验过程，并能够解释仍存在的历史限制。后续新增和变更全部通过正式流程执行，避免在一次性清理后继续产生同类缺口。</w:t>
      </w:r>
    </w:p>
    <w:p>
      <w:pPr>
        <w:pStyle w:val="Heading2"/>
      </w:pPr>
      <w:r>
        <w:t>2.7 参考数据与代码值域</w:t>
      </w:r>
    </w:p>
    <w:p>
      <w:pPr>
        <w:jc w:val="both"/>
      </w:pPr>
      <w:r>
        <w:t>参考数据覆盖业务分类、状态、原因、等级、单位及其他受控枚举。管理范围依据九个业务域实际表单、系统取值、接口字典和行业依据确定。国家或行业已有适用代码体系时记录来源和版本；企业自定义码表明确定义、归口与使用范围。不同系统的本地代码保留来源值，通过映射对应统一代码。</w:t>
      </w:r>
    </w:p>
    <w:p>
      <w:pPr>
        <w:jc w:val="both"/>
      </w:pPr>
      <w:r>
        <w:t>码表登记标识、名称、业务定义、值类型、层级结构、适用范围和版本。码值登记代码、名称、含义、上级代码、排序、生效及失效时间、状态和替代关系。未知、不适用、其他和空缺分别定义含义，不用同一代码混合表达。允许扩展的码表规定申请和批准方式，不能由接口接收方自行增加正式代码。</w:t>
      </w:r>
    </w:p>
    <w:p>
      <w:pPr>
        <w:jc w:val="both"/>
      </w:pPr>
      <w:r>
        <w:t>状态类参考数据同时明确允许的转换路径及条件。工单、检验、库存、设备等状态须与实际业务流程一致，不能只检查取值属于码表而忽略转换是否合法。历史代码停用后仍支持历史查询，新的记录按生效规则使用当前代码；确需修正历史映射时保存版本和影响范围。</w:t>
      </w:r>
    </w:p>
    <w:p>
      <w:pPr>
        <w:jc w:val="both"/>
      </w:pPr>
      <w:r>
        <w:t>码值变更开展使用扫描，查明字段、规则、指标、标签、接口和模型中的依赖。新增代码检查下游是否能够识别，合并代码检查历史含义是否会丢失，停用代码检查在途任务。发布后通过样本和实际任务验证映射、过滤及统计结果，异常按版本回退或修复。</w:t>
      </w:r>
    </w:p>
    <w:p>
      <w:pPr>
        <w:pStyle w:val="Heading2"/>
      </w:pPr>
      <w:r>
        <w:t>2.8 数据元定义与物理映射</w:t>
      </w:r>
    </w:p>
    <w:p>
      <w:pPr>
        <w:jc w:val="both"/>
      </w:pPr>
      <w:r>
        <w:t>数据元标准以核心业务对象及关键属性为基础，明确标识、名称、定义、数据类型、格式和值域，并补充单位、精度、长度、时间含义、空值规则、引用标准、责任和版本。定义必须能够回答该字段表示什么、在何种业务条件下成立以及如何判断一个值是否符合要求。</w:t>
      </w:r>
    </w:p>
    <w:p>
      <w:pPr>
        <w:jc w:val="both"/>
      </w:pPr>
      <w:r>
        <w:t>数值数据元区分测量值、设定值、计算值和限制值。温度、压力、速度、尺寸、质量等字段同步记录单位、精度和采集条件，换算规则保存依据及转换方向。时间数据元区分业务发生、设备采样、系统记录、采集接收和加工时间，明确时区及精度，不能用上传日期替代数据实际形成日期。</w:t>
      </w:r>
    </w:p>
    <w:p>
      <w:pPr>
        <w:jc w:val="both"/>
      </w:pPr>
      <w:r>
        <w:t>标识类字段保留前导零、大小写及校验规则，避免当作普通数字处理。文本字段定义编码、允许字符、长度和多语言处理，原始文本与标准化结果分别保存。多模态字段明确文件、对象索引、时间段、页码、坐标系或测点关联方式，相关元数据与内容共同组成完整记录。</w:t>
      </w:r>
    </w:p>
    <w:p>
      <w:pPr>
        <w:jc w:val="both"/>
      </w:pPr>
      <w:r>
        <w:t>物理映射登记来源系统、表或对象、字段、目标数据元、转换规则、适用条件、损失情况、责任及版本。类型转换、单位换算、代码映射、拆分合并分别说明实际逻辑。不能可靠转换的内容保留原值并标记限制，不以截断、默认填值或无依据推算制造符合性。映射测试检查正常、边界、空缺、异常和历史版本情况，批准后发布。</w:t>
      </w:r>
    </w:p>
    <w:p>
      <w:pPr>
        <w:pStyle w:val="Caption"/>
        <w:keepNext/>
      </w:pPr>
      <w:r>
        <w:t>表2-3 数据元关键属性</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属性组</w:t>
            </w:r>
          </w:p>
        </w:tc>
        <w:tc>
          <w:tcPr>
            <w:tcW w:type="dxa" w:w="3855"/>
            <w:vAlign w:val="center"/>
            <w:shd w:fill="EDF1F3"/>
          </w:tcPr>
          <w:p>
            <w:pPr>
              <w:keepNext/>
              <w:spacing w:line="320" w:lineRule="exact" w:after="0" w:before="0"/>
              <w:ind w:firstLine="0"/>
              <w:jc w:val="center"/>
            </w:pPr>
            <w:r>
              <w:rPr>
                <w:b/>
                <w:sz w:val="21"/>
              </w:rPr>
              <w:t>登记内容</w:t>
            </w:r>
          </w:p>
        </w:tc>
        <w:tc>
          <w:tcPr>
            <w:tcW w:type="dxa" w:w="3277"/>
            <w:vAlign w:val="center"/>
            <w:shd w:fill="EDF1F3"/>
          </w:tcPr>
          <w:p>
            <w:pPr>
              <w:keepNext/>
              <w:spacing w:line="320" w:lineRule="exact" w:after="0" w:before="0"/>
              <w:ind w:firstLine="0"/>
              <w:jc w:val="center"/>
            </w:pPr>
            <w:r>
              <w:rPr>
                <w:b/>
                <w:sz w:val="21"/>
              </w:rPr>
              <w:t>核验重点</w:t>
            </w:r>
          </w:p>
        </w:tc>
      </w:tr>
      <w:tr>
        <w:trPr>
          <w:cantSplit/>
        </w:trPr>
        <w:tc>
          <w:tcPr>
            <w:tcW w:type="dxa" w:w="2506"/>
            <w:vAlign w:val="center"/>
          </w:tcPr>
          <w:p>
            <w:pPr>
              <w:keepNext w:val="0"/>
              <w:spacing w:line="320" w:lineRule="exact" w:after="0" w:before="0"/>
              <w:ind w:firstLine="0"/>
              <w:jc w:val="left"/>
            </w:pPr>
            <w:r>
              <w:rPr>
                <w:b w:val="0"/>
                <w:sz w:val="21"/>
              </w:rPr>
              <w:t>身份语义</w:t>
            </w:r>
          </w:p>
        </w:tc>
        <w:tc>
          <w:tcPr>
            <w:tcW w:type="dxa" w:w="3855"/>
            <w:vAlign w:val="center"/>
          </w:tcPr>
          <w:p>
            <w:pPr>
              <w:keepNext w:val="0"/>
              <w:spacing w:line="320" w:lineRule="exact" w:after="0" w:before="0"/>
              <w:ind w:firstLine="0"/>
              <w:jc w:val="left"/>
            </w:pPr>
            <w:r>
              <w:rPr>
                <w:b w:val="0"/>
                <w:sz w:val="21"/>
              </w:rPr>
              <w:t>标识、名称、定义、业务域和责任</w:t>
            </w:r>
          </w:p>
        </w:tc>
        <w:tc>
          <w:tcPr>
            <w:tcW w:type="dxa" w:w="3277"/>
            <w:vAlign w:val="center"/>
          </w:tcPr>
          <w:p>
            <w:pPr>
              <w:keepNext w:val="0"/>
              <w:spacing w:line="320" w:lineRule="exact" w:after="0" w:before="0"/>
              <w:ind w:firstLine="0"/>
              <w:jc w:val="left"/>
            </w:pPr>
            <w:r>
              <w:rPr>
                <w:b w:val="0"/>
                <w:sz w:val="21"/>
              </w:rPr>
              <w:t>对象明确，定义与实际业务一致</w:t>
            </w:r>
          </w:p>
        </w:tc>
      </w:tr>
      <w:tr>
        <w:trPr>
          <w:cantSplit/>
        </w:trPr>
        <w:tc>
          <w:tcPr>
            <w:tcW w:type="dxa" w:w="2506"/>
            <w:vAlign w:val="center"/>
          </w:tcPr>
          <w:p>
            <w:pPr>
              <w:keepNext w:val="0"/>
              <w:spacing w:line="320" w:lineRule="exact" w:after="0" w:before="0"/>
              <w:ind w:firstLine="0"/>
              <w:jc w:val="left"/>
            </w:pPr>
            <w:r>
              <w:rPr>
                <w:b w:val="0"/>
                <w:sz w:val="21"/>
              </w:rPr>
              <w:t>表达约束</w:t>
            </w:r>
          </w:p>
        </w:tc>
        <w:tc>
          <w:tcPr>
            <w:tcW w:type="dxa" w:w="3855"/>
            <w:vAlign w:val="center"/>
          </w:tcPr>
          <w:p>
            <w:pPr>
              <w:keepNext w:val="0"/>
              <w:spacing w:line="320" w:lineRule="exact" w:after="0" w:before="0"/>
              <w:ind w:firstLine="0"/>
              <w:jc w:val="left"/>
            </w:pPr>
            <w:r>
              <w:rPr>
                <w:b w:val="0"/>
                <w:sz w:val="21"/>
              </w:rPr>
              <w:t>类型、长度、格式、精度、单位和值域</w:t>
            </w:r>
          </w:p>
        </w:tc>
        <w:tc>
          <w:tcPr>
            <w:tcW w:type="dxa" w:w="3277"/>
            <w:vAlign w:val="center"/>
          </w:tcPr>
          <w:p>
            <w:pPr>
              <w:keepNext w:val="0"/>
              <w:spacing w:line="320" w:lineRule="exact" w:after="0" w:before="0"/>
              <w:ind w:firstLine="0"/>
              <w:jc w:val="left"/>
            </w:pPr>
            <w:r>
              <w:rPr>
                <w:b w:val="0"/>
                <w:sz w:val="21"/>
              </w:rPr>
              <w:t>能直接转化为字段及校验要求</w:t>
            </w:r>
          </w:p>
        </w:tc>
      </w:tr>
      <w:tr>
        <w:trPr>
          <w:cantSplit/>
        </w:trPr>
        <w:tc>
          <w:tcPr>
            <w:tcW w:type="dxa" w:w="2506"/>
            <w:vAlign w:val="center"/>
          </w:tcPr>
          <w:p>
            <w:pPr>
              <w:keepNext w:val="0"/>
              <w:spacing w:line="320" w:lineRule="exact" w:after="0" w:before="0"/>
              <w:ind w:firstLine="0"/>
              <w:jc w:val="left"/>
            </w:pPr>
            <w:r>
              <w:rPr>
                <w:b w:val="0"/>
                <w:sz w:val="21"/>
              </w:rPr>
              <w:t>时间状态</w:t>
            </w:r>
          </w:p>
        </w:tc>
        <w:tc>
          <w:tcPr>
            <w:tcW w:type="dxa" w:w="3855"/>
            <w:vAlign w:val="center"/>
          </w:tcPr>
          <w:p>
            <w:pPr>
              <w:keepNext w:val="0"/>
              <w:spacing w:line="320" w:lineRule="exact" w:after="0" w:before="0"/>
              <w:ind w:firstLine="0"/>
              <w:jc w:val="left"/>
            </w:pPr>
            <w:r>
              <w:rPr>
                <w:b w:val="0"/>
                <w:sz w:val="21"/>
              </w:rPr>
              <w:t>时间含义、生效期、状态和版本</w:t>
            </w:r>
          </w:p>
        </w:tc>
        <w:tc>
          <w:tcPr>
            <w:tcW w:type="dxa" w:w="3277"/>
            <w:vAlign w:val="center"/>
          </w:tcPr>
          <w:p>
            <w:pPr>
              <w:keepNext w:val="0"/>
              <w:spacing w:line="320" w:lineRule="exact" w:after="0" w:before="0"/>
              <w:ind w:firstLine="0"/>
              <w:jc w:val="left"/>
            </w:pPr>
            <w:r>
              <w:rPr>
                <w:b w:val="0"/>
                <w:sz w:val="21"/>
              </w:rPr>
              <w:t>历史与当前语义能够区分</w:t>
            </w:r>
          </w:p>
        </w:tc>
      </w:tr>
      <w:tr>
        <w:trPr>
          <w:cantSplit/>
        </w:trPr>
        <w:tc>
          <w:tcPr>
            <w:tcW w:type="dxa" w:w="2506"/>
            <w:vAlign w:val="center"/>
          </w:tcPr>
          <w:p>
            <w:pPr>
              <w:keepNext w:val="0"/>
              <w:spacing w:line="320" w:lineRule="exact" w:after="0" w:before="0"/>
              <w:ind w:firstLine="0"/>
              <w:jc w:val="left"/>
            </w:pPr>
            <w:r>
              <w:rPr>
                <w:b w:val="0"/>
                <w:sz w:val="21"/>
              </w:rPr>
              <w:t>关联引用</w:t>
            </w:r>
          </w:p>
        </w:tc>
        <w:tc>
          <w:tcPr>
            <w:tcW w:type="dxa" w:w="3855"/>
            <w:vAlign w:val="center"/>
          </w:tcPr>
          <w:p>
            <w:pPr>
              <w:keepNext w:val="0"/>
              <w:spacing w:line="320" w:lineRule="exact" w:after="0" w:before="0"/>
              <w:ind w:firstLine="0"/>
              <w:jc w:val="left"/>
            </w:pPr>
            <w:r>
              <w:rPr>
                <w:b w:val="0"/>
                <w:sz w:val="21"/>
              </w:rPr>
              <w:t>术语、主数据、码表及关联数据元</w:t>
            </w:r>
          </w:p>
        </w:tc>
        <w:tc>
          <w:tcPr>
            <w:tcW w:type="dxa" w:w="3277"/>
            <w:vAlign w:val="center"/>
          </w:tcPr>
          <w:p>
            <w:pPr>
              <w:keepNext w:val="0"/>
              <w:spacing w:line="320" w:lineRule="exact" w:after="0" w:before="0"/>
              <w:ind w:firstLine="0"/>
              <w:jc w:val="left"/>
            </w:pPr>
            <w:r>
              <w:rPr>
                <w:b w:val="0"/>
                <w:sz w:val="21"/>
              </w:rPr>
              <w:t>引用有效，关系可定位</w:t>
            </w:r>
          </w:p>
        </w:tc>
      </w:tr>
      <w:tr>
        <w:trPr>
          <w:cantSplit/>
        </w:trPr>
        <w:tc>
          <w:tcPr>
            <w:tcW w:type="dxa" w:w="2506"/>
            <w:vAlign w:val="center"/>
          </w:tcPr>
          <w:p>
            <w:pPr>
              <w:keepNext w:val="0"/>
              <w:spacing w:line="320" w:lineRule="exact" w:after="0" w:before="0"/>
              <w:ind w:firstLine="0"/>
              <w:jc w:val="left"/>
            </w:pPr>
            <w:r>
              <w:rPr>
                <w:b w:val="0"/>
                <w:sz w:val="21"/>
              </w:rPr>
              <w:t>物理实现</w:t>
            </w:r>
          </w:p>
        </w:tc>
        <w:tc>
          <w:tcPr>
            <w:tcW w:type="dxa" w:w="3855"/>
            <w:vAlign w:val="center"/>
          </w:tcPr>
          <w:p>
            <w:pPr>
              <w:keepNext w:val="0"/>
              <w:spacing w:line="320" w:lineRule="exact" w:after="0" w:before="0"/>
              <w:ind w:firstLine="0"/>
              <w:jc w:val="left"/>
            </w:pPr>
            <w:r>
              <w:rPr>
                <w:b w:val="0"/>
                <w:sz w:val="21"/>
              </w:rPr>
              <w:t>来源、目标、转换及适用条件</w:t>
            </w:r>
          </w:p>
        </w:tc>
        <w:tc>
          <w:tcPr>
            <w:tcW w:type="dxa" w:w="3277"/>
            <w:vAlign w:val="center"/>
          </w:tcPr>
          <w:p>
            <w:pPr>
              <w:keepNext w:val="0"/>
              <w:spacing w:line="320" w:lineRule="exact" w:after="0" w:before="0"/>
              <w:ind w:firstLine="0"/>
              <w:jc w:val="left"/>
            </w:pPr>
            <w:r>
              <w:rPr>
                <w:b w:val="0"/>
                <w:sz w:val="21"/>
              </w:rPr>
              <w:t>原值可查，转换可复算，损失可识别</w:t>
            </w:r>
          </w:p>
        </w:tc>
      </w:tr>
    </w:tbl>
    <w:p>
      <w:pPr>
        <w:spacing w:after="40" w:line="240" w:lineRule="auto"/>
        <w:ind w:firstLine="0"/>
      </w:pPr>
      <w:r>
        <w:rPr>
          <w:sz w:val="4"/>
        </w:rPr>
      </w:r>
    </w:p>
    <w:p>
      <w:pPr>
        <w:pStyle w:val="Heading2"/>
      </w:pPr>
      <w:r>
        <w:t>2.9 指标标准与计算口径</w:t>
      </w:r>
    </w:p>
    <w:p>
      <w:pPr>
        <w:jc w:val="both"/>
      </w:pPr>
      <w:r>
        <w:t>指标标准明确业务含义、统计对象、统计粒度、计算逻辑、维度和来源，同时登记单位、周期、时间归属、过滤条件、缺失处理、更新频率、责任及版本。比率指标分别定义分子、分母、排除项和零分母处理；累计指标明确累计起点、重置条件和重复记录处理；快照指标明确时点和迟到数据处理。</w:t>
      </w:r>
    </w:p>
    <w:p>
      <w:pPr>
        <w:jc w:val="both"/>
      </w:pPr>
      <w:r>
        <w:t>指标定义从业务决策问题和已确认的数据供给出发，核对计算所需字段是否存在、质量是否适用以及授权是否允许。候选需求可随调研同步收集，正式指标体系在治理规划及业务计算口径经确认后形成。不同部门确有不同管理用途时，分别定义指标和适用场景，通过名称和标识加以区分，不强行把不可比结果合并为同一口径。</w:t>
      </w:r>
    </w:p>
    <w:p>
      <w:pPr>
        <w:jc w:val="both"/>
      </w:pPr>
      <w:r>
        <w:t>计算逻辑采用能够复核的表达，保存输入版本、维度映射、过滤规则及执行参数。涉及库存、产量、质量、采购和财务等跨域指标时，统一对象与时间边界，检查交易重复、冲销、退回、补录及跨期调整。展示值能够下钻或追溯至组成记录，复核人员能够使用相同输入和规则得到相同结果。</w:t>
      </w:r>
    </w:p>
    <w:p>
      <w:pPr>
        <w:jc w:val="both"/>
      </w:pPr>
      <w:r>
        <w:t>指标变更区分定义变化、来源变化、代码优化和数据修复。定义变化发布新的生效版本，必要时形成并行比较期；纯技术优化验证结果等价；数据修复记录受影响期间和重新发布情况。历史报告保留当时口径及数据版本，不能静默改写已发布结果。决策查询输出指标名称、期间、单位和必要的口径信息，保证使用者能够正确理解。</w:t>
      </w:r>
    </w:p>
    <w:p>
      <w:pPr>
        <w:pStyle w:val="Heading2"/>
      </w:pPr>
      <w:r>
        <w:t>2.10 标准映射与知识关联</w:t>
      </w:r>
    </w:p>
    <w:p>
      <w:pPr>
        <w:jc w:val="both"/>
      </w:pPr>
      <w:r>
        <w:t>标准映射对照表统一登记标准项与业务文档、源系统字段、治理模型、指标、接口以及知识本体实体和关系的对应。每条映射具备来源标识、目标标识、双方版本、业务条件、映射类型、规则、责任、批准状态和有效期。映射不是仅保留两个名称的对照，必须能够支撑实际解释和执行。</w:t>
      </w:r>
    </w:p>
    <w:p>
      <w:pPr>
        <w:jc w:val="both"/>
      </w:pPr>
      <w:r>
        <w:t>映射关系按实际语义登记完全对应、条件对应、单位换算、代码转换、组合拆分、历史替代及不可比等情况。多对一合并说明保留和丢失的信息，一对多拆分说明判定条件，无可靠依据时保留不可比状态。系统间粒度不同时，先明确聚合或分配依据，再检查是否满足目标用途，不能通过重复复制记录伪造一一对应。</w:t>
      </w:r>
    </w:p>
    <w:p>
      <w:pPr>
        <w:jc w:val="both"/>
      </w:pPr>
      <w:r>
        <w:t>知识本体侧登记实体或关系标识、知识版本及对应标准项，数据加工侧登记标签、样本字段与引用标准。术语、码表、数据元发生变更时，通过映射查找受影响本体、标注规则、知识索引和样本任务。相关岗位评估是否需要重新处理历史数据、重新标注或重建索引，并保留影响分析及验证记录。</w:t>
      </w:r>
    </w:p>
    <w:p>
      <w:pPr>
        <w:jc w:val="both"/>
      </w:pPr>
      <w:r>
        <w:t>映射发布与实际配置核对，确保表中规则已落实到采集、转换、检索或服务任务。人工映射用于辅助判断时保留审核依据；自动执行的映射保存配置版本及运行日志。周期性检查已停用标准、失效来源字段和断开的映射关系，形成维护任务，避免对照表与平台长期脱节。</w:t>
      </w:r>
    </w:p>
    <w:p>
      <w:pPr>
        <w:pStyle w:val="Heading2"/>
      </w:pPr>
      <w:r>
        <w:t>2.11 标准发布变更与实施检查</w:t>
      </w:r>
    </w:p>
    <w:p>
      <w:pPr>
        <w:jc w:val="both"/>
      </w:pPr>
      <w:r>
        <w:t>标准申请由需求岗位提出，标准管理员检查既有项及相关依赖，业务归口岗位确认含义，技术岗位验证表达和实施条件，相关岗位完成联合评审后按权限批准。发布记录包含正式内容、生效日期、适用范围、替代关系及实施任务。培训和通知面向实际使用岗位，并记录接收和应用情况。</w:t>
      </w:r>
    </w:p>
    <w:p>
      <w:pPr>
        <w:jc w:val="both"/>
      </w:pPr>
      <w:r>
        <w:t>变更前开展影响分析，核对系统、模型、指标、规则、接口和数据集版本。高影响变更先在验证环境完成测试，确定切换、历史处理和回退方案。配置上线与标准生效保持同步；暂不能同时切换的依赖明确兼容期限和转换规则，使用方能够识别所用版本。变更失败时恢复到已验证状态，并保留失败原因及后续处置。</w:t>
      </w:r>
    </w:p>
    <w:p>
      <w:pPr>
        <w:jc w:val="both"/>
      </w:pPr>
      <w:r>
        <w:t>实施检查覆盖标准登记完整性、审批有效性、字段映射、规则执行和实际使用。重点检查关键标识、计量单位、业务时间、状态及指标口径。检查结果按具体对象归档，发现错误后评估已供给数据、已发布指标和已加工样本的影响，完成修复并重新验证。已知错误不因抽样结果总体达标而放行。</w:t>
      </w:r>
    </w:p>
    <w:p>
      <w:pPr>
        <w:pStyle w:val="Heading2"/>
      </w:pPr>
      <w:r>
        <w:t>2.12 标准成果与验收</w:t>
      </w:r>
    </w:p>
    <w:p>
      <w:pPr>
        <w:jc w:val="both"/>
      </w:pPr>
      <w:r>
        <w:t>我方交付数据标准管理办法、业务术语标准、参考数据标准、数据元标准、指标标准、标准映射对照表六项成果，主数据全生命周期审批及历史缺口核查材料随相应管理成果配套交付。正式文件采用一致标识、版本和引用关系，电子目录能够检索标准项及实际使用位置。</w:t>
      </w:r>
    </w:p>
    <w:p>
      <w:pPr>
        <w:jc w:val="both"/>
      </w:pPr>
      <w:r>
        <w:t>验收核对标准覆盖已确认业务范围，关键数据元素和正式指标均有明确依据；核对主数据新增、变更、停用等过程记录能够追溯；核对代码字典、模型字段和映射配置能够正确执行；核对变更可定位受影响对象并完成必要同步。实际平台操作、业务记录及测试结果与文件共同构成验收证据。</w:t>
      </w:r>
    </w:p>
    <w:p>
      <w:pPr>
        <w:jc w:val="both"/>
      </w:pPr>
      <w:r>
        <w:t>对历史不能完整恢复的记录如实移交缺口、现状确认和控制措施，后续流程按正式规范执行。标准维护移交归口岗位、权限、操作指南、版本记录及待办事项，使甲方能够独立新增、审查、发布和维护标准，持续支撑新增数据来源、应用需求及数据集更新。</w:t>
      </w:r>
    </w:p>
    <w:p>
      <w:pPr>
        <w:pStyle w:val="Heading1"/>
      </w:pPr>
      <w:r>
        <w:t>3 数据质量规划与持续改进</w:t>
      </w:r>
    </w:p>
    <w:p>
      <w:pPr>
        <w:pStyle w:val="Heading2"/>
      </w:pPr>
      <w:r>
        <w:t>3.1 质量管理目标与职责</w:t>
      </w:r>
    </w:p>
    <w:p>
      <w:pPr>
        <w:jc w:val="both"/>
      </w:pPr>
      <w:r>
        <w:t>数据质量管理围绕九个业务域核心数据的实际用途开展，以完整性、准确性、一致性、唯一性、及时性、有效性六个维度建立质量需求、校验规则、检查调度、分析评价和整改流程。质量要求落实到对象、字段、关系、业务时间和使用条件，使异常能够定位到具体记录和责任环节，并能够验证整改后的实际效果。</w:t>
      </w:r>
    </w:p>
    <w:p>
      <w:pPr>
        <w:jc w:val="both"/>
      </w:pPr>
      <w:r>
        <w:t>业务责任岗位提出质量诉求，确认正确性依据和业务影响；标准岗位提供定义、值域及口径；开发岗位配置规则、检查任务和定位信息；运维岗位保障调度、资源和告警；质量管理岗位组织分析、分派及复核。源系统问题由源数据责任岗位整改，加工问题由对应任务责任岗位修复，跨域问题由治理管理岗位组织联合处理。</w:t>
      </w:r>
    </w:p>
    <w:p>
      <w:pPr>
        <w:jc w:val="both"/>
      </w:pPr>
      <w:r>
        <w:t>质量评价以适用范围和实际执行结果为基础。规则未运行、来源不可用、样本不足、条件不适用和检查失败分别记录状态，不将这些情况计为通过。质量分数与覆盖率、执行状态、严重问题数量共同呈现，不能以单一平均分掩盖关键对象缺失、来源不可追溯或权限不满足等问题。</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4" name="Picture 4"/>
            <wp:cNvGraphicFramePr>
              <a:graphicFrameLocks noChangeAspect="1"/>
            </wp:cNvGraphicFramePr>
            <a:graphic>
              <a:graphicData uri="http://schemas.openxmlformats.org/drawingml/2006/picture">
                <pic:pic>
                  <pic:nvPicPr>
                    <pic:cNvPr id="0" name="图4_质量管理.png"/>
                    <pic:cNvPicPr/>
                  </pic:nvPicPr>
                  <pic:blipFill>
                    <a:blip r:embed="rId14"/>
                    <a:stretch>
                      <a:fillRect/>
                    </a:stretch>
                  </pic:blipFill>
                  <pic:spPr>
                    <a:xfrm>
                      <a:off x="0" y="0"/>
                      <a:ext cx="6048000" cy="1942338"/>
                    </a:xfrm>
                    <a:prstGeom prst="rect"/>
                  </pic:spPr>
                </pic:pic>
              </a:graphicData>
            </a:graphic>
          </wp:inline>
        </w:drawing>
      </w:r>
    </w:p>
    <w:p>
      <w:pPr>
        <w:pStyle w:val="Caption"/>
        <w:jc w:val="center"/>
      </w:pPr>
      <w:r>
        <w:t>图3-1 数据质量管理流程</w:t>
      </w:r>
    </w:p>
    <w:p>
      <w:pPr>
        <w:pStyle w:val="Heading2"/>
      </w:pPr>
      <w:r>
        <w:t>3.2 质量需求梳理</w:t>
      </w:r>
    </w:p>
    <w:p>
      <w:pPr>
        <w:jc w:val="both"/>
      </w:pPr>
      <w:r>
        <w:t>质量需求从业务运行和数据使用两个方向收集。业务运行关注主数据维护、交易记录、状态流转及跨系统协同；数据使用关注数据集加工、知识检索、指标计算和场景验证所需的对象、关系、模态、规模及时效。需求记录具体使用任务及错误可能造成的影响，避免仅提出“提高准确性”等无法执行的笼统要求。</w:t>
      </w:r>
    </w:p>
    <w:p>
      <w:pPr>
        <w:jc w:val="both"/>
      </w:pPr>
      <w:r>
        <w:t>梳理时核对业务流程、源系统约束、历史样本和现有异常记录，识别关键数据元素、关键关联和重要业务时点。对已存在的质量规则核查适用性与实际执行情况，不因规则已登记而认定控制已经有效。对新发现的质量诉求，明确来源、提出岗位、判断依据、验证方式及受影响下游。</w:t>
      </w:r>
    </w:p>
    <w:p>
      <w:pPr>
        <w:jc w:val="both"/>
      </w:pPr>
      <w:r>
        <w:t>质量需求清单登记业务域、对象、字段或关系、使用目的、质量维度、期望要求、检查范围、频率、严重程度、责任和状态。要求数值化时说明统计总体、单位、分子分母和排除条件；需要专家判断时明确专业依据、核验岗位及记录方式。需求与规则建立对应，无法自动检查的内容保留人工审核路径和完成证据。</w:t>
      </w:r>
    </w:p>
    <w:p>
      <w:pPr>
        <w:jc w:val="both"/>
      </w:pPr>
      <w:r>
        <w:t>需求评审检查合理性、可检测性和可整改性。业务部门确认要求能支撑实际任务，技术岗位确认可用数据与执行方法，质量岗位核对是否与标准及其他规则冲突。批准后安排规则开发和验证，后续随标准、来源、业务流程或应用要求变化进行复查。临时需求明确有效期和结束条件，避免过期规则继续影响生产。</w:t>
      </w:r>
    </w:p>
    <w:p>
      <w:pPr>
        <w:pStyle w:val="Heading2"/>
      </w:pPr>
      <w:r>
        <w:t>3.3 六个质量维度的执行要求</w:t>
      </w:r>
    </w:p>
    <w:p>
      <w:pPr>
        <w:jc w:val="both"/>
      </w:pPr>
      <w:r>
        <w:t>完整性检查必要对象、必要字段、必要关联和应有时间覆盖是否齐全。分母依据业务应有集合、批准采集范围或应到批次确定，不能只对已经到达的数据计算完整率而忽略未到达部分。条件必填项按其适用条件判断，未知、不适用与漏填分别处理，补录值保存来源和实际补录时间。</w:t>
      </w:r>
    </w:p>
    <w:p>
      <w:pPr>
        <w:jc w:val="both"/>
      </w:pPr>
      <w:r>
        <w:t>准确性检查记录与可信业务事实、权威来源或经批准专业规则是否一致。来源本身可能存在错误时结合凭据、设备校准、业务确认或独立证据核验。物理上合理的值未必是准确值，不能仅凭范围检查认定测量真实。对推算、修复或插补数据记录方法、依据和适用限制，不能改变其来源性质。</w:t>
      </w:r>
    </w:p>
    <w:p>
      <w:pPr>
        <w:jc w:val="both"/>
      </w:pPr>
      <w:r>
        <w:t>一致性检查同一对象在不同系统、不同处理阶段及不同载体的表达是否符合统一口径。检查前统一对象身份、时间、单位、状态和统计粒度；本来代表不同业务事件的值不直接比较。确有合法差异时记录原因及转换条件，对无法解释的差异形成问题，不能通过强制覆盖较新或较旧来源消除表面差异。</w:t>
      </w:r>
    </w:p>
    <w:p>
      <w:pPr>
        <w:jc w:val="both"/>
      </w:pPr>
      <w:r>
        <w:t>唯一性检查在规定业务键、版本和时间范围内是否存在重复对象或记录。交易分录、返工、复检、设备重复采样等可能具有相同部分属性，需依据实际身份判断，不能把正常重复活动当作脏数据删除。发现同物异码时先核验实体关系，合并处理保留原始标识和历史映射。</w:t>
      </w:r>
    </w:p>
    <w:p>
      <w:pPr>
        <w:jc w:val="both"/>
      </w:pPr>
      <w:r>
        <w:t>及时性检查数据从业务发生、来源记录、采集接收到服务可用各环节的时间差，区分源系统延迟、接入延迟、处理延迟和发布延迟。计划停机、非工作日或来源无新增等适用条件在规则中明确。迟到数据的补到与历史重算保留记录，恢复后重新检查下游是否取得最新有效版本。</w:t>
      </w:r>
    </w:p>
    <w:p>
      <w:pPr>
        <w:jc w:val="both"/>
      </w:pPr>
      <w:r>
        <w:t>有效性检查类型、格式、值域、状态、有效期限和适用条件是否符合标准。语法有效不等于业务有效，需同时判断对象是否停用、证书或规则是否过期以及状态转换是否允许。有效期检查使用明确业务时点，历史事实按当时规则解释，不能用当前停用状态简单否定过去有效记录。</w:t>
      </w:r>
    </w:p>
    <w:p>
      <w:pPr>
        <w:pStyle w:val="Caption"/>
        <w:keepNext/>
      </w:pPr>
      <w:r>
        <w:t>表3-1 六维质量检查与判断依据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质量维度</w:t>
            </w:r>
          </w:p>
        </w:tc>
        <w:tc>
          <w:tcPr>
            <w:tcW w:type="dxa" w:w="3855"/>
            <w:vAlign w:val="center"/>
            <w:shd w:fill="EDF1F3"/>
          </w:tcPr>
          <w:p>
            <w:pPr>
              <w:keepNext/>
              <w:spacing w:line="320" w:lineRule="exact" w:after="0" w:before="0"/>
              <w:ind w:firstLine="0"/>
              <w:jc w:val="center"/>
            </w:pPr>
            <w:r>
              <w:rPr>
                <w:b/>
                <w:sz w:val="21"/>
              </w:rPr>
              <w:t>主要检查对象</w:t>
            </w:r>
          </w:p>
        </w:tc>
        <w:tc>
          <w:tcPr>
            <w:tcW w:type="dxa" w:w="3277"/>
            <w:vAlign w:val="center"/>
            <w:shd w:fill="EDF1F3"/>
          </w:tcPr>
          <w:p>
            <w:pPr>
              <w:keepNext/>
              <w:spacing w:line="320" w:lineRule="exact" w:after="0" w:before="0"/>
              <w:ind w:firstLine="0"/>
              <w:jc w:val="center"/>
            </w:pPr>
            <w:r>
              <w:rPr>
                <w:b/>
                <w:sz w:val="21"/>
              </w:rPr>
              <w:t>判断依据</w:t>
            </w:r>
          </w:p>
        </w:tc>
      </w:tr>
      <w:tr>
        <w:trPr>
          <w:cantSplit/>
        </w:trPr>
        <w:tc>
          <w:tcPr>
            <w:tcW w:type="dxa" w:w="2506"/>
            <w:vAlign w:val="center"/>
          </w:tcPr>
          <w:p>
            <w:pPr>
              <w:keepNext w:val="0"/>
              <w:spacing w:line="320" w:lineRule="exact" w:after="0" w:before="0"/>
              <w:ind w:firstLine="0"/>
              <w:jc w:val="left"/>
            </w:pPr>
            <w:r>
              <w:rPr>
                <w:b w:val="0"/>
                <w:sz w:val="21"/>
              </w:rPr>
              <w:t>完整性</w:t>
            </w:r>
          </w:p>
        </w:tc>
        <w:tc>
          <w:tcPr>
            <w:tcW w:type="dxa" w:w="3855"/>
            <w:vAlign w:val="center"/>
          </w:tcPr>
          <w:p>
            <w:pPr>
              <w:keepNext w:val="0"/>
              <w:spacing w:line="320" w:lineRule="exact" w:after="0" w:before="0"/>
              <w:ind w:firstLine="0"/>
              <w:jc w:val="left"/>
            </w:pPr>
            <w:r>
              <w:rPr>
                <w:b w:val="0"/>
                <w:sz w:val="21"/>
              </w:rPr>
              <w:t>对象、字段、关联和应到批次</w:t>
            </w:r>
          </w:p>
        </w:tc>
        <w:tc>
          <w:tcPr>
            <w:tcW w:type="dxa" w:w="3277"/>
            <w:vAlign w:val="center"/>
          </w:tcPr>
          <w:p>
            <w:pPr>
              <w:keepNext w:val="0"/>
              <w:spacing w:line="320" w:lineRule="exact" w:after="0" w:before="0"/>
              <w:ind w:firstLine="0"/>
              <w:jc w:val="left"/>
            </w:pPr>
            <w:r>
              <w:rPr>
                <w:b w:val="0"/>
                <w:sz w:val="21"/>
              </w:rPr>
              <w:t>应有范围、条件必填及业务计划</w:t>
            </w:r>
          </w:p>
        </w:tc>
      </w:tr>
      <w:tr>
        <w:trPr>
          <w:cantSplit/>
        </w:trPr>
        <w:tc>
          <w:tcPr>
            <w:tcW w:type="dxa" w:w="2506"/>
            <w:vAlign w:val="center"/>
          </w:tcPr>
          <w:p>
            <w:pPr>
              <w:keepNext w:val="0"/>
              <w:spacing w:line="320" w:lineRule="exact" w:after="0" w:before="0"/>
              <w:ind w:firstLine="0"/>
              <w:jc w:val="left"/>
            </w:pPr>
            <w:r>
              <w:rPr>
                <w:b w:val="0"/>
                <w:sz w:val="21"/>
              </w:rPr>
              <w:t>准确性</w:t>
            </w:r>
          </w:p>
        </w:tc>
        <w:tc>
          <w:tcPr>
            <w:tcW w:type="dxa" w:w="3855"/>
            <w:vAlign w:val="center"/>
          </w:tcPr>
          <w:p>
            <w:pPr>
              <w:keepNext w:val="0"/>
              <w:spacing w:line="320" w:lineRule="exact" w:after="0" w:before="0"/>
              <w:ind w:firstLine="0"/>
              <w:jc w:val="left"/>
            </w:pPr>
            <w:r>
              <w:rPr>
                <w:b w:val="0"/>
                <w:sz w:val="21"/>
              </w:rPr>
              <w:t>事实值、测量值、描述和归属</w:t>
            </w:r>
          </w:p>
        </w:tc>
        <w:tc>
          <w:tcPr>
            <w:tcW w:type="dxa" w:w="3277"/>
            <w:vAlign w:val="center"/>
          </w:tcPr>
          <w:p>
            <w:pPr>
              <w:keepNext w:val="0"/>
              <w:spacing w:line="320" w:lineRule="exact" w:after="0" w:before="0"/>
              <w:ind w:firstLine="0"/>
              <w:jc w:val="left"/>
            </w:pPr>
            <w:r>
              <w:rPr>
                <w:b w:val="0"/>
                <w:sz w:val="21"/>
              </w:rPr>
              <w:t>权威记录、实际凭据和专业核验</w:t>
            </w:r>
          </w:p>
        </w:tc>
      </w:tr>
      <w:tr>
        <w:trPr>
          <w:cantSplit/>
        </w:trPr>
        <w:tc>
          <w:tcPr>
            <w:tcW w:type="dxa" w:w="2506"/>
            <w:vAlign w:val="center"/>
          </w:tcPr>
          <w:p>
            <w:pPr>
              <w:keepNext w:val="0"/>
              <w:spacing w:line="320" w:lineRule="exact" w:after="0" w:before="0"/>
              <w:ind w:firstLine="0"/>
              <w:jc w:val="left"/>
            </w:pPr>
            <w:r>
              <w:rPr>
                <w:b w:val="0"/>
                <w:sz w:val="21"/>
              </w:rPr>
              <w:t>一致性</w:t>
            </w:r>
          </w:p>
        </w:tc>
        <w:tc>
          <w:tcPr>
            <w:tcW w:type="dxa" w:w="3855"/>
            <w:vAlign w:val="center"/>
          </w:tcPr>
          <w:p>
            <w:pPr>
              <w:keepNext w:val="0"/>
              <w:spacing w:line="320" w:lineRule="exact" w:after="0" w:before="0"/>
              <w:ind w:firstLine="0"/>
              <w:jc w:val="left"/>
            </w:pPr>
            <w:r>
              <w:rPr>
                <w:b w:val="0"/>
                <w:sz w:val="21"/>
              </w:rPr>
              <w:t>跨源、跨层及跨载体表达</w:t>
            </w:r>
          </w:p>
        </w:tc>
        <w:tc>
          <w:tcPr>
            <w:tcW w:type="dxa" w:w="3277"/>
            <w:vAlign w:val="center"/>
          </w:tcPr>
          <w:p>
            <w:pPr>
              <w:keepNext w:val="0"/>
              <w:spacing w:line="320" w:lineRule="exact" w:after="0" w:before="0"/>
              <w:ind w:firstLine="0"/>
              <w:jc w:val="left"/>
            </w:pPr>
            <w:r>
              <w:rPr>
                <w:b w:val="0"/>
                <w:sz w:val="21"/>
              </w:rPr>
              <w:t>同对象、同时间、同单位及同口径</w:t>
            </w:r>
          </w:p>
        </w:tc>
      </w:tr>
      <w:tr>
        <w:trPr>
          <w:cantSplit/>
        </w:trPr>
        <w:tc>
          <w:tcPr>
            <w:tcW w:type="dxa" w:w="2506"/>
            <w:vAlign w:val="center"/>
          </w:tcPr>
          <w:p>
            <w:pPr>
              <w:keepNext w:val="0"/>
              <w:spacing w:line="320" w:lineRule="exact" w:after="0" w:before="0"/>
              <w:ind w:firstLine="0"/>
              <w:jc w:val="left"/>
            </w:pPr>
            <w:r>
              <w:rPr>
                <w:b w:val="0"/>
                <w:sz w:val="21"/>
              </w:rPr>
              <w:t>唯一性</w:t>
            </w:r>
          </w:p>
        </w:tc>
        <w:tc>
          <w:tcPr>
            <w:tcW w:type="dxa" w:w="3855"/>
            <w:vAlign w:val="center"/>
          </w:tcPr>
          <w:p>
            <w:pPr>
              <w:keepNext w:val="0"/>
              <w:spacing w:line="320" w:lineRule="exact" w:after="0" w:before="0"/>
              <w:ind w:firstLine="0"/>
              <w:jc w:val="left"/>
            </w:pPr>
            <w:r>
              <w:rPr>
                <w:b w:val="0"/>
                <w:sz w:val="21"/>
              </w:rPr>
              <w:t>主体、业务记录及有效版本</w:t>
            </w:r>
          </w:p>
        </w:tc>
        <w:tc>
          <w:tcPr>
            <w:tcW w:type="dxa" w:w="3277"/>
            <w:vAlign w:val="center"/>
          </w:tcPr>
          <w:p>
            <w:pPr>
              <w:keepNext w:val="0"/>
              <w:spacing w:line="320" w:lineRule="exact" w:after="0" w:before="0"/>
              <w:ind w:firstLine="0"/>
              <w:jc w:val="left"/>
            </w:pPr>
            <w:r>
              <w:rPr>
                <w:b w:val="0"/>
                <w:sz w:val="21"/>
              </w:rPr>
              <w:t>批准业务键和实际身份</w:t>
            </w:r>
          </w:p>
        </w:tc>
      </w:tr>
      <w:tr>
        <w:trPr>
          <w:cantSplit/>
        </w:trPr>
        <w:tc>
          <w:tcPr>
            <w:tcW w:type="dxa" w:w="2506"/>
            <w:vAlign w:val="center"/>
          </w:tcPr>
          <w:p>
            <w:pPr>
              <w:keepNext w:val="0"/>
              <w:spacing w:line="320" w:lineRule="exact" w:after="0" w:before="0"/>
              <w:ind w:firstLine="0"/>
              <w:jc w:val="left"/>
            </w:pPr>
            <w:r>
              <w:rPr>
                <w:b w:val="0"/>
                <w:sz w:val="21"/>
              </w:rPr>
              <w:t>及时性</w:t>
            </w:r>
          </w:p>
        </w:tc>
        <w:tc>
          <w:tcPr>
            <w:tcW w:type="dxa" w:w="3855"/>
            <w:vAlign w:val="center"/>
          </w:tcPr>
          <w:p>
            <w:pPr>
              <w:keepNext w:val="0"/>
              <w:spacing w:line="320" w:lineRule="exact" w:after="0" w:before="0"/>
              <w:ind w:firstLine="0"/>
              <w:jc w:val="left"/>
            </w:pPr>
            <w:r>
              <w:rPr>
                <w:b w:val="0"/>
                <w:sz w:val="21"/>
              </w:rPr>
              <w:t>采集、加工、发布及可用时间</w:t>
            </w:r>
          </w:p>
        </w:tc>
        <w:tc>
          <w:tcPr>
            <w:tcW w:type="dxa" w:w="3277"/>
            <w:vAlign w:val="center"/>
          </w:tcPr>
          <w:p>
            <w:pPr>
              <w:keepNext w:val="0"/>
              <w:spacing w:line="320" w:lineRule="exact" w:after="0" w:before="0"/>
              <w:ind w:firstLine="0"/>
              <w:jc w:val="left"/>
            </w:pPr>
            <w:r>
              <w:rPr>
                <w:b w:val="0"/>
                <w:sz w:val="21"/>
              </w:rPr>
              <w:t>业务时间要求及来源运行条件</w:t>
            </w:r>
          </w:p>
        </w:tc>
      </w:tr>
      <w:tr>
        <w:trPr>
          <w:cantSplit/>
        </w:trPr>
        <w:tc>
          <w:tcPr>
            <w:tcW w:type="dxa" w:w="2506"/>
            <w:vAlign w:val="center"/>
          </w:tcPr>
          <w:p>
            <w:pPr>
              <w:keepNext w:val="0"/>
              <w:spacing w:line="320" w:lineRule="exact" w:after="0" w:before="0"/>
              <w:ind w:firstLine="0"/>
              <w:jc w:val="left"/>
            </w:pPr>
            <w:r>
              <w:rPr>
                <w:b w:val="0"/>
                <w:sz w:val="21"/>
              </w:rPr>
              <w:t>有效性</w:t>
            </w:r>
          </w:p>
        </w:tc>
        <w:tc>
          <w:tcPr>
            <w:tcW w:type="dxa" w:w="3855"/>
            <w:vAlign w:val="center"/>
          </w:tcPr>
          <w:p>
            <w:pPr>
              <w:keepNext w:val="0"/>
              <w:spacing w:line="320" w:lineRule="exact" w:after="0" w:before="0"/>
              <w:ind w:firstLine="0"/>
              <w:jc w:val="left"/>
            </w:pPr>
            <w:r>
              <w:rPr>
                <w:b w:val="0"/>
                <w:sz w:val="21"/>
              </w:rPr>
              <w:t>类型、格式、值域、状态及期限</w:t>
            </w:r>
          </w:p>
        </w:tc>
        <w:tc>
          <w:tcPr>
            <w:tcW w:type="dxa" w:w="3277"/>
            <w:vAlign w:val="center"/>
          </w:tcPr>
          <w:p>
            <w:pPr>
              <w:keepNext w:val="0"/>
              <w:spacing w:line="320" w:lineRule="exact" w:after="0" w:before="0"/>
              <w:ind w:firstLine="0"/>
              <w:jc w:val="left"/>
            </w:pPr>
            <w:r>
              <w:rPr>
                <w:b w:val="0"/>
                <w:sz w:val="21"/>
              </w:rPr>
              <w:t>数据标准、流程规则及生效版本</w:t>
            </w:r>
          </w:p>
        </w:tc>
      </w:tr>
    </w:tbl>
    <w:p>
      <w:pPr>
        <w:spacing w:after="40" w:line="240" w:lineRule="auto"/>
        <w:ind w:firstLine="0"/>
      </w:pPr>
      <w:r>
        <w:rPr>
          <w:sz w:val="4"/>
        </w:rPr>
      </w:r>
    </w:p>
    <w:p>
      <w:pPr>
        <w:pStyle w:val="Heading2"/>
      </w:pPr>
      <w:r>
        <w:t>3.4 校验规则库结构</w:t>
      </w:r>
    </w:p>
    <w:p>
      <w:pPr>
        <w:jc w:val="both"/>
      </w:pPr>
      <w:r>
        <w:t>每条质量规则登记稳定标识、名称、业务域、对象、质量维度、业务依据、规则逻辑、适用条件、检查范围、参数、严重程度、责任及版本。执行类信息记录来源、字段映射、任务入口、依赖、频率、资源条件和结果位置；管理类信息记录提出、审核、测试、批准、生效及停用状态。</w:t>
      </w:r>
    </w:p>
    <w:p>
      <w:pPr>
        <w:jc w:val="both"/>
      </w:pPr>
      <w:r>
        <w:t>规则逻辑明确输入和输出。字段规则输出是否符合及具体原因，关联规则输出缺失或冲突的对象关系，集合规则输出应有与实际集合差异，时效规则输出各阶段延迟，统计规则输出可复算的分子分母及总体范围。多条规则指向同一根因时保留各自结果，并在问题层关联去重，避免重复工单掩盖实际范围。</w:t>
      </w:r>
    </w:p>
    <w:p>
      <w:pPr>
        <w:jc w:val="both"/>
      </w:pPr>
      <w:r>
        <w:t>规则参数与规则代码分开管理，单位、阈值、时间窗口、允许状态及例外条件均有业务依据。阈值来自招标要求、批准标准、业务确认或经过验证的控制要求，不能为了提高通过率随意放宽。例外需明确对象、原因、期限、批准岗位和风险控制，例外到期自动提示复查。</w:t>
      </w:r>
    </w:p>
    <w:p>
      <w:pPr>
        <w:jc w:val="both"/>
      </w:pPr>
      <w:r>
        <w:t>规则版本保留修改原因、差异及影响。发布后记录使用该版本的检查批次，历史结果仍能够按照原规则解释。规则不适用、来源字段缺失、脚本失败和资源不足分别返回状态，结果不得全部默认为成功。规则库支持按业务域、质量维度、严重程度和来源检索，并可追溯到标准与需求。</w:t>
      </w:r>
    </w:p>
    <w:p>
      <w:pPr>
        <w:pStyle w:val="Heading2"/>
      </w:pPr>
      <w:r>
        <w:t>3.5 规则开发与验证</w:t>
      </w:r>
    </w:p>
    <w:p>
      <w:pPr>
        <w:jc w:val="both"/>
      </w:pPr>
      <w:r>
        <w:t>规则开发先将业务判断转成明确的输入条件和判定过程，业务岗位与开发岗位共同核对边界。开发环境使用经授权的数据或受控测试数据，覆盖正常记录、缺失记录、冲突记录、边界值、历史版本及条件不适用情况。测试数据不能含未经授权的生产敏感信息。</w:t>
      </w:r>
    </w:p>
    <w:p>
      <w:pPr>
        <w:jc w:val="both"/>
      </w:pPr>
      <w:r>
        <w:t>验证检查规则能否发现已知问题，并检查是否误判正常业务。对跨系统规则核对来源同步时点与业务处理时差，避免将正常在途状态全部报为异常；对时序规则核对采样频率、设备停机和测点变更；对文本或图像核验区分自动检测结果与专业复核结论。误报和漏报均分析原因，修正规则或明确适用限制。</w:t>
      </w:r>
    </w:p>
    <w:p>
      <w:pPr>
        <w:jc w:val="both"/>
      </w:pPr>
      <w:r>
        <w:t>规则上线前完成代码审查、业务验收和运行影响评估。高开销检查采用分批、增量或离峰调度，仍保证批准检查范围完整覆盖；不能为降低资源消耗永久遗漏历史范围或大对象。涉及全量扫描的任务明确执行窗口、限流和失败恢复，避免影响源系统正常业务。</w:t>
      </w:r>
    </w:p>
    <w:p>
      <w:pPr>
        <w:jc w:val="both"/>
      </w:pPr>
      <w:r>
        <w:t>上线后进行结果抽查与业务反馈，检查异常比例突变是否来自真实质量变化、规则变更或来源结构变化。规则失效时先标记受影响检查结果，安排修复和补检。确认可用后进入常态运行，测试、批准、配置和首批运行结果一并归档。</w:t>
      </w:r>
    </w:p>
    <w:p>
      <w:pPr>
        <w:pStyle w:val="Heading2"/>
      </w:pPr>
      <w:r>
        <w:t>3.6 多源校验与批次对账</w:t>
      </w:r>
    </w:p>
    <w:p>
      <w:pPr>
        <w:jc w:val="both"/>
      </w:pPr>
      <w:r>
        <w:t>多源校验按照统一对象标识、业务时间和版本组织，先确认来源范围及批次，再比较记录数量、关键金额或数量、对象集合、状态及关联关系。ERP、MES、WMS、QMS等系统反映不同业务阶段，对账需明确订单、工单、出入库和检验之间的实际关系，不能要求不同粒度的表直接行数相等。</w:t>
      </w:r>
    </w:p>
    <w:p>
      <w:pPr>
        <w:jc w:val="both"/>
      </w:pPr>
      <w:r>
        <w:t>采集批次登记源范围、增量边界、实际接收量、重复量、拒收量及异常原因。核对来源新增、变更、删除和撤销记录是否按设计处理，发现缺批或重批时保留批次身份并安排重采或修复。数据处理前后的记录变化按过滤、拆分、合并和异常隔离分别统计，能够解释每一类差额。</w:t>
      </w:r>
    </w:p>
    <w:p>
      <w:pPr>
        <w:jc w:val="both"/>
      </w:pPr>
      <w:r>
        <w:t>跨源冲突按权威来源和业务规则判定。明确权威来源的字段引用其有效版本；需要多个来源联合判断时保存证据及裁决；来源本身可疑时组织业务核验。修复结果保留原值、修订值、依据、执行岗位和时间，不将冲突来源直接删除而丢失追溯条件。</w:t>
      </w:r>
    </w:p>
    <w:p>
      <w:pPr>
        <w:jc w:val="both"/>
      </w:pPr>
      <w:r>
        <w:t>多模态关联检查内容与元数据、对象、时间及空间位置是否对应。图纸和工艺文件检查图号、版本及适用产品；工艺曲线检查设备、炉次或工单及时间段；质量图像检查工件、缺陷位置和检验记录；视频检查任务、对象与片段范围。关联依据不足的记录限制相应组合用途，防止形成错误的训练或验证配对。</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5" name="Picture 5"/>
            <wp:cNvGraphicFramePr>
              <a:graphicFrameLocks noChangeAspect="1"/>
            </wp:cNvGraphicFramePr>
            <a:graphic>
              <a:graphicData uri="http://schemas.openxmlformats.org/drawingml/2006/picture">
                <pic:pic>
                  <pic:nvPicPr>
                    <pic:cNvPr id="0" name="图5_多源核验.png"/>
                    <pic:cNvPicPr/>
                  </pic:nvPicPr>
                  <pic:blipFill>
                    <a:blip r:embed="rId15"/>
                    <a:stretch>
                      <a:fillRect/>
                    </a:stretch>
                  </pic:blipFill>
                  <pic:spPr>
                    <a:xfrm>
                      <a:off x="0" y="0"/>
                      <a:ext cx="6048000" cy="1942338"/>
                    </a:xfrm>
                    <a:prstGeom prst="rect"/>
                  </pic:spPr>
                </pic:pic>
              </a:graphicData>
            </a:graphic>
          </wp:inline>
        </w:drawing>
      </w:r>
    </w:p>
    <w:p>
      <w:pPr>
        <w:pStyle w:val="Caption"/>
        <w:jc w:val="center"/>
      </w:pPr>
      <w:r>
        <w:t>图3-2 多源数据核验与修复</w:t>
      </w:r>
    </w:p>
    <w:p>
      <w:pPr>
        <w:pStyle w:val="Heading2"/>
      </w:pPr>
      <w:r>
        <w:t>3.7 检查调度与异常定位</w:t>
      </w:r>
    </w:p>
    <w:p>
      <w:pPr>
        <w:jc w:val="both"/>
      </w:pPr>
      <w:r>
        <w:t>质量检查按接入触发、周期调度和事件触发组织。接入检查控制新批次进入正式处理，周期检查发现持续变化与历史问题，事件检查响应标准变更、来源结构调整、模型变更、投诉或场景反馈。各任务记录依赖和执行顺序，前置检查未完成时明确等待或受限状态。</w:t>
      </w:r>
    </w:p>
    <w:p>
      <w:pPr>
        <w:jc w:val="both"/>
      </w:pPr>
      <w:r>
        <w:t>任务日志记录规则版本、输入范围、开始结束时间、执行状态、检查量、异常量和结果地址。异常结果能够定位到源系统、对象、记录键、字段、业务时间、批次、处理步骤和具体规则；敏感异常样本按权限展示，通知和日志避免直接暴露不必要的内容。</w:t>
      </w:r>
    </w:p>
    <w:p>
      <w:pPr>
        <w:jc w:val="both"/>
      </w:pPr>
      <w:r>
        <w:t>任务失败与数据不符合分开告警。任务失败说明检查未完成，需要恢复或补检；数据不符合说明已检测到具体问题，需要分派整改。两类事项都影响质量状态，但处理责任和关闭条件不同。多个告警由同一上游故障触发时关联集中处理，保留各受影响对象，避免告警合并后漏掉恢复验证。</w:t>
      </w:r>
    </w:p>
    <w:p>
      <w:pPr>
        <w:jc w:val="both"/>
      </w:pPr>
      <w:r>
        <w:t>异常定位结合元数据和血缘分析，检查问题从哪个来源进入、经过哪些转换、影响哪些指标、服务或数据集。针对已发布结果及时登记受影响版本及使用方，采取暂停、撤回、替换或提示措施。修复后对原问题与关键下游进行复检，确认传播影响已经消除。</w:t>
      </w:r>
    </w:p>
    <w:p>
      <w:pPr>
        <w:pStyle w:val="Heading2"/>
      </w:pPr>
      <w:r>
        <w:t>3.8 质量评估与评分方法</w:t>
      </w:r>
    </w:p>
    <w:p>
      <w:pPr>
        <w:jc w:val="both"/>
      </w:pPr>
      <w:r>
        <w:t>质量评估方案明确评价对象、用途、周期、规则集、范围、计算方法和结果表达。规则通过率以实际适用且已完成检查的对象为分母，同时单独报告未覆盖、未执行、执行失败及不适用数量。涉及关键业务控制的规则设置独立判断，不让大量一般字段的高通过率抵消关键缺陷。</w:t>
      </w:r>
    </w:p>
    <w:p>
      <w:pPr>
        <w:jc w:val="both"/>
      </w:pPr>
      <w:r>
        <w:t>六个维度的评分与权重依据业务重要性和批准规则确定，保持同一周期及同类对象可比。评分前固定规则版本、范围和权重，变更后说明与历史结果的可比性。对记录级、字段级和对象级结果分别统计，不能混用不同分母。综合分用于分析和排序，同时保留维度分、严重问题和实际使用限制。</w:t>
      </w:r>
    </w:p>
    <w:p>
      <w:pPr>
        <w:jc w:val="both"/>
      </w:pPr>
      <w:r>
        <w:t>趋势分析比较同一范围、同一口径下的质量变化，区分新增来源、业务季节性、数据量变化和规则调整的影响。按业务域、来源系统、对象类型和责任环节分析异常集中位置，结合业务损失、返工工作量、重复发生情况及下游影响确定治理优先级。分析结论必须能够回查对应检查结果和样本。</w:t>
      </w:r>
    </w:p>
    <w:p>
      <w:pPr>
        <w:jc w:val="both"/>
      </w:pPr>
      <w:r>
        <w:t>业务治理质量评价与数据集生产质量控制、正式质量评测分别执行。生产环节按保真、完备、规整、均衡、可用、可信要求控制；正式质量评测覆盖说明文档、数据质量、模型应用三个维度，分别达到最低合格标准且综合总分不低于85分。治理分数不替代正式评测结论，相关输入、问题及版本可以共享追溯。</w:t>
      </w:r>
    </w:p>
    <w:p>
      <w:pPr>
        <w:pStyle w:val="Heading2"/>
      </w:pPr>
      <w:r>
        <w:t>3.9 质量问题上报与分派</w:t>
      </w:r>
    </w:p>
    <w:p>
      <w:pPr>
        <w:jc w:val="both"/>
      </w:pPr>
      <w:r>
        <w:t>质量问题由检查任务、业务使用、场景验证或人工核验触发，统一登记问题单。问题单记录发现时间、对象范围、异常表现、证据、规则、影响、严重程度、来源及当前控制。使用方发现问题时可直接提供业务现象和关联记录，由治理岗位补充定位信息，不能因缺少技术字段而拒绝受理。</w:t>
      </w:r>
    </w:p>
    <w:p>
      <w:pPr>
        <w:jc w:val="both"/>
      </w:pPr>
      <w:r>
        <w:t>受理后先检查是否重复问题、是否处于同一根因事件以及是否需要立即限制使用。严重程度依据业务影响、数据传播、安全及关键任务依赖判定，分类规则由甲方确认。高风险或影响关键决策、生产质量的事项优先采取隔离、告警和使用限制，再推进原因分析。</w:t>
      </w:r>
    </w:p>
    <w:p>
      <w:pPr>
        <w:jc w:val="both"/>
      </w:pPr>
      <w:r>
        <w:t>分派到能够实施修复的责任岗位，同时明确协同岗位、处理时限和复核人员。来源错误交源数据责任方，加工错误交作业责任方，口径冲突交业务归口及标准管理岗位，权限问题交安全与授权责任方。跨域问题由统一负责人组织，不能在多个系统之间反复转派而没有实际处理人。</w:t>
      </w:r>
    </w:p>
    <w:p>
      <w:pPr>
        <w:jc w:val="both"/>
      </w:pPr>
      <w:r>
        <w:t>进度跟踪记录接收、分析、方案、执行和复核状态。延期说明原因、影响及临时控制，经批准调整计划；逾期或反复退回事项升级协调。问题关闭以复核通过为条件，工单状态变化不能代替实际数据修复和下游恢复。</w:t>
      </w:r>
    </w:p>
    <w:p>
      <w:pPr>
        <w:pStyle w:val="Heading2"/>
      </w:pPr>
      <w:r>
        <w:t>3.10 整改复核与历史影响处理</w:t>
      </w:r>
    </w:p>
    <w:p>
      <w:pPr>
        <w:jc w:val="both"/>
      </w:pPr>
      <w:r>
        <w:t>整改先确认根因和影响范围，再选择源端修复、映射调整、规则修订、重新采集、重算或人工核验等方法。源端能够修复的优先从来源纠正，同时记录是否需要处理历史批次；无法立即源端修复时采取经批准的治理层措施，明确临时有效期、责任和后续根治安排。</w:t>
      </w:r>
    </w:p>
    <w:p>
      <w:pPr>
        <w:jc w:val="both"/>
      </w:pPr>
      <w:r>
        <w:t>修复过程保留输入版本、变更内容、执行脚本或操作记录、操作者和时间。批量更新先在受控范围验证，并制定备份、回退和恢复检查。人工补录必须具有可核验依据，推断或插补内容保持相应标识。不能为达到规则通过率而将异常值统一替换为默认值，或删除仍应纳入评价的记录。</w:t>
      </w:r>
    </w:p>
    <w:p>
      <w:pPr>
        <w:jc w:val="both"/>
      </w:pPr>
      <w:r>
        <w:t>复核由独立于整改执行的岗位组织，使用原规则验证原问题，必要时增加关联规则检查副作用。下游已发布指标、知识、服务和数据集按血缘识别影响，分别重算、重建、替换或通知。重新发布使用后继版本，旧版本保留状态和替代关系，避免已经使用的内容被静默覆盖。</w:t>
      </w:r>
    </w:p>
    <w:p>
      <w:pPr>
        <w:jc w:val="both"/>
      </w:pPr>
      <w:r>
        <w:t>归档记录问题、根因、措施、修复范围、复核结果、关闭时间和预防要求。重复问题分析流程、标准或工具控制是否失效，形成源系统约束、培训、规则优化或职责调整任务。高风险问题清零，中低风险问题完成整改并达到100%整改率；已知问题不能借助抽样遗漏或统计口径调整退出管理。</w:t>
      </w:r>
    </w:p>
    <w:p>
      <w:pPr>
        <w:pStyle w:val="Caption"/>
        <w:keepNext/>
      </w:pPr>
      <w:r>
        <w:t>表3-2 质量问题闭环管理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环节</w:t>
            </w:r>
          </w:p>
        </w:tc>
        <w:tc>
          <w:tcPr>
            <w:tcW w:type="dxa" w:w="3855"/>
            <w:vAlign w:val="center"/>
            <w:shd w:fill="EDF1F3"/>
          </w:tcPr>
          <w:p>
            <w:pPr>
              <w:keepNext/>
              <w:spacing w:line="320" w:lineRule="exact" w:after="0" w:before="0"/>
              <w:ind w:firstLine="0"/>
              <w:jc w:val="center"/>
            </w:pPr>
            <w:r>
              <w:rPr>
                <w:b/>
                <w:sz w:val="21"/>
              </w:rPr>
              <w:t>主要动作</w:t>
            </w:r>
          </w:p>
        </w:tc>
        <w:tc>
          <w:tcPr>
            <w:tcW w:type="dxa" w:w="3277"/>
            <w:vAlign w:val="center"/>
            <w:shd w:fill="EDF1F3"/>
          </w:tcPr>
          <w:p>
            <w:pPr>
              <w:keepNext/>
              <w:spacing w:line="320" w:lineRule="exact" w:after="0" w:before="0"/>
              <w:ind w:firstLine="0"/>
              <w:jc w:val="center"/>
            </w:pPr>
            <w:r>
              <w:rPr>
                <w:b/>
                <w:sz w:val="21"/>
              </w:rPr>
              <w:t>完成条件</w:t>
            </w:r>
          </w:p>
        </w:tc>
      </w:tr>
      <w:tr>
        <w:trPr>
          <w:cantSplit/>
        </w:trPr>
        <w:tc>
          <w:tcPr>
            <w:tcW w:type="dxa" w:w="2506"/>
            <w:vAlign w:val="center"/>
          </w:tcPr>
          <w:p>
            <w:pPr>
              <w:keepNext w:val="0"/>
              <w:spacing w:line="320" w:lineRule="exact" w:after="0" w:before="0"/>
              <w:ind w:firstLine="0"/>
              <w:jc w:val="left"/>
            </w:pPr>
            <w:r>
              <w:rPr>
                <w:b w:val="0"/>
                <w:sz w:val="21"/>
              </w:rPr>
              <w:t>上报</w:t>
            </w:r>
          </w:p>
        </w:tc>
        <w:tc>
          <w:tcPr>
            <w:tcW w:type="dxa" w:w="3855"/>
            <w:vAlign w:val="center"/>
          </w:tcPr>
          <w:p>
            <w:pPr>
              <w:keepNext w:val="0"/>
              <w:spacing w:line="320" w:lineRule="exact" w:after="0" w:before="0"/>
              <w:ind w:firstLine="0"/>
              <w:jc w:val="left"/>
            </w:pPr>
            <w:r>
              <w:rPr>
                <w:b w:val="0"/>
                <w:sz w:val="21"/>
              </w:rPr>
              <w:t>登记对象、现象、证据和影响</w:t>
            </w:r>
          </w:p>
        </w:tc>
        <w:tc>
          <w:tcPr>
            <w:tcW w:type="dxa" w:w="3277"/>
            <w:vAlign w:val="center"/>
          </w:tcPr>
          <w:p>
            <w:pPr>
              <w:keepNext w:val="0"/>
              <w:spacing w:line="320" w:lineRule="exact" w:after="0" w:before="0"/>
              <w:ind w:firstLine="0"/>
              <w:jc w:val="left"/>
            </w:pPr>
            <w:r>
              <w:rPr>
                <w:b w:val="0"/>
                <w:sz w:val="21"/>
              </w:rPr>
              <w:t>问题可定位，必要控制已启动</w:t>
            </w:r>
          </w:p>
        </w:tc>
      </w:tr>
      <w:tr>
        <w:trPr>
          <w:cantSplit/>
        </w:trPr>
        <w:tc>
          <w:tcPr>
            <w:tcW w:type="dxa" w:w="2506"/>
            <w:vAlign w:val="center"/>
          </w:tcPr>
          <w:p>
            <w:pPr>
              <w:keepNext w:val="0"/>
              <w:spacing w:line="320" w:lineRule="exact" w:after="0" w:before="0"/>
              <w:ind w:firstLine="0"/>
              <w:jc w:val="left"/>
            </w:pPr>
            <w:r>
              <w:rPr>
                <w:b w:val="0"/>
                <w:sz w:val="21"/>
              </w:rPr>
              <w:t>分派</w:t>
            </w:r>
          </w:p>
        </w:tc>
        <w:tc>
          <w:tcPr>
            <w:tcW w:type="dxa" w:w="3855"/>
            <w:vAlign w:val="center"/>
          </w:tcPr>
          <w:p>
            <w:pPr>
              <w:keepNext w:val="0"/>
              <w:spacing w:line="320" w:lineRule="exact" w:after="0" w:before="0"/>
              <w:ind w:firstLine="0"/>
              <w:jc w:val="left"/>
            </w:pPr>
            <w:r>
              <w:rPr>
                <w:b w:val="0"/>
                <w:sz w:val="21"/>
              </w:rPr>
              <w:t>明确责任、协同、时限和复核</w:t>
            </w:r>
          </w:p>
        </w:tc>
        <w:tc>
          <w:tcPr>
            <w:tcW w:type="dxa" w:w="3277"/>
            <w:vAlign w:val="center"/>
          </w:tcPr>
          <w:p>
            <w:pPr>
              <w:keepNext w:val="0"/>
              <w:spacing w:line="320" w:lineRule="exact" w:after="0" w:before="0"/>
              <w:ind w:firstLine="0"/>
              <w:jc w:val="left"/>
            </w:pPr>
            <w:r>
              <w:rPr>
                <w:b w:val="0"/>
                <w:sz w:val="21"/>
              </w:rPr>
              <w:t>责任岗位接收且处理路径明确</w:t>
            </w:r>
          </w:p>
        </w:tc>
      </w:tr>
      <w:tr>
        <w:trPr>
          <w:cantSplit/>
        </w:trPr>
        <w:tc>
          <w:tcPr>
            <w:tcW w:type="dxa" w:w="2506"/>
            <w:vAlign w:val="center"/>
          </w:tcPr>
          <w:p>
            <w:pPr>
              <w:keepNext w:val="0"/>
              <w:spacing w:line="320" w:lineRule="exact" w:after="0" w:before="0"/>
              <w:ind w:firstLine="0"/>
              <w:jc w:val="left"/>
            </w:pPr>
            <w:r>
              <w:rPr>
                <w:b w:val="0"/>
                <w:sz w:val="21"/>
              </w:rPr>
              <w:t>整改</w:t>
            </w:r>
          </w:p>
        </w:tc>
        <w:tc>
          <w:tcPr>
            <w:tcW w:type="dxa" w:w="3855"/>
            <w:vAlign w:val="center"/>
          </w:tcPr>
          <w:p>
            <w:pPr>
              <w:keepNext w:val="0"/>
              <w:spacing w:line="320" w:lineRule="exact" w:after="0" w:before="0"/>
              <w:ind w:firstLine="0"/>
              <w:jc w:val="left"/>
            </w:pPr>
            <w:r>
              <w:rPr>
                <w:b w:val="0"/>
                <w:sz w:val="21"/>
              </w:rPr>
              <w:t>根因分析、方案批准和实际修复</w:t>
            </w:r>
          </w:p>
        </w:tc>
        <w:tc>
          <w:tcPr>
            <w:tcW w:type="dxa" w:w="3277"/>
            <w:vAlign w:val="center"/>
          </w:tcPr>
          <w:p>
            <w:pPr>
              <w:keepNext w:val="0"/>
              <w:spacing w:line="320" w:lineRule="exact" w:after="0" w:before="0"/>
              <w:ind w:firstLine="0"/>
              <w:jc w:val="left"/>
            </w:pPr>
            <w:r>
              <w:rPr>
                <w:b w:val="0"/>
                <w:sz w:val="21"/>
              </w:rPr>
              <w:t>修复记录完整，影响范围已处理</w:t>
            </w:r>
          </w:p>
        </w:tc>
      </w:tr>
      <w:tr>
        <w:trPr>
          <w:cantSplit/>
        </w:trPr>
        <w:tc>
          <w:tcPr>
            <w:tcW w:type="dxa" w:w="2506"/>
            <w:vAlign w:val="center"/>
          </w:tcPr>
          <w:p>
            <w:pPr>
              <w:keepNext w:val="0"/>
              <w:spacing w:line="320" w:lineRule="exact" w:after="0" w:before="0"/>
              <w:ind w:firstLine="0"/>
              <w:jc w:val="left"/>
            </w:pPr>
            <w:r>
              <w:rPr>
                <w:b w:val="0"/>
                <w:sz w:val="21"/>
              </w:rPr>
              <w:t>复核</w:t>
            </w:r>
          </w:p>
        </w:tc>
        <w:tc>
          <w:tcPr>
            <w:tcW w:type="dxa" w:w="3855"/>
            <w:vAlign w:val="center"/>
          </w:tcPr>
          <w:p>
            <w:pPr>
              <w:keepNext w:val="0"/>
              <w:spacing w:line="320" w:lineRule="exact" w:after="0" w:before="0"/>
              <w:ind w:firstLine="0"/>
              <w:jc w:val="left"/>
            </w:pPr>
            <w:r>
              <w:rPr>
                <w:b w:val="0"/>
                <w:sz w:val="21"/>
              </w:rPr>
              <w:t>原问题复检及下游验证</w:t>
            </w:r>
          </w:p>
        </w:tc>
        <w:tc>
          <w:tcPr>
            <w:tcW w:type="dxa" w:w="3277"/>
            <w:vAlign w:val="center"/>
          </w:tcPr>
          <w:p>
            <w:pPr>
              <w:keepNext w:val="0"/>
              <w:spacing w:line="320" w:lineRule="exact" w:after="0" w:before="0"/>
              <w:ind w:firstLine="0"/>
              <w:jc w:val="left"/>
            </w:pPr>
            <w:r>
              <w:rPr>
                <w:b w:val="0"/>
                <w:sz w:val="21"/>
              </w:rPr>
              <w:t>检查通过，副作用和传播影响已核查</w:t>
            </w:r>
          </w:p>
        </w:tc>
      </w:tr>
      <w:tr>
        <w:trPr>
          <w:cantSplit/>
        </w:trPr>
        <w:tc>
          <w:tcPr>
            <w:tcW w:type="dxa" w:w="2506"/>
            <w:vAlign w:val="center"/>
          </w:tcPr>
          <w:p>
            <w:pPr>
              <w:keepNext w:val="0"/>
              <w:spacing w:line="320" w:lineRule="exact" w:after="0" w:before="0"/>
              <w:ind w:firstLine="0"/>
              <w:jc w:val="left"/>
            </w:pPr>
            <w:r>
              <w:rPr>
                <w:b w:val="0"/>
                <w:sz w:val="21"/>
              </w:rPr>
              <w:t>归档</w:t>
            </w:r>
          </w:p>
        </w:tc>
        <w:tc>
          <w:tcPr>
            <w:tcW w:type="dxa" w:w="3855"/>
            <w:vAlign w:val="center"/>
          </w:tcPr>
          <w:p>
            <w:pPr>
              <w:keepNext w:val="0"/>
              <w:spacing w:line="320" w:lineRule="exact" w:after="0" w:before="0"/>
              <w:ind w:firstLine="0"/>
              <w:jc w:val="left"/>
            </w:pPr>
            <w:r>
              <w:rPr>
                <w:b w:val="0"/>
                <w:sz w:val="21"/>
              </w:rPr>
              <w:t>关闭、总结及预防任务</w:t>
            </w:r>
          </w:p>
        </w:tc>
        <w:tc>
          <w:tcPr>
            <w:tcW w:type="dxa" w:w="3277"/>
            <w:vAlign w:val="center"/>
          </w:tcPr>
          <w:p>
            <w:pPr>
              <w:keepNext w:val="0"/>
              <w:spacing w:line="320" w:lineRule="exact" w:after="0" w:before="0"/>
              <w:ind w:firstLine="0"/>
              <w:jc w:val="left"/>
            </w:pPr>
            <w:r>
              <w:rPr>
                <w:b w:val="0"/>
                <w:sz w:val="21"/>
              </w:rPr>
              <w:t>证据完整，后续改进有人负责</w:t>
            </w:r>
          </w:p>
        </w:tc>
      </w:tr>
    </w:tbl>
    <w:p>
      <w:pPr>
        <w:spacing w:after="40" w:line="240" w:lineRule="auto"/>
        <w:ind w:firstLine="0"/>
      </w:pPr>
      <w:r>
        <w:rPr>
          <w:sz w:val="4"/>
        </w:rPr>
      </w:r>
    </w:p>
    <w:p>
      <w:pPr>
        <w:pStyle w:val="Heading2"/>
      </w:pPr>
      <w:r>
        <w:t>3.11 常态监测与质量改进</w:t>
      </w:r>
    </w:p>
    <w:p>
      <w:pPr>
        <w:jc w:val="both"/>
      </w:pPr>
      <w:r>
        <w:t>建立日常任务监测、周期质量分析和重大问题专项复盘相结合的运行机制。日常关注检查失败、批次缺失、异常增多及延迟；周期分析关注业务域质量变化、问题关闭效率和复发；专项复盘关注跨系统影响、关键对象错误及重大标准调整。会议和报告形成可执行任务，不仅记录问题现象。</w:t>
      </w:r>
    </w:p>
    <w:p>
      <w:pPr>
        <w:jc w:val="both"/>
      </w:pPr>
      <w:r>
        <w:t>质量分析报告说明评价范围、规则和版本、执行覆盖、维度结果、重要问题、原因分析、改进措施和限制。数据量、分母、时间窗和排除项能够回查，图表与明细一致。已整改问题区分数据修复效果和根因控制效果，对尚未验证长期效果的事项保留观察状态。</w:t>
      </w:r>
    </w:p>
    <w:p>
      <w:pPr>
        <w:jc w:val="both"/>
      </w:pPr>
      <w:r>
        <w:t>持续改进优先处理高影响重复问题和源端控制缺口。将成熟规则前移到业务录入、接口接收或采集环节，在不改变实际事实的前提下减少后续返工。改进效果以异常减少、重复问题降低、检查覆盖提高和业务使用恢复等实际证据评价，不能仅以新增规则或培训次数评价成效。</w:t>
      </w:r>
    </w:p>
    <w:p>
      <w:pPr>
        <w:pStyle w:val="Heading2"/>
      </w:pPr>
      <w:r>
        <w:t>3.12 质量成果与交付核验</w:t>
      </w:r>
    </w:p>
    <w:p>
      <w:pPr>
        <w:jc w:val="both"/>
      </w:pPr>
      <w:r>
        <w:t>我方交付数据质量管理办法、数据质量需求清单、数据质量校验规则库、质量分析报告、质量问题整改台账五项成果。需求与规则、规则与检查、检查与问题、问题与整改及复核之间具备连续索引，业务和技术人员能够按照对象、时间和版本检索全过程。</w:t>
      </w:r>
    </w:p>
    <w:p>
      <w:pPr>
        <w:jc w:val="both"/>
      </w:pPr>
      <w:r>
        <w:t>交付核验选取九个业务域的代表性对象和实际问题，检查六个维度规则的适用性、配置正确性、执行状态和定位能力，并通过正常、异常、失败、重试和修复场景验证流程。质量评分能够复算，报告与平台结果一致，问题台账与实际关闭状态一致。检查范围及必要补检在交付前完成。</w:t>
      </w:r>
    </w:p>
    <w:p>
      <w:pPr>
        <w:jc w:val="both"/>
      </w:pPr>
      <w:r>
        <w:t>运维移交包括规则维护权限、任务调度、告警处理、分析方法、整改操作和复核方式。甲方接管岗位能够独立调整经批准的参数、查看异常、发起问题并核验关闭。未完成的持续改进任务列入运行计划，相关责任、期限和跟踪方式随成果移交。</w:t>
      </w:r>
    </w:p>
    <w:p>
      <w:pPr>
        <w:pStyle w:val="Heading1"/>
      </w:pPr>
      <w:r>
        <w:t>4 数据安全规划与管理控制</w:t>
      </w:r>
    </w:p>
    <w:p>
      <w:pPr>
        <w:pStyle w:val="Heading2"/>
      </w:pPr>
      <w:r>
        <w:t>4.1 数据合规管理范围</w:t>
      </w:r>
    </w:p>
    <w:p>
      <w:pPr>
        <w:jc w:val="both"/>
      </w:pPr>
      <w:r>
        <w:t>我方将来源合法性、使用权限、保密要求和数据安全条件纳入数据接入、加工、共享及退役全过程。对内部业务数据核对提供部门、管理职责、授权范围和使用目的；对外部资料核对取得方式、许可、合同和适用限制；对派生成果追踪输入来源及其限制继承关系。不能证明相应用途获得许可的内容，不进入该用途的正式生产与发布。</w:t>
      </w:r>
    </w:p>
    <w:p>
      <w:pPr>
        <w:jc w:val="both"/>
      </w:pPr>
      <w:r>
        <w:t>数据合规管理制度明确责任岗位、核验事项、审批方式、证据保管、持续复查和异常处置。重点检查个人信息、敏感地理信息、重要行业数据、企业秘密数据以及可能存在商业使用限制的内容。核验涵盖复制、存储、解析、标注、训练、验证、共享和对外提供等实际动作，不能因能够访问或下载就推定全部用途均被允许。</w:t>
      </w:r>
    </w:p>
    <w:p>
      <w:pPr>
        <w:jc w:val="both"/>
      </w:pPr>
      <w:r>
        <w:t>来源和许可记录绑定数据对象、版本、取得时间、有效期和使用条件。合同或授权变化时分析已经采集及派生内容的影响，更新目录和权限，必要时停止有关用途并处理副本与下游服务。项目人员按合同目的和岗位需要接触资料，使用经批准的工作环境与传输方式，项目结束后的保密责任继续履行。</w:t>
      </w:r>
    </w:p>
    <w:p>
      <w:pPr>
        <w:pStyle w:val="Heading2"/>
      </w:pPr>
      <w:r>
        <w:t>4.2 五级分类分级标准</w:t>
      </w:r>
    </w:p>
    <w:p>
      <w:pPr>
        <w:jc w:val="both"/>
      </w:pPr>
      <w:r>
        <w:t>按照招标要求，数据安全采用L1公开、L2内部、L3重要、L4敏感、L5机密五个层级。分级依据数据内容、业务用途、泄露或损坏影响、涉及对象和甲方管理要求确定，并形成统一的数据安全分级标准。上述层级作为项目管理标签使用，涉及法定分类认定的事项按相应依据另行核验和记录，不能仅凭名称将项目标签等同于法定结论。</w:t>
      </w:r>
    </w:p>
    <w:p>
      <w:pPr>
        <w:jc w:val="both"/>
      </w:pPr>
      <w:r>
        <w:t>分类先明确数据所属业务域、对象类型、内容特征和责任归属，分级再结合具体内容及使用情境判断。相同字段在不同组合和用途下可能产生不同影响，批量汇聚、跨域关联或模型推断可能增加识别能力，需重新评估组合后的风险。对外已公开的内容仍核查来源和使用许可，公开状态不自动免除用途约束。</w:t>
      </w:r>
    </w:p>
    <w:p>
      <w:pPr>
        <w:jc w:val="both"/>
      </w:pPr>
      <w:r>
        <w:t>分级目录记录对象、字段或文件范围、类别、级别、依据、责任、批准、生效时间和复查条件。混合内容按可实施的粒度设置标签，能够分离时按字段或片段控制，不能分离时按整体使用风险采取适当措施。对级别尚未确认的内容先按受控核验流程管理，正式共享前完成分级及授权。</w:t>
      </w:r>
    </w:p>
    <w:p>
      <w:pPr>
        <w:pStyle w:val="Caption"/>
        <w:keepNext/>
      </w:pPr>
      <w:r>
        <w:t>表4-1 五级数据安全管理要求</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层级</w:t>
            </w:r>
          </w:p>
        </w:tc>
        <w:tc>
          <w:tcPr>
            <w:tcW w:type="dxa" w:w="3855"/>
            <w:vAlign w:val="center"/>
            <w:shd w:fill="EDF1F3"/>
          </w:tcPr>
          <w:p>
            <w:pPr>
              <w:keepNext/>
              <w:spacing w:line="320" w:lineRule="exact" w:after="0" w:before="0"/>
              <w:ind w:firstLine="0"/>
              <w:jc w:val="center"/>
            </w:pPr>
            <w:r>
              <w:rPr>
                <w:b/>
                <w:sz w:val="21"/>
              </w:rPr>
              <w:t>管理定位</w:t>
            </w:r>
          </w:p>
        </w:tc>
        <w:tc>
          <w:tcPr>
            <w:tcW w:type="dxa" w:w="3277"/>
            <w:vAlign w:val="center"/>
            <w:shd w:fill="EDF1F3"/>
          </w:tcPr>
          <w:p>
            <w:pPr>
              <w:keepNext/>
              <w:spacing w:line="320" w:lineRule="exact" w:after="0" w:before="0"/>
              <w:ind w:firstLine="0"/>
              <w:jc w:val="center"/>
            </w:pPr>
            <w:r>
              <w:rPr>
                <w:b/>
                <w:sz w:val="21"/>
              </w:rPr>
              <w:t>主要控制要求</w:t>
            </w:r>
          </w:p>
        </w:tc>
      </w:tr>
      <w:tr>
        <w:trPr>
          <w:cantSplit/>
        </w:trPr>
        <w:tc>
          <w:tcPr>
            <w:tcW w:type="dxa" w:w="2506"/>
            <w:vAlign w:val="center"/>
          </w:tcPr>
          <w:p>
            <w:pPr>
              <w:keepNext w:val="0"/>
              <w:spacing w:line="320" w:lineRule="exact" w:after="0" w:before="0"/>
              <w:ind w:firstLine="0"/>
              <w:jc w:val="left"/>
            </w:pPr>
            <w:r>
              <w:rPr>
                <w:b w:val="0"/>
                <w:sz w:val="21"/>
              </w:rPr>
              <w:t>L1公开</w:t>
            </w:r>
          </w:p>
        </w:tc>
        <w:tc>
          <w:tcPr>
            <w:tcW w:type="dxa" w:w="3855"/>
            <w:vAlign w:val="center"/>
          </w:tcPr>
          <w:p>
            <w:pPr>
              <w:keepNext w:val="0"/>
              <w:spacing w:line="320" w:lineRule="exact" w:after="0" w:before="0"/>
              <w:ind w:firstLine="0"/>
              <w:jc w:val="left"/>
            </w:pPr>
            <w:r>
              <w:rPr>
                <w:b w:val="0"/>
                <w:sz w:val="21"/>
              </w:rPr>
              <w:t>经批准可公开使用的内容</w:t>
            </w:r>
          </w:p>
        </w:tc>
        <w:tc>
          <w:tcPr>
            <w:tcW w:type="dxa" w:w="3277"/>
            <w:vAlign w:val="center"/>
          </w:tcPr>
          <w:p>
            <w:pPr>
              <w:keepNext w:val="0"/>
              <w:spacing w:line="320" w:lineRule="exact" w:after="0" w:before="0"/>
              <w:ind w:firstLine="0"/>
              <w:jc w:val="left"/>
            </w:pPr>
            <w:r>
              <w:rPr>
                <w:b w:val="0"/>
                <w:sz w:val="21"/>
              </w:rPr>
              <w:t>核验公开依据、许可、完整性和发布版本</w:t>
            </w:r>
          </w:p>
        </w:tc>
      </w:tr>
      <w:tr>
        <w:trPr>
          <w:cantSplit/>
        </w:trPr>
        <w:tc>
          <w:tcPr>
            <w:tcW w:type="dxa" w:w="2506"/>
            <w:vAlign w:val="center"/>
          </w:tcPr>
          <w:p>
            <w:pPr>
              <w:keepNext w:val="0"/>
              <w:spacing w:line="320" w:lineRule="exact" w:after="0" w:before="0"/>
              <w:ind w:firstLine="0"/>
              <w:jc w:val="left"/>
            </w:pPr>
            <w:r>
              <w:rPr>
                <w:b w:val="0"/>
                <w:sz w:val="21"/>
              </w:rPr>
              <w:t>L2内部</w:t>
            </w:r>
          </w:p>
        </w:tc>
        <w:tc>
          <w:tcPr>
            <w:tcW w:type="dxa" w:w="3855"/>
            <w:vAlign w:val="center"/>
          </w:tcPr>
          <w:p>
            <w:pPr>
              <w:keepNext w:val="0"/>
              <w:spacing w:line="320" w:lineRule="exact" w:after="0" w:before="0"/>
              <w:ind w:firstLine="0"/>
              <w:jc w:val="left"/>
            </w:pPr>
            <w:r>
              <w:rPr>
                <w:b w:val="0"/>
                <w:sz w:val="21"/>
              </w:rPr>
              <w:t>限企业内部正常业务使用</w:t>
            </w:r>
          </w:p>
        </w:tc>
        <w:tc>
          <w:tcPr>
            <w:tcW w:type="dxa" w:w="3277"/>
            <w:vAlign w:val="center"/>
          </w:tcPr>
          <w:p>
            <w:pPr>
              <w:keepNext w:val="0"/>
              <w:spacing w:line="320" w:lineRule="exact" w:after="0" w:before="0"/>
              <w:ind w:firstLine="0"/>
              <w:jc w:val="left"/>
            </w:pPr>
            <w:r>
              <w:rPr>
                <w:b w:val="0"/>
                <w:sz w:val="21"/>
              </w:rPr>
              <w:t>身份验证、岗位授权、范围控制和日志记录</w:t>
            </w:r>
          </w:p>
        </w:tc>
      </w:tr>
      <w:tr>
        <w:trPr>
          <w:cantSplit/>
        </w:trPr>
        <w:tc>
          <w:tcPr>
            <w:tcW w:type="dxa" w:w="2506"/>
            <w:vAlign w:val="center"/>
          </w:tcPr>
          <w:p>
            <w:pPr>
              <w:keepNext w:val="0"/>
              <w:spacing w:line="320" w:lineRule="exact" w:after="0" w:before="0"/>
              <w:ind w:firstLine="0"/>
              <w:jc w:val="left"/>
            </w:pPr>
            <w:r>
              <w:rPr>
                <w:b w:val="0"/>
                <w:sz w:val="21"/>
              </w:rPr>
              <w:t>L3重要</w:t>
            </w:r>
          </w:p>
        </w:tc>
        <w:tc>
          <w:tcPr>
            <w:tcW w:type="dxa" w:w="3855"/>
            <w:vAlign w:val="center"/>
          </w:tcPr>
          <w:p>
            <w:pPr>
              <w:keepNext w:val="0"/>
              <w:spacing w:line="320" w:lineRule="exact" w:after="0" w:before="0"/>
              <w:ind w:firstLine="0"/>
              <w:jc w:val="left"/>
            </w:pPr>
            <w:r>
              <w:rPr>
                <w:b w:val="0"/>
                <w:sz w:val="21"/>
              </w:rPr>
              <w:t>对经营或业务具有较大影响</w:t>
            </w:r>
          </w:p>
        </w:tc>
        <w:tc>
          <w:tcPr>
            <w:tcW w:type="dxa" w:w="3277"/>
            <w:vAlign w:val="center"/>
          </w:tcPr>
          <w:p>
            <w:pPr>
              <w:keepNext w:val="0"/>
              <w:spacing w:line="320" w:lineRule="exact" w:after="0" w:before="0"/>
              <w:ind w:firstLine="0"/>
              <w:jc w:val="left"/>
            </w:pPr>
            <w:r>
              <w:rPr>
                <w:b w:val="0"/>
                <w:sz w:val="21"/>
              </w:rPr>
              <w:t>严格审批、细化范围、导出控制及持续审计</w:t>
            </w:r>
          </w:p>
        </w:tc>
      </w:tr>
      <w:tr>
        <w:trPr>
          <w:cantSplit/>
        </w:trPr>
        <w:tc>
          <w:tcPr>
            <w:tcW w:type="dxa" w:w="2506"/>
            <w:vAlign w:val="center"/>
          </w:tcPr>
          <w:p>
            <w:pPr>
              <w:keepNext w:val="0"/>
              <w:spacing w:line="320" w:lineRule="exact" w:after="0" w:before="0"/>
              <w:ind w:firstLine="0"/>
              <w:jc w:val="left"/>
            </w:pPr>
            <w:r>
              <w:rPr>
                <w:b w:val="0"/>
                <w:sz w:val="21"/>
              </w:rPr>
              <w:t>L4敏感</w:t>
            </w:r>
          </w:p>
        </w:tc>
        <w:tc>
          <w:tcPr>
            <w:tcW w:type="dxa" w:w="3855"/>
            <w:vAlign w:val="center"/>
          </w:tcPr>
          <w:p>
            <w:pPr>
              <w:keepNext w:val="0"/>
              <w:spacing w:line="320" w:lineRule="exact" w:after="0" w:before="0"/>
              <w:ind w:firstLine="0"/>
              <w:jc w:val="left"/>
            </w:pPr>
            <w:r>
              <w:rPr>
                <w:b w:val="0"/>
                <w:sz w:val="21"/>
              </w:rPr>
              <w:t>泄露或不当关联可能产生较高影响</w:t>
            </w:r>
          </w:p>
        </w:tc>
        <w:tc>
          <w:tcPr>
            <w:tcW w:type="dxa" w:w="3277"/>
            <w:vAlign w:val="center"/>
          </w:tcPr>
          <w:p>
            <w:pPr>
              <w:keepNext w:val="0"/>
              <w:spacing w:line="320" w:lineRule="exact" w:after="0" w:before="0"/>
              <w:ind w:firstLine="0"/>
              <w:jc w:val="left"/>
            </w:pPr>
            <w:r>
              <w:rPr>
                <w:b w:val="0"/>
                <w:sz w:val="21"/>
              </w:rPr>
              <w:t>最小必要使用、脱敏核验、受控环境和异常监测</w:t>
            </w:r>
          </w:p>
        </w:tc>
      </w:tr>
      <w:tr>
        <w:trPr>
          <w:cantSplit/>
        </w:trPr>
        <w:tc>
          <w:tcPr>
            <w:tcW w:type="dxa" w:w="2506"/>
            <w:vAlign w:val="center"/>
          </w:tcPr>
          <w:p>
            <w:pPr>
              <w:keepNext w:val="0"/>
              <w:spacing w:line="320" w:lineRule="exact" w:after="0" w:before="0"/>
              <w:ind w:firstLine="0"/>
              <w:jc w:val="left"/>
            </w:pPr>
            <w:r>
              <w:rPr>
                <w:b w:val="0"/>
                <w:sz w:val="21"/>
              </w:rPr>
              <w:t>L5机密</w:t>
            </w:r>
          </w:p>
        </w:tc>
        <w:tc>
          <w:tcPr>
            <w:tcW w:type="dxa" w:w="3855"/>
            <w:vAlign w:val="center"/>
          </w:tcPr>
          <w:p>
            <w:pPr>
              <w:keepNext w:val="0"/>
              <w:spacing w:line="320" w:lineRule="exact" w:after="0" w:before="0"/>
              <w:ind w:firstLine="0"/>
              <w:jc w:val="left"/>
            </w:pPr>
            <w:r>
              <w:rPr>
                <w:b w:val="0"/>
                <w:sz w:val="21"/>
              </w:rPr>
              <w:t>按甲方机密管理要求严格保护</w:t>
            </w:r>
          </w:p>
        </w:tc>
        <w:tc>
          <w:tcPr>
            <w:tcW w:type="dxa" w:w="3277"/>
            <w:vAlign w:val="center"/>
          </w:tcPr>
          <w:p>
            <w:pPr>
              <w:keepNext w:val="0"/>
              <w:spacing w:line="320" w:lineRule="exact" w:after="0" w:before="0"/>
              <w:ind w:firstLine="0"/>
              <w:jc w:val="left"/>
            </w:pPr>
            <w:r>
              <w:rPr>
                <w:b w:val="0"/>
                <w:sz w:val="21"/>
              </w:rPr>
              <w:t>专门审批、严格隔离、受控操作及全程可追溯</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3004615"/>
            <wp:docPr id="6" name="Picture 6"/>
            <wp:cNvGraphicFramePr>
              <a:graphicFrameLocks noChangeAspect="1"/>
            </wp:cNvGraphicFramePr>
            <a:graphic>
              <a:graphicData uri="http://schemas.openxmlformats.org/drawingml/2006/picture">
                <pic:pic>
                  <pic:nvPicPr>
                    <pic:cNvPr id="0" name="图6_五级安全.png"/>
                    <pic:cNvPicPr/>
                  </pic:nvPicPr>
                  <pic:blipFill>
                    <a:blip r:embed="rId16"/>
                    <a:stretch>
                      <a:fillRect/>
                    </a:stretch>
                  </pic:blipFill>
                  <pic:spPr>
                    <a:xfrm>
                      <a:off x="0" y="0"/>
                      <a:ext cx="6048000" cy="3004615"/>
                    </a:xfrm>
                    <a:prstGeom prst="rect"/>
                  </pic:spPr>
                </pic:pic>
              </a:graphicData>
            </a:graphic>
          </wp:inline>
        </w:drawing>
      </w:r>
    </w:p>
    <w:p>
      <w:pPr>
        <w:pStyle w:val="Caption"/>
        <w:jc w:val="center"/>
      </w:pPr>
      <w:r>
        <w:t>图4-1 五级数据安全控制</w:t>
      </w:r>
    </w:p>
    <w:p>
      <w:pPr>
        <w:pStyle w:val="Heading2"/>
      </w:pPr>
      <w:r>
        <w:t>4.3 分级执行与持续维护</w:t>
      </w:r>
    </w:p>
    <w:p>
      <w:pPr>
        <w:jc w:val="both"/>
      </w:pPr>
      <w:r>
        <w:t>分级作业由数据责任岗位提供对象及业务解释，安全岗位组织识别，业务、技术和合规相关岗位联合核验。自动识别可辅助发现敏感字段、文件内容和组合风险，但最终级别和适用措施由授权岗位确认。识别过程记录规则、样本范围、发现结果和复核，不能将未命中自动规则视为无风险。</w:t>
      </w:r>
    </w:p>
    <w:p>
      <w:pPr>
        <w:jc w:val="both"/>
      </w:pPr>
      <w:r>
        <w:t>分级结果同步到资源目录、元数据、字段映射、接口和数据集版本。采集时继承来源标签，加工时核对是否因聚合、关联、脱敏或派生改变使用风险，发布时再次核验实际内容和目标用途。任何降低控制强度的调整都应有依据和批准，不能因内容经过格式转换或简单遮盖就自动降级。</w:t>
      </w:r>
    </w:p>
    <w:p>
      <w:pPr>
        <w:jc w:val="both"/>
      </w:pPr>
      <w:r>
        <w:t>复查触发包括来源授权变化、业务用途变化、新增敏感属性、跨域组合、数据规模显著扩大、对象责任调整和安全事件。复查结果决定标签、权限、脱敏规则和服务范围是否更新。平台维护变更前后标签及生效时间，能够追溯某次使用时适用的控制要求。</w:t>
      </w:r>
    </w:p>
    <w:p>
      <w:pPr>
        <w:jc w:val="both"/>
      </w:pPr>
      <w:r>
        <w:t>分级检查同时核对标签与实际内容是否一致、配置是否覆盖实际访问路径。目录页面受控但文件地址可以直接下载、接口受控但缓存副本无权限等情况均纳入整改。发现标签遗漏或不当降低时先控制使用，再补充分级和影响核查，必要时通知已使用方采取相应措施。</w:t>
      </w:r>
    </w:p>
    <w:p>
      <w:pPr>
        <w:pStyle w:val="Heading2"/>
      </w:pPr>
      <w:r>
        <w:t>4.4 身份与权限管理</w:t>
      </w:r>
    </w:p>
    <w:p>
      <w:pPr>
        <w:jc w:val="both"/>
      </w:pPr>
      <w:r>
        <w:t>权限管理以明确主体、资源、操作、条件和期限为基础。主体包括人员、岗位、应用、服务和任务账号；资源定位到数据目录、对象、版本、字段、记录或文件；操作区分查询、下载、修改、删除、加工、训练、发布和管理。不同动作分别授权，拥有查询权限不能自动获得导出、再共享或训练权限。</w:t>
      </w:r>
    </w:p>
    <w:p>
      <w:pPr>
        <w:jc w:val="both"/>
      </w:pPr>
      <w:r>
        <w:t>岗位权限结合业务职责配置，并按实际需要限定业务域、对象范围、字段、环境和有效期。应用及任务账号按用途单独登记，密钥或凭据由受控机制保管，避免多个任务共用无法追溯的高权限账号。管理员操作与普通业务使用分离，授权管理、执行和审计保留相互制约。</w:t>
      </w:r>
    </w:p>
    <w:p>
      <w:pPr>
        <w:jc w:val="both"/>
      </w:pPr>
      <w:r>
        <w:t>权限开通前核对申请及批准条件，开通后进行允许访问和禁止访问两类验证。测试覆盖页面、接口、批量导出、文件下载及后台任务等真实路径，确保同一对象的权限一致。授权失败应返回明确受限状态，不能在异常或性能降级时默认放行。</w:t>
      </w:r>
    </w:p>
    <w:p>
      <w:pPr>
        <w:jc w:val="both"/>
      </w:pPr>
      <w:r>
        <w:t>人员调岗、离职、任务结束、服务退役和授权到期触发权限调整或回收。定期复核长期未使用、范围过大和无责任账号，处理孤立凭据及历史权限。临时授权明确原因、批准、范围和到期时间，紧急访问保留操作记录并开展事后复核，防止临时权限长期化。</w:t>
      </w:r>
    </w:p>
    <w:p>
      <w:pPr>
        <w:pStyle w:val="Heading2"/>
      </w:pPr>
      <w:r>
        <w:t>4.5 访问审批与使用约束</w:t>
      </w:r>
    </w:p>
    <w:p>
      <w:pPr>
        <w:jc w:val="both"/>
      </w:pPr>
      <w:r>
        <w:t>数据访问申请记录业务目的、使用任务、对象、版本、字段、时间范围、数量、使用环境、参与人员、访问方式和期限。涉及外部来源或受限制内容时附相应用途依据，涉及组合使用时说明关联对象和预期输出。申请应足以判断最小必要范围，笼统的“科研使用”或“项目需要”不能代替具体用途描述。</w:t>
      </w:r>
    </w:p>
    <w:p>
      <w:pPr>
        <w:jc w:val="both"/>
      </w:pPr>
      <w:r>
        <w:t>审批由业务责任岗位确认必要性与适用性，权属岗位核对使用许可，安全岗位核对级别、环境和保护措施，技术岗位确认能否实施批准条件。跨域申请汇总各来源条件，出现冲突时缩小范围或调整处理方式。批准意见明确允许、附条件允许或不允许，附加条件转化为可执行配置。</w:t>
      </w:r>
    </w:p>
    <w:p>
      <w:pPr>
        <w:jc w:val="both"/>
      </w:pPr>
      <w:r>
        <w:t>使用过程中改变用途、扩大范围、增加人员、延长期限或改变输出方式时重新申请相应变更。已经获得某次授权不代表同一数据全部后续用途均获批准。共享给新的接收方或用于新的模型任务时，核对原许可及本次批准是否覆盖，保留判断记录。</w:t>
      </w:r>
    </w:p>
    <w:p>
      <w:pPr>
        <w:jc w:val="both"/>
      </w:pPr>
      <w:r>
        <w:t>申请、批准、技术开通、首次验证、使用记录和退出结果关联同一授权编号。撤销申请或批准失效时检查是否已经产生权限、副本或中间结果，并完成清理。审批台账与平台实际权限定期对账，发现未审批开通、批准未落实或到期未回收时立即处理。</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7" name="Picture 7"/>
            <wp:cNvGraphicFramePr>
              <a:graphicFrameLocks noChangeAspect="1"/>
            </wp:cNvGraphicFramePr>
            <a:graphic>
              <a:graphicData uri="http://schemas.openxmlformats.org/drawingml/2006/picture">
                <pic:pic>
                  <pic:nvPicPr>
                    <pic:cNvPr id="0" name="图7_授权控制.png"/>
                    <pic:cNvPicPr/>
                  </pic:nvPicPr>
                  <pic:blipFill>
                    <a:blip r:embed="rId17"/>
                    <a:stretch>
                      <a:fillRect/>
                    </a:stretch>
                  </pic:blipFill>
                  <pic:spPr>
                    <a:xfrm>
                      <a:off x="0" y="0"/>
                      <a:ext cx="6048000" cy="1942338"/>
                    </a:xfrm>
                    <a:prstGeom prst="rect"/>
                  </pic:spPr>
                </pic:pic>
              </a:graphicData>
            </a:graphic>
          </wp:inline>
        </w:drawing>
      </w:r>
    </w:p>
    <w:p>
      <w:pPr>
        <w:pStyle w:val="Caption"/>
        <w:jc w:val="center"/>
      </w:pPr>
      <w:r>
        <w:t>图4-2 访问审批与权限回收</w:t>
      </w:r>
    </w:p>
    <w:p>
      <w:pPr>
        <w:pStyle w:val="Heading2"/>
      </w:pPr>
      <w:r>
        <w:t>4.6 脱敏与去标识化管理</w:t>
      </w:r>
    </w:p>
    <w:p>
      <w:pPr>
        <w:jc w:val="both"/>
      </w:pPr>
      <w:r>
        <w:t>脱敏和去标识化规则以字段含义、使用目的和可识别风险为依据，分别规定处理对象、方法、保留信息、适用环境和验证要求。直接标识、间接标识、敏感业务属性及可能组合识别的信息联合检查，避免只遮盖姓名或号码而保留能够重新识别的上下文。处理范围包含结构化字段、文本、图像、视频和必要元数据。</w:t>
      </w:r>
    </w:p>
    <w:p>
      <w:pPr>
        <w:jc w:val="both"/>
      </w:pPr>
      <w:r>
        <w:t>规则设计同时考虑业务可用性。用于关联分析的数据需要稳定映射时，映射关系在受控环境单独保存；用于统计的数据选择适当粒度和聚合方式；用于模型训练或验证的数据检查处理是否改变专业含义、标签或答案。无法兼顾用途和保护要求时调整使用方式或限制提供，不能以业务方便为由取消必要控制。</w:t>
      </w:r>
    </w:p>
    <w:p>
      <w:pPr>
        <w:jc w:val="both"/>
      </w:pPr>
      <w:r>
        <w:t>验证包括敏感信息残留、组合识别风险、规则覆盖、输出格式及业务效果。自动扫描结合人工抽查，对图像和视频检查可见标识、背景内容及嵌入信息，对文本检查正文、表格、批注和附件。脱敏处理本身不自动证明已达到匿名化或可以自由公开，实际使用仍受来源和授权条件约束。</w:t>
      </w:r>
    </w:p>
    <w:p>
      <w:pPr>
        <w:jc w:val="both"/>
      </w:pPr>
      <w:r>
        <w:t>规则版本与处理批次绑定，保存输入、输出、执行状态和验证结论。失败批次进入隔离和复核，不输出部分未处理内容。恢复原始信息或访问映射表需专门授权，密钥和映射关系不与处理后数据一并共享。规则变更时评估历史已发布内容是否需要重新处理。</w:t>
      </w:r>
    </w:p>
    <w:p>
      <w:pPr>
        <w:pStyle w:val="Heading2"/>
      </w:pPr>
      <w:r>
        <w:t>4.7 数据水印与导出控制</w:t>
      </w:r>
    </w:p>
    <w:p>
      <w:pPr>
        <w:jc w:val="both"/>
      </w:pPr>
      <w:r>
        <w:t>水印按数据形态和使用方式配置，标识发布主体、接收对象、批次或授权关系，支持必要的追踪。可见水印适用于经批准的文档或展示材料，其他标记方式需验证对数据内容、模型输入和业务计算的影响。不得为了嵌入标记修改测量值、质量标签、图纸尺寸或评测答案等关键事实。</w:t>
      </w:r>
    </w:p>
    <w:p>
      <w:pPr>
        <w:jc w:val="both"/>
      </w:pPr>
      <w:r>
        <w:t>水印规则明确生成、验证、记录和撤销要求，使用身份或授权编号时避免暴露不必要的个人信息。输出包中的水印、版本标识和交付清单保持一致，接收方能够识别适用版本和使用条件。水印作为追踪措施，与权限和审批共同使用，不能替代访问控制或来源许可核验。</w:t>
      </w:r>
    </w:p>
    <w:p>
      <w:pPr>
        <w:jc w:val="both"/>
      </w:pPr>
      <w:r>
        <w:t>导出前核对批准范围、字段、数量、用途和有效期，执行必要脱敏及标记，并记录导出者、对象、批次、时间和接收方。大批量导出、异常时段、短期重复导出等情况按规则监测。导出文件放入受控位置，下载链接和临时副本设置有效期，防止批准一次后形成永久公开入口。</w:t>
      </w:r>
    </w:p>
    <w:p>
      <w:pPr>
        <w:jc w:val="both"/>
      </w:pPr>
      <w:r>
        <w:t>导出失败或中断时检查已生成部分文件，确认是否需要清理、作废或重新交付。重新导出采用新的任务记录并与原任务关联，避免无法判断接收方实际取得哪一份内容。使用期限结束后按批准条件回收访问并确认副本处置，保留必要审计证据。</w:t>
      </w:r>
    </w:p>
    <w:p>
      <w:pPr>
        <w:pStyle w:val="Heading2"/>
      </w:pPr>
      <w:r>
        <w:t>4.8 全链路操作日志</w:t>
      </w:r>
    </w:p>
    <w:p>
      <w:pPr>
        <w:jc w:val="both"/>
      </w:pPr>
      <w:r>
        <w:t>完整记录数据查询、修改、删除、接口调用及采集、加工、共享、授权、导出等相关操作。日志应能够回答哪个主体，在什么时间，通过什么入口，对哪个对象和版本，实施什么操作，基于什么授权，得到什么结果。跨平台调用关联请求标识、任务标识或批次标识，形成连续追踪路径。</w:t>
      </w:r>
    </w:p>
    <w:p>
      <w:pPr>
        <w:jc w:val="both"/>
      </w:pPr>
      <w:r>
        <w:t>日志字段包括主体身份、岗位或服务、来源环境、操作类型、对象标识、版本、时间、结果、错误原因、授权关联和必要的影响范围。查询记录保存可用于审计的条件与范围，修改记录保存差异或可定位的变更证据，删除记录保存批准依据和处置结果，接口记录保存调用方、接口版本及状态。敏感内容和凭据不直接写入普通日志。</w:t>
      </w:r>
    </w:p>
    <w:p>
      <w:pPr>
        <w:jc w:val="both"/>
      </w:pPr>
      <w:r>
        <w:t>日志采集检查成功与失败操作，权限拒绝、认证异常和管理操作均须留痕。业务系统、治理平台、加工平台与运营服务之间建立时间同步和关联机制，不能只保留界面操作而遗漏后台任务。日志发送失败时启动缓存、告警和补传，补传记录保留原始发生时间及实际入库时间。</w:t>
      </w:r>
    </w:p>
    <w:p>
      <w:pPr>
        <w:jc w:val="both"/>
      </w:pPr>
      <w:r>
        <w:t>日志保护采取受控访问、完整性检查、备份和防篡改措施，审计岗位与被审计操作岗位保持必要分离。留存期限根据适用要求、合同、甲方制度和实际取证需要统一确定并落实配置，不对所有业务日志任意设置同一短期限。到期处置检查是否存在调查、争议、验收或其他保留要求，批准后执行并留痕。</w:t>
      </w:r>
    </w:p>
    <w:p>
      <w:pPr>
        <w:pStyle w:val="Caption"/>
        <w:keepNext/>
      </w:pPr>
      <w:r>
        <w:t>表4-2 操作审计覆盖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操作类别</w:t>
            </w:r>
          </w:p>
        </w:tc>
        <w:tc>
          <w:tcPr>
            <w:tcW w:type="dxa" w:w="3855"/>
            <w:vAlign w:val="center"/>
            <w:shd w:fill="EDF1F3"/>
          </w:tcPr>
          <w:p>
            <w:pPr>
              <w:keepNext/>
              <w:spacing w:line="320" w:lineRule="exact" w:after="0" w:before="0"/>
              <w:ind w:firstLine="0"/>
              <w:jc w:val="center"/>
            </w:pPr>
            <w:r>
              <w:rPr>
                <w:b/>
                <w:sz w:val="21"/>
              </w:rPr>
              <w:t>重点记录</w:t>
            </w:r>
          </w:p>
        </w:tc>
        <w:tc>
          <w:tcPr>
            <w:tcW w:type="dxa" w:w="3277"/>
            <w:vAlign w:val="center"/>
            <w:shd w:fill="EDF1F3"/>
          </w:tcPr>
          <w:p>
            <w:pPr>
              <w:keepNext/>
              <w:spacing w:line="320" w:lineRule="exact" w:after="0" w:before="0"/>
              <w:ind w:firstLine="0"/>
              <w:jc w:val="center"/>
            </w:pPr>
            <w:r>
              <w:rPr>
                <w:b/>
                <w:sz w:val="21"/>
              </w:rPr>
              <w:t>追溯目标</w:t>
            </w:r>
          </w:p>
        </w:tc>
      </w:tr>
      <w:tr>
        <w:trPr>
          <w:cantSplit/>
        </w:trPr>
        <w:tc>
          <w:tcPr>
            <w:tcW w:type="dxa" w:w="2506"/>
            <w:vAlign w:val="center"/>
          </w:tcPr>
          <w:p>
            <w:pPr>
              <w:keepNext w:val="0"/>
              <w:spacing w:line="320" w:lineRule="exact" w:after="0" w:before="0"/>
              <w:ind w:firstLine="0"/>
              <w:jc w:val="left"/>
            </w:pPr>
            <w:r>
              <w:rPr>
                <w:b w:val="0"/>
                <w:sz w:val="21"/>
              </w:rPr>
              <w:t>查询与下载</w:t>
            </w:r>
          </w:p>
        </w:tc>
        <w:tc>
          <w:tcPr>
            <w:tcW w:type="dxa" w:w="3855"/>
            <w:vAlign w:val="center"/>
          </w:tcPr>
          <w:p>
            <w:pPr>
              <w:keepNext w:val="0"/>
              <w:spacing w:line="320" w:lineRule="exact" w:after="0" w:before="0"/>
              <w:ind w:firstLine="0"/>
              <w:jc w:val="left"/>
            </w:pPr>
            <w:r>
              <w:rPr>
                <w:b w:val="0"/>
                <w:sz w:val="21"/>
              </w:rPr>
              <w:t>主体、条件、范围、对象及结果</w:t>
            </w:r>
          </w:p>
        </w:tc>
        <w:tc>
          <w:tcPr>
            <w:tcW w:type="dxa" w:w="3277"/>
            <w:vAlign w:val="center"/>
          </w:tcPr>
          <w:p>
            <w:pPr>
              <w:keepNext w:val="0"/>
              <w:spacing w:line="320" w:lineRule="exact" w:after="0" w:before="0"/>
              <w:ind w:firstLine="0"/>
              <w:jc w:val="left"/>
            </w:pPr>
            <w:r>
              <w:rPr>
                <w:b w:val="0"/>
                <w:sz w:val="21"/>
              </w:rPr>
              <w:t>核实访问是否符合批准用途</w:t>
            </w:r>
          </w:p>
        </w:tc>
      </w:tr>
      <w:tr>
        <w:trPr>
          <w:cantSplit/>
        </w:trPr>
        <w:tc>
          <w:tcPr>
            <w:tcW w:type="dxa" w:w="2506"/>
            <w:vAlign w:val="center"/>
          </w:tcPr>
          <w:p>
            <w:pPr>
              <w:keepNext w:val="0"/>
              <w:spacing w:line="320" w:lineRule="exact" w:after="0" w:before="0"/>
              <w:ind w:firstLine="0"/>
              <w:jc w:val="left"/>
            </w:pPr>
            <w:r>
              <w:rPr>
                <w:b w:val="0"/>
                <w:sz w:val="21"/>
              </w:rPr>
              <w:t>修改与删除</w:t>
            </w:r>
          </w:p>
        </w:tc>
        <w:tc>
          <w:tcPr>
            <w:tcW w:type="dxa" w:w="3855"/>
            <w:vAlign w:val="center"/>
          </w:tcPr>
          <w:p>
            <w:pPr>
              <w:keepNext w:val="0"/>
              <w:spacing w:line="320" w:lineRule="exact" w:after="0" w:before="0"/>
              <w:ind w:firstLine="0"/>
              <w:jc w:val="left"/>
            </w:pPr>
            <w:r>
              <w:rPr>
                <w:b w:val="0"/>
                <w:sz w:val="21"/>
              </w:rPr>
              <w:t>变更前后关系、依据、执行及复核</w:t>
            </w:r>
          </w:p>
        </w:tc>
        <w:tc>
          <w:tcPr>
            <w:tcW w:type="dxa" w:w="3277"/>
            <w:vAlign w:val="center"/>
          </w:tcPr>
          <w:p>
            <w:pPr>
              <w:keepNext w:val="0"/>
              <w:spacing w:line="320" w:lineRule="exact" w:after="0" w:before="0"/>
              <w:ind w:firstLine="0"/>
              <w:jc w:val="left"/>
            </w:pPr>
            <w:r>
              <w:rPr>
                <w:b w:val="0"/>
                <w:sz w:val="21"/>
              </w:rPr>
              <w:t>核实数据变化及责任</w:t>
            </w:r>
          </w:p>
        </w:tc>
      </w:tr>
      <w:tr>
        <w:trPr>
          <w:cantSplit/>
        </w:trPr>
        <w:tc>
          <w:tcPr>
            <w:tcW w:type="dxa" w:w="2506"/>
            <w:vAlign w:val="center"/>
          </w:tcPr>
          <w:p>
            <w:pPr>
              <w:keepNext w:val="0"/>
              <w:spacing w:line="320" w:lineRule="exact" w:after="0" w:before="0"/>
              <w:ind w:firstLine="0"/>
              <w:jc w:val="left"/>
            </w:pPr>
            <w:r>
              <w:rPr>
                <w:b w:val="0"/>
                <w:sz w:val="21"/>
              </w:rPr>
              <w:t>接口与任务</w:t>
            </w:r>
          </w:p>
        </w:tc>
        <w:tc>
          <w:tcPr>
            <w:tcW w:type="dxa" w:w="3855"/>
            <w:vAlign w:val="center"/>
          </w:tcPr>
          <w:p>
            <w:pPr>
              <w:keepNext w:val="0"/>
              <w:spacing w:line="320" w:lineRule="exact" w:after="0" w:before="0"/>
              <w:ind w:firstLine="0"/>
              <w:jc w:val="left"/>
            </w:pPr>
            <w:r>
              <w:rPr>
                <w:b w:val="0"/>
                <w:sz w:val="21"/>
              </w:rPr>
              <w:t>调用方、版本、输入范围、状态和关联标识</w:t>
            </w:r>
          </w:p>
        </w:tc>
        <w:tc>
          <w:tcPr>
            <w:tcW w:type="dxa" w:w="3277"/>
            <w:vAlign w:val="center"/>
          </w:tcPr>
          <w:p>
            <w:pPr>
              <w:keepNext w:val="0"/>
              <w:spacing w:line="320" w:lineRule="exact" w:after="0" w:before="0"/>
              <w:ind w:firstLine="0"/>
              <w:jc w:val="left"/>
            </w:pPr>
            <w:r>
              <w:rPr>
                <w:b w:val="0"/>
                <w:sz w:val="21"/>
              </w:rPr>
              <w:t>串联跨平台处理过程</w:t>
            </w:r>
          </w:p>
        </w:tc>
      </w:tr>
      <w:tr>
        <w:trPr>
          <w:cantSplit/>
        </w:trPr>
        <w:tc>
          <w:tcPr>
            <w:tcW w:type="dxa" w:w="2506"/>
            <w:vAlign w:val="center"/>
          </w:tcPr>
          <w:p>
            <w:pPr>
              <w:keepNext w:val="0"/>
              <w:spacing w:line="320" w:lineRule="exact" w:after="0" w:before="0"/>
              <w:ind w:firstLine="0"/>
              <w:jc w:val="left"/>
            </w:pPr>
            <w:r>
              <w:rPr>
                <w:b w:val="0"/>
                <w:sz w:val="21"/>
              </w:rPr>
              <w:t>授权与管理</w:t>
            </w:r>
          </w:p>
        </w:tc>
        <w:tc>
          <w:tcPr>
            <w:tcW w:type="dxa" w:w="3855"/>
            <w:vAlign w:val="center"/>
          </w:tcPr>
          <w:p>
            <w:pPr>
              <w:keepNext w:val="0"/>
              <w:spacing w:line="320" w:lineRule="exact" w:after="0" w:before="0"/>
              <w:ind w:firstLine="0"/>
              <w:jc w:val="left"/>
            </w:pPr>
            <w:r>
              <w:rPr>
                <w:b w:val="0"/>
                <w:sz w:val="21"/>
              </w:rPr>
              <w:t>申请、批准、配置、调整和回收</w:t>
            </w:r>
          </w:p>
        </w:tc>
        <w:tc>
          <w:tcPr>
            <w:tcW w:type="dxa" w:w="3277"/>
            <w:vAlign w:val="center"/>
          </w:tcPr>
          <w:p>
            <w:pPr>
              <w:keepNext w:val="0"/>
              <w:spacing w:line="320" w:lineRule="exact" w:after="0" w:before="0"/>
              <w:ind w:firstLine="0"/>
              <w:jc w:val="left"/>
            </w:pPr>
            <w:r>
              <w:rPr>
                <w:b w:val="0"/>
                <w:sz w:val="21"/>
              </w:rPr>
              <w:t>核实权限生命周期</w:t>
            </w:r>
          </w:p>
        </w:tc>
      </w:tr>
      <w:tr>
        <w:trPr>
          <w:cantSplit/>
        </w:trPr>
        <w:tc>
          <w:tcPr>
            <w:tcW w:type="dxa" w:w="2506"/>
            <w:vAlign w:val="center"/>
          </w:tcPr>
          <w:p>
            <w:pPr>
              <w:keepNext w:val="0"/>
              <w:spacing w:line="320" w:lineRule="exact" w:after="0" w:before="0"/>
              <w:ind w:firstLine="0"/>
              <w:jc w:val="left"/>
            </w:pPr>
            <w:r>
              <w:rPr>
                <w:b w:val="0"/>
                <w:sz w:val="21"/>
              </w:rPr>
              <w:t>共享与导出</w:t>
            </w:r>
          </w:p>
        </w:tc>
        <w:tc>
          <w:tcPr>
            <w:tcW w:type="dxa" w:w="3855"/>
            <w:vAlign w:val="center"/>
          </w:tcPr>
          <w:p>
            <w:pPr>
              <w:keepNext w:val="0"/>
              <w:spacing w:line="320" w:lineRule="exact" w:after="0" w:before="0"/>
              <w:ind w:firstLine="0"/>
              <w:jc w:val="left"/>
            </w:pPr>
            <w:r>
              <w:rPr>
                <w:b w:val="0"/>
                <w:sz w:val="21"/>
              </w:rPr>
              <w:t>接收方、批次、标记、期限和处置</w:t>
            </w:r>
          </w:p>
        </w:tc>
        <w:tc>
          <w:tcPr>
            <w:tcW w:type="dxa" w:w="3277"/>
            <w:vAlign w:val="center"/>
          </w:tcPr>
          <w:p>
            <w:pPr>
              <w:keepNext w:val="0"/>
              <w:spacing w:line="320" w:lineRule="exact" w:after="0" w:before="0"/>
              <w:ind w:firstLine="0"/>
              <w:jc w:val="left"/>
            </w:pPr>
            <w:r>
              <w:rPr>
                <w:b w:val="0"/>
                <w:sz w:val="21"/>
              </w:rPr>
              <w:t>核实数据离开原环境后的使用条件</w:t>
            </w:r>
          </w:p>
        </w:tc>
      </w:tr>
    </w:tbl>
    <w:p>
      <w:pPr>
        <w:spacing w:after="40" w:line="240" w:lineRule="auto"/>
        <w:ind w:firstLine="0"/>
      </w:pPr>
      <w:r>
        <w:rPr>
          <w:sz w:val="4"/>
        </w:rPr>
      </w:r>
    </w:p>
    <w:p>
      <w:pPr>
        <w:pStyle w:val="Heading2"/>
      </w:pPr>
      <w:r>
        <w:t>4.9 审计分析与异常处置</w:t>
      </w:r>
    </w:p>
    <w:p>
      <w:pPr>
        <w:jc w:val="both"/>
      </w:pPr>
      <w:r>
        <w:t>审计分析关注越权访问、批量提取、异常账号、频繁失败、非批准环境访问、权限突变和日志缺失等情况。规则结合岗位职责、业务时段和批准任务判断，避免只按固定次数告警而忽略高影响的小规模操作。告警记录关联对象、授权和上下游任务，支持调查和复核。</w:t>
      </w:r>
    </w:p>
    <w:p>
      <w:pPr>
        <w:jc w:val="both"/>
      </w:pPr>
      <w:r>
        <w:t>发现异常后先确认事实和影响，按既定权限采取限制访问、暂停任务、冻结输出或隔离副本等措施，并保存必要日志和证据。调查记录时间线、相关主体、数据范围、原因和已采取措施，业务连续性处理与安全处置同步协调。不能为恢复服务删除可能用于调查的记录。</w:t>
      </w:r>
    </w:p>
    <w:p>
      <w:pPr>
        <w:jc w:val="both"/>
      </w:pPr>
      <w:r>
        <w:t>处置完成后核对权限、凭据、数据副本和服务状态，验证问题是否已经消除。涉及已共享或已用于训练、验证的数据时，分析下游影响并组织通知、替换或退出。复盘落实制度、流程、配置和培训改进，相关变更与结果纳入安全管理台账。</w:t>
      </w:r>
    </w:p>
    <w:p>
      <w:pPr>
        <w:pStyle w:val="Heading2"/>
      </w:pPr>
      <w:r>
        <w:t>4.10 安全策略与平台衔接</w:t>
      </w:r>
    </w:p>
    <w:p>
      <w:pPr>
        <w:jc w:val="both"/>
      </w:pPr>
      <w:r>
        <w:t>分类分级、访问审批、权限、脱敏、水印和审计要求落实到实际治理平台及相关接口，与项目商用密码服务、身份管理和安全基础设施衔接。数据传输、存储、使用及管理操作按适用场景配置保护措施，密码能力调用遵循统一管理和授权要求，避免各模块自行维护互不一致的密钥和身份体系。</w:t>
      </w:r>
    </w:p>
    <w:p>
      <w:pPr>
        <w:jc w:val="both"/>
      </w:pPr>
      <w:r>
        <w:t>我方在实施设计中明确每项策略的执行位置、依赖、输入标签、配置项和验证方式。治理平台负责管理规则与对象关联，相关加工和服务入口执行一致的访问条件，安全平台提供必要能力与监测。无论采用集成组件还是独立服务部署，都逐项验证功能实现，不以产品名称或界面入口替代能力交付。</w:t>
      </w:r>
    </w:p>
    <w:p>
      <w:pPr>
        <w:jc w:val="both"/>
      </w:pPr>
      <w:r>
        <w:t>安全联调覆盖直接访问、接口调用、批处理、下载、管理员操作和异常恢复。验证授权条件能够传递，脱敏和水印按批准规则生效，日志能够串联，失效或撤销权限及时停止使用。性能优化、缓存和离线处理不得绕过相同安全要求。</w:t>
      </w:r>
    </w:p>
    <w:p>
      <w:pPr>
        <w:pStyle w:val="Heading2"/>
      </w:pPr>
      <w:r>
        <w:t>4.11 安全评估与整改配合</w:t>
      </w:r>
    </w:p>
    <w:p>
      <w:pPr>
        <w:jc w:val="both"/>
      </w:pPr>
      <w:r>
        <w:t>我方依据项目安全建设安排配合等级保护测评、商用密码应用安全性评估和相关风险评估，提供数据分类分级、权限矩阵、接口关系、日志、配置及运行证据。测评范围、对象和环境保持明确，第三方提出的问题关联到具体责任模块和整改任务。</w:t>
      </w:r>
    </w:p>
    <w:p>
      <w:pPr>
        <w:jc w:val="both"/>
      </w:pPr>
      <w:r>
        <w:t>整改验证核对管理制度是否补齐、配置是否生效以及运行行为是否符合要求。文件修改不能代替技术缺陷修复，单点测试不能替代受影响路径检查。完成整改后提供证据并配合复测，报告与实际系统版本、测评范围和运行环境一致。</w:t>
      </w:r>
    </w:p>
    <w:p>
      <w:pPr>
        <w:jc w:val="both"/>
      </w:pPr>
      <w:r>
        <w:t>安全评估过程中涉及敏感资料和账号访问时采用必要范围及受控权限，评估结束回收临时权限并检查产生的副本。对报告提出的持续改进事项明确运行责任和复查方式，随项目交付纳入安全管理计划。</w:t>
      </w:r>
    </w:p>
    <w:p>
      <w:pPr>
        <w:pStyle w:val="Heading2"/>
      </w:pPr>
      <w:r>
        <w:t>4.12 安全成果与验收</w:t>
      </w:r>
    </w:p>
    <w:p>
      <w:pPr>
        <w:jc w:val="both"/>
      </w:pPr>
      <w:r>
        <w:t>我方交付数据合规管理制度、数据安全管理办法、数据安全分级标准、数据权限管理规范四项成果，配套分级目录、审批记录、策略配置、测试和审计证据。文件中的对象、级别、岗位和规则与平台一致，能够从管理要求定位到实际控制及执行记录。</w:t>
      </w:r>
    </w:p>
    <w:p>
      <w:pPr>
        <w:jc w:val="both"/>
      </w:pPr>
      <w:r>
        <w:t>验收检查五级标签定义和适用性，核对重要及敏感内容识别，验证权限范围、脱敏、水印、审批和日志覆盖。正常授权、越权拒绝、授权到期、任务失败、标签变更和共享退出等场景均形成记录。发现遗漏及时整改并复核，保证交付状态与报告结论一致。</w:t>
      </w:r>
    </w:p>
    <w:p>
      <w:pPr>
        <w:jc w:val="both"/>
      </w:pPr>
      <w:r>
        <w:t>移交内容包括策略维护、权限复查、异常分析、日志查询和事件处置操作。甲方岗位能够按照正式制度执行，项目临时账号及权限按交接安排清理。保密资料和工作副本按合同及批准要求归还、移交或处置，相关义务在项目结束后继续有效。</w:t>
      </w:r>
    </w:p>
    <w:p>
      <w:pPr>
        <w:pStyle w:val="Heading1"/>
      </w:pPr>
      <w:r>
        <w:t>5 数据生存周期规划</w:t>
      </w:r>
    </w:p>
    <w:p>
      <w:pPr>
        <w:pStyle w:val="Heading2"/>
      </w:pPr>
      <w:r>
        <w:t>5.1 生存周期对象与管理责任</w:t>
      </w:r>
    </w:p>
    <w:p>
      <w:pPr>
        <w:jc w:val="both"/>
      </w:pPr>
      <w:r>
        <w:t>数据生存周期管理覆盖需求提出、设计开发、采集接入、加工发布、运行维护、变更更新、归档和销毁。管理对象包括原始数据、治理结果、主数据、参考数据、指标、知识、数据集、服务以及必要的元数据和日志。每类对象明确责任岗位、状态、版本、保存条件和退出路径，保持来源与派生关系连续。</w:t>
      </w:r>
    </w:p>
    <w:p>
      <w:pPr>
        <w:jc w:val="both"/>
      </w:pPr>
      <w:r>
        <w:t>业务岗位对需求目的、使用条件和结果确认负责，数据开发岗位对模型、任务、接口及版本负责，运维岗位对运行监测和恢复负责，安全及权属岗位对使用限制和处置条件负责。资产管理岗位维护对象目录和状态，治理管理岗位组织跨环节协调。对象转交时同步转交未完成问题和限制，不将移交视为原责任自动消失。</w:t>
      </w:r>
    </w:p>
    <w:p>
      <w:pPr>
        <w:jc w:val="both"/>
      </w:pPr>
      <w:r>
        <w:t>生命周期状态与实际行为一致。设计中、测试中、可发布、运行中、受限、归档和退役等状态分别规定允许动作，状态变化具有触发条件和记录。已退役对象停止新使用并按批准方案处理历史访问；已归档对象按归档权限检索，恢复使用需重新核验适用性。</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8" name="Picture 8"/>
            <wp:cNvGraphicFramePr>
              <a:graphicFrameLocks noChangeAspect="1"/>
            </wp:cNvGraphicFramePr>
            <a:graphic>
              <a:graphicData uri="http://schemas.openxmlformats.org/drawingml/2006/picture">
                <pic:pic>
                  <pic:nvPicPr>
                    <pic:cNvPr id="0" name="图8_生存周期.png"/>
                    <pic:cNvPicPr/>
                  </pic:nvPicPr>
                  <pic:blipFill>
                    <a:blip r:embed="rId18"/>
                    <a:stretch>
                      <a:fillRect/>
                    </a:stretch>
                  </pic:blipFill>
                  <pic:spPr>
                    <a:xfrm>
                      <a:off x="0" y="0"/>
                      <a:ext cx="6048000" cy="1942338"/>
                    </a:xfrm>
                    <a:prstGeom prst="rect"/>
                  </pic:spPr>
                </pic:pic>
              </a:graphicData>
            </a:graphic>
          </wp:inline>
        </w:drawing>
      </w:r>
    </w:p>
    <w:p>
      <w:pPr>
        <w:pStyle w:val="Caption"/>
        <w:jc w:val="center"/>
      </w:pPr>
      <w:r>
        <w:t>图5-1 数据生存周期管理</w:t>
      </w:r>
    </w:p>
    <w:p>
      <w:pPr>
        <w:pStyle w:val="Heading2"/>
      </w:pPr>
      <w:r>
        <w:t>5.2 数据需求提交与受理</w:t>
      </w:r>
    </w:p>
    <w:p>
      <w:pPr>
        <w:jc w:val="both"/>
      </w:pPr>
      <w:r>
        <w:t>需求通过统一入口提交，登记业务问题、预期用途、对象范围、所需字段、时间覆盖、更新频率、质量要求、使用方式和完成时间。关联到具体业务任务、数据集用途或验证场景，说明现有供给为何不能满足需要。新增来源、规则调整、指标修改、服务开通和数据补采均纳入同一受理机制。</w:t>
      </w:r>
    </w:p>
    <w:p>
      <w:pPr>
        <w:jc w:val="both"/>
      </w:pPr>
      <w:r>
        <w:t>受理岗位检查信息完整性、重复需求和已有服务可复用情况。能够使用既有成果的，核对权限和适用性后安排复用；需要改造的，识别影响对象；涉及新的数据来源或授权的，安排来源核验。信息不足时反馈具体补充项和责任，保留沟通过程，不能仅以“需求不清”终止处理。</w:t>
      </w:r>
    </w:p>
    <w:p>
      <w:pPr>
        <w:jc w:val="both"/>
      </w:pPr>
      <w:r>
        <w:t>需求编号贯穿评审、排期、开发、测试、发布和反馈。多部门提出相近需求时合并建设任务但保留各自使用条件，避免合并后遗漏某一业务方要求。需求撤回、拆分或合并保留原始关系，已经产生的数据、权限和成本按实际情况处理。</w:t>
      </w:r>
    </w:p>
    <w:p>
      <w:pPr>
        <w:pStyle w:val="Heading2"/>
      </w:pPr>
      <w:r>
        <w:t>5.3 需求评审与排期反馈</w:t>
      </w:r>
    </w:p>
    <w:p>
      <w:pPr>
        <w:jc w:val="both"/>
      </w:pPr>
      <w:r>
        <w:t>需求评审检查业务价值、范围、来源可得性、标准成熟度、质量、安全和资源条件。技术评估明确需要新建或修改的模型、映射、任务、规则及接口，分析前置依赖和对现有服务的影响。业务评估确认完成条件和验收人员，安全及权属评估确认用途与环境是否允许。</w:t>
      </w:r>
    </w:p>
    <w:p>
      <w:pPr>
        <w:jc w:val="both"/>
      </w:pPr>
      <w:r>
        <w:t>排期按业务紧迫性、影响、资源和依赖组织，明确实施批次、责任岗位、计划节点及交付内容。关键前置条件尚未满足的任务记录准备事项和责任，能够并行开展的设计、测试准备和字典梳理持续推进。计划调整经批准后同步相关使用方，说明实际影响和新的完成安排。</w:t>
      </w:r>
    </w:p>
    <w:p>
      <w:pPr>
        <w:jc w:val="both"/>
      </w:pPr>
      <w:r>
        <w:t>需求反馈覆盖已受理、评审中、补充信息、已排期、开发中、验证中、已发布、已完成和撤销等状态，业务提出方能够查询。完成时对照原始需求逐项确认，存在偏差时说明实际结果并安排修复。未满足关键用途的需求不能仅因开发任务结束而标记完成。</w:t>
      </w:r>
    </w:p>
    <w:p>
      <w:pPr>
        <w:pStyle w:val="Caption"/>
        <w:keepNext/>
      </w:pPr>
      <w:r>
        <w:t>表5-1 数据需求流程记录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环节</w:t>
            </w:r>
          </w:p>
        </w:tc>
        <w:tc>
          <w:tcPr>
            <w:tcW w:type="dxa" w:w="3855"/>
            <w:vAlign w:val="center"/>
            <w:shd w:fill="EDF1F3"/>
          </w:tcPr>
          <w:p>
            <w:pPr>
              <w:keepNext/>
              <w:spacing w:line="320" w:lineRule="exact" w:after="0" w:before="0"/>
              <w:ind w:firstLine="0"/>
              <w:jc w:val="center"/>
            </w:pPr>
            <w:r>
              <w:rPr>
                <w:b/>
                <w:sz w:val="21"/>
              </w:rPr>
              <w:t>记录内容</w:t>
            </w:r>
          </w:p>
        </w:tc>
        <w:tc>
          <w:tcPr>
            <w:tcW w:type="dxa" w:w="3277"/>
            <w:vAlign w:val="center"/>
            <w:shd w:fill="EDF1F3"/>
          </w:tcPr>
          <w:p>
            <w:pPr>
              <w:keepNext/>
              <w:spacing w:line="320" w:lineRule="exact" w:after="0" w:before="0"/>
              <w:ind w:firstLine="0"/>
              <w:jc w:val="center"/>
            </w:pPr>
            <w:r>
              <w:rPr>
                <w:b/>
                <w:sz w:val="21"/>
              </w:rPr>
              <w:t>责任落实</w:t>
            </w:r>
          </w:p>
        </w:tc>
      </w:tr>
      <w:tr>
        <w:trPr>
          <w:cantSplit/>
        </w:trPr>
        <w:tc>
          <w:tcPr>
            <w:tcW w:type="dxa" w:w="2506"/>
            <w:vAlign w:val="center"/>
          </w:tcPr>
          <w:p>
            <w:pPr>
              <w:keepNext w:val="0"/>
              <w:spacing w:line="320" w:lineRule="exact" w:after="0" w:before="0"/>
              <w:ind w:firstLine="0"/>
              <w:jc w:val="left"/>
            </w:pPr>
            <w:r>
              <w:rPr>
                <w:b w:val="0"/>
                <w:sz w:val="21"/>
              </w:rPr>
              <w:t>提交受理</w:t>
            </w:r>
          </w:p>
        </w:tc>
        <w:tc>
          <w:tcPr>
            <w:tcW w:type="dxa" w:w="3855"/>
            <w:vAlign w:val="center"/>
          </w:tcPr>
          <w:p>
            <w:pPr>
              <w:keepNext w:val="0"/>
              <w:spacing w:line="320" w:lineRule="exact" w:after="0" w:before="0"/>
              <w:ind w:firstLine="0"/>
              <w:jc w:val="left"/>
            </w:pPr>
            <w:r>
              <w:rPr>
                <w:b w:val="0"/>
                <w:sz w:val="21"/>
              </w:rPr>
              <w:t>目的、范围、要求及重复检查</w:t>
            </w:r>
          </w:p>
        </w:tc>
        <w:tc>
          <w:tcPr>
            <w:tcW w:type="dxa" w:w="3277"/>
            <w:vAlign w:val="center"/>
          </w:tcPr>
          <w:p>
            <w:pPr>
              <w:keepNext w:val="0"/>
              <w:spacing w:line="320" w:lineRule="exact" w:after="0" w:before="0"/>
              <w:ind w:firstLine="0"/>
              <w:jc w:val="left"/>
            </w:pPr>
            <w:r>
              <w:rPr>
                <w:b w:val="0"/>
                <w:sz w:val="21"/>
              </w:rPr>
              <w:t>提出方与受理岗位</w:t>
            </w:r>
          </w:p>
        </w:tc>
      </w:tr>
      <w:tr>
        <w:trPr>
          <w:cantSplit/>
        </w:trPr>
        <w:tc>
          <w:tcPr>
            <w:tcW w:type="dxa" w:w="2506"/>
            <w:vAlign w:val="center"/>
          </w:tcPr>
          <w:p>
            <w:pPr>
              <w:keepNext w:val="0"/>
              <w:spacing w:line="320" w:lineRule="exact" w:after="0" w:before="0"/>
              <w:ind w:firstLine="0"/>
              <w:jc w:val="left"/>
            </w:pPr>
            <w:r>
              <w:rPr>
                <w:b w:val="0"/>
                <w:sz w:val="21"/>
              </w:rPr>
              <w:t>联合评审</w:t>
            </w:r>
          </w:p>
        </w:tc>
        <w:tc>
          <w:tcPr>
            <w:tcW w:type="dxa" w:w="3855"/>
            <w:vAlign w:val="center"/>
          </w:tcPr>
          <w:p>
            <w:pPr>
              <w:keepNext w:val="0"/>
              <w:spacing w:line="320" w:lineRule="exact" w:after="0" w:before="0"/>
              <w:ind w:firstLine="0"/>
              <w:jc w:val="left"/>
            </w:pPr>
            <w:r>
              <w:rPr>
                <w:b w:val="0"/>
                <w:sz w:val="21"/>
              </w:rPr>
              <w:t>业务、技术、来源、质量及安全结论</w:t>
            </w:r>
          </w:p>
        </w:tc>
        <w:tc>
          <w:tcPr>
            <w:tcW w:type="dxa" w:w="3277"/>
            <w:vAlign w:val="center"/>
          </w:tcPr>
          <w:p>
            <w:pPr>
              <w:keepNext w:val="0"/>
              <w:spacing w:line="320" w:lineRule="exact" w:after="0" w:before="0"/>
              <w:ind w:firstLine="0"/>
              <w:jc w:val="left"/>
            </w:pPr>
            <w:r>
              <w:rPr>
                <w:b w:val="0"/>
                <w:sz w:val="21"/>
              </w:rPr>
              <w:t>相关归口岗位</w:t>
            </w:r>
          </w:p>
        </w:tc>
      </w:tr>
      <w:tr>
        <w:trPr>
          <w:cantSplit/>
        </w:trPr>
        <w:tc>
          <w:tcPr>
            <w:tcW w:type="dxa" w:w="2506"/>
            <w:vAlign w:val="center"/>
          </w:tcPr>
          <w:p>
            <w:pPr>
              <w:keepNext w:val="0"/>
              <w:spacing w:line="320" w:lineRule="exact" w:after="0" w:before="0"/>
              <w:ind w:firstLine="0"/>
              <w:jc w:val="left"/>
            </w:pPr>
            <w:r>
              <w:rPr>
                <w:b w:val="0"/>
                <w:sz w:val="21"/>
              </w:rPr>
              <w:t>排期实施</w:t>
            </w:r>
          </w:p>
        </w:tc>
        <w:tc>
          <w:tcPr>
            <w:tcW w:type="dxa" w:w="3855"/>
            <w:vAlign w:val="center"/>
          </w:tcPr>
          <w:p>
            <w:pPr>
              <w:keepNext w:val="0"/>
              <w:spacing w:line="320" w:lineRule="exact" w:after="0" w:before="0"/>
              <w:ind w:firstLine="0"/>
              <w:jc w:val="left"/>
            </w:pPr>
            <w:r>
              <w:rPr>
                <w:b w:val="0"/>
                <w:sz w:val="21"/>
              </w:rPr>
              <w:t>批次、依赖、资源、任务和节点</w:t>
            </w:r>
          </w:p>
        </w:tc>
        <w:tc>
          <w:tcPr>
            <w:tcW w:type="dxa" w:w="3277"/>
            <w:vAlign w:val="center"/>
          </w:tcPr>
          <w:p>
            <w:pPr>
              <w:keepNext w:val="0"/>
              <w:spacing w:line="320" w:lineRule="exact" w:after="0" w:before="0"/>
              <w:ind w:firstLine="0"/>
              <w:jc w:val="left"/>
            </w:pPr>
            <w:r>
              <w:rPr>
                <w:b w:val="0"/>
                <w:sz w:val="21"/>
              </w:rPr>
              <w:t>实施负责人</w:t>
            </w:r>
          </w:p>
        </w:tc>
      </w:tr>
      <w:tr>
        <w:trPr>
          <w:cantSplit/>
        </w:trPr>
        <w:tc>
          <w:tcPr>
            <w:tcW w:type="dxa" w:w="2506"/>
            <w:vAlign w:val="center"/>
          </w:tcPr>
          <w:p>
            <w:pPr>
              <w:keepNext w:val="0"/>
              <w:spacing w:line="320" w:lineRule="exact" w:after="0" w:before="0"/>
              <w:ind w:firstLine="0"/>
              <w:jc w:val="left"/>
            </w:pPr>
            <w:r>
              <w:rPr>
                <w:b w:val="0"/>
                <w:sz w:val="21"/>
              </w:rPr>
              <w:t>测试发布</w:t>
            </w:r>
          </w:p>
        </w:tc>
        <w:tc>
          <w:tcPr>
            <w:tcW w:type="dxa" w:w="3855"/>
            <w:vAlign w:val="center"/>
          </w:tcPr>
          <w:p>
            <w:pPr>
              <w:keepNext w:val="0"/>
              <w:spacing w:line="320" w:lineRule="exact" w:after="0" w:before="0"/>
              <w:ind w:firstLine="0"/>
              <w:jc w:val="left"/>
            </w:pPr>
            <w:r>
              <w:rPr>
                <w:b w:val="0"/>
                <w:sz w:val="21"/>
              </w:rPr>
              <w:t>验证结果、批准版本及切换安排</w:t>
            </w:r>
          </w:p>
        </w:tc>
        <w:tc>
          <w:tcPr>
            <w:tcW w:type="dxa" w:w="3277"/>
            <w:vAlign w:val="center"/>
          </w:tcPr>
          <w:p>
            <w:pPr>
              <w:keepNext w:val="0"/>
              <w:spacing w:line="320" w:lineRule="exact" w:after="0" w:before="0"/>
              <w:ind w:firstLine="0"/>
              <w:jc w:val="left"/>
            </w:pPr>
            <w:r>
              <w:rPr>
                <w:b w:val="0"/>
                <w:sz w:val="21"/>
              </w:rPr>
              <w:t>开发、测试和运维岗位</w:t>
            </w:r>
          </w:p>
        </w:tc>
      </w:tr>
      <w:tr>
        <w:trPr>
          <w:cantSplit/>
        </w:trPr>
        <w:tc>
          <w:tcPr>
            <w:tcW w:type="dxa" w:w="2506"/>
            <w:vAlign w:val="center"/>
          </w:tcPr>
          <w:p>
            <w:pPr>
              <w:keepNext w:val="0"/>
              <w:spacing w:line="320" w:lineRule="exact" w:after="0" w:before="0"/>
              <w:ind w:firstLine="0"/>
              <w:jc w:val="left"/>
            </w:pPr>
            <w:r>
              <w:rPr>
                <w:b w:val="0"/>
                <w:sz w:val="21"/>
              </w:rPr>
              <w:t>反馈关闭</w:t>
            </w:r>
          </w:p>
        </w:tc>
        <w:tc>
          <w:tcPr>
            <w:tcW w:type="dxa" w:w="3855"/>
            <w:vAlign w:val="center"/>
          </w:tcPr>
          <w:p>
            <w:pPr>
              <w:keepNext w:val="0"/>
              <w:spacing w:line="320" w:lineRule="exact" w:after="0" w:before="0"/>
              <w:ind w:firstLine="0"/>
              <w:jc w:val="left"/>
            </w:pPr>
            <w:r>
              <w:rPr>
                <w:b w:val="0"/>
                <w:sz w:val="21"/>
              </w:rPr>
              <w:t>使用确认、偏差、问题及后续事项</w:t>
            </w:r>
          </w:p>
        </w:tc>
        <w:tc>
          <w:tcPr>
            <w:tcW w:type="dxa" w:w="3277"/>
            <w:vAlign w:val="center"/>
          </w:tcPr>
          <w:p>
            <w:pPr>
              <w:keepNext w:val="0"/>
              <w:spacing w:line="320" w:lineRule="exact" w:after="0" w:before="0"/>
              <w:ind w:firstLine="0"/>
              <w:jc w:val="left"/>
            </w:pPr>
            <w:r>
              <w:rPr>
                <w:b w:val="0"/>
                <w:sz w:val="21"/>
              </w:rPr>
              <w:t>业务提出方与治理岗位</w:t>
            </w:r>
          </w:p>
        </w:tc>
      </w:tr>
    </w:tbl>
    <w:p>
      <w:pPr>
        <w:spacing w:after="40" w:line="240" w:lineRule="auto"/>
        <w:ind w:firstLine="0"/>
      </w:pPr>
      <w:r>
        <w:rPr>
          <w:sz w:val="4"/>
        </w:rPr>
      </w:r>
    </w:p>
    <w:p>
      <w:pPr>
        <w:pStyle w:val="Heading2"/>
      </w:pPr>
      <w:r>
        <w:t>5.4 采集与接入设计规范</w:t>
      </w:r>
    </w:p>
    <w:p>
      <w:pPr>
        <w:jc w:val="both"/>
      </w:pPr>
      <w:r>
        <w:t>采集设计明确源系统、数据对象、授权、接口或文件方式、全量及增量策略、业务时间、范围、频率和网络条件。对来源新增、修改、删除、撤销和历史补录分别定义处理方式。具备变更日志的来源验证增量位置及重放能力；不具备可靠增量条件的来源采用经确认的快照或对账方案，避免仅按单一时间字段漏采更新。</w:t>
      </w:r>
    </w:p>
    <w:p>
      <w:pPr>
        <w:jc w:val="both"/>
      </w:pPr>
      <w:r>
        <w:t>设计保存源结构、字段说明、类型、单位、编码和样本核验结果，建立到标准数据元和治理模型的映射。多模态来源明确内容获取方式、文件完整性、关联元数据和对象标识，批次中断后能够判断已经接收和仍需补采的内容。采集失败、拒收和重复记录分别登记，保留源批次身份。</w:t>
      </w:r>
    </w:p>
    <w:p>
      <w:pPr>
        <w:jc w:val="both"/>
      </w:pPr>
      <w:r>
        <w:t>采集任务限制访问范围与资源消耗，执行账号采用最小必要权限，优先使用批准接口和受控读取方式。涉及生产设备、过程控制或关键业务系统时，核对允许时间窗和负载条件，避免采集影响正常生产。实际连接、权限、网络和凭据配置按实施设计核验。</w:t>
      </w:r>
    </w:p>
    <w:p>
      <w:pPr>
        <w:jc w:val="both"/>
      </w:pPr>
      <w:r>
        <w:t>接入验收检查范围完整、内容与源一致、增量连续、重试不重计、删除及撤销处理正确，并验证异常和恢复。采集日志、对账结果及结构版本纳入交付，后续来源变化通过变更流程更新，不直接在运行任务中临时修改而不留记录。</w:t>
      </w:r>
    </w:p>
    <w:p>
      <w:pPr>
        <w:pStyle w:val="Heading2"/>
      </w:pPr>
      <w:r>
        <w:t>5.5 数据加工与模型开发规范</w:t>
      </w:r>
    </w:p>
    <w:p>
      <w:pPr>
        <w:jc w:val="both"/>
      </w:pPr>
      <w:r>
        <w:t>数据加工设计明确输入版本、处理顺序、转换规则、输出结构、质量检查及失败处置。类型转换、单位统一、代码映射、去重、关联、汇总和修复分别保留依据。原始事实与标准化结果分层保存，必要修正记录原值、修订值和原因，不覆盖无法恢复的来源证据。</w:t>
      </w:r>
    </w:p>
    <w:p>
      <w:pPr>
        <w:jc w:val="both"/>
      </w:pPr>
      <w:r>
        <w:t>模型开发遵循ODS贴源层、DWD明细层、DWS汇总层、DIM维表层、ADS应用层的职责分工。对象身份、事实粒度、维度、有效时间和历史变化在设计时明确，公共定义与逻辑复用。关联关系检查一对一、一对多和多对多的实际含义，避免错误联接造成数量放大或记录遗漏。</w:t>
      </w:r>
    </w:p>
    <w:p>
      <w:pPr>
        <w:jc w:val="both"/>
      </w:pPr>
      <w:r>
        <w:t>任务具备明确的批次边界、幂等策略、依赖、重跑和补数机制。失败后从已确认状态恢复，重试前识别已成功输出，防止重复写入。历史重算保持输入、规则及输出版本对应，已发布成果通过后继版本更新，冻结版本不回写。涉及并行任务时控制共享对象和写入顺序，避免相互覆盖。</w:t>
      </w:r>
    </w:p>
    <w:p>
      <w:pPr>
        <w:jc w:val="both"/>
      </w:pPr>
      <w:r>
        <w:t>开发过程进行代码审查、单元检查、集成测试和业务复核，测试覆盖正常、边界、缺失、重复、乱序、迟到和来源变更。配置与代码分别版本管理，发布包记录依赖和环境。未经评审的临时脚本不能直接成为长期生产任务，转正式使用前补齐设计、测试、权限和维护责任。</w:t>
      </w:r>
    </w:p>
    <w:p>
      <w:pPr>
        <w:pStyle w:val="Heading2"/>
      </w:pPr>
      <w:r>
        <w:t>5.6 接口与数据服务开发规范</w:t>
      </w:r>
    </w:p>
    <w:p>
      <w:pPr>
        <w:jc w:val="both"/>
      </w:pPr>
      <w:r>
        <w:t>接口设计明确服务目的、调用方、资源范围、请求参数、响应结构、类型、单位、分页、排序、错误码和版本。查询时间、数据有效时间和更新时间分别表达，必要时返回质量状态、使用限制和来源版本。批量文件交付提供结构定义、内容清单、校验信息及交付状态。</w:t>
      </w:r>
    </w:p>
    <w:p>
      <w:pPr>
        <w:jc w:val="both"/>
      </w:pPr>
      <w:r>
        <w:t>接口认证、权限和审计与统一安全要求一致，参数校验防止越界查询和异常负载，调用频率及并发根据业务需要和实际承载配置。长任务采用可查询状态和结果的方式，重复请求具有明确的幂等或去重机制。失败返回真实状态，不能用空列表冒充正常无数据。</w:t>
      </w:r>
    </w:p>
    <w:p>
      <w:pPr>
        <w:jc w:val="both"/>
      </w:pPr>
      <w:r>
        <w:t>版本变更区分兼容和不兼容影响，新增字段、类型改变、枚举扩展及含义调整均通知使用方并验证。兼容期、切换时间和旧版本退出由业务与运维共同安排，保留调用统计和使用方清单。服务停止前确认依赖迁移，不因接口无人认领而直接下线仍有调用的功能。</w:t>
      </w:r>
    </w:p>
    <w:p>
      <w:pPr>
        <w:jc w:val="both"/>
      </w:pPr>
      <w:r>
        <w:t>接口测试覆盖权限拒绝、参数异常、无结果、分页边界、超时、重试和恢复，核对返回内容与批准数据一致。缓存内容继承权限、版本及有效期，授权撤回或数据修复时同步处理相关缓存。服务日志能够关联请求、任务和实际数据对象，支持问题定位与计量。</w:t>
      </w:r>
    </w:p>
    <w:p>
      <w:pPr>
        <w:pStyle w:val="Heading2"/>
      </w:pPr>
      <w:r>
        <w:t>5.7 发布切换与变更控制</w:t>
      </w:r>
    </w:p>
    <w:p>
      <w:pPr>
        <w:jc w:val="both"/>
      </w:pPr>
      <w:r>
        <w:t>发布前核对需求、设计、代码、配置、测试、权限和运维准备，形成可复核的发布清单。生产环境变更由授权岗位执行，开发人员不能绕过正式流程直接修改关键配置。发布包包含版本、依赖、参数、数据迁移步骤、验证项和回退条件。</w:t>
      </w:r>
    </w:p>
    <w:p>
      <w:pPr>
        <w:jc w:val="both"/>
      </w:pPr>
      <w:r>
        <w:t>切换安排考虑在途任务、增量位置、历史重算和使用方影响。需要暂停写入或短时服务调整时提前协调批准窗口，明确通知范围和恢复标准。切换后先验证连接、权限、批次、关键对象及核心指标，再恢复常态运行。发现异常及时停止扩大影响，依据预定条件回退或执行修复。</w:t>
      </w:r>
    </w:p>
    <w:p>
      <w:pPr>
        <w:jc w:val="both"/>
      </w:pPr>
      <w:r>
        <w:t>回退不仅恢复程序，还核对数据、配置、权限、接口版本和任务位置。已向下游提供的内容保留版本关系并通知使用方处理，不能通过本地回退假定所有外部使用自动恢复。变更记录保存实际执行时间、结果、异常及批准人员，失败变更复盘后再安排发布。</w:t>
      </w:r>
    </w:p>
    <w:p>
      <w:pPr>
        <w:pStyle w:val="Heading2"/>
      </w:pPr>
      <w:r>
        <w:t>5.8 运维责任与监测范围</w:t>
      </w:r>
    </w:p>
    <w:p>
      <w:pPr>
        <w:jc w:val="both"/>
      </w:pPr>
      <w:r>
        <w:t>数据运维覆盖采集任务、加工任务、质量检查、元数据同步、指标计算、目录发布和数据服务。每个任务和服务登记业务责任、技术维护、运维接收、依赖、运行窗口、重要程度和恢复要求。责任人员变化时更新台账、权限和联系人，并完成必要交接。</w:t>
      </w:r>
    </w:p>
    <w:p>
      <w:pPr>
        <w:jc w:val="both"/>
      </w:pPr>
      <w:r>
        <w:t>监测同时关注系统运行和数据结果。系统指标包括资源、连接、队列和执行状态；数据指标包括应到批次、记录量、业务时间、检查结果和服务可用版本。任务显示成功但输出为空、增量长期不变化或关键对象缺失时，仍应触发相应核验。</w:t>
      </w:r>
    </w:p>
    <w:p>
      <w:pPr>
        <w:jc w:val="both"/>
      </w:pPr>
      <w:r>
        <w:t>运行看板和告警按实际责任分发，避免所有异常发送给同一人员而无法处置。告警包含对象、时间、影响、状态、定位入口和处理指引，敏感内容按权限展示。计划维护和来源停机设置受控窗口，窗口结束自动恢复监控并检查积压数据，不能长期屏蔽告警。</w:t>
      </w:r>
    </w:p>
    <w:p>
      <w:pPr>
        <w:pStyle w:val="Heading2"/>
      </w:pPr>
      <w:r>
        <w:t>5.9 任务失败接口异常与数据延迟</w:t>
      </w:r>
    </w:p>
    <w:p>
      <w:pPr>
        <w:jc w:val="both"/>
      </w:pPr>
      <w:r>
        <w:t>任务失败告警区分连接失败、权限失效、源结构变化、资源不足、规则错误和输出冲突，保留失败位置及可重试条件。自动重试按任务性质设置次数与间隔，重试前检查是否已经产生部分结果。持续失败升级人工处置，避免无限重试占满资源或反复写入。</w:t>
      </w:r>
    </w:p>
    <w:p>
      <w:pPr>
        <w:jc w:val="both"/>
      </w:pPr>
      <w:r>
        <w:t>接口异常监测认证失败、超时、错误响应、结构变化、调用量突变和服务不可用。定位时关联调用方、服务版本、请求范围及后端任务，检查异常是否来自业务参数、权限、来源或基础设施。恢复后验证正常请求和原失败类型，必要时通知调用方补偿未完成业务。</w:t>
      </w:r>
    </w:p>
    <w:p>
      <w:pPr>
        <w:jc w:val="both"/>
      </w:pPr>
      <w:r>
        <w:t>数据延迟分别计算业务发生至来源可见、来源可见至采集接收、采集接收至加工完成以及加工完成至服务发布的时间。明确应有更新频率和非运行时段，避免将无新增业务误报为故障。延迟恢复后检查缺失区间、重复记录和下游重算，确认数据已连续补齐。</w:t>
      </w:r>
    </w:p>
    <w:p>
      <w:pPr>
        <w:pStyle w:val="Caption"/>
        <w:keepNext/>
      </w:pPr>
      <w:r>
        <w:t>表5-2 三类运行异常管理</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异常类型</w:t>
            </w:r>
          </w:p>
        </w:tc>
        <w:tc>
          <w:tcPr>
            <w:tcW w:type="dxa" w:w="3855"/>
            <w:vAlign w:val="center"/>
            <w:shd w:fill="EDF1F3"/>
          </w:tcPr>
          <w:p>
            <w:pPr>
              <w:keepNext/>
              <w:spacing w:line="320" w:lineRule="exact" w:after="0" w:before="0"/>
              <w:ind w:firstLine="0"/>
              <w:jc w:val="center"/>
            </w:pPr>
            <w:r>
              <w:rPr>
                <w:b/>
                <w:sz w:val="21"/>
              </w:rPr>
              <w:t>定位重点</w:t>
            </w:r>
          </w:p>
        </w:tc>
        <w:tc>
          <w:tcPr>
            <w:tcW w:type="dxa" w:w="3277"/>
            <w:vAlign w:val="center"/>
            <w:shd w:fill="EDF1F3"/>
          </w:tcPr>
          <w:p>
            <w:pPr>
              <w:keepNext/>
              <w:spacing w:line="320" w:lineRule="exact" w:after="0" w:before="0"/>
              <w:ind w:firstLine="0"/>
              <w:jc w:val="center"/>
            </w:pPr>
            <w:r>
              <w:rPr>
                <w:b/>
                <w:sz w:val="21"/>
              </w:rPr>
              <w:t>恢复核验</w:t>
            </w:r>
          </w:p>
        </w:tc>
      </w:tr>
      <w:tr>
        <w:trPr>
          <w:cantSplit/>
        </w:trPr>
        <w:tc>
          <w:tcPr>
            <w:tcW w:type="dxa" w:w="2506"/>
            <w:vAlign w:val="center"/>
          </w:tcPr>
          <w:p>
            <w:pPr>
              <w:keepNext w:val="0"/>
              <w:spacing w:line="320" w:lineRule="exact" w:after="0" w:before="0"/>
              <w:ind w:firstLine="0"/>
              <w:jc w:val="left"/>
            </w:pPr>
            <w:r>
              <w:rPr>
                <w:b w:val="0"/>
                <w:sz w:val="21"/>
              </w:rPr>
              <w:t>任务失败</w:t>
            </w:r>
          </w:p>
        </w:tc>
        <w:tc>
          <w:tcPr>
            <w:tcW w:type="dxa" w:w="3855"/>
            <w:vAlign w:val="center"/>
          </w:tcPr>
          <w:p>
            <w:pPr>
              <w:keepNext w:val="0"/>
              <w:spacing w:line="320" w:lineRule="exact" w:after="0" w:before="0"/>
              <w:ind w:firstLine="0"/>
              <w:jc w:val="left"/>
            </w:pPr>
            <w:r>
              <w:rPr>
                <w:b w:val="0"/>
                <w:sz w:val="21"/>
              </w:rPr>
              <w:t>依赖、权限、结构、资源及部分输出</w:t>
            </w:r>
          </w:p>
        </w:tc>
        <w:tc>
          <w:tcPr>
            <w:tcW w:type="dxa" w:w="3277"/>
            <w:vAlign w:val="center"/>
          </w:tcPr>
          <w:p>
            <w:pPr>
              <w:keepNext w:val="0"/>
              <w:spacing w:line="320" w:lineRule="exact" w:after="0" w:before="0"/>
              <w:ind w:firstLine="0"/>
              <w:jc w:val="left"/>
            </w:pPr>
            <w:r>
              <w:rPr>
                <w:b w:val="0"/>
                <w:sz w:val="21"/>
              </w:rPr>
              <w:t>批次完成，重试未重计，结果对账通过</w:t>
            </w:r>
          </w:p>
        </w:tc>
      </w:tr>
      <w:tr>
        <w:trPr>
          <w:cantSplit/>
        </w:trPr>
        <w:tc>
          <w:tcPr>
            <w:tcW w:type="dxa" w:w="2506"/>
            <w:vAlign w:val="center"/>
          </w:tcPr>
          <w:p>
            <w:pPr>
              <w:keepNext w:val="0"/>
              <w:spacing w:line="320" w:lineRule="exact" w:after="0" w:before="0"/>
              <w:ind w:firstLine="0"/>
              <w:jc w:val="left"/>
            </w:pPr>
            <w:r>
              <w:rPr>
                <w:b w:val="0"/>
                <w:sz w:val="21"/>
              </w:rPr>
              <w:t>接口异常</w:t>
            </w:r>
          </w:p>
        </w:tc>
        <w:tc>
          <w:tcPr>
            <w:tcW w:type="dxa" w:w="3855"/>
            <w:vAlign w:val="center"/>
          </w:tcPr>
          <w:p>
            <w:pPr>
              <w:keepNext w:val="0"/>
              <w:spacing w:line="320" w:lineRule="exact" w:after="0" w:before="0"/>
              <w:ind w:firstLine="0"/>
              <w:jc w:val="left"/>
            </w:pPr>
            <w:r>
              <w:rPr>
                <w:b w:val="0"/>
                <w:sz w:val="21"/>
              </w:rPr>
              <w:t>认证、参数、服务、调用方及来源</w:t>
            </w:r>
          </w:p>
        </w:tc>
        <w:tc>
          <w:tcPr>
            <w:tcW w:type="dxa" w:w="3277"/>
            <w:vAlign w:val="center"/>
          </w:tcPr>
          <w:p>
            <w:pPr>
              <w:keepNext w:val="0"/>
              <w:spacing w:line="320" w:lineRule="exact" w:after="0" w:before="0"/>
              <w:ind w:firstLine="0"/>
              <w:jc w:val="left"/>
            </w:pPr>
            <w:r>
              <w:rPr>
                <w:b w:val="0"/>
                <w:sz w:val="21"/>
              </w:rPr>
              <w:t>正常及原失败请求验证通过</w:t>
            </w:r>
          </w:p>
        </w:tc>
      </w:tr>
      <w:tr>
        <w:trPr>
          <w:cantSplit/>
        </w:trPr>
        <w:tc>
          <w:tcPr>
            <w:tcW w:type="dxa" w:w="2506"/>
            <w:vAlign w:val="center"/>
          </w:tcPr>
          <w:p>
            <w:pPr>
              <w:keepNext w:val="0"/>
              <w:spacing w:line="320" w:lineRule="exact" w:after="0" w:before="0"/>
              <w:ind w:firstLine="0"/>
              <w:jc w:val="left"/>
            </w:pPr>
            <w:r>
              <w:rPr>
                <w:b w:val="0"/>
                <w:sz w:val="21"/>
              </w:rPr>
              <w:t>数据延迟</w:t>
            </w:r>
          </w:p>
        </w:tc>
        <w:tc>
          <w:tcPr>
            <w:tcW w:type="dxa" w:w="3855"/>
            <w:vAlign w:val="center"/>
          </w:tcPr>
          <w:p>
            <w:pPr>
              <w:keepNext w:val="0"/>
              <w:spacing w:line="320" w:lineRule="exact" w:after="0" w:before="0"/>
              <w:ind w:firstLine="0"/>
              <w:jc w:val="left"/>
            </w:pPr>
            <w:r>
              <w:rPr>
                <w:b w:val="0"/>
                <w:sz w:val="21"/>
              </w:rPr>
              <w:t>业务、采集、处理与发布各段时间</w:t>
            </w:r>
          </w:p>
        </w:tc>
        <w:tc>
          <w:tcPr>
            <w:tcW w:type="dxa" w:w="3277"/>
            <w:vAlign w:val="center"/>
          </w:tcPr>
          <w:p>
            <w:pPr>
              <w:keepNext w:val="0"/>
              <w:spacing w:line="320" w:lineRule="exact" w:after="0" w:before="0"/>
              <w:ind w:firstLine="0"/>
              <w:jc w:val="left"/>
            </w:pPr>
            <w:r>
              <w:rPr>
                <w:b w:val="0"/>
                <w:sz w:val="21"/>
              </w:rPr>
              <w:t>缺口补齐，下游更新，时效恢复</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9" name="Picture 9"/>
            <wp:cNvGraphicFramePr>
              <a:graphicFrameLocks noChangeAspect="1"/>
            </wp:cNvGraphicFramePr>
            <a:graphic>
              <a:graphicData uri="http://schemas.openxmlformats.org/drawingml/2006/picture">
                <pic:pic>
                  <pic:nvPicPr>
                    <pic:cNvPr id="0" name="图9_运维恢复.png"/>
                    <pic:cNvPicPr/>
                  </pic:nvPicPr>
                  <pic:blipFill>
                    <a:blip r:embed="rId19"/>
                    <a:stretch>
                      <a:fillRect/>
                    </a:stretch>
                  </pic:blipFill>
                  <pic:spPr>
                    <a:xfrm>
                      <a:off x="0" y="0"/>
                      <a:ext cx="6048000" cy="1942338"/>
                    </a:xfrm>
                    <a:prstGeom prst="rect"/>
                  </pic:spPr>
                </pic:pic>
              </a:graphicData>
            </a:graphic>
          </wp:inline>
        </w:drawing>
      </w:r>
    </w:p>
    <w:p>
      <w:pPr>
        <w:pStyle w:val="Caption"/>
        <w:jc w:val="center"/>
      </w:pPr>
      <w:r>
        <w:t>图5-2 数据运维异常与恢复</w:t>
      </w:r>
    </w:p>
    <w:p>
      <w:pPr>
        <w:pStyle w:val="Heading2"/>
      </w:pPr>
      <w:r>
        <w:t>5.10 故障处置与恢复验证</w:t>
      </w:r>
    </w:p>
    <w:p>
      <w:pPr>
        <w:jc w:val="both"/>
      </w:pPr>
      <w:r>
        <w:t>故障受理记录发现方式、时间、影响对象和业务程度，先保障证据及控制传播。运维岗位初步定位并采取批准范围内的恢复措施，涉及数据修复、权限调整、业务口径或源系统变更时组织相应责任岗位参与。重大或跨域故障明确统一协调人，持续记录处置进展。</w:t>
      </w:r>
    </w:p>
    <w:p>
      <w:pPr>
        <w:jc w:val="both"/>
      </w:pPr>
      <w:r>
        <w:t>恢复方案依据根因选择重连、补采、重跑、配置修正、数据回滚、服务切换或其他适用措施。操作前核对备份、输入版本、依赖和回退条件，操作后验证系统状态、数据完整性、质量、权限与下游结果。只恢复任务运行但没有补齐数据的情况保持未完成状态。</w:t>
      </w:r>
    </w:p>
    <w:p>
      <w:pPr>
        <w:jc w:val="both"/>
      </w:pPr>
      <w:r>
        <w:t>备份和恢复设计区分原始数据、治理配置、业务成果、日志和必要凭据，明确备份范围、频率、保存位置及验证责任。恢复演练使用经批准环境，核对恢复后版本、授权和数据关系。备份副本受相同安全和生命周期约束，不能成为绕过退役或权限回收的长期保留路径。</w:t>
      </w:r>
    </w:p>
    <w:p>
      <w:pPr>
        <w:jc w:val="both"/>
      </w:pPr>
      <w:r>
        <w:t>故障关闭需业务或服务使用方确认关键用途恢复，归档根因、时间线、影响、操作及复核结果。复发问题形成预防任务，修订监控、容量、规则或运行指引。运维报告区分故障数量、业务影响和恢复效果，保持统计口径可核查。</w:t>
      </w:r>
    </w:p>
    <w:p>
      <w:pPr>
        <w:pStyle w:val="Heading2"/>
      </w:pPr>
      <w:r>
        <w:t>5.11 归档与退役评估</w:t>
      </w:r>
    </w:p>
    <w:p>
      <w:pPr>
        <w:jc w:val="both"/>
      </w:pPr>
      <w:r>
        <w:t>数据退役由保存期限届满、来源授权终止、业务停止、对象替代、长期闲置或风险变化触发。评估核对实际使用、下游依赖、历史追溯、合同条件、争议调查、审计和必要保留要求，不能仅凭近期无访问直接删除。对仍支持质量追溯、历史指标或模型验证的对象明确保留用途与访问限制。</w:t>
      </w:r>
    </w:p>
    <w:p>
      <w:pPr>
        <w:jc w:val="both"/>
      </w:pPr>
      <w:r>
        <w:t>评估区分继续使用、限制使用、归档和销毁路径。继续使用确认依据并更新维护责任；限制使用缩小用途和权限；归档保留必要内容及检索能力；销毁按批准范围处理内容和副本。对象可能部分归档、部分销毁时明确到字段、文件、期间或版本，并保存拆分依据。</w:t>
      </w:r>
    </w:p>
    <w:p>
      <w:pPr>
        <w:jc w:val="both"/>
      </w:pPr>
      <w:r>
        <w:t>退役方案列明对象清单、版本、来源、存储位置、使用方、派生关系、处理方式、时间和责任。涉及指标、知识、数据集和服务时核对依赖，安排替代、迁移、停止发布或历史查询。使用方确认必要迁移完成后执行，未满足保留或依赖条件的对象继续受控管理。</w:t>
      </w:r>
    </w:p>
    <w:p>
      <w:pPr>
        <w:jc w:val="both"/>
      </w:pPr>
      <w:r>
        <w:t>归档检查内容、元数据、字典、规则、权限和检索索引是否足以支持未来理解，必要时保留可读取格式及恢复方法。归档后访问按用途审批，恢复生产使用重新核验质量、标准和授权。归档不自动解除保密和用途限制。</w:t>
      </w:r>
    </w:p>
    <w:p>
      <w:pPr>
        <w:pStyle w:val="Heading2"/>
      </w:pPr>
      <w:r>
        <w:t>5.12 销毁执行与生存周期交付</w:t>
      </w:r>
    </w:p>
    <w:p>
      <w:pPr>
        <w:jc w:val="both"/>
      </w:pPr>
      <w:r>
        <w:t>销毁执行按照批准清单核对主存储、导出文件、临时区、缓存和可控副本，选择与介质及系统相适应的处置方法。备份中暂不能即时单独删除的内容按既定保留和不可再用措施控制，到期按批准方式处置，并记录实际限制。不得在仍保留可访问副本时声称全部销毁完成。</w:t>
      </w:r>
    </w:p>
    <w:p>
      <w:pPr>
        <w:jc w:val="both"/>
      </w:pPr>
      <w:r>
        <w:t>执行人员记录对象、范围、位置、方法、时间和结果，复核岗位检查实际不可用状态及目录、权限、服务是否同步更新。销毁失败、范围差异和无法控制的外部副本分别记录并跟踪处理。必要审计记录保留最小充分信息，不以保留证据为由继续保存已要求销毁的完整业务内容。</w:t>
      </w:r>
    </w:p>
    <w:p>
      <w:pPr>
        <w:jc w:val="both"/>
      </w:pPr>
      <w:r>
        <w:t>我方交付数据需求管理规范、数据设计开发规范、数据运维管理制度、数据退役管理规范四项成果，配套需求、设计、发布、监控、故障、归档和销毁记录。验收通过代表性对象贯通验证需求至退出流程，核对实际状态、责任及版本连续，运行岗位能够独立执行维护和处置。</w:t>
      </w:r>
    </w:p>
    <w:p>
      <w:pPr>
        <w:pStyle w:val="Heading1"/>
      </w:pPr>
      <w:r>
        <w:t>6 数据应用流通规划</w:t>
      </w:r>
    </w:p>
    <w:p>
      <w:pPr>
        <w:pStyle w:val="Heading2"/>
      </w:pPr>
      <w:r>
        <w:t>6.1 数据应用需求与供给组织</w:t>
      </w:r>
    </w:p>
    <w:p>
      <w:pPr>
        <w:jc w:val="both"/>
      </w:pPr>
      <w:r>
        <w:t>数据应用需求围绕四大数据集、十一个验证场景及九个业务域的经营管理任务组织，明确使用对象、内容、模态、规模、时间、质量和授权条件。每项需求与资源目录、来源、治理任务及服务建立关系，供给缺口能够转成采集、标准化、质量修复、授权核验或开发任务。</w:t>
      </w:r>
    </w:p>
    <w:p>
      <w:pPr>
        <w:jc w:val="both"/>
      </w:pPr>
      <w:r>
        <w:t>应用方说明需要完成的判断或业务动作，治理岗位据此确认数据对象和供给形态。查询类需求关注时点、口径和解释，模型训练关注样本结构、来源隔离和版本，场景验证关注实际业务条件、评价对象和可复现性。不同用途分别核查数据是否适合，不能把同一批数据未经核验地用于全部场景。</w:t>
      </w:r>
    </w:p>
    <w:p>
      <w:pPr>
        <w:jc w:val="both"/>
      </w:pPr>
      <w:r>
        <w:t>供给方案明确范围、批次、更新安排、服务方式、使用责任和验收条件。能够复用现有治理成果时保持同一标准和版本关系；需要派生数据时记录加工规则及来源约束；不能满足要求时明确缺口和补足计划。供给状态实时关联实际任务，不以目录已有名称认定数据已经可用。</w:t>
      </w:r>
    </w:p>
    <w:p>
      <w:pPr>
        <w:pStyle w:val="Caption"/>
        <w:keepNext/>
      </w:pPr>
      <w:r>
        <w:t>表6-1 应用需求与治理供给</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应用类型</w:t>
            </w:r>
          </w:p>
        </w:tc>
        <w:tc>
          <w:tcPr>
            <w:tcW w:type="dxa" w:w="3855"/>
            <w:vAlign w:val="center"/>
            <w:shd w:fill="EDF1F3"/>
          </w:tcPr>
          <w:p>
            <w:pPr>
              <w:keepNext/>
              <w:spacing w:line="320" w:lineRule="exact" w:after="0" w:before="0"/>
              <w:ind w:firstLine="0"/>
              <w:jc w:val="center"/>
            </w:pPr>
            <w:r>
              <w:rPr>
                <w:b/>
                <w:sz w:val="21"/>
              </w:rPr>
              <w:t>主要数据要求</w:t>
            </w:r>
          </w:p>
        </w:tc>
        <w:tc>
          <w:tcPr>
            <w:tcW w:type="dxa" w:w="3277"/>
            <w:vAlign w:val="center"/>
            <w:shd w:fill="EDF1F3"/>
          </w:tcPr>
          <w:p>
            <w:pPr>
              <w:keepNext/>
              <w:spacing w:line="320" w:lineRule="exact" w:after="0" w:before="0"/>
              <w:ind w:firstLine="0"/>
              <w:jc w:val="center"/>
            </w:pPr>
            <w:r>
              <w:rPr>
                <w:b/>
                <w:sz w:val="21"/>
              </w:rPr>
              <w:t>供给核验</w:t>
            </w:r>
          </w:p>
        </w:tc>
      </w:tr>
      <w:tr>
        <w:trPr>
          <w:cantSplit/>
        </w:trPr>
        <w:tc>
          <w:tcPr>
            <w:tcW w:type="dxa" w:w="2506"/>
            <w:vAlign w:val="center"/>
          </w:tcPr>
          <w:p>
            <w:pPr>
              <w:keepNext w:val="0"/>
              <w:spacing w:line="320" w:lineRule="exact" w:after="0" w:before="0"/>
              <w:ind w:firstLine="0"/>
              <w:jc w:val="left"/>
            </w:pPr>
            <w:r>
              <w:rPr>
                <w:b w:val="0"/>
                <w:sz w:val="21"/>
              </w:rPr>
              <w:t>数据集加工</w:t>
            </w:r>
          </w:p>
        </w:tc>
        <w:tc>
          <w:tcPr>
            <w:tcW w:type="dxa" w:w="3855"/>
            <w:vAlign w:val="center"/>
          </w:tcPr>
          <w:p>
            <w:pPr>
              <w:keepNext w:val="0"/>
              <w:spacing w:line="320" w:lineRule="exact" w:after="0" w:before="0"/>
              <w:ind w:firstLine="0"/>
              <w:jc w:val="left"/>
            </w:pPr>
            <w:r>
              <w:rPr>
                <w:b w:val="0"/>
                <w:sz w:val="21"/>
              </w:rPr>
              <w:t>来源、对象、模态、规模、时效及用途许可</w:t>
            </w:r>
          </w:p>
        </w:tc>
        <w:tc>
          <w:tcPr>
            <w:tcW w:type="dxa" w:w="3277"/>
            <w:vAlign w:val="center"/>
          </w:tcPr>
          <w:p>
            <w:pPr>
              <w:keepNext w:val="0"/>
              <w:spacing w:line="320" w:lineRule="exact" w:after="0" w:before="0"/>
              <w:ind w:firstLine="0"/>
              <w:jc w:val="left"/>
            </w:pPr>
            <w:r>
              <w:rPr>
                <w:b w:val="0"/>
                <w:sz w:val="21"/>
              </w:rPr>
              <w:t>批次净量、质量状态、来源族及版本</w:t>
            </w:r>
          </w:p>
        </w:tc>
      </w:tr>
      <w:tr>
        <w:trPr>
          <w:cantSplit/>
        </w:trPr>
        <w:tc>
          <w:tcPr>
            <w:tcW w:type="dxa" w:w="2506"/>
            <w:vAlign w:val="center"/>
          </w:tcPr>
          <w:p>
            <w:pPr>
              <w:keepNext w:val="0"/>
              <w:spacing w:line="320" w:lineRule="exact" w:after="0" w:before="0"/>
              <w:ind w:firstLine="0"/>
              <w:jc w:val="left"/>
            </w:pPr>
            <w:r>
              <w:rPr>
                <w:b w:val="0"/>
                <w:sz w:val="21"/>
              </w:rPr>
              <w:t>知识检索问答</w:t>
            </w:r>
          </w:p>
        </w:tc>
        <w:tc>
          <w:tcPr>
            <w:tcW w:type="dxa" w:w="3855"/>
            <w:vAlign w:val="center"/>
          </w:tcPr>
          <w:p>
            <w:pPr>
              <w:keepNext w:val="0"/>
              <w:spacing w:line="320" w:lineRule="exact" w:after="0" w:before="0"/>
              <w:ind w:firstLine="0"/>
              <w:jc w:val="left"/>
            </w:pPr>
            <w:r>
              <w:rPr>
                <w:b w:val="0"/>
                <w:sz w:val="21"/>
              </w:rPr>
              <w:t>权威内容、有效版本、位置及访问范围</w:t>
            </w:r>
          </w:p>
        </w:tc>
        <w:tc>
          <w:tcPr>
            <w:tcW w:type="dxa" w:w="3277"/>
            <w:vAlign w:val="center"/>
          </w:tcPr>
          <w:p>
            <w:pPr>
              <w:keepNext w:val="0"/>
              <w:spacing w:line="320" w:lineRule="exact" w:after="0" w:before="0"/>
              <w:ind w:firstLine="0"/>
              <w:jc w:val="left"/>
            </w:pPr>
            <w:r>
              <w:rPr>
                <w:b w:val="0"/>
                <w:sz w:val="21"/>
              </w:rPr>
              <w:t>证据可定位，过期和越权内容受控</w:t>
            </w:r>
          </w:p>
        </w:tc>
      </w:tr>
      <w:tr>
        <w:trPr>
          <w:cantSplit/>
        </w:trPr>
        <w:tc>
          <w:tcPr>
            <w:tcW w:type="dxa" w:w="2506"/>
            <w:vAlign w:val="center"/>
          </w:tcPr>
          <w:p>
            <w:pPr>
              <w:keepNext w:val="0"/>
              <w:spacing w:line="320" w:lineRule="exact" w:after="0" w:before="0"/>
              <w:ind w:firstLine="0"/>
              <w:jc w:val="left"/>
            </w:pPr>
            <w:r>
              <w:rPr>
                <w:b w:val="0"/>
                <w:sz w:val="21"/>
              </w:rPr>
              <w:t>业务指标查询</w:t>
            </w:r>
          </w:p>
        </w:tc>
        <w:tc>
          <w:tcPr>
            <w:tcW w:type="dxa" w:w="3855"/>
            <w:vAlign w:val="center"/>
          </w:tcPr>
          <w:p>
            <w:pPr>
              <w:keepNext w:val="0"/>
              <w:spacing w:line="320" w:lineRule="exact" w:after="0" w:before="0"/>
              <w:ind w:firstLine="0"/>
              <w:jc w:val="left"/>
            </w:pPr>
            <w:r>
              <w:rPr>
                <w:b w:val="0"/>
                <w:sz w:val="21"/>
              </w:rPr>
              <w:t>对象、期间、公式、维度及单位</w:t>
            </w:r>
          </w:p>
        </w:tc>
        <w:tc>
          <w:tcPr>
            <w:tcW w:type="dxa" w:w="3277"/>
            <w:vAlign w:val="center"/>
          </w:tcPr>
          <w:p>
            <w:pPr>
              <w:keepNext w:val="0"/>
              <w:spacing w:line="320" w:lineRule="exact" w:after="0" w:before="0"/>
              <w:ind w:firstLine="0"/>
              <w:jc w:val="left"/>
            </w:pPr>
            <w:r>
              <w:rPr>
                <w:b w:val="0"/>
                <w:sz w:val="21"/>
              </w:rPr>
              <w:t>口径可解释，结果可复算</w:t>
            </w:r>
          </w:p>
        </w:tc>
      </w:tr>
      <w:tr>
        <w:trPr>
          <w:cantSplit/>
        </w:trPr>
        <w:tc>
          <w:tcPr>
            <w:tcW w:type="dxa" w:w="2506"/>
            <w:vAlign w:val="center"/>
          </w:tcPr>
          <w:p>
            <w:pPr>
              <w:keepNext w:val="0"/>
              <w:spacing w:line="320" w:lineRule="exact" w:after="0" w:before="0"/>
              <w:ind w:firstLine="0"/>
              <w:jc w:val="left"/>
            </w:pPr>
            <w:r>
              <w:rPr>
                <w:b w:val="0"/>
                <w:sz w:val="21"/>
              </w:rPr>
              <w:t>工艺与过程验证</w:t>
            </w:r>
          </w:p>
        </w:tc>
        <w:tc>
          <w:tcPr>
            <w:tcW w:type="dxa" w:w="3855"/>
            <w:vAlign w:val="center"/>
          </w:tcPr>
          <w:p>
            <w:pPr>
              <w:keepNext w:val="0"/>
              <w:spacing w:line="320" w:lineRule="exact" w:after="0" w:before="0"/>
              <w:ind w:firstLine="0"/>
              <w:jc w:val="left"/>
            </w:pPr>
            <w:r>
              <w:rPr>
                <w:b w:val="0"/>
                <w:sz w:val="21"/>
              </w:rPr>
              <w:t>设计、工艺、执行、过程及检验关系</w:t>
            </w:r>
          </w:p>
        </w:tc>
        <w:tc>
          <w:tcPr>
            <w:tcW w:type="dxa" w:w="3277"/>
            <w:vAlign w:val="center"/>
          </w:tcPr>
          <w:p>
            <w:pPr>
              <w:keepNext w:val="0"/>
              <w:spacing w:line="320" w:lineRule="exact" w:after="0" w:before="0"/>
              <w:ind w:firstLine="0"/>
              <w:jc w:val="left"/>
            </w:pPr>
            <w:r>
              <w:rPr>
                <w:b w:val="0"/>
                <w:sz w:val="21"/>
              </w:rPr>
              <w:t>实际对象配对，时间及条件一致</w:t>
            </w:r>
          </w:p>
        </w:tc>
      </w:tr>
      <w:tr>
        <w:trPr>
          <w:cantSplit/>
        </w:trPr>
        <w:tc>
          <w:tcPr>
            <w:tcW w:type="dxa" w:w="2506"/>
            <w:vAlign w:val="center"/>
          </w:tcPr>
          <w:p>
            <w:pPr>
              <w:keepNext w:val="0"/>
              <w:spacing w:line="320" w:lineRule="exact" w:after="0" w:before="0"/>
              <w:ind w:firstLine="0"/>
              <w:jc w:val="left"/>
            </w:pPr>
            <w:r>
              <w:rPr>
                <w:b w:val="0"/>
                <w:sz w:val="21"/>
              </w:rPr>
              <w:t>装备健康验证</w:t>
            </w:r>
          </w:p>
        </w:tc>
        <w:tc>
          <w:tcPr>
            <w:tcW w:type="dxa" w:w="3855"/>
            <w:vAlign w:val="center"/>
          </w:tcPr>
          <w:p>
            <w:pPr>
              <w:keepNext w:val="0"/>
              <w:spacing w:line="320" w:lineRule="exact" w:after="0" w:before="0"/>
              <w:ind w:firstLine="0"/>
              <w:jc w:val="left"/>
            </w:pPr>
            <w:r>
              <w:rPr>
                <w:b w:val="0"/>
                <w:sz w:val="21"/>
              </w:rPr>
              <w:t>设备、配置、测点、工况、故障及维修</w:t>
            </w:r>
          </w:p>
        </w:tc>
        <w:tc>
          <w:tcPr>
            <w:tcW w:type="dxa" w:w="3277"/>
            <w:vAlign w:val="center"/>
          </w:tcPr>
          <w:p>
            <w:pPr>
              <w:keepNext w:val="0"/>
              <w:spacing w:line="320" w:lineRule="exact" w:after="0" w:before="0"/>
              <w:ind w:firstLine="0"/>
              <w:jc w:val="left"/>
            </w:pPr>
            <w:r>
              <w:rPr>
                <w:b w:val="0"/>
                <w:sz w:val="21"/>
              </w:rPr>
              <w:t>历史连续，事件有依据，标签可核查</w:t>
            </w:r>
          </w:p>
        </w:tc>
      </w:tr>
    </w:tbl>
    <w:p>
      <w:pPr>
        <w:spacing w:after="40" w:line="240" w:lineRule="auto"/>
        <w:ind w:firstLine="0"/>
      </w:pPr>
      <w:r>
        <w:rPr>
          <w:sz w:val="4"/>
        </w:rPr>
      </w:r>
    </w:p>
    <w:p>
      <w:pPr>
        <w:pStyle w:val="Heading2"/>
      </w:pPr>
      <w:r>
        <w:t>6.2 可靠数据发布条件</w:t>
      </w:r>
    </w:p>
    <w:p>
      <w:pPr>
        <w:jc w:val="both"/>
      </w:pPr>
      <w:r>
        <w:t>正式供给前检查来源及用途授权、标准与映射、对象关系、质量结果、分级和权限、版本及血缘、交付方式和退出条件。数据内容、元数据、字典及必要规则共同形成可理解的成果。未完成检查的内容保留受控状态，不以“已上传”或“可下载”替代正式可用结论。</w:t>
      </w:r>
    </w:p>
    <w:p>
      <w:pPr>
        <w:jc w:val="both"/>
      </w:pPr>
      <w:r>
        <w:t>发布按对象和批次建立清单，记录输入来源、处理规则、输出范围、内容校验、质量状态、使用条件及责任。数据更新形成后继版本，记录新增、修改、撤回和修复情况。使用方能够识别本次变化及是否需要重新计算、训练、验证或更新索引，避免长期使用已失效结果。</w:t>
      </w:r>
    </w:p>
    <w:p>
      <w:pPr>
        <w:jc w:val="both"/>
      </w:pPr>
      <w:r>
        <w:t>对仍存在适用限制的数据，发布时明确允许用途及限制范围，经过批准后按条件提供。影响关键判断的已知错误、权限不满足或来源不可证实内容在整改前不能作为合格正式成果。数据使用反馈关联原版本，治理人员能够定位实际供给对象和问题原因。</w:t>
      </w:r>
    </w:p>
    <w:p>
      <w:pPr>
        <w:pStyle w:val="Heading2"/>
      </w:pPr>
      <w:r>
        <w:t>6.3 外部数据需求与来源核验</w:t>
      </w:r>
    </w:p>
    <w:p>
      <w:pPr>
        <w:jc w:val="both"/>
      </w:pPr>
      <w:r>
        <w:t>外部数据引入先明确业务需求和必要范围，比较现有内部资源、已获许可资料和拟引入内容，避免重复采购或取得不能用于目标任务的数据。外部来源包括公开资料、行业标准及技术资料、第三方数据产品、合作方提供资料和经授权其他来源，分别核对取得方式及使用条件。</w:t>
      </w:r>
    </w:p>
    <w:p>
      <w:pPr>
        <w:jc w:val="both"/>
      </w:pPr>
      <w:r>
        <w:t>核验来源主体、发布渠道、形成时间、版本、完整性、权利说明和可信程度。对转售、汇编或多级来源要求能够追踪原始出处及授权链，无法确认关键权利的内容暂停目标用途引入。公开可访问、来源注明或付费取得均不能单独证明训练、商业使用或再共享被允许。</w:t>
      </w:r>
    </w:p>
    <w:p>
      <w:pPr>
        <w:jc w:val="both"/>
      </w:pPr>
      <w:r>
        <w:t>专业内容核验与来源权利核验并行。检查资料与矿山装备制造业务的相关性、适用产品和工艺范围、版本时效、专业一致性及可加工性。网页、文件或接口实际内容与采购说明不一致时记录差异，不能仅按供应方目录描述验收。发现错误或过期内容时联系责任方澄清并评估是否影响用途。</w:t>
      </w:r>
    </w:p>
    <w:p>
      <w:pPr>
        <w:pStyle w:val="Heading2"/>
      </w:pPr>
      <w:r>
        <w:t>6.4 外部数据采购与接入评审</w:t>
      </w:r>
    </w:p>
    <w:p>
      <w:pPr>
        <w:jc w:val="both"/>
      </w:pPr>
      <w:r>
        <w:t>采购评审依据已确认需求，明确数据范围、质量要求、更新方式、交付结构、使用权、保密、许可期限、下游派生使用和退出条件。涉及训练、微调、偏好构建、评测或知识服务时，分别核对相应用途是否被许可。合同和许可中的限制转化为可执行字段，随数据进入目录和权限管理。</w:t>
      </w:r>
    </w:p>
    <w:p>
      <w:pPr>
        <w:jc w:val="both"/>
      </w:pPr>
      <w:r>
        <w:t>接入前核查实际文件、接口、样本及必要证明，验证数量、结构、编码、格式、模态、时间覆盖和质量。试处理结果记录解析成功、拒收、重复、缺失及关联问题，估计有效供给能力时使用实际可用部分，不能把采购标称总量直接认定为最终有效量。</w:t>
      </w:r>
    </w:p>
    <w:p>
      <w:pPr>
        <w:jc w:val="both"/>
      </w:pPr>
      <w:r>
        <w:t>引入审批由业务、技术、权属及安全岗位共同完成，明确接受范围、必要整改、使用限制和正式接入条件。试用内容按试用许可受控管理，未经扩大许可不直接转入正式生产。接入后保存来源文件、交付清单、许可证明、核验报告及版本，便于持续审查。</w:t>
      </w:r>
    </w:p>
    <w:p>
      <w:pPr>
        <w:pStyle w:val="Caption"/>
        <w:keepNext/>
      </w:pPr>
      <w:r>
        <w:t>表6-2 外部数据引入控制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阶段</w:t>
            </w:r>
          </w:p>
        </w:tc>
        <w:tc>
          <w:tcPr>
            <w:tcW w:type="dxa" w:w="3855"/>
            <w:vAlign w:val="center"/>
            <w:shd w:fill="EDF1F3"/>
          </w:tcPr>
          <w:p>
            <w:pPr>
              <w:keepNext/>
              <w:spacing w:line="320" w:lineRule="exact" w:after="0" w:before="0"/>
              <w:ind w:firstLine="0"/>
              <w:jc w:val="center"/>
            </w:pPr>
            <w:r>
              <w:rPr>
                <w:b/>
                <w:sz w:val="21"/>
              </w:rPr>
              <w:t>核查事项</w:t>
            </w:r>
          </w:p>
        </w:tc>
        <w:tc>
          <w:tcPr>
            <w:tcW w:type="dxa" w:w="3277"/>
            <w:vAlign w:val="center"/>
            <w:shd w:fill="EDF1F3"/>
          </w:tcPr>
          <w:p>
            <w:pPr>
              <w:keepNext/>
              <w:spacing w:line="320" w:lineRule="exact" w:after="0" w:before="0"/>
              <w:ind w:firstLine="0"/>
              <w:jc w:val="center"/>
            </w:pPr>
            <w:r>
              <w:rPr>
                <w:b/>
                <w:sz w:val="21"/>
              </w:rPr>
              <w:t>形成记录</w:t>
            </w:r>
          </w:p>
        </w:tc>
      </w:tr>
      <w:tr>
        <w:trPr>
          <w:cantSplit/>
        </w:trPr>
        <w:tc>
          <w:tcPr>
            <w:tcW w:type="dxa" w:w="2506"/>
            <w:vAlign w:val="center"/>
          </w:tcPr>
          <w:p>
            <w:pPr>
              <w:keepNext w:val="0"/>
              <w:spacing w:line="320" w:lineRule="exact" w:after="0" w:before="0"/>
              <w:ind w:firstLine="0"/>
              <w:jc w:val="left"/>
            </w:pPr>
            <w:r>
              <w:rPr>
                <w:b w:val="0"/>
                <w:sz w:val="21"/>
              </w:rPr>
              <w:t>需求与采购</w:t>
            </w:r>
          </w:p>
        </w:tc>
        <w:tc>
          <w:tcPr>
            <w:tcW w:type="dxa" w:w="3855"/>
            <w:vAlign w:val="center"/>
          </w:tcPr>
          <w:p>
            <w:pPr>
              <w:keepNext w:val="0"/>
              <w:spacing w:line="320" w:lineRule="exact" w:after="0" w:before="0"/>
              <w:ind w:firstLine="0"/>
              <w:jc w:val="left"/>
            </w:pPr>
            <w:r>
              <w:rPr>
                <w:b w:val="0"/>
                <w:sz w:val="21"/>
              </w:rPr>
              <w:t>用途、范围、质量、许可及退出</w:t>
            </w:r>
          </w:p>
        </w:tc>
        <w:tc>
          <w:tcPr>
            <w:tcW w:type="dxa" w:w="3277"/>
            <w:vAlign w:val="center"/>
          </w:tcPr>
          <w:p>
            <w:pPr>
              <w:keepNext w:val="0"/>
              <w:spacing w:line="320" w:lineRule="exact" w:after="0" w:before="0"/>
              <w:ind w:firstLine="0"/>
              <w:jc w:val="left"/>
            </w:pPr>
            <w:r>
              <w:rPr>
                <w:b w:val="0"/>
                <w:sz w:val="21"/>
              </w:rPr>
              <w:t>需求、评审和合同条件</w:t>
            </w:r>
          </w:p>
        </w:tc>
      </w:tr>
      <w:tr>
        <w:trPr>
          <w:cantSplit/>
        </w:trPr>
        <w:tc>
          <w:tcPr>
            <w:tcW w:type="dxa" w:w="2506"/>
            <w:vAlign w:val="center"/>
          </w:tcPr>
          <w:p>
            <w:pPr>
              <w:keepNext w:val="0"/>
              <w:spacing w:line="320" w:lineRule="exact" w:after="0" w:before="0"/>
              <w:ind w:firstLine="0"/>
              <w:jc w:val="left"/>
            </w:pPr>
            <w:r>
              <w:rPr>
                <w:b w:val="0"/>
                <w:sz w:val="21"/>
              </w:rPr>
              <w:t>接入准备</w:t>
            </w:r>
          </w:p>
        </w:tc>
        <w:tc>
          <w:tcPr>
            <w:tcW w:type="dxa" w:w="3855"/>
            <w:vAlign w:val="center"/>
          </w:tcPr>
          <w:p>
            <w:pPr>
              <w:keepNext w:val="0"/>
              <w:spacing w:line="320" w:lineRule="exact" w:after="0" w:before="0"/>
              <w:ind w:firstLine="0"/>
              <w:jc w:val="left"/>
            </w:pPr>
            <w:r>
              <w:rPr>
                <w:b w:val="0"/>
                <w:sz w:val="21"/>
              </w:rPr>
              <w:t>来源、样本、接口、格式和安全</w:t>
            </w:r>
          </w:p>
        </w:tc>
        <w:tc>
          <w:tcPr>
            <w:tcW w:type="dxa" w:w="3277"/>
            <w:vAlign w:val="center"/>
          </w:tcPr>
          <w:p>
            <w:pPr>
              <w:keepNext w:val="0"/>
              <w:spacing w:line="320" w:lineRule="exact" w:after="0" w:before="0"/>
              <w:ind w:firstLine="0"/>
              <w:jc w:val="left"/>
            </w:pPr>
            <w:r>
              <w:rPr>
                <w:b w:val="0"/>
                <w:sz w:val="21"/>
              </w:rPr>
              <w:t>来源核验、试处理及批准</w:t>
            </w:r>
          </w:p>
        </w:tc>
      </w:tr>
      <w:tr>
        <w:trPr>
          <w:cantSplit/>
        </w:trPr>
        <w:tc>
          <w:tcPr>
            <w:tcW w:type="dxa" w:w="2506"/>
            <w:vAlign w:val="center"/>
          </w:tcPr>
          <w:p>
            <w:pPr>
              <w:keepNext w:val="0"/>
              <w:spacing w:line="320" w:lineRule="exact" w:after="0" w:before="0"/>
              <w:ind w:firstLine="0"/>
              <w:jc w:val="left"/>
            </w:pPr>
            <w:r>
              <w:rPr>
                <w:b w:val="0"/>
                <w:sz w:val="21"/>
              </w:rPr>
              <w:t>正式验收</w:t>
            </w:r>
          </w:p>
        </w:tc>
        <w:tc>
          <w:tcPr>
            <w:tcW w:type="dxa" w:w="3855"/>
            <w:vAlign w:val="center"/>
          </w:tcPr>
          <w:p>
            <w:pPr>
              <w:keepNext w:val="0"/>
              <w:spacing w:line="320" w:lineRule="exact" w:after="0" w:before="0"/>
              <w:ind w:firstLine="0"/>
              <w:jc w:val="left"/>
            </w:pPr>
            <w:r>
              <w:rPr>
                <w:b w:val="0"/>
                <w:sz w:val="21"/>
              </w:rPr>
              <w:t>实际范围、有效量、质量和限制</w:t>
            </w:r>
          </w:p>
        </w:tc>
        <w:tc>
          <w:tcPr>
            <w:tcW w:type="dxa" w:w="3277"/>
            <w:vAlign w:val="center"/>
          </w:tcPr>
          <w:p>
            <w:pPr>
              <w:keepNext w:val="0"/>
              <w:spacing w:line="320" w:lineRule="exact" w:after="0" w:before="0"/>
              <w:ind w:firstLine="0"/>
              <w:jc w:val="left"/>
            </w:pPr>
            <w:r>
              <w:rPr>
                <w:b w:val="0"/>
                <w:sz w:val="21"/>
              </w:rPr>
              <w:t>交付清单、检查结果及许可绑定</w:t>
            </w:r>
          </w:p>
        </w:tc>
      </w:tr>
      <w:tr>
        <w:trPr>
          <w:cantSplit/>
        </w:trPr>
        <w:tc>
          <w:tcPr>
            <w:tcW w:type="dxa" w:w="2506"/>
            <w:vAlign w:val="center"/>
          </w:tcPr>
          <w:p>
            <w:pPr>
              <w:keepNext w:val="0"/>
              <w:spacing w:line="320" w:lineRule="exact" w:after="0" w:before="0"/>
              <w:ind w:firstLine="0"/>
              <w:jc w:val="left"/>
            </w:pPr>
            <w:r>
              <w:rPr>
                <w:b w:val="0"/>
                <w:sz w:val="21"/>
              </w:rPr>
              <w:t>持续使用</w:t>
            </w:r>
          </w:p>
        </w:tc>
        <w:tc>
          <w:tcPr>
            <w:tcW w:type="dxa" w:w="3855"/>
            <w:vAlign w:val="center"/>
          </w:tcPr>
          <w:p>
            <w:pPr>
              <w:keepNext w:val="0"/>
              <w:spacing w:line="320" w:lineRule="exact" w:after="0" w:before="0"/>
              <w:ind w:firstLine="0"/>
              <w:jc w:val="left"/>
            </w:pPr>
            <w:r>
              <w:rPr>
                <w:b w:val="0"/>
                <w:sz w:val="21"/>
              </w:rPr>
              <w:t>更新、到期、限制变化和异常</w:t>
            </w:r>
          </w:p>
        </w:tc>
        <w:tc>
          <w:tcPr>
            <w:tcW w:type="dxa" w:w="3277"/>
            <w:vAlign w:val="center"/>
          </w:tcPr>
          <w:p>
            <w:pPr>
              <w:keepNext w:val="0"/>
              <w:spacing w:line="320" w:lineRule="exact" w:after="0" w:before="0"/>
              <w:ind w:firstLine="0"/>
              <w:jc w:val="left"/>
            </w:pPr>
            <w:r>
              <w:rPr>
                <w:b w:val="0"/>
                <w:sz w:val="21"/>
              </w:rPr>
              <w:t>复查、变更及使用记录</w:t>
            </w:r>
          </w:p>
        </w:tc>
      </w:tr>
      <w:tr>
        <w:trPr>
          <w:cantSplit/>
        </w:trPr>
        <w:tc>
          <w:tcPr>
            <w:tcW w:type="dxa" w:w="2506"/>
            <w:vAlign w:val="center"/>
          </w:tcPr>
          <w:p>
            <w:pPr>
              <w:keepNext w:val="0"/>
              <w:spacing w:line="320" w:lineRule="exact" w:after="0" w:before="0"/>
              <w:ind w:firstLine="0"/>
              <w:jc w:val="left"/>
            </w:pPr>
            <w:r>
              <w:rPr>
                <w:b w:val="0"/>
                <w:sz w:val="21"/>
              </w:rPr>
              <w:t>退出处置</w:t>
            </w:r>
          </w:p>
        </w:tc>
        <w:tc>
          <w:tcPr>
            <w:tcW w:type="dxa" w:w="3855"/>
            <w:vAlign w:val="center"/>
          </w:tcPr>
          <w:p>
            <w:pPr>
              <w:keepNext w:val="0"/>
              <w:spacing w:line="320" w:lineRule="exact" w:after="0" w:before="0"/>
              <w:ind w:firstLine="0"/>
              <w:jc w:val="left"/>
            </w:pPr>
            <w:r>
              <w:rPr>
                <w:b w:val="0"/>
                <w:sz w:val="21"/>
              </w:rPr>
              <w:t>停止用途、副本、派生物和服务</w:t>
            </w:r>
          </w:p>
        </w:tc>
        <w:tc>
          <w:tcPr>
            <w:tcW w:type="dxa" w:w="3277"/>
            <w:vAlign w:val="center"/>
          </w:tcPr>
          <w:p>
            <w:pPr>
              <w:keepNext w:val="0"/>
              <w:spacing w:line="320" w:lineRule="exact" w:after="0" w:before="0"/>
              <w:ind w:firstLine="0"/>
              <w:jc w:val="left"/>
            </w:pPr>
            <w:r>
              <w:rPr>
                <w:b w:val="0"/>
                <w:sz w:val="21"/>
              </w:rPr>
              <w:t>回收、处置及复核</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0" name="Picture 10"/>
            <wp:cNvGraphicFramePr>
              <a:graphicFrameLocks noChangeAspect="1"/>
            </wp:cNvGraphicFramePr>
            <a:graphic>
              <a:graphicData uri="http://schemas.openxmlformats.org/drawingml/2006/picture">
                <pic:pic>
                  <pic:nvPicPr>
                    <pic:cNvPr id="0" name="图10_外部引入.png"/>
                    <pic:cNvPicPr/>
                  </pic:nvPicPr>
                  <pic:blipFill>
                    <a:blip r:embed="rId20"/>
                    <a:stretch>
                      <a:fillRect/>
                    </a:stretch>
                  </pic:blipFill>
                  <pic:spPr>
                    <a:xfrm>
                      <a:off x="0" y="0"/>
                      <a:ext cx="6048000" cy="1942338"/>
                    </a:xfrm>
                    <a:prstGeom prst="rect"/>
                  </pic:spPr>
                </pic:pic>
              </a:graphicData>
            </a:graphic>
          </wp:inline>
        </w:drawing>
      </w:r>
    </w:p>
    <w:p>
      <w:pPr>
        <w:pStyle w:val="Caption"/>
        <w:jc w:val="center"/>
      </w:pPr>
      <w:r>
        <w:t>图6-1 外部数据引入与退出</w:t>
      </w:r>
    </w:p>
    <w:p>
      <w:pPr>
        <w:pStyle w:val="Heading2"/>
      </w:pPr>
      <w:r>
        <w:t>6.5 外部数据使用边界与持续评估</w:t>
      </w:r>
    </w:p>
    <w:p>
      <w:pPr>
        <w:jc w:val="both"/>
      </w:pPr>
      <w:r>
        <w:t>使用边界明确可存储位置、允许处理方式、参与人员、可共享对象、输出形态、许可期限及地域或环境限制。数据加工后形成的标签、样本、知识和其他派生成果保持来源关系，是否允许继续使用按许可内容核验，不因内容经过清洗或格式转换而自动解除限制。</w:t>
      </w:r>
    </w:p>
    <w:p>
      <w:pPr>
        <w:jc w:val="both"/>
      </w:pPr>
      <w:r>
        <w:t>持续评估检查外部来源是否更新、授权是否到期、内容是否撤回、质量是否变化以及实际使用是否超范围。来源发生重大变化时暂停受影响用途，组织权利和质量复核。已经发布的数据、知识或服务通过血缘识别影响，并按批准安排更新、替换或退出。</w:t>
      </w:r>
    </w:p>
    <w:p>
      <w:pPr>
        <w:jc w:val="both"/>
      </w:pPr>
      <w:r>
        <w:t>许可结束后的处理区分允许保留的历史证据、仍有合法使用依据的成果以及应停止使用和处置的内容，保留判断依据。供应方要求不明确或与现有用途冲突时先限制扩散并组织核验。实际删除、停止服务、权限回收和副本处置均记录结果，不能仅在目录上修改状态。</w:t>
      </w:r>
    </w:p>
    <w:p>
      <w:pPr>
        <w:pStyle w:val="Heading2"/>
      </w:pPr>
      <w:r>
        <w:t>6.6 数据开放共享流程</w:t>
      </w:r>
    </w:p>
    <w:p>
      <w:pPr>
        <w:jc w:val="both"/>
      </w:pPr>
      <w:r>
        <w:t>开放共享按照申请、审核、批准、授权、提供、使用监督和回收组织，适用于内部跨部门共享及经批准的外部提供。申请明确接收方、用途、数据范围、级别、方式、期限和后续处理，数据责任岗位核对业务必要性，权属及安全岗位核对允许条件，技术岗位落实供给和限制。</w:t>
      </w:r>
    </w:p>
    <w:p>
      <w:pPr>
        <w:jc w:val="both"/>
      </w:pPr>
      <w:r>
        <w:t>“开放”不自动意味着向社会公开。面向不同接收对象，分别确认可见目录、可访问内容和可执行操作，公开发布须具备相应批准。内部共享同样遵守岗位和用途限制，跨部门可见资源目录不代表能够直接获取全部内容。目录可展示必要描述，敏感字段、样本及地址按权限控制。</w:t>
      </w:r>
    </w:p>
    <w:p>
      <w:pPr>
        <w:jc w:val="both"/>
      </w:pPr>
      <w:r>
        <w:t>共享方式根据数据规模、更新频率和控制要求选择接口、受控查询、文件包或其他批准方式。能够以查询结果满足用途时核对是否需要提供全部明细；需要批量数据时明确脱敏、水印、清单和有效期。共享任务保留实际交付范围、接收确认和失败处理，避免批准清单与实际提供不一致。</w:t>
      </w:r>
    </w:p>
    <w:p>
      <w:pPr>
        <w:jc w:val="both"/>
      </w:pPr>
      <w:r>
        <w:t>权限到期、用途结束、责任变化或来源限制触发回收，检查账号、接口凭据、链接、文件和派生副本。接收方继续使用需重新核验条件。共享退出与服务退役、数据资产状态及安全审计保持一致，相关记录可追溯至原申请和批准。</w:t>
      </w:r>
    </w:p>
    <w:p>
      <w:pPr>
        <w:pStyle w:val="Heading2"/>
      </w:pPr>
      <w:r>
        <w:t>6.7 数据服务标准与目录</w:t>
      </w:r>
    </w:p>
    <w:p>
      <w:pPr>
        <w:jc w:val="both"/>
      </w:pPr>
      <w:r>
        <w:t>数据服务标准规定服务命名、标识、版本、对象、输入输出、质量、权限、时效、运行和退出要求。服务目录登记业务含义、适用场景、责任岗位、调用方式、结构定义、更新频率、使用条件、状态和支持渠道。目录内容与实际可调用服务一致，失效或暂停服务及时更新。</w:t>
      </w:r>
    </w:p>
    <w:p>
      <w:pPr>
        <w:jc w:val="both"/>
      </w:pPr>
      <w:r>
        <w:t>结构化查询明确字段、类型、单位、时间和分页；文件交付明确格式、目录、清单和完整性校验；指标服务明确公式版本、统计期间及维度；知识服务明确来源、版本、证据位置和访问条件。多模态服务保存对象关联和必要元数据，不能只提供文件地址而无法判断其业务意义。</w:t>
      </w:r>
    </w:p>
    <w:p>
      <w:pPr>
        <w:jc w:val="both"/>
      </w:pPr>
      <w:r>
        <w:t>服务能力根据确认需求和实际部署验证，明确容量、并发、时效和可用性要求及监测方式。对关键业务服务制定异常响应、恢复和通知安排，具体参数在服务设计中批准并配置，不将未经验证的通用性能数值套用所有接口。服务级别调整保持业务认可及技术可达。</w:t>
      </w:r>
    </w:p>
    <w:p>
      <w:pPr>
        <w:jc w:val="both"/>
      </w:pPr>
      <w:r>
        <w:t>服务发布前进行业务、质量、权限和运行检查，提供使用指南与必要调用样例。使用方试用核对实际返回和业务含义，问题整改后进入正式使用。新增版本通知使用方并维护兼容和退出计划，避免单方面改变字段含义或调用行为。</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1" name="Picture 11"/>
            <wp:cNvGraphicFramePr>
              <a:graphicFrameLocks noChangeAspect="1"/>
            </wp:cNvGraphicFramePr>
            <a:graphic>
              <a:graphicData uri="http://schemas.openxmlformats.org/drawingml/2006/picture">
                <pic:pic>
                  <pic:nvPicPr>
                    <pic:cNvPr id="0" name="图11_共享服务.png"/>
                    <pic:cNvPicPr/>
                  </pic:nvPicPr>
                  <pic:blipFill>
                    <a:blip r:embed="rId21"/>
                    <a:stretch>
                      <a:fillRect/>
                    </a:stretch>
                  </pic:blipFill>
                  <pic:spPr>
                    <a:xfrm>
                      <a:off x="0" y="0"/>
                      <a:ext cx="6048000" cy="1942338"/>
                    </a:xfrm>
                    <a:prstGeom prst="rect"/>
                  </pic:spPr>
                </pic:pic>
              </a:graphicData>
            </a:graphic>
          </wp:inline>
        </w:drawing>
      </w:r>
    </w:p>
    <w:p>
      <w:pPr>
        <w:pStyle w:val="Caption"/>
        <w:jc w:val="center"/>
      </w:pPr>
      <w:r>
        <w:t>图6-2 数据共享与服务管理</w:t>
      </w:r>
    </w:p>
    <w:p>
      <w:pPr>
        <w:pStyle w:val="Heading2"/>
      </w:pPr>
      <w:r>
        <w:t>6.8 服务计量与运行监督</w:t>
      </w:r>
    </w:p>
    <w:p>
      <w:pPr>
        <w:jc w:val="both"/>
      </w:pPr>
      <w:r>
        <w:t>服务计量记录调用次数、请求量、返回量、成功失败、响应时间、错误类型和实际使用对象，用于运行分析和资源安排。重试、分页、批量任务和异步请求分别定义计量口径，防止把技术重试重复算作业务使用。计量统计不替代完整审计，异常调查仍可回查必要操作记录。</w:t>
      </w:r>
    </w:p>
    <w:p>
      <w:pPr>
        <w:jc w:val="both"/>
      </w:pPr>
      <w:r>
        <w:t>监测关注服务错误、延迟、陈旧数据、授权失效和异常使用。即使接口正常响应，若返回的数据版本已过期或质量状态不满足要求，也应提示或限制使用。服务运行状态与数据生产状态联动，来源故障时明确受影响范围及预期恢复安排。</w:t>
      </w:r>
    </w:p>
    <w:p>
      <w:pPr>
        <w:jc w:val="both"/>
      </w:pPr>
      <w:r>
        <w:t>使用评价收集业务任务完成情况、数据适用性、问题反馈和重复需求。对长期无人使用、功能重复或维护成本较高的服务开展评估，决定优化、合并或退役；对关键高频服务加强质量及容量管理。调整依据实际使用证据和业务价值，不能仅凭调用次数判断全部价值。</w:t>
      </w:r>
    </w:p>
    <w:p>
      <w:pPr>
        <w:pStyle w:val="Heading2"/>
      </w:pPr>
      <w:r>
        <w:t>6.9 场景验证反馈与供给改进</w:t>
      </w:r>
    </w:p>
    <w:p>
      <w:pPr>
        <w:jc w:val="both"/>
      </w:pPr>
      <w:r>
        <w:t>产品智能选型、板材备料工艺智能设计、库存控制智能化、热处理过程控制智能化、焊接过程控制智能化、刮板输送装备健康诊断智能化六类业务场景，以及管理制度、技术标准、标书、决策数据四类智能问答助手和合同合规审查智能助手，共同使用统一治理供给与版本记录。</w:t>
      </w:r>
    </w:p>
    <w:p>
      <w:pPr>
        <w:jc w:val="both"/>
      </w:pPr>
      <w:r>
        <w:t>场景反馈明确问题发生时的数据版本、对象、输入条件、使用方式和预期结果。治理岗位按来源内容、定义口径、关联关系、加工规则、权限或模型应用等方面分析，属于数据治理范围的问题进入整改；涉及模型或场景实现的事项保留数据证据并协同相应责任岗位处理。不能把所有验证差异都归因于数据，也不能忽略明显的数据问题。</w:t>
      </w:r>
    </w:p>
    <w:p>
      <w:pPr>
        <w:jc w:val="both"/>
      </w:pPr>
      <w:r>
        <w:t>改进后使用同一验证条件检查原问题，并评估其他场景是否受影响。新增需求进入正式需求和标准流程，必要时补采真实数据、调整映射或完善规则。验证数据与训练数据按来源家族等要求保持隔离，场景反馈不能未经审查直接回流训练而破坏评测独立性。</w:t>
      </w:r>
    </w:p>
    <w:p>
      <w:pPr>
        <w:pStyle w:val="Heading2"/>
      </w:pPr>
      <w:r>
        <w:t>6.10 应用流通成果与验收</w:t>
      </w:r>
    </w:p>
    <w:p>
      <w:pPr>
        <w:jc w:val="both"/>
      </w:pPr>
      <w:r>
        <w:t>我方交付外部数据引入管理办法、数据开放共享管理规范两项成果，数据服务标准、目录结构、审批表单、接入核验、运行计量及退出记录作为相应成果配套内容。文件明确谁提出、谁批准、如何提供、如何监督和如何退出，实际平台配置与流程一致。</w:t>
      </w:r>
    </w:p>
    <w:p>
      <w:pPr>
        <w:jc w:val="both"/>
      </w:pPr>
      <w:r>
        <w:t>验收选取内部共享、外部来源引入、接口服务、文件交付和到期退出等代表性事项，贯通核查需求、来源、批准、授权、实际提供、使用及回收。检查数据内容和交付范围一致、许可条件得到执行、异常能够处理，使用方能够在批准范围内完成实际任务。</w:t>
      </w:r>
    </w:p>
    <w:p>
      <w:pPr>
        <w:jc w:val="both"/>
      </w:pPr>
      <w:r>
        <w:t>运行移交包括服务目录维护、来源许可复查、共享审批、调用监控、问题反馈及退出操作。后续新增来源和场景沿用同一流程，变更与质量、安全和生命周期管理同步，保证治理成果持续用于实际业务。</w:t>
      </w:r>
    </w:p>
    <w:p>
      <w:pPr>
        <w:pStyle w:val="Heading1"/>
      </w:pPr>
      <w:r>
        <w:t>7 数据治理规划成果交付</w:t>
      </w:r>
    </w:p>
    <w:p>
      <w:pPr>
        <w:pStyle w:val="Heading2"/>
      </w:pPr>
      <w:r>
        <w:t>7.1 成果组织与数量管理</w:t>
      </w:r>
    </w:p>
    <w:p>
      <w:pPr>
        <w:jc w:val="both"/>
      </w:pPr>
      <w:r>
        <w:t>我方按照招标文件逐项列明的三十七项数据治理规划成果组织交付，覆盖数据战略、数据治理、数据架构、数据资产、数据标准、数据质量、数据安全、数据生存周期、数据应用流通九个规划域。前四个规划域形成十六项成果，后五个规划域形成二十一项成果，各项名称、内容和验收要求分别登记，避免同一成果跨域重复计数。</w:t>
      </w:r>
    </w:p>
    <w:p>
      <w:pPr>
        <w:jc w:val="both"/>
      </w:pPr>
      <w:r>
        <w:t>数据治理现状诊断报告和高质量数据集验证场景数据需求清单作为现状评估成果另行交付。标准字典、模型、规则、配置、流程记录和运行证据分别归属于对应正式成果，不通过拆分附件增加规划文档数量。需要新增管理细则或操作指引时依据实际需要编制，并保持与上位制度一致。</w:t>
      </w:r>
    </w:p>
    <w:p>
      <w:pPr>
        <w:jc w:val="both"/>
      </w:pPr>
      <w:r>
        <w:t>成果台账记录名称、责任、适用范围、版本、形成日期、评审、批准、关联附件、实施任务和交付状态。文档不仅包含管理要求，还应能够定位相应平台配置和实际运行证据。提交与接收记录保留正式版本及清单，后续修改使用后继版本并记录替代关系。</w:t>
      </w:r>
    </w:p>
    <w:p>
      <w:pPr>
        <w:pStyle w:val="Heading2"/>
      </w:pPr>
      <w:r>
        <w:t>7.2 数据战略治理架构资产成果</w:t>
      </w:r>
    </w:p>
    <w:p>
      <w:pPr>
        <w:jc w:val="both"/>
      </w:pPr>
      <w:r>
        <w:t>数据战略成果将企业管理目标、治理诊断、数据供给和资源投入转成实施任务，并通过常态评价保持持续调整。数据治理成果明确三层组织、岗位职责、协同和制度体系，配套数据文化与能力培养。数据架构成果形成可复用模型、分布及流向、集成共享和元数据管理要求。数据资产成果明确来源、权利、目录、价值评价及内部运营。</w:t>
      </w:r>
    </w:p>
    <w:p>
      <w:pPr>
        <w:pStyle w:val="Caption"/>
        <w:keepNext/>
      </w:pPr>
      <w:r>
        <w:t>表7-1 前四个规划域成果清单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964"/>
        <w:gridCol w:w="2409"/>
        <w:gridCol w:w="6265"/>
      </w:tblGrid>
      <w:tr>
        <w:trPr>
          <w:cantSplit/>
          <w:tblHeader/>
        </w:trPr>
        <w:tc>
          <w:tcPr>
            <w:tcW w:type="dxa" w:w="964"/>
            <w:vAlign w:val="center"/>
            <w:shd w:fill="EDF1F3"/>
          </w:tcPr>
          <w:p>
            <w:pPr>
              <w:keepNext/>
              <w:spacing w:line="320" w:lineRule="exact" w:after="0" w:before="0"/>
              <w:ind w:firstLine="0"/>
              <w:jc w:val="center"/>
            </w:pPr>
            <w:r>
              <w:rPr>
                <w:b/>
                <w:sz w:val="21"/>
              </w:rPr>
              <w:t>序号</w:t>
            </w:r>
          </w:p>
        </w:tc>
        <w:tc>
          <w:tcPr>
            <w:tcW w:type="dxa" w:w="2409"/>
            <w:vAlign w:val="center"/>
            <w:shd w:fill="EDF1F3"/>
          </w:tcPr>
          <w:p>
            <w:pPr>
              <w:keepNext/>
              <w:spacing w:line="320" w:lineRule="exact" w:after="0" w:before="0"/>
              <w:ind w:firstLine="0"/>
              <w:jc w:val="center"/>
            </w:pPr>
            <w:r>
              <w:rPr>
                <w:b/>
                <w:sz w:val="21"/>
              </w:rPr>
              <w:t>成果名称</w:t>
            </w:r>
          </w:p>
        </w:tc>
        <w:tc>
          <w:tcPr>
            <w:tcW w:type="dxa" w:w="6265"/>
            <w:vAlign w:val="center"/>
            <w:shd w:fill="EDF1F3"/>
          </w:tcPr>
          <w:p>
            <w:pPr>
              <w:keepNext/>
              <w:spacing w:line="320" w:lineRule="exact" w:after="0" w:before="0"/>
              <w:ind w:firstLine="0"/>
              <w:jc w:val="center"/>
            </w:pPr>
            <w:r>
              <w:rPr>
                <w:b/>
                <w:sz w:val="21"/>
              </w:rPr>
              <w:t>主要核验内容</w:t>
            </w:r>
          </w:p>
        </w:tc>
      </w:tr>
      <w:tr>
        <w:trPr>
          <w:cantSplit/>
        </w:trPr>
        <w:tc>
          <w:tcPr>
            <w:tcW w:type="dxa" w:w="964"/>
            <w:vAlign w:val="center"/>
          </w:tcPr>
          <w:p>
            <w:pPr>
              <w:keepNext w:val="0"/>
              <w:spacing w:line="320" w:lineRule="exact" w:after="0" w:before="0"/>
              <w:ind w:firstLine="0"/>
              <w:jc w:val="center"/>
            </w:pPr>
            <w:r>
              <w:rPr>
                <w:b w:val="0"/>
                <w:sz w:val="21"/>
              </w:rPr>
              <w:t>1</w:t>
            </w:r>
          </w:p>
        </w:tc>
        <w:tc>
          <w:tcPr>
            <w:tcW w:type="dxa" w:w="2409"/>
            <w:vAlign w:val="center"/>
          </w:tcPr>
          <w:p>
            <w:pPr>
              <w:keepNext w:val="0"/>
              <w:spacing w:line="320" w:lineRule="exact" w:after="0" w:before="0"/>
              <w:ind w:firstLine="0"/>
              <w:jc w:val="left"/>
            </w:pPr>
            <w:r>
              <w:rPr>
                <w:b w:val="0"/>
                <w:sz w:val="21"/>
              </w:rPr>
              <w:t>数据战略管理办法</w:t>
            </w:r>
          </w:p>
        </w:tc>
        <w:tc>
          <w:tcPr>
            <w:tcW w:type="dxa" w:w="6265"/>
            <w:vAlign w:val="center"/>
          </w:tcPr>
          <w:p>
            <w:pPr>
              <w:keepNext w:val="0"/>
              <w:spacing w:line="320" w:lineRule="exact" w:after="0" w:before="0"/>
              <w:ind w:firstLine="0"/>
              <w:jc w:val="left"/>
            </w:pPr>
            <w:r>
              <w:rPr>
                <w:b w:val="0"/>
                <w:sz w:val="21"/>
              </w:rPr>
              <w:t>战略制定、批准、执行、评估和调整责任</w:t>
            </w:r>
          </w:p>
        </w:tc>
      </w:tr>
      <w:tr>
        <w:trPr>
          <w:cantSplit/>
        </w:trPr>
        <w:tc>
          <w:tcPr>
            <w:tcW w:type="dxa" w:w="964"/>
            <w:vAlign w:val="center"/>
          </w:tcPr>
          <w:p>
            <w:pPr>
              <w:keepNext w:val="0"/>
              <w:spacing w:line="320" w:lineRule="exact" w:after="0" w:before="0"/>
              <w:ind w:firstLine="0"/>
              <w:jc w:val="center"/>
            </w:pPr>
            <w:r>
              <w:rPr>
                <w:b w:val="0"/>
                <w:sz w:val="21"/>
              </w:rPr>
              <w:t>2</w:t>
            </w:r>
          </w:p>
        </w:tc>
        <w:tc>
          <w:tcPr>
            <w:tcW w:type="dxa" w:w="2409"/>
            <w:vAlign w:val="center"/>
          </w:tcPr>
          <w:p>
            <w:pPr>
              <w:keepNext w:val="0"/>
              <w:spacing w:line="320" w:lineRule="exact" w:after="0" w:before="0"/>
              <w:ind w:firstLine="0"/>
              <w:jc w:val="left"/>
            </w:pPr>
            <w:r>
              <w:rPr>
                <w:b w:val="0"/>
                <w:sz w:val="21"/>
              </w:rPr>
              <w:t>数据战略规划</w:t>
            </w:r>
          </w:p>
        </w:tc>
        <w:tc>
          <w:tcPr>
            <w:tcW w:type="dxa" w:w="6265"/>
            <w:vAlign w:val="center"/>
          </w:tcPr>
          <w:p>
            <w:pPr>
              <w:keepNext w:val="0"/>
              <w:spacing w:line="320" w:lineRule="exact" w:after="0" w:before="0"/>
              <w:ind w:firstLine="0"/>
              <w:jc w:val="left"/>
            </w:pPr>
            <w:r>
              <w:rPr>
                <w:b w:val="0"/>
                <w:sz w:val="21"/>
              </w:rPr>
              <w:t>愿景、目标、重点任务、资源和路线图</w:t>
            </w:r>
          </w:p>
        </w:tc>
      </w:tr>
      <w:tr>
        <w:trPr>
          <w:cantSplit/>
        </w:trPr>
        <w:tc>
          <w:tcPr>
            <w:tcW w:type="dxa" w:w="964"/>
            <w:vAlign w:val="center"/>
          </w:tcPr>
          <w:p>
            <w:pPr>
              <w:keepNext w:val="0"/>
              <w:spacing w:line="320" w:lineRule="exact" w:after="0" w:before="0"/>
              <w:ind w:firstLine="0"/>
              <w:jc w:val="center"/>
            </w:pPr>
            <w:r>
              <w:rPr>
                <w:b w:val="0"/>
                <w:sz w:val="21"/>
              </w:rPr>
              <w:t>3</w:t>
            </w:r>
          </w:p>
        </w:tc>
        <w:tc>
          <w:tcPr>
            <w:tcW w:type="dxa" w:w="2409"/>
            <w:vAlign w:val="center"/>
          </w:tcPr>
          <w:p>
            <w:pPr>
              <w:keepNext w:val="0"/>
              <w:spacing w:line="320" w:lineRule="exact" w:after="0" w:before="0"/>
              <w:ind w:firstLine="0"/>
              <w:jc w:val="left"/>
            </w:pPr>
            <w:r>
              <w:rPr>
                <w:b w:val="0"/>
                <w:sz w:val="21"/>
              </w:rPr>
              <w:t>数据战略实施计划</w:t>
            </w:r>
          </w:p>
        </w:tc>
        <w:tc>
          <w:tcPr>
            <w:tcW w:type="dxa" w:w="6265"/>
            <w:vAlign w:val="center"/>
          </w:tcPr>
          <w:p>
            <w:pPr>
              <w:keepNext w:val="0"/>
              <w:spacing w:line="320" w:lineRule="exact" w:after="0" w:before="0"/>
              <w:ind w:firstLine="0"/>
              <w:jc w:val="left"/>
            </w:pPr>
            <w:r>
              <w:rPr>
                <w:b w:val="0"/>
                <w:sz w:val="21"/>
              </w:rPr>
              <w:t>阶段任务、责任部门、节点和完成条件</w:t>
            </w:r>
          </w:p>
        </w:tc>
      </w:tr>
      <w:tr>
        <w:trPr>
          <w:cantSplit/>
        </w:trPr>
        <w:tc>
          <w:tcPr>
            <w:tcW w:type="dxa" w:w="964"/>
            <w:vAlign w:val="center"/>
          </w:tcPr>
          <w:p>
            <w:pPr>
              <w:keepNext w:val="0"/>
              <w:spacing w:line="320" w:lineRule="exact" w:after="0" w:before="0"/>
              <w:ind w:firstLine="0"/>
              <w:jc w:val="center"/>
            </w:pPr>
            <w:r>
              <w:rPr>
                <w:b w:val="0"/>
                <w:sz w:val="21"/>
              </w:rPr>
              <w:t>4</w:t>
            </w:r>
          </w:p>
        </w:tc>
        <w:tc>
          <w:tcPr>
            <w:tcW w:type="dxa" w:w="2409"/>
            <w:vAlign w:val="center"/>
          </w:tcPr>
          <w:p>
            <w:pPr>
              <w:keepNext w:val="0"/>
              <w:spacing w:line="320" w:lineRule="exact" w:after="0" w:before="0"/>
              <w:ind w:firstLine="0"/>
              <w:jc w:val="left"/>
            </w:pPr>
            <w:r>
              <w:rPr>
                <w:b w:val="0"/>
                <w:sz w:val="21"/>
              </w:rPr>
              <w:t>战略评估报告</w:t>
            </w:r>
          </w:p>
        </w:tc>
        <w:tc>
          <w:tcPr>
            <w:tcW w:type="dxa" w:w="6265"/>
            <w:vAlign w:val="center"/>
          </w:tcPr>
          <w:p>
            <w:pPr>
              <w:keepNext w:val="0"/>
              <w:spacing w:line="320" w:lineRule="exact" w:after="0" w:before="0"/>
              <w:ind w:firstLine="0"/>
              <w:jc w:val="left"/>
            </w:pPr>
            <w:r>
              <w:rPr>
                <w:b w:val="0"/>
                <w:sz w:val="21"/>
              </w:rPr>
              <w:t>执行结果、偏差、实际证据和改进安排</w:t>
            </w:r>
          </w:p>
        </w:tc>
      </w:tr>
      <w:tr>
        <w:trPr>
          <w:cantSplit/>
        </w:trPr>
        <w:tc>
          <w:tcPr>
            <w:tcW w:type="dxa" w:w="964"/>
            <w:vAlign w:val="center"/>
          </w:tcPr>
          <w:p>
            <w:pPr>
              <w:keepNext w:val="0"/>
              <w:spacing w:line="320" w:lineRule="exact" w:after="0" w:before="0"/>
              <w:ind w:firstLine="0"/>
              <w:jc w:val="center"/>
            </w:pPr>
            <w:r>
              <w:rPr>
                <w:b w:val="0"/>
                <w:sz w:val="21"/>
              </w:rPr>
              <w:t>5</w:t>
            </w:r>
          </w:p>
        </w:tc>
        <w:tc>
          <w:tcPr>
            <w:tcW w:type="dxa" w:w="2409"/>
            <w:vAlign w:val="center"/>
          </w:tcPr>
          <w:p>
            <w:pPr>
              <w:keepNext w:val="0"/>
              <w:spacing w:line="320" w:lineRule="exact" w:after="0" w:before="0"/>
              <w:ind w:firstLine="0"/>
              <w:jc w:val="left"/>
            </w:pPr>
            <w:r>
              <w:rPr>
                <w:b w:val="0"/>
                <w:sz w:val="21"/>
              </w:rPr>
              <w:t>数据治理顶层规划方案</w:t>
            </w:r>
          </w:p>
        </w:tc>
        <w:tc>
          <w:tcPr>
            <w:tcW w:type="dxa" w:w="6265"/>
            <w:vAlign w:val="center"/>
          </w:tcPr>
          <w:p>
            <w:pPr>
              <w:keepNext w:val="0"/>
              <w:spacing w:line="320" w:lineRule="exact" w:after="0" w:before="0"/>
              <w:ind w:firstLine="0"/>
              <w:jc w:val="left"/>
            </w:pPr>
            <w:r>
              <w:rPr>
                <w:b w:val="0"/>
                <w:sz w:val="21"/>
              </w:rPr>
              <w:t>九域范围、组织运行、制度和实施关系</w:t>
            </w:r>
          </w:p>
        </w:tc>
      </w:tr>
      <w:tr>
        <w:trPr>
          <w:cantSplit/>
        </w:trPr>
        <w:tc>
          <w:tcPr>
            <w:tcW w:type="dxa" w:w="964"/>
            <w:vAlign w:val="center"/>
          </w:tcPr>
          <w:p>
            <w:pPr>
              <w:keepNext w:val="0"/>
              <w:spacing w:line="320" w:lineRule="exact" w:after="0" w:before="0"/>
              <w:ind w:firstLine="0"/>
              <w:jc w:val="center"/>
            </w:pPr>
            <w:r>
              <w:rPr>
                <w:b w:val="0"/>
                <w:sz w:val="21"/>
              </w:rPr>
              <w:t>6</w:t>
            </w:r>
          </w:p>
        </w:tc>
        <w:tc>
          <w:tcPr>
            <w:tcW w:type="dxa" w:w="2409"/>
            <w:vAlign w:val="center"/>
          </w:tcPr>
          <w:p>
            <w:pPr>
              <w:keepNext w:val="0"/>
              <w:spacing w:line="320" w:lineRule="exact" w:after="0" w:before="0"/>
              <w:ind w:firstLine="0"/>
              <w:jc w:val="left"/>
            </w:pPr>
            <w:r>
              <w:rPr>
                <w:b w:val="0"/>
                <w:sz w:val="21"/>
              </w:rPr>
              <w:t>数据治理组织架构</w:t>
            </w:r>
          </w:p>
        </w:tc>
        <w:tc>
          <w:tcPr>
            <w:tcW w:type="dxa" w:w="6265"/>
            <w:vAlign w:val="center"/>
          </w:tcPr>
          <w:p>
            <w:pPr>
              <w:keepNext w:val="0"/>
              <w:spacing w:line="320" w:lineRule="exact" w:after="0" w:before="0"/>
              <w:ind w:firstLine="0"/>
              <w:jc w:val="left"/>
            </w:pPr>
            <w:r>
              <w:rPr>
                <w:b w:val="0"/>
                <w:sz w:val="21"/>
              </w:rPr>
              <w:t>决策、管理、执行层职责及授权协同</w:t>
            </w:r>
          </w:p>
        </w:tc>
      </w:tr>
      <w:tr>
        <w:trPr>
          <w:cantSplit/>
        </w:trPr>
        <w:tc>
          <w:tcPr>
            <w:tcW w:type="dxa" w:w="964"/>
            <w:vAlign w:val="center"/>
          </w:tcPr>
          <w:p>
            <w:pPr>
              <w:keepNext w:val="0"/>
              <w:spacing w:line="320" w:lineRule="exact" w:after="0" w:before="0"/>
              <w:ind w:firstLine="0"/>
              <w:jc w:val="center"/>
            </w:pPr>
            <w:r>
              <w:rPr>
                <w:b w:val="0"/>
                <w:sz w:val="21"/>
              </w:rPr>
              <w:t>7</w:t>
            </w:r>
          </w:p>
        </w:tc>
        <w:tc>
          <w:tcPr>
            <w:tcW w:type="dxa" w:w="2409"/>
            <w:vAlign w:val="center"/>
          </w:tcPr>
          <w:p>
            <w:pPr>
              <w:keepNext w:val="0"/>
              <w:spacing w:line="320" w:lineRule="exact" w:after="0" w:before="0"/>
              <w:ind w:firstLine="0"/>
              <w:jc w:val="left"/>
            </w:pPr>
            <w:r>
              <w:rPr>
                <w:b w:val="0"/>
                <w:sz w:val="21"/>
              </w:rPr>
              <w:t>全套数据治理顶层管理制度</w:t>
            </w:r>
          </w:p>
        </w:tc>
        <w:tc>
          <w:tcPr>
            <w:tcW w:type="dxa" w:w="6265"/>
            <w:vAlign w:val="center"/>
          </w:tcPr>
          <w:p>
            <w:pPr>
              <w:keepNext w:val="0"/>
              <w:spacing w:line="320" w:lineRule="exact" w:after="0" w:before="0"/>
              <w:ind w:firstLine="0"/>
              <w:jc w:val="left"/>
            </w:pPr>
            <w:r>
              <w:rPr>
                <w:b w:val="0"/>
                <w:sz w:val="21"/>
              </w:rPr>
              <w:t>管理办法、实施细则、操作规范及记录</w:t>
            </w:r>
          </w:p>
        </w:tc>
      </w:tr>
      <w:tr>
        <w:trPr>
          <w:cantSplit/>
        </w:trPr>
        <w:tc>
          <w:tcPr>
            <w:tcW w:type="dxa" w:w="964"/>
            <w:vAlign w:val="center"/>
          </w:tcPr>
          <w:p>
            <w:pPr>
              <w:keepNext w:val="0"/>
              <w:spacing w:line="320" w:lineRule="exact" w:after="0" w:before="0"/>
              <w:ind w:firstLine="0"/>
              <w:jc w:val="center"/>
            </w:pPr>
            <w:r>
              <w:rPr>
                <w:b w:val="0"/>
                <w:sz w:val="21"/>
              </w:rPr>
              <w:t>8</w:t>
            </w:r>
          </w:p>
        </w:tc>
        <w:tc>
          <w:tcPr>
            <w:tcW w:type="dxa" w:w="2409"/>
            <w:vAlign w:val="center"/>
          </w:tcPr>
          <w:p>
            <w:pPr>
              <w:keepNext w:val="0"/>
              <w:spacing w:line="320" w:lineRule="exact" w:after="0" w:before="0"/>
              <w:ind w:firstLine="0"/>
              <w:jc w:val="left"/>
            </w:pPr>
            <w:r>
              <w:rPr>
                <w:b w:val="0"/>
                <w:sz w:val="21"/>
              </w:rPr>
              <w:t>数据文化建设方案</w:t>
            </w:r>
          </w:p>
        </w:tc>
        <w:tc>
          <w:tcPr>
            <w:tcW w:type="dxa" w:w="6265"/>
            <w:vAlign w:val="center"/>
          </w:tcPr>
          <w:p>
            <w:pPr>
              <w:keepNext w:val="0"/>
              <w:spacing w:line="320" w:lineRule="exact" w:after="0" w:before="0"/>
              <w:ind w:firstLine="0"/>
              <w:jc w:val="left"/>
            </w:pPr>
            <w:r>
              <w:rPr>
                <w:b w:val="0"/>
                <w:sz w:val="21"/>
              </w:rPr>
              <w:t>宣贯、培训、岗位实践及能力提升</w:t>
            </w:r>
          </w:p>
        </w:tc>
      </w:tr>
      <w:tr>
        <w:trPr>
          <w:cantSplit/>
        </w:trPr>
        <w:tc>
          <w:tcPr>
            <w:tcW w:type="dxa" w:w="964"/>
            <w:vAlign w:val="center"/>
          </w:tcPr>
          <w:p>
            <w:pPr>
              <w:keepNext w:val="0"/>
              <w:spacing w:line="320" w:lineRule="exact" w:after="0" w:before="0"/>
              <w:ind w:firstLine="0"/>
              <w:jc w:val="center"/>
            </w:pPr>
            <w:r>
              <w:rPr>
                <w:b w:val="0"/>
                <w:sz w:val="21"/>
              </w:rPr>
              <w:t>9</w:t>
            </w:r>
          </w:p>
        </w:tc>
        <w:tc>
          <w:tcPr>
            <w:tcW w:type="dxa" w:w="2409"/>
            <w:vAlign w:val="center"/>
          </w:tcPr>
          <w:p>
            <w:pPr>
              <w:keepNext w:val="0"/>
              <w:spacing w:line="320" w:lineRule="exact" w:after="0" w:before="0"/>
              <w:ind w:firstLine="0"/>
              <w:jc w:val="left"/>
            </w:pPr>
            <w:r>
              <w:rPr>
                <w:b w:val="0"/>
                <w:sz w:val="21"/>
              </w:rPr>
              <w:t>数据模型分层架构</w:t>
            </w:r>
          </w:p>
        </w:tc>
        <w:tc>
          <w:tcPr>
            <w:tcW w:type="dxa" w:w="6265"/>
            <w:vAlign w:val="center"/>
          </w:tcPr>
          <w:p>
            <w:pPr>
              <w:keepNext w:val="0"/>
              <w:spacing w:line="320" w:lineRule="exact" w:after="0" w:before="0"/>
              <w:ind w:firstLine="0"/>
              <w:jc w:val="left"/>
            </w:pPr>
            <w:r>
              <w:rPr>
                <w:b w:val="0"/>
                <w:sz w:val="21"/>
              </w:rPr>
              <w:t>ODS、DWD、DWS、DIM、ADS职责与模型</w:t>
            </w:r>
          </w:p>
        </w:tc>
      </w:tr>
      <w:tr>
        <w:trPr>
          <w:cantSplit/>
        </w:trPr>
        <w:tc>
          <w:tcPr>
            <w:tcW w:type="dxa" w:w="964"/>
            <w:vAlign w:val="center"/>
          </w:tcPr>
          <w:p>
            <w:pPr>
              <w:keepNext w:val="0"/>
              <w:spacing w:line="320" w:lineRule="exact" w:after="0" w:before="0"/>
              <w:ind w:firstLine="0"/>
              <w:jc w:val="center"/>
            </w:pPr>
            <w:r>
              <w:rPr>
                <w:b w:val="0"/>
                <w:sz w:val="21"/>
              </w:rPr>
              <w:t>10</w:t>
            </w:r>
          </w:p>
        </w:tc>
        <w:tc>
          <w:tcPr>
            <w:tcW w:type="dxa" w:w="2409"/>
            <w:vAlign w:val="center"/>
          </w:tcPr>
          <w:p>
            <w:pPr>
              <w:keepNext w:val="0"/>
              <w:spacing w:line="320" w:lineRule="exact" w:after="0" w:before="0"/>
              <w:ind w:firstLine="0"/>
              <w:jc w:val="left"/>
            </w:pPr>
            <w:r>
              <w:rPr>
                <w:b w:val="0"/>
                <w:sz w:val="21"/>
              </w:rPr>
              <w:t>数据分布及数据流图</w:t>
            </w:r>
          </w:p>
        </w:tc>
        <w:tc>
          <w:tcPr>
            <w:tcW w:type="dxa" w:w="6265"/>
            <w:vAlign w:val="center"/>
          </w:tcPr>
          <w:p>
            <w:pPr>
              <w:keepNext w:val="0"/>
              <w:spacing w:line="320" w:lineRule="exact" w:after="0" w:before="0"/>
              <w:ind w:firstLine="0"/>
              <w:jc w:val="left"/>
            </w:pPr>
            <w:r>
              <w:rPr>
                <w:b w:val="0"/>
                <w:sz w:val="21"/>
              </w:rPr>
              <w:t>来源、存储位置、流向和交互关系</w:t>
            </w:r>
          </w:p>
        </w:tc>
      </w:tr>
      <w:tr>
        <w:trPr>
          <w:cantSplit/>
        </w:trPr>
        <w:tc>
          <w:tcPr>
            <w:tcW w:type="dxa" w:w="964"/>
            <w:vAlign w:val="center"/>
          </w:tcPr>
          <w:p>
            <w:pPr>
              <w:keepNext w:val="0"/>
              <w:spacing w:line="320" w:lineRule="exact" w:after="0" w:before="0"/>
              <w:ind w:firstLine="0"/>
              <w:jc w:val="center"/>
            </w:pPr>
            <w:r>
              <w:rPr>
                <w:b w:val="0"/>
                <w:sz w:val="21"/>
              </w:rPr>
              <w:t>11</w:t>
            </w:r>
          </w:p>
        </w:tc>
        <w:tc>
          <w:tcPr>
            <w:tcW w:type="dxa" w:w="2409"/>
            <w:vAlign w:val="center"/>
          </w:tcPr>
          <w:p>
            <w:pPr>
              <w:keepNext w:val="0"/>
              <w:spacing w:line="320" w:lineRule="exact" w:after="0" w:before="0"/>
              <w:ind w:firstLine="0"/>
              <w:jc w:val="left"/>
            </w:pPr>
            <w:r>
              <w:rPr>
                <w:b w:val="0"/>
                <w:sz w:val="21"/>
              </w:rPr>
              <w:t>数据集成共享管理规范</w:t>
            </w:r>
          </w:p>
        </w:tc>
        <w:tc>
          <w:tcPr>
            <w:tcW w:type="dxa" w:w="6265"/>
            <w:vAlign w:val="center"/>
          </w:tcPr>
          <w:p>
            <w:pPr>
              <w:keepNext w:val="0"/>
              <w:spacing w:line="320" w:lineRule="exact" w:after="0" w:before="0"/>
              <w:ind w:firstLine="0"/>
              <w:jc w:val="left"/>
            </w:pPr>
            <w:r>
              <w:rPr>
                <w:b w:val="0"/>
                <w:sz w:val="21"/>
              </w:rPr>
              <w:t>采集适用场景、集成、共享及异常处理</w:t>
            </w:r>
          </w:p>
        </w:tc>
      </w:tr>
      <w:tr>
        <w:trPr>
          <w:cantSplit/>
        </w:trPr>
        <w:tc>
          <w:tcPr>
            <w:tcW w:type="dxa" w:w="964"/>
            <w:vAlign w:val="center"/>
          </w:tcPr>
          <w:p>
            <w:pPr>
              <w:keepNext w:val="0"/>
              <w:spacing w:line="320" w:lineRule="exact" w:after="0" w:before="0"/>
              <w:ind w:firstLine="0"/>
              <w:jc w:val="center"/>
            </w:pPr>
            <w:r>
              <w:rPr>
                <w:b w:val="0"/>
                <w:sz w:val="21"/>
              </w:rPr>
              <w:t>12</w:t>
            </w:r>
          </w:p>
        </w:tc>
        <w:tc>
          <w:tcPr>
            <w:tcW w:type="dxa" w:w="2409"/>
            <w:vAlign w:val="center"/>
          </w:tcPr>
          <w:p>
            <w:pPr>
              <w:keepNext w:val="0"/>
              <w:spacing w:line="320" w:lineRule="exact" w:after="0" w:before="0"/>
              <w:ind w:firstLine="0"/>
              <w:jc w:val="left"/>
            </w:pPr>
            <w:r>
              <w:rPr>
                <w:b w:val="0"/>
                <w:sz w:val="21"/>
              </w:rPr>
              <w:t>元数据管理办法</w:t>
            </w:r>
          </w:p>
        </w:tc>
        <w:tc>
          <w:tcPr>
            <w:tcW w:type="dxa" w:w="6265"/>
            <w:vAlign w:val="center"/>
          </w:tcPr>
          <w:p>
            <w:pPr>
              <w:keepNext w:val="0"/>
              <w:spacing w:line="320" w:lineRule="exact" w:after="0" w:before="0"/>
              <w:ind w:firstLine="0"/>
              <w:jc w:val="left"/>
            </w:pPr>
            <w:r>
              <w:rPr>
                <w:b w:val="0"/>
                <w:sz w:val="21"/>
              </w:rPr>
              <w:t>业务、技术、管理元数据及血缘变更</w:t>
            </w:r>
          </w:p>
        </w:tc>
      </w:tr>
      <w:tr>
        <w:trPr>
          <w:cantSplit/>
        </w:trPr>
        <w:tc>
          <w:tcPr>
            <w:tcW w:type="dxa" w:w="964"/>
            <w:vAlign w:val="center"/>
          </w:tcPr>
          <w:p>
            <w:pPr>
              <w:keepNext w:val="0"/>
              <w:spacing w:line="320" w:lineRule="exact" w:after="0" w:before="0"/>
              <w:ind w:firstLine="0"/>
              <w:jc w:val="center"/>
            </w:pPr>
            <w:r>
              <w:rPr>
                <w:b w:val="0"/>
                <w:sz w:val="21"/>
              </w:rPr>
              <w:t>13</w:t>
            </w:r>
          </w:p>
        </w:tc>
        <w:tc>
          <w:tcPr>
            <w:tcW w:type="dxa" w:w="2409"/>
            <w:vAlign w:val="center"/>
          </w:tcPr>
          <w:p>
            <w:pPr>
              <w:keepNext w:val="0"/>
              <w:spacing w:line="320" w:lineRule="exact" w:after="0" w:before="0"/>
              <w:ind w:firstLine="0"/>
              <w:jc w:val="left"/>
            </w:pPr>
            <w:r>
              <w:rPr>
                <w:b w:val="0"/>
                <w:sz w:val="21"/>
              </w:rPr>
              <w:t>数据资产管理办法</w:t>
            </w:r>
          </w:p>
        </w:tc>
        <w:tc>
          <w:tcPr>
            <w:tcW w:type="dxa" w:w="6265"/>
            <w:vAlign w:val="center"/>
          </w:tcPr>
          <w:p>
            <w:pPr>
              <w:keepNext w:val="0"/>
              <w:spacing w:line="320" w:lineRule="exact" w:after="0" w:before="0"/>
              <w:ind w:firstLine="0"/>
              <w:jc w:val="left"/>
            </w:pPr>
            <w:r>
              <w:rPr>
                <w:b w:val="0"/>
                <w:sz w:val="21"/>
              </w:rPr>
              <w:t>来源、权属、责任、状态及管理流程</w:t>
            </w:r>
          </w:p>
        </w:tc>
      </w:tr>
      <w:tr>
        <w:trPr>
          <w:cantSplit/>
        </w:trPr>
        <w:tc>
          <w:tcPr>
            <w:tcW w:type="dxa" w:w="964"/>
            <w:vAlign w:val="center"/>
          </w:tcPr>
          <w:p>
            <w:pPr>
              <w:keepNext w:val="0"/>
              <w:spacing w:line="320" w:lineRule="exact" w:after="0" w:before="0"/>
              <w:ind w:firstLine="0"/>
              <w:jc w:val="center"/>
            </w:pPr>
            <w:r>
              <w:rPr>
                <w:b w:val="0"/>
                <w:sz w:val="21"/>
              </w:rPr>
              <w:t>14</w:t>
            </w:r>
          </w:p>
        </w:tc>
        <w:tc>
          <w:tcPr>
            <w:tcW w:type="dxa" w:w="2409"/>
            <w:vAlign w:val="center"/>
          </w:tcPr>
          <w:p>
            <w:pPr>
              <w:keepNext w:val="0"/>
              <w:spacing w:line="320" w:lineRule="exact" w:after="0" w:before="0"/>
              <w:ind w:firstLine="0"/>
              <w:jc w:val="left"/>
            </w:pPr>
            <w:r>
              <w:rPr>
                <w:b w:val="0"/>
                <w:sz w:val="21"/>
              </w:rPr>
              <w:t>数据资源目录</w:t>
            </w:r>
          </w:p>
        </w:tc>
        <w:tc>
          <w:tcPr>
            <w:tcW w:type="dxa" w:w="6265"/>
            <w:vAlign w:val="center"/>
          </w:tcPr>
          <w:p>
            <w:pPr>
              <w:keepNext w:val="0"/>
              <w:spacing w:line="320" w:lineRule="exact" w:after="0" w:before="0"/>
              <w:ind w:firstLine="0"/>
              <w:jc w:val="left"/>
            </w:pPr>
            <w:r>
              <w:rPr>
                <w:b w:val="0"/>
                <w:sz w:val="21"/>
              </w:rPr>
              <w:t>对象、内容、质量、权利和实际入口</w:t>
            </w:r>
          </w:p>
        </w:tc>
      </w:tr>
      <w:tr>
        <w:trPr>
          <w:cantSplit/>
        </w:trPr>
        <w:tc>
          <w:tcPr>
            <w:tcW w:type="dxa" w:w="964"/>
            <w:vAlign w:val="center"/>
          </w:tcPr>
          <w:p>
            <w:pPr>
              <w:keepNext w:val="0"/>
              <w:spacing w:line="320" w:lineRule="exact" w:after="0" w:before="0"/>
              <w:ind w:firstLine="0"/>
              <w:jc w:val="center"/>
            </w:pPr>
            <w:r>
              <w:rPr>
                <w:b w:val="0"/>
                <w:sz w:val="21"/>
              </w:rPr>
              <w:t>15</w:t>
            </w:r>
          </w:p>
        </w:tc>
        <w:tc>
          <w:tcPr>
            <w:tcW w:type="dxa" w:w="2409"/>
            <w:vAlign w:val="center"/>
          </w:tcPr>
          <w:p>
            <w:pPr>
              <w:keepNext w:val="0"/>
              <w:spacing w:line="320" w:lineRule="exact" w:after="0" w:before="0"/>
              <w:ind w:firstLine="0"/>
              <w:jc w:val="left"/>
            </w:pPr>
            <w:r>
              <w:rPr>
                <w:b w:val="0"/>
                <w:sz w:val="21"/>
              </w:rPr>
              <w:t>资产价值评估办法</w:t>
            </w:r>
          </w:p>
        </w:tc>
        <w:tc>
          <w:tcPr>
            <w:tcW w:type="dxa" w:w="6265"/>
            <w:vAlign w:val="center"/>
          </w:tcPr>
          <w:p>
            <w:pPr>
              <w:keepNext w:val="0"/>
              <w:spacing w:line="320" w:lineRule="exact" w:after="0" w:before="0"/>
              <w:ind w:firstLine="0"/>
              <w:jc w:val="left"/>
            </w:pPr>
            <w:r>
              <w:rPr>
                <w:b w:val="0"/>
                <w:sz w:val="21"/>
              </w:rPr>
              <w:t>评价维度、证据、流程及结果使用</w:t>
            </w:r>
          </w:p>
        </w:tc>
      </w:tr>
      <w:tr>
        <w:trPr>
          <w:cantSplit/>
        </w:trPr>
        <w:tc>
          <w:tcPr>
            <w:tcW w:type="dxa" w:w="964"/>
            <w:vAlign w:val="center"/>
          </w:tcPr>
          <w:p>
            <w:pPr>
              <w:keepNext w:val="0"/>
              <w:spacing w:line="320" w:lineRule="exact" w:after="0" w:before="0"/>
              <w:ind w:firstLine="0"/>
              <w:jc w:val="center"/>
            </w:pPr>
            <w:r>
              <w:rPr>
                <w:b w:val="0"/>
                <w:sz w:val="21"/>
              </w:rPr>
              <w:t>16</w:t>
            </w:r>
          </w:p>
        </w:tc>
        <w:tc>
          <w:tcPr>
            <w:tcW w:type="dxa" w:w="2409"/>
            <w:vAlign w:val="center"/>
          </w:tcPr>
          <w:p>
            <w:pPr>
              <w:keepNext w:val="0"/>
              <w:spacing w:line="320" w:lineRule="exact" w:after="0" w:before="0"/>
              <w:ind w:firstLine="0"/>
              <w:jc w:val="left"/>
            </w:pPr>
            <w:r>
              <w:rPr>
                <w:b w:val="0"/>
                <w:sz w:val="21"/>
              </w:rPr>
              <w:t>数据资产运营流程规范</w:t>
            </w:r>
          </w:p>
        </w:tc>
        <w:tc>
          <w:tcPr>
            <w:tcW w:type="dxa" w:w="6265"/>
            <w:vAlign w:val="center"/>
          </w:tcPr>
          <w:p>
            <w:pPr>
              <w:keepNext w:val="0"/>
              <w:spacing w:line="320" w:lineRule="exact" w:after="0" w:before="0"/>
              <w:ind w:firstLine="0"/>
              <w:jc w:val="left"/>
            </w:pPr>
            <w:r>
              <w:rPr>
                <w:b w:val="0"/>
                <w:sz w:val="21"/>
              </w:rPr>
              <w:t>申请、审批、授权、使用及退出</w:t>
            </w:r>
          </w:p>
        </w:tc>
      </w:tr>
    </w:tbl>
    <w:p>
      <w:pPr>
        <w:spacing w:after="40" w:line="240" w:lineRule="auto"/>
        <w:ind w:firstLine="0"/>
      </w:pPr>
      <w:r>
        <w:rPr>
          <w:sz w:val="4"/>
        </w:rPr>
      </w:r>
    </w:p>
    <w:p>
      <w:pPr>
        <w:jc w:val="both"/>
      </w:pPr>
      <w:r>
        <w:t>各成果在规划阶段形成经评审版本，随配置和业务运行完善并提交正式成果。报告类内容以实际执行和评价为依据，不能预先填入尚未发生的成效。规划与后续专项标准、安全、质量和运维成果相互引用同一对象、责任和版本，不产生相互矛盾的流程。</w:t>
      </w:r>
    </w:p>
    <w:p>
      <w:pPr>
        <w:pStyle w:val="Heading2"/>
      </w:pPr>
      <w:r>
        <w:t>7.3 数据标准与质量成果</w:t>
      </w:r>
    </w:p>
    <w:p>
      <w:pPr>
        <w:jc w:val="both"/>
      </w:pPr>
      <w:r>
        <w:t>数据标准六项成果统一语义、表达和实施映射，主数据审批材料与标准管理同步交付。数据质量五项成果形成需求、规则、检查分析和问题处置的完整关系，规则库既保留管理定义，也能定位实际执行配置。两类成果通过标准项、规则和数据对象关联，标准变更能够查明相应质量检查影响。</w:t>
      </w:r>
    </w:p>
    <w:p>
      <w:pPr>
        <w:pStyle w:val="Caption"/>
        <w:keepNext/>
      </w:pPr>
      <w:r>
        <w:t>表7-2 数据标准与质量成果清单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964"/>
        <w:gridCol w:w="2409"/>
        <w:gridCol w:w="6265"/>
      </w:tblGrid>
      <w:tr>
        <w:trPr>
          <w:cantSplit/>
          <w:tblHeader/>
        </w:trPr>
        <w:tc>
          <w:tcPr>
            <w:tcW w:type="dxa" w:w="964"/>
            <w:vAlign w:val="center"/>
            <w:shd w:fill="EDF1F3"/>
          </w:tcPr>
          <w:p>
            <w:pPr>
              <w:keepNext/>
              <w:spacing w:line="320" w:lineRule="exact" w:after="0" w:before="0"/>
              <w:ind w:firstLine="0"/>
              <w:jc w:val="center"/>
            </w:pPr>
            <w:r>
              <w:rPr>
                <w:b/>
                <w:sz w:val="21"/>
              </w:rPr>
              <w:t>序号</w:t>
            </w:r>
          </w:p>
        </w:tc>
        <w:tc>
          <w:tcPr>
            <w:tcW w:type="dxa" w:w="2409"/>
            <w:vAlign w:val="center"/>
            <w:shd w:fill="EDF1F3"/>
          </w:tcPr>
          <w:p>
            <w:pPr>
              <w:keepNext/>
              <w:spacing w:line="320" w:lineRule="exact" w:after="0" w:before="0"/>
              <w:ind w:firstLine="0"/>
              <w:jc w:val="center"/>
            </w:pPr>
            <w:r>
              <w:rPr>
                <w:b/>
                <w:sz w:val="21"/>
              </w:rPr>
              <w:t>成果名称</w:t>
            </w:r>
          </w:p>
        </w:tc>
        <w:tc>
          <w:tcPr>
            <w:tcW w:type="dxa" w:w="6265"/>
            <w:vAlign w:val="center"/>
            <w:shd w:fill="EDF1F3"/>
          </w:tcPr>
          <w:p>
            <w:pPr>
              <w:keepNext/>
              <w:spacing w:line="320" w:lineRule="exact" w:after="0" w:before="0"/>
              <w:ind w:firstLine="0"/>
              <w:jc w:val="center"/>
            </w:pPr>
            <w:r>
              <w:rPr>
                <w:b/>
                <w:sz w:val="21"/>
              </w:rPr>
              <w:t>主要核验内容</w:t>
            </w:r>
          </w:p>
        </w:tc>
      </w:tr>
      <w:tr>
        <w:trPr>
          <w:cantSplit/>
        </w:trPr>
        <w:tc>
          <w:tcPr>
            <w:tcW w:type="dxa" w:w="964"/>
            <w:vAlign w:val="center"/>
          </w:tcPr>
          <w:p>
            <w:pPr>
              <w:keepNext w:val="0"/>
              <w:spacing w:line="320" w:lineRule="exact" w:after="0" w:before="0"/>
              <w:ind w:firstLine="0"/>
              <w:jc w:val="center"/>
            </w:pPr>
            <w:r>
              <w:rPr>
                <w:b w:val="0"/>
                <w:sz w:val="21"/>
              </w:rPr>
              <w:t>17</w:t>
            </w:r>
          </w:p>
        </w:tc>
        <w:tc>
          <w:tcPr>
            <w:tcW w:type="dxa" w:w="2409"/>
            <w:vAlign w:val="center"/>
          </w:tcPr>
          <w:p>
            <w:pPr>
              <w:keepNext w:val="0"/>
              <w:spacing w:line="320" w:lineRule="exact" w:after="0" w:before="0"/>
              <w:ind w:firstLine="0"/>
              <w:jc w:val="left"/>
            </w:pPr>
            <w:r>
              <w:rPr>
                <w:b w:val="0"/>
                <w:sz w:val="21"/>
              </w:rPr>
              <w:t>数据标准管理办法</w:t>
            </w:r>
          </w:p>
        </w:tc>
        <w:tc>
          <w:tcPr>
            <w:tcW w:type="dxa" w:w="6265"/>
            <w:vAlign w:val="center"/>
          </w:tcPr>
          <w:p>
            <w:pPr>
              <w:keepNext w:val="0"/>
              <w:spacing w:line="320" w:lineRule="exact" w:after="0" w:before="0"/>
              <w:ind w:firstLine="0"/>
              <w:jc w:val="left"/>
            </w:pPr>
            <w:r>
              <w:rPr>
                <w:b w:val="0"/>
                <w:sz w:val="21"/>
              </w:rPr>
              <w:t>标准全生命周期、职责及应用检查</w:t>
            </w:r>
          </w:p>
        </w:tc>
      </w:tr>
      <w:tr>
        <w:trPr>
          <w:cantSplit/>
        </w:trPr>
        <w:tc>
          <w:tcPr>
            <w:tcW w:type="dxa" w:w="964"/>
            <w:vAlign w:val="center"/>
          </w:tcPr>
          <w:p>
            <w:pPr>
              <w:keepNext w:val="0"/>
              <w:spacing w:line="320" w:lineRule="exact" w:after="0" w:before="0"/>
              <w:ind w:firstLine="0"/>
              <w:jc w:val="center"/>
            </w:pPr>
            <w:r>
              <w:rPr>
                <w:b w:val="0"/>
                <w:sz w:val="21"/>
              </w:rPr>
              <w:t>18</w:t>
            </w:r>
          </w:p>
        </w:tc>
        <w:tc>
          <w:tcPr>
            <w:tcW w:type="dxa" w:w="2409"/>
            <w:vAlign w:val="center"/>
          </w:tcPr>
          <w:p>
            <w:pPr>
              <w:keepNext w:val="0"/>
              <w:spacing w:line="320" w:lineRule="exact" w:after="0" w:before="0"/>
              <w:ind w:firstLine="0"/>
              <w:jc w:val="left"/>
            </w:pPr>
            <w:r>
              <w:rPr>
                <w:b w:val="0"/>
                <w:sz w:val="21"/>
              </w:rPr>
              <w:t>业务术语标准</w:t>
            </w:r>
          </w:p>
        </w:tc>
        <w:tc>
          <w:tcPr>
            <w:tcW w:type="dxa" w:w="6265"/>
            <w:vAlign w:val="center"/>
          </w:tcPr>
          <w:p>
            <w:pPr>
              <w:keepNext w:val="0"/>
              <w:spacing w:line="320" w:lineRule="exact" w:after="0" w:before="0"/>
              <w:ind w:firstLine="0"/>
              <w:jc w:val="left"/>
            </w:pPr>
            <w:r>
              <w:rPr>
                <w:b w:val="0"/>
                <w:sz w:val="21"/>
              </w:rPr>
              <w:t>统一定义、业务含义、同义词及实际引用</w:t>
            </w:r>
          </w:p>
        </w:tc>
      </w:tr>
      <w:tr>
        <w:trPr>
          <w:cantSplit/>
        </w:trPr>
        <w:tc>
          <w:tcPr>
            <w:tcW w:type="dxa" w:w="964"/>
            <w:vAlign w:val="center"/>
          </w:tcPr>
          <w:p>
            <w:pPr>
              <w:keepNext w:val="0"/>
              <w:spacing w:line="320" w:lineRule="exact" w:after="0" w:before="0"/>
              <w:ind w:firstLine="0"/>
              <w:jc w:val="center"/>
            </w:pPr>
            <w:r>
              <w:rPr>
                <w:b w:val="0"/>
                <w:sz w:val="21"/>
              </w:rPr>
              <w:t>19</w:t>
            </w:r>
          </w:p>
        </w:tc>
        <w:tc>
          <w:tcPr>
            <w:tcW w:type="dxa" w:w="2409"/>
            <w:vAlign w:val="center"/>
          </w:tcPr>
          <w:p>
            <w:pPr>
              <w:keepNext w:val="0"/>
              <w:spacing w:line="320" w:lineRule="exact" w:after="0" w:before="0"/>
              <w:ind w:firstLine="0"/>
              <w:jc w:val="left"/>
            </w:pPr>
            <w:r>
              <w:rPr>
                <w:b w:val="0"/>
                <w:sz w:val="21"/>
              </w:rPr>
              <w:t>参考数据标准</w:t>
            </w:r>
          </w:p>
        </w:tc>
        <w:tc>
          <w:tcPr>
            <w:tcW w:type="dxa" w:w="6265"/>
            <w:vAlign w:val="center"/>
          </w:tcPr>
          <w:p>
            <w:pPr>
              <w:keepNext w:val="0"/>
              <w:spacing w:line="320" w:lineRule="exact" w:after="0" w:before="0"/>
              <w:ind w:firstLine="0"/>
              <w:jc w:val="left"/>
            </w:pPr>
            <w:r>
              <w:rPr>
                <w:b w:val="0"/>
                <w:sz w:val="21"/>
              </w:rPr>
              <w:t>管理范围、代码值域及有效历史</w:t>
            </w:r>
          </w:p>
        </w:tc>
      </w:tr>
      <w:tr>
        <w:trPr>
          <w:cantSplit/>
        </w:trPr>
        <w:tc>
          <w:tcPr>
            <w:tcW w:type="dxa" w:w="964"/>
            <w:vAlign w:val="center"/>
          </w:tcPr>
          <w:p>
            <w:pPr>
              <w:keepNext w:val="0"/>
              <w:spacing w:line="320" w:lineRule="exact" w:after="0" w:before="0"/>
              <w:ind w:firstLine="0"/>
              <w:jc w:val="center"/>
            </w:pPr>
            <w:r>
              <w:rPr>
                <w:b w:val="0"/>
                <w:sz w:val="21"/>
              </w:rPr>
              <w:t>20</w:t>
            </w:r>
          </w:p>
        </w:tc>
        <w:tc>
          <w:tcPr>
            <w:tcW w:type="dxa" w:w="2409"/>
            <w:vAlign w:val="center"/>
          </w:tcPr>
          <w:p>
            <w:pPr>
              <w:keepNext w:val="0"/>
              <w:spacing w:line="320" w:lineRule="exact" w:after="0" w:before="0"/>
              <w:ind w:firstLine="0"/>
              <w:jc w:val="left"/>
            </w:pPr>
            <w:r>
              <w:rPr>
                <w:b w:val="0"/>
                <w:sz w:val="21"/>
              </w:rPr>
              <w:t>数据元标准</w:t>
            </w:r>
          </w:p>
        </w:tc>
        <w:tc>
          <w:tcPr>
            <w:tcW w:type="dxa" w:w="6265"/>
            <w:vAlign w:val="center"/>
          </w:tcPr>
          <w:p>
            <w:pPr>
              <w:keepNext w:val="0"/>
              <w:spacing w:line="320" w:lineRule="exact" w:after="0" w:before="0"/>
              <w:ind w:firstLine="0"/>
              <w:jc w:val="left"/>
            </w:pPr>
            <w:r>
              <w:rPr>
                <w:b w:val="0"/>
                <w:sz w:val="21"/>
              </w:rPr>
              <w:t>标识、名称、定义、类型、格式和值域</w:t>
            </w:r>
          </w:p>
        </w:tc>
      </w:tr>
      <w:tr>
        <w:trPr>
          <w:cantSplit/>
        </w:trPr>
        <w:tc>
          <w:tcPr>
            <w:tcW w:type="dxa" w:w="964"/>
            <w:vAlign w:val="center"/>
          </w:tcPr>
          <w:p>
            <w:pPr>
              <w:keepNext w:val="0"/>
              <w:spacing w:line="320" w:lineRule="exact" w:after="0" w:before="0"/>
              <w:ind w:firstLine="0"/>
              <w:jc w:val="center"/>
            </w:pPr>
            <w:r>
              <w:rPr>
                <w:b w:val="0"/>
                <w:sz w:val="21"/>
              </w:rPr>
              <w:t>21</w:t>
            </w:r>
          </w:p>
        </w:tc>
        <w:tc>
          <w:tcPr>
            <w:tcW w:type="dxa" w:w="2409"/>
            <w:vAlign w:val="center"/>
          </w:tcPr>
          <w:p>
            <w:pPr>
              <w:keepNext w:val="0"/>
              <w:spacing w:line="320" w:lineRule="exact" w:after="0" w:before="0"/>
              <w:ind w:firstLine="0"/>
              <w:jc w:val="left"/>
            </w:pPr>
            <w:r>
              <w:rPr>
                <w:b w:val="0"/>
                <w:sz w:val="21"/>
              </w:rPr>
              <w:t>指标标准</w:t>
            </w:r>
          </w:p>
        </w:tc>
        <w:tc>
          <w:tcPr>
            <w:tcW w:type="dxa" w:w="6265"/>
            <w:vAlign w:val="center"/>
          </w:tcPr>
          <w:p>
            <w:pPr>
              <w:keepNext w:val="0"/>
              <w:spacing w:line="320" w:lineRule="exact" w:after="0" w:before="0"/>
              <w:ind w:firstLine="0"/>
              <w:jc w:val="left"/>
            </w:pPr>
            <w:r>
              <w:rPr>
                <w:b w:val="0"/>
                <w:sz w:val="21"/>
              </w:rPr>
              <w:t>业务含义、口径、公式、维度及来源</w:t>
            </w:r>
          </w:p>
        </w:tc>
      </w:tr>
      <w:tr>
        <w:trPr>
          <w:cantSplit/>
        </w:trPr>
        <w:tc>
          <w:tcPr>
            <w:tcW w:type="dxa" w:w="964"/>
            <w:vAlign w:val="center"/>
          </w:tcPr>
          <w:p>
            <w:pPr>
              <w:keepNext w:val="0"/>
              <w:spacing w:line="320" w:lineRule="exact" w:after="0" w:before="0"/>
              <w:ind w:firstLine="0"/>
              <w:jc w:val="center"/>
            </w:pPr>
            <w:r>
              <w:rPr>
                <w:b w:val="0"/>
                <w:sz w:val="21"/>
              </w:rPr>
              <w:t>22</w:t>
            </w:r>
          </w:p>
        </w:tc>
        <w:tc>
          <w:tcPr>
            <w:tcW w:type="dxa" w:w="2409"/>
            <w:vAlign w:val="center"/>
          </w:tcPr>
          <w:p>
            <w:pPr>
              <w:keepNext w:val="0"/>
              <w:spacing w:line="320" w:lineRule="exact" w:after="0" w:before="0"/>
              <w:ind w:firstLine="0"/>
              <w:jc w:val="left"/>
            </w:pPr>
            <w:r>
              <w:rPr>
                <w:b w:val="0"/>
                <w:sz w:val="21"/>
              </w:rPr>
              <w:t>标准映射对照表</w:t>
            </w:r>
          </w:p>
        </w:tc>
        <w:tc>
          <w:tcPr>
            <w:tcW w:type="dxa" w:w="6265"/>
            <w:vAlign w:val="center"/>
          </w:tcPr>
          <w:p>
            <w:pPr>
              <w:keepNext w:val="0"/>
              <w:spacing w:line="320" w:lineRule="exact" w:after="0" w:before="0"/>
              <w:ind w:firstLine="0"/>
              <w:jc w:val="left"/>
            </w:pPr>
            <w:r>
              <w:rPr>
                <w:b w:val="0"/>
                <w:sz w:val="21"/>
              </w:rPr>
              <w:t>来源、目标、版本、条件及转换逻辑</w:t>
            </w:r>
          </w:p>
        </w:tc>
      </w:tr>
      <w:tr>
        <w:trPr>
          <w:cantSplit/>
        </w:trPr>
        <w:tc>
          <w:tcPr>
            <w:tcW w:type="dxa" w:w="964"/>
            <w:vAlign w:val="center"/>
          </w:tcPr>
          <w:p>
            <w:pPr>
              <w:keepNext w:val="0"/>
              <w:spacing w:line="320" w:lineRule="exact" w:after="0" w:before="0"/>
              <w:ind w:firstLine="0"/>
              <w:jc w:val="center"/>
            </w:pPr>
            <w:r>
              <w:rPr>
                <w:b w:val="0"/>
                <w:sz w:val="21"/>
              </w:rPr>
              <w:t>23</w:t>
            </w:r>
          </w:p>
        </w:tc>
        <w:tc>
          <w:tcPr>
            <w:tcW w:type="dxa" w:w="2409"/>
            <w:vAlign w:val="center"/>
          </w:tcPr>
          <w:p>
            <w:pPr>
              <w:keepNext w:val="0"/>
              <w:spacing w:line="320" w:lineRule="exact" w:after="0" w:before="0"/>
              <w:ind w:firstLine="0"/>
              <w:jc w:val="left"/>
            </w:pPr>
            <w:r>
              <w:rPr>
                <w:b w:val="0"/>
                <w:sz w:val="21"/>
              </w:rPr>
              <w:t>数据质量管理办法</w:t>
            </w:r>
          </w:p>
        </w:tc>
        <w:tc>
          <w:tcPr>
            <w:tcW w:type="dxa" w:w="6265"/>
            <w:vAlign w:val="center"/>
          </w:tcPr>
          <w:p>
            <w:pPr>
              <w:keepNext w:val="0"/>
              <w:spacing w:line="320" w:lineRule="exact" w:after="0" w:before="0"/>
              <w:ind w:firstLine="0"/>
              <w:jc w:val="left"/>
            </w:pPr>
            <w:r>
              <w:rPr>
                <w:b w:val="0"/>
                <w:sz w:val="21"/>
              </w:rPr>
              <w:t>六维管理、检查分析及整改责任</w:t>
            </w:r>
          </w:p>
        </w:tc>
      </w:tr>
      <w:tr>
        <w:trPr>
          <w:cantSplit/>
        </w:trPr>
        <w:tc>
          <w:tcPr>
            <w:tcW w:type="dxa" w:w="964"/>
            <w:vAlign w:val="center"/>
          </w:tcPr>
          <w:p>
            <w:pPr>
              <w:keepNext w:val="0"/>
              <w:spacing w:line="320" w:lineRule="exact" w:after="0" w:before="0"/>
              <w:ind w:firstLine="0"/>
              <w:jc w:val="center"/>
            </w:pPr>
            <w:r>
              <w:rPr>
                <w:b w:val="0"/>
                <w:sz w:val="21"/>
              </w:rPr>
              <w:t>24</w:t>
            </w:r>
          </w:p>
        </w:tc>
        <w:tc>
          <w:tcPr>
            <w:tcW w:type="dxa" w:w="2409"/>
            <w:vAlign w:val="center"/>
          </w:tcPr>
          <w:p>
            <w:pPr>
              <w:keepNext w:val="0"/>
              <w:spacing w:line="320" w:lineRule="exact" w:after="0" w:before="0"/>
              <w:ind w:firstLine="0"/>
              <w:jc w:val="left"/>
            </w:pPr>
            <w:r>
              <w:rPr>
                <w:b w:val="0"/>
                <w:sz w:val="21"/>
              </w:rPr>
              <w:t>数据质量需求清单</w:t>
            </w:r>
          </w:p>
        </w:tc>
        <w:tc>
          <w:tcPr>
            <w:tcW w:type="dxa" w:w="6265"/>
            <w:vAlign w:val="center"/>
          </w:tcPr>
          <w:p>
            <w:pPr>
              <w:keepNext w:val="0"/>
              <w:spacing w:line="320" w:lineRule="exact" w:after="0" w:before="0"/>
              <w:ind w:firstLine="0"/>
              <w:jc w:val="left"/>
            </w:pPr>
            <w:r>
              <w:rPr>
                <w:b w:val="0"/>
                <w:sz w:val="21"/>
              </w:rPr>
              <w:t>业务对象、用途、要求和验证方法</w:t>
            </w:r>
          </w:p>
        </w:tc>
      </w:tr>
      <w:tr>
        <w:trPr>
          <w:cantSplit/>
        </w:trPr>
        <w:tc>
          <w:tcPr>
            <w:tcW w:type="dxa" w:w="964"/>
            <w:vAlign w:val="center"/>
          </w:tcPr>
          <w:p>
            <w:pPr>
              <w:keepNext w:val="0"/>
              <w:spacing w:line="320" w:lineRule="exact" w:after="0" w:before="0"/>
              <w:ind w:firstLine="0"/>
              <w:jc w:val="center"/>
            </w:pPr>
            <w:r>
              <w:rPr>
                <w:b w:val="0"/>
                <w:sz w:val="21"/>
              </w:rPr>
              <w:t>25</w:t>
            </w:r>
          </w:p>
        </w:tc>
        <w:tc>
          <w:tcPr>
            <w:tcW w:type="dxa" w:w="2409"/>
            <w:vAlign w:val="center"/>
          </w:tcPr>
          <w:p>
            <w:pPr>
              <w:keepNext w:val="0"/>
              <w:spacing w:line="320" w:lineRule="exact" w:after="0" w:before="0"/>
              <w:ind w:firstLine="0"/>
              <w:jc w:val="left"/>
            </w:pPr>
            <w:r>
              <w:rPr>
                <w:b w:val="0"/>
                <w:sz w:val="21"/>
              </w:rPr>
              <w:t>数据质量校验规则库</w:t>
            </w:r>
          </w:p>
        </w:tc>
        <w:tc>
          <w:tcPr>
            <w:tcW w:type="dxa" w:w="6265"/>
            <w:vAlign w:val="center"/>
          </w:tcPr>
          <w:p>
            <w:pPr>
              <w:keepNext w:val="0"/>
              <w:spacing w:line="320" w:lineRule="exact" w:after="0" w:before="0"/>
              <w:ind w:firstLine="0"/>
              <w:jc w:val="left"/>
            </w:pPr>
            <w:r>
              <w:rPr>
                <w:b w:val="0"/>
                <w:sz w:val="21"/>
              </w:rPr>
              <w:t>规则逻辑、参数、适用条件及执行配置</w:t>
            </w:r>
          </w:p>
        </w:tc>
      </w:tr>
      <w:tr>
        <w:trPr>
          <w:cantSplit/>
        </w:trPr>
        <w:tc>
          <w:tcPr>
            <w:tcW w:type="dxa" w:w="964"/>
            <w:vAlign w:val="center"/>
          </w:tcPr>
          <w:p>
            <w:pPr>
              <w:keepNext w:val="0"/>
              <w:spacing w:line="320" w:lineRule="exact" w:after="0" w:before="0"/>
              <w:ind w:firstLine="0"/>
              <w:jc w:val="center"/>
            </w:pPr>
            <w:r>
              <w:rPr>
                <w:b w:val="0"/>
                <w:sz w:val="21"/>
              </w:rPr>
              <w:t>26</w:t>
            </w:r>
          </w:p>
        </w:tc>
        <w:tc>
          <w:tcPr>
            <w:tcW w:type="dxa" w:w="2409"/>
            <w:vAlign w:val="center"/>
          </w:tcPr>
          <w:p>
            <w:pPr>
              <w:keepNext w:val="0"/>
              <w:spacing w:line="320" w:lineRule="exact" w:after="0" w:before="0"/>
              <w:ind w:firstLine="0"/>
              <w:jc w:val="left"/>
            </w:pPr>
            <w:r>
              <w:rPr>
                <w:b w:val="0"/>
                <w:sz w:val="21"/>
              </w:rPr>
              <w:t>质量分析报告</w:t>
            </w:r>
          </w:p>
        </w:tc>
        <w:tc>
          <w:tcPr>
            <w:tcW w:type="dxa" w:w="6265"/>
            <w:vAlign w:val="center"/>
          </w:tcPr>
          <w:p>
            <w:pPr>
              <w:keepNext w:val="0"/>
              <w:spacing w:line="320" w:lineRule="exact" w:after="0" w:before="0"/>
              <w:ind w:firstLine="0"/>
              <w:jc w:val="left"/>
            </w:pPr>
            <w:r>
              <w:rPr>
                <w:b w:val="0"/>
                <w:sz w:val="21"/>
              </w:rPr>
              <w:t>覆盖、结果、原因、影响及改进</w:t>
            </w:r>
          </w:p>
        </w:tc>
      </w:tr>
      <w:tr>
        <w:trPr>
          <w:cantSplit/>
        </w:trPr>
        <w:tc>
          <w:tcPr>
            <w:tcW w:type="dxa" w:w="964"/>
            <w:vAlign w:val="center"/>
          </w:tcPr>
          <w:p>
            <w:pPr>
              <w:keepNext w:val="0"/>
              <w:spacing w:line="320" w:lineRule="exact" w:after="0" w:before="0"/>
              <w:ind w:firstLine="0"/>
              <w:jc w:val="center"/>
            </w:pPr>
            <w:r>
              <w:rPr>
                <w:b w:val="0"/>
                <w:sz w:val="21"/>
              </w:rPr>
              <w:t>27</w:t>
            </w:r>
          </w:p>
        </w:tc>
        <w:tc>
          <w:tcPr>
            <w:tcW w:type="dxa" w:w="2409"/>
            <w:vAlign w:val="center"/>
          </w:tcPr>
          <w:p>
            <w:pPr>
              <w:keepNext w:val="0"/>
              <w:spacing w:line="320" w:lineRule="exact" w:after="0" w:before="0"/>
              <w:ind w:firstLine="0"/>
              <w:jc w:val="left"/>
            </w:pPr>
            <w:r>
              <w:rPr>
                <w:b w:val="0"/>
                <w:sz w:val="21"/>
              </w:rPr>
              <w:t>质量问题整改台账</w:t>
            </w:r>
          </w:p>
        </w:tc>
        <w:tc>
          <w:tcPr>
            <w:tcW w:type="dxa" w:w="6265"/>
            <w:vAlign w:val="center"/>
          </w:tcPr>
          <w:p>
            <w:pPr>
              <w:keepNext w:val="0"/>
              <w:spacing w:line="320" w:lineRule="exact" w:after="0" w:before="0"/>
              <w:ind w:firstLine="0"/>
              <w:jc w:val="left"/>
            </w:pPr>
            <w:r>
              <w:rPr>
                <w:b w:val="0"/>
                <w:sz w:val="21"/>
              </w:rPr>
              <w:t>上报、分派、整改、复核及归档</w:t>
            </w:r>
          </w:p>
        </w:tc>
      </w:tr>
    </w:tbl>
    <w:p>
      <w:pPr>
        <w:spacing w:after="40" w:line="240" w:lineRule="auto"/>
        <w:ind w:firstLine="0"/>
      </w:pPr>
      <w:r>
        <w:rPr>
          <w:sz w:val="4"/>
        </w:rPr>
      </w:r>
    </w:p>
    <w:p>
      <w:pPr>
        <w:jc w:val="both"/>
      </w:pPr>
      <w:r>
        <w:t>交付时核对同名字段和术语的定义一致，规则采用有效标准版本，分析结果引用实际检查范围，整改台账状态与数据和下游恢复相符。对历史差异和不能直接比较的内容保留判断依据及限制，不能通过删除例外记录形成表面一致。</w:t>
      </w:r>
    </w:p>
    <w:p>
      <w:pPr>
        <w:pStyle w:val="Heading2"/>
      </w:pPr>
      <w:r>
        <w:t>7.4 安全生存周期应用流通成果</w:t>
      </w:r>
    </w:p>
    <w:p>
      <w:pPr>
        <w:jc w:val="both"/>
      </w:pPr>
      <w:r>
        <w:t>安全成果规定分级、权限、保护及审计，并落实到平台策略和真实使用路径。生存周期成果规范从需求到退出的责任和记录，应用流通成果规范外部引入及共享使用。三类成果在授权期限、保存条件、日志、退役和副本处置方面采用一致要求。</w:t>
      </w:r>
    </w:p>
    <w:p>
      <w:pPr>
        <w:pStyle w:val="Caption"/>
        <w:keepNext/>
      </w:pPr>
      <w:r>
        <w:t>表7-3 安全生存周期及应用流通成果清单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964"/>
        <w:gridCol w:w="2409"/>
        <w:gridCol w:w="6265"/>
      </w:tblGrid>
      <w:tr>
        <w:trPr>
          <w:cantSplit/>
          <w:tblHeader/>
        </w:trPr>
        <w:tc>
          <w:tcPr>
            <w:tcW w:type="dxa" w:w="964"/>
            <w:vAlign w:val="center"/>
            <w:shd w:fill="EDF1F3"/>
          </w:tcPr>
          <w:p>
            <w:pPr>
              <w:keepNext/>
              <w:spacing w:line="320" w:lineRule="exact" w:after="0" w:before="0"/>
              <w:ind w:firstLine="0"/>
              <w:jc w:val="center"/>
            </w:pPr>
            <w:r>
              <w:rPr>
                <w:b/>
                <w:sz w:val="21"/>
              </w:rPr>
              <w:t>序号</w:t>
            </w:r>
          </w:p>
        </w:tc>
        <w:tc>
          <w:tcPr>
            <w:tcW w:type="dxa" w:w="2409"/>
            <w:vAlign w:val="center"/>
            <w:shd w:fill="EDF1F3"/>
          </w:tcPr>
          <w:p>
            <w:pPr>
              <w:keepNext/>
              <w:spacing w:line="320" w:lineRule="exact" w:after="0" w:before="0"/>
              <w:ind w:firstLine="0"/>
              <w:jc w:val="center"/>
            </w:pPr>
            <w:r>
              <w:rPr>
                <w:b/>
                <w:sz w:val="21"/>
              </w:rPr>
              <w:t>成果名称</w:t>
            </w:r>
          </w:p>
        </w:tc>
        <w:tc>
          <w:tcPr>
            <w:tcW w:type="dxa" w:w="6265"/>
            <w:vAlign w:val="center"/>
            <w:shd w:fill="EDF1F3"/>
          </w:tcPr>
          <w:p>
            <w:pPr>
              <w:keepNext/>
              <w:spacing w:line="320" w:lineRule="exact" w:after="0" w:before="0"/>
              <w:ind w:firstLine="0"/>
              <w:jc w:val="center"/>
            </w:pPr>
            <w:r>
              <w:rPr>
                <w:b/>
                <w:sz w:val="21"/>
              </w:rPr>
              <w:t>主要核验内容</w:t>
            </w:r>
          </w:p>
        </w:tc>
      </w:tr>
      <w:tr>
        <w:trPr>
          <w:cantSplit/>
        </w:trPr>
        <w:tc>
          <w:tcPr>
            <w:tcW w:type="dxa" w:w="964"/>
            <w:vAlign w:val="center"/>
          </w:tcPr>
          <w:p>
            <w:pPr>
              <w:keepNext w:val="0"/>
              <w:spacing w:line="320" w:lineRule="exact" w:after="0" w:before="0"/>
              <w:ind w:firstLine="0"/>
              <w:jc w:val="center"/>
            </w:pPr>
            <w:r>
              <w:rPr>
                <w:b w:val="0"/>
                <w:sz w:val="21"/>
              </w:rPr>
              <w:t>28</w:t>
            </w:r>
          </w:p>
        </w:tc>
        <w:tc>
          <w:tcPr>
            <w:tcW w:type="dxa" w:w="2409"/>
            <w:vAlign w:val="center"/>
          </w:tcPr>
          <w:p>
            <w:pPr>
              <w:keepNext w:val="0"/>
              <w:spacing w:line="320" w:lineRule="exact" w:after="0" w:before="0"/>
              <w:ind w:firstLine="0"/>
              <w:jc w:val="left"/>
            </w:pPr>
            <w:r>
              <w:rPr>
                <w:b w:val="0"/>
                <w:sz w:val="21"/>
              </w:rPr>
              <w:t>数据合规管理制度</w:t>
            </w:r>
          </w:p>
        </w:tc>
        <w:tc>
          <w:tcPr>
            <w:tcW w:type="dxa" w:w="6265"/>
            <w:vAlign w:val="center"/>
          </w:tcPr>
          <w:p>
            <w:pPr>
              <w:keepNext w:val="0"/>
              <w:spacing w:line="320" w:lineRule="exact" w:after="0" w:before="0"/>
              <w:ind w:firstLine="0"/>
              <w:jc w:val="left"/>
            </w:pPr>
            <w:r>
              <w:rPr>
                <w:b w:val="0"/>
                <w:sz w:val="21"/>
              </w:rPr>
              <w:t>来源、许可、用途及持续复查</w:t>
            </w:r>
          </w:p>
        </w:tc>
      </w:tr>
      <w:tr>
        <w:trPr>
          <w:cantSplit/>
        </w:trPr>
        <w:tc>
          <w:tcPr>
            <w:tcW w:type="dxa" w:w="964"/>
            <w:vAlign w:val="center"/>
          </w:tcPr>
          <w:p>
            <w:pPr>
              <w:keepNext w:val="0"/>
              <w:spacing w:line="320" w:lineRule="exact" w:after="0" w:before="0"/>
              <w:ind w:firstLine="0"/>
              <w:jc w:val="center"/>
            </w:pPr>
            <w:r>
              <w:rPr>
                <w:b w:val="0"/>
                <w:sz w:val="21"/>
              </w:rPr>
              <w:t>29</w:t>
            </w:r>
          </w:p>
        </w:tc>
        <w:tc>
          <w:tcPr>
            <w:tcW w:type="dxa" w:w="2409"/>
            <w:vAlign w:val="center"/>
          </w:tcPr>
          <w:p>
            <w:pPr>
              <w:keepNext w:val="0"/>
              <w:spacing w:line="320" w:lineRule="exact" w:after="0" w:before="0"/>
              <w:ind w:firstLine="0"/>
              <w:jc w:val="left"/>
            </w:pPr>
            <w:r>
              <w:rPr>
                <w:b w:val="0"/>
                <w:sz w:val="21"/>
              </w:rPr>
              <w:t>数据安全管理办法</w:t>
            </w:r>
          </w:p>
        </w:tc>
        <w:tc>
          <w:tcPr>
            <w:tcW w:type="dxa" w:w="6265"/>
            <w:vAlign w:val="center"/>
          </w:tcPr>
          <w:p>
            <w:pPr>
              <w:keepNext w:val="0"/>
              <w:spacing w:line="320" w:lineRule="exact" w:after="0" w:before="0"/>
              <w:ind w:firstLine="0"/>
              <w:jc w:val="left"/>
            </w:pPr>
            <w:r>
              <w:rPr>
                <w:b w:val="0"/>
                <w:sz w:val="21"/>
              </w:rPr>
              <w:t>安全职责、防护、审计和异常处置</w:t>
            </w:r>
          </w:p>
        </w:tc>
      </w:tr>
      <w:tr>
        <w:trPr>
          <w:cantSplit/>
        </w:trPr>
        <w:tc>
          <w:tcPr>
            <w:tcW w:type="dxa" w:w="964"/>
            <w:vAlign w:val="center"/>
          </w:tcPr>
          <w:p>
            <w:pPr>
              <w:keepNext w:val="0"/>
              <w:spacing w:line="320" w:lineRule="exact" w:after="0" w:before="0"/>
              <w:ind w:firstLine="0"/>
              <w:jc w:val="center"/>
            </w:pPr>
            <w:r>
              <w:rPr>
                <w:b w:val="0"/>
                <w:sz w:val="21"/>
              </w:rPr>
              <w:t>30</w:t>
            </w:r>
          </w:p>
        </w:tc>
        <w:tc>
          <w:tcPr>
            <w:tcW w:type="dxa" w:w="2409"/>
            <w:vAlign w:val="center"/>
          </w:tcPr>
          <w:p>
            <w:pPr>
              <w:keepNext w:val="0"/>
              <w:spacing w:line="320" w:lineRule="exact" w:after="0" w:before="0"/>
              <w:ind w:firstLine="0"/>
              <w:jc w:val="left"/>
            </w:pPr>
            <w:r>
              <w:rPr>
                <w:b w:val="0"/>
                <w:sz w:val="21"/>
              </w:rPr>
              <w:t>数据安全分级标准</w:t>
            </w:r>
          </w:p>
        </w:tc>
        <w:tc>
          <w:tcPr>
            <w:tcW w:type="dxa" w:w="6265"/>
            <w:vAlign w:val="center"/>
          </w:tcPr>
          <w:p>
            <w:pPr>
              <w:keepNext w:val="0"/>
              <w:spacing w:line="320" w:lineRule="exact" w:after="0" w:before="0"/>
              <w:ind w:firstLine="0"/>
              <w:jc w:val="left"/>
            </w:pPr>
            <w:r>
              <w:rPr>
                <w:b w:val="0"/>
                <w:sz w:val="21"/>
              </w:rPr>
              <w:t>L1至L5分级依据、目录及维护</w:t>
            </w:r>
          </w:p>
        </w:tc>
      </w:tr>
      <w:tr>
        <w:trPr>
          <w:cantSplit/>
        </w:trPr>
        <w:tc>
          <w:tcPr>
            <w:tcW w:type="dxa" w:w="964"/>
            <w:vAlign w:val="center"/>
          </w:tcPr>
          <w:p>
            <w:pPr>
              <w:keepNext w:val="0"/>
              <w:spacing w:line="320" w:lineRule="exact" w:after="0" w:before="0"/>
              <w:ind w:firstLine="0"/>
              <w:jc w:val="center"/>
            </w:pPr>
            <w:r>
              <w:rPr>
                <w:b w:val="0"/>
                <w:sz w:val="21"/>
              </w:rPr>
              <w:t>31</w:t>
            </w:r>
          </w:p>
        </w:tc>
        <w:tc>
          <w:tcPr>
            <w:tcW w:type="dxa" w:w="2409"/>
            <w:vAlign w:val="center"/>
          </w:tcPr>
          <w:p>
            <w:pPr>
              <w:keepNext w:val="0"/>
              <w:spacing w:line="320" w:lineRule="exact" w:after="0" w:before="0"/>
              <w:ind w:firstLine="0"/>
              <w:jc w:val="left"/>
            </w:pPr>
            <w:r>
              <w:rPr>
                <w:b w:val="0"/>
                <w:sz w:val="21"/>
              </w:rPr>
              <w:t>数据权限管理规范</w:t>
            </w:r>
          </w:p>
        </w:tc>
        <w:tc>
          <w:tcPr>
            <w:tcW w:type="dxa" w:w="6265"/>
            <w:vAlign w:val="center"/>
          </w:tcPr>
          <w:p>
            <w:pPr>
              <w:keepNext w:val="0"/>
              <w:spacing w:line="320" w:lineRule="exact" w:after="0" w:before="0"/>
              <w:ind w:firstLine="0"/>
              <w:jc w:val="left"/>
            </w:pPr>
            <w:r>
              <w:rPr>
                <w:b w:val="0"/>
                <w:sz w:val="21"/>
              </w:rPr>
              <w:t>申请、批准、开通、复查及回收</w:t>
            </w:r>
          </w:p>
        </w:tc>
      </w:tr>
      <w:tr>
        <w:trPr>
          <w:cantSplit/>
        </w:trPr>
        <w:tc>
          <w:tcPr>
            <w:tcW w:type="dxa" w:w="964"/>
            <w:vAlign w:val="center"/>
          </w:tcPr>
          <w:p>
            <w:pPr>
              <w:keepNext w:val="0"/>
              <w:spacing w:line="320" w:lineRule="exact" w:after="0" w:before="0"/>
              <w:ind w:firstLine="0"/>
              <w:jc w:val="center"/>
            </w:pPr>
            <w:r>
              <w:rPr>
                <w:b w:val="0"/>
                <w:sz w:val="21"/>
              </w:rPr>
              <w:t>32</w:t>
            </w:r>
          </w:p>
        </w:tc>
        <w:tc>
          <w:tcPr>
            <w:tcW w:type="dxa" w:w="2409"/>
            <w:vAlign w:val="center"/>
          </w:tcPr>
          <w:p>
            <w:pPr>
              <w:keepNext w:val="0"/>
              <w:spacing w:line="320" w:lineRule="exact" w:after="0" w:before="0"/>
              <w:ind w:firstLine="0"/>
              <w:jc w:val="left"/>
            </w:pPr>
            <w:r>
              <w:rPr>
                <w:b w:val="0"/>
                <w:sz w:val="21"/>
              </w:rPr>
              <w:t>数据需求管理规范</w:t>
            </w:r>
          </w:p>
        </w:tc>
        <w:tc>
          <w:tcPr>
            <w:tcW w:type="dxa" w:w="6265"/>
            <w:vAlign w:val="center"/>
          </w:tcPr>
          <w:p>
            <w:pPr>
              <w:keepNext w:val="0"/>
              <w:spacing w:line="320" w:lineRule="exact" w:after="0" w:before="0"/>
              <w:ind w:firstLine="0"/>
              <w:jc w:val="left"/>
            </w:pPr>
            <w:r>
              <w:rPr>
                <w:b w:val="0"/>
                <w:sz w:val="21"/>
              </w:rPr>
              <w:t>提交、受理、评审、排期及反馈</w:t>
            </w:r>
          </w:p>
        </w:tc>
      </w:tr>
      <w:tr>
        <w:trPr>
          <w:cantSplit/>
        </w:trPr>
        <w:tc>
          <w:tcPr>
            <w:tcW w:type="dxa" w:w="964"/>
            <w:vAlign w:val="center"/>
          </w:tcPr>
          <w:p>
            <w:pPr>
              <w:keepNext w:val="0"/>
              <w:spacing w:line="320" w:lineRule="exact" w:after="0" w:before="0"/>
              <w:ind w:firstLine="0"/>
              <w:jc w:val="center"/>
            </w:pPr>
            <w:r>
              <w:rPr>
                <w:b w:val="0"/>
                <w:sz w:val="21"/>
              </w:rPr>
              <w:t>33</w:t>
            </w:r>
          </w:p>
        </w:tc>
        <w:tc>
          <w:tcPr>
            <w:tcW w:type="dxa" w:w="2409"/>
            <w:vAlign w:val="center"/>
          </w:tcPr>
          <w:p>
            <w:pPr>
              <w:keepNext w:val="0"/>
              <w:spacing w:line="320" w:lineRule="exact" w:after="0" w:before="0"/>
              <w:ind w:firstLine="0"/>
              <w:jc w:val="left"/>
            </w:pPr>
            <w:r>
              <w:rPr>
                <w:b w:val="0"/>
                <w:sz w:val="21"/>
              </w:rPr>
              <w:t>数据设计开发规范</w:t>
            </w:r>
          </w:p>
        </w:tc>
        <w:tc>
          <w:tcPr>
            <w:tcW w:type="dxa" w:w="6265"/>
            <w:vAlign w:val="center"/>
          </w:tcPr>
          <w:p>
            <w:pPr>
              <w:keepNext w:val="0"/>
              <w:spacing w:line="320" w:lineRule="exact" w:after="0" w:before="0"/>
              <w:ind w:firstLine="0"/>
              <w:jc w:val="left"/>
            </w:pPr>
            <w:r>
              <w:rPr>
                <w:b w:val="0"/>
                <w:sz w:val="21"/>
              </w:rPr>
              <w:t>采集、加工、模型、接口和发布</w:t>
            </w:r>
          </w:p>
        </w:tc>
      </w:tr>
      <w:tr>
        <w:trPr>
          <w:cantSplit/>
        </w:trPr>
        <w:tc>
          <w:tcPr>
            <w:tcW w:type="dxa" w:w="964"/>
            <w:vAlign w:val="center"/>
          </w:tcPr>
          <w:p>
            <w:pPr>
              <w:keepNext w:val="0"/>
              <w:spacing w:line="320" w:lineRule="exact" w:after="0" w:before="0"/>
              <w:ind w:firstLine="0"/>
              <w:jc w:val="center"/>
            </w:pPr>
            <w:r>
              <w:rPr>
                <w:b w:val="0"/>
                <w:sz w:val="21"/>
              </w:rPr>
              <w:t>34</w:t>
            </w:r>
          </w:p>
        </w:tc>
        <w:tc>
          <w:tcPr>
            <w:tcW w:type="dxa" w:w="2409"/>
            <w:vAlign w:val="center"/>
          </w:tcPr>
          <w:p>
            <w:pPr>
              <w:keepNext w:val="0"/>
              <w:spacing w:line="320" w:lineRule="exact" w:after="0" w:before="0"/>
              <w:ind w:firstLine="0"/>
              <w:jc w:val="left"/>
            </w:pPr>
            <w:r>
              <w:rPr>
                <w:b w:val="0"/>
                <w:sz w:val="21"/>
              </w:rPr>
              <w:t>数据运维管理制度</w:t>
            </w:r>
          </w:p>
        </w:tc>
        <w:tc>
          <w:tcPr>
            <w:tcW w:type="dxa" w:w="6265"/>
            <w:vAlign w:val="center"/>
          </w:tcPr>
          <w:p>
            <w:pPr>
              <w:keepNext w:val="0"/>
              <w:spacing w:line="320" w:lineRule="exact" w:after="0" w:before="0"/>
              <w:ind w:firstLine="0"/>
              <w:jc w:val="left"/>
            </w:pPr>
            <w:r>
              <w:rPr>
                <w:b w:val="0"/>
                <w:sz w:val="21"/>
              </w:rPr>
              <w:t>责任、监控、告警、恢复及复盘</w:t>
            </w:r>
          </w:p>
        </w:tc>
      </w:tr>
      <w:tr>
        <w:trPr>
          <w:cantSplit/>
        </w:trPr>
        <w:tc>
          <w:tcPr>
            <w:tcW w:type="dxa" w:w="964"/>
            <w:vAlign w:val="center"/>
          </w:tcPr>
          <w:p>
            <w:pPr>
              <w:keepNext w:val="0"/>
              <w:spacing w:line="320" w:lineRule="exact" w:after="0" w:before="0"/>
              <w:ind w:firstLine="0"/>
              <w:jc w:val="center"/>
            </w:pPr>
            <w:r>
              <w:rPr>
                <w:b w:val="0"/>
                <w:sz w:val="21"/>
              </w:rPr>
              <w:t>35</w:t>
            </w:r>
          </w:p>
        </w:tc>
        <w:tc>
          <w:tcPr>
            <w:tcW w:type="dxa" w:w="2409"/>
            <w:vAlign w:val="center"/>
          </w:tcPr>
          <w:p>
            <w:pPr>
              <w:keepNext w:val="0"/>
              <w:spacing w:line="320" w:lineRule="exact" w:after="0" w:before="0"/>
              <w:ind w:firstLine="0"/>
              <w:jc w:val="left"/>
            </w:pPr>
            <w:r>
              <w:rPr>
                <w:b w:val="0"/>
                <w:sz w:val="21"/>
              </w:rPr>
              <w:t>数据退役管理规范</w:t>
            </w:r>
          </w:p>
        </w:tc>
        <w:tc>
          <w:tcPr>
            <w:tcW w:type="dxa" w:w="6265"/>
            <w:vAlign w:val="center"/>
          </w:tcPr>
          <w:p>
            <w:pPr>
              <w:keepNext w:val="0"/>
              <w:spacing w:line="320" w:lineRule="exact" w:after="0" w:before="0"/>
              <w:ind w:firstLine="0"/>
              <w:jc w:val="left"/>
            </w:pPr>
            <w:r>
              <w:rPr>
                <w:b w:val="0"/>
                <w:sz w:val="21"/>
              </w:rPr>
              <w:t>评估、归档、销毁及批准复核</w:t>
            </w:r>
          </w:p>
        </w:tc>
      </w:tr>
      <w:tr>
        <w:trPr>
          <w:cantSplit/>
        </w:trPr>
        <w:tc>
          <w:tcPr>
            <w:tcW w:type="dxa" w:w="964"/>
            <w:vAlign w:val="center"/>
          </w:tcPr>
          <w:p>
            <w:pPr>
              <w:keepNext w:val="0"/>
              <w:spacing w:line="320" w:lineRule="exact" w:after="0" w:before="0"/>
              <w:ind w:firstLine="0"/>
              <w:jc w:val="center"/>
            </w:pPr>
            <w:r>
              <w:rPr>
                <w:b w:val="0"/>
                <w:sz w:val="21"/>
              </w:rPr>
              <w:t>36</w:t>
            </w:r>
          </w:p>
        </w:tc>
        <w:tc>
          <w:tcPr>
            <w:tcW w:type="dxa" w:w="2409"/>
            <w:vAlign w:val="center"/>
          </w:tcPr>
          <w:p>
            <w:pPr>
              <w:keepNext w:val="0"/>
              <w:spacing w:line="320" w:lineRule="exact" w:after="0" w:before="0"/>
              <w:ind w:firstLine="0"/>
              <w:jc w:val="left"/>
            </w:pPr>
            <w:r>
              <w:rPr>
                <w:b w:val="0"/>
                <w:sz w:val="21"/>
              </w:rPr>
              <w:t>外部数据引入管理办法</w:t>
            </w:r>
          </w:p>
        </w:tc>
        <w:tc>
          <w:tcPr>
            <w:tcW w:type="dxa" w:w="6265"/>
            <w:vAlign w:val="center"/>
          </w:tcPr>
          <w:p>
            <w:pPr>
              <w:keepNext w:val="0"/>
              <w:spacing w:line="320" w:lineRule="exact" w:after="0" w:before="0"/>
              <w:ind w:firstLine="0"/>
              <w:jc w:val="left"/>
            </w:pPr>
            <w:r>
              <w:rPr>
                <w:b w:val="0"/>
                <w:sz w:val="21"/>
              </w:rPr>
              <w:t>采购、接入、核验、评估和使用边界</w:t>
            </w:r>
          </w:p>
        </w:tc>
      </w:tr>
      <w:tr>
        <w:trPr>
          <w:cantSplit/>
        </w:trPr>
        <w:tc>
          <w:tcPr>
            <w:tcW w:type="dxa" w:w="964"/>
            <w:vAlign w:val="center"/>
          </w:tcPr>
          <w:p>
            <w:pPr>
              <w:keepNext w:val="0"/>
              <w:spacing w:line="320" w:lineRule="exact" w:after="0" w:before="0"/>
              <w:ind w:firstLine="0"/>
              <w:jc w:val="center"/>
            </w:pPr>
            <w:r>
              <w:rPr>
                <w:b w:val="0"/>
                <w:sz w:val="21"/>
              </w:rPr>
              <w:t>37</w:t>
            </w:r>
          </w:p>
        </w:tc>
        <w:tc>
          <w:tcPr>
            <w:tcW w:type="dxa" w:w="2409"/>
            <w:vAlign w:val="center"/>
          </w:tcPr>
          <w:p>
            <w:pPr>
              <w:keepNext w:val="0"/>
              <w:spacing w:line="320" w:lineRule="exact" w:after="0" w:before="0"/>
              <w:ind w:firstLine="0"/>
              <w:jc w:val="left"/>
            </w:pPr>
            <w:r>
              <w:rPr>
                <w:b w:val="0"/>
                <w:sz w:val="21"/>
              </w:rPr>
              <w:t>数据开放共享管理规范</w:t>
            </w:r>
          </w:p>
        </w:tc>
        <w:tc>
          <w:tcPr>
            <w:tcW w:type="dxa" w:w="6265"/>
            <w:vAlign w:val="center"/>
          </w:tcPr>
          <w:p>
            <w:pPr>
              <w:keepNext w:val="0"/>
              <w:spacing w:line="320" w:lineRule="exact" w:after="0" w:before="0"/>
              <w:ind w:firstLine="0"/>
              <w:jc w:val="left"/>
            </w:pPr>
            <w:r>
              <w:rPr>
                <w:b w:val="0"/>
                <w:sz w:val="21"/>
              </w:rPr>
              <w:t>申请、审批、授权、提供及退出</w:t>
            </w:r>
          </w:p>
        </w:tc>
      </w:tr>
    </w:tbl>
    <w:p>
      <w:pPr>
        <w:spacing w:after="40" w:line="240" w:lineRule="auto"/>
        <w:ind w:firstLine="0"/>
      </w:pPr>
      <w:r>
        <w:rPr>
          <w:sz w:val="4"/>
        </w:rPr>
      </w:r>
    </w:p>
    <w:p>
      <w:pPr>
        <w:jc w:val="both"/>
      </w:pPr>
      <w:r>
        <w:t>各项成果均以文档形态交付一份正式版本，并提供必要的可维护电子内容和配套附件。验收不仅检查条款是否齐全，还通过真实流程或受控验证检查责任、配置和记录。外部来源限制、安全分级和保存要求能够从制度持续传递至目录、任务、接口及派生成果。</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2" name="Picture 12"/>
            <wp:cNvGraphicFramePr>
              <a:graphicFrameLocks noChangeAspect="1"/>
            </wp:cNvGraphicFramePr>
            <a:graphic>
              <a:graphicData uri="http://schemas.openxmlformats.org/drawingml/2006/picture">
                <pic:pic>
                  <pic:nvPicPr>
                    <pic:cNvPr id="0" name="图12_成果交付.png"/>
                    <pic:cNvPicPr/>
                  </pic:nvPicPr>
                  <pic:blipFill>
                    <a:blip r:embed="rId22"/>
                    <a:stretch>
                      <a:fillRect/>
                    </a:stretch>
                  </pic:blipFill>
                  <pic:spPr>
                    <a:xfrm>
                      <a:off x="0" y="0"/>
                      <a:ext cx="6048000" cy="1942338"/>
                    </a:xfrm>
                    <a:prstGeom prst="rect"/>
                  </pic:spPr>
                </pic:pic>
              </a:graphicData>
            </a:graphic>
          </wp:inline>
        </w:drawing>
      </w:r>
    </w:p>
    <w:p>
      <w:pPr>
        <w:pStyle w:val="Caption"/>
        <w:jc w:val="center"/>
      </w:pPr>
      <w:r>
        <w:t>图7-1 规划成果形成与移交</w:t>
      </w:r>
    </w:p>
    <w:p>
      <w:pPr>
        <w:pStyle w:val="Heading2"/>
      </w:pPr>
      <w:r>
        <w:t>7.5 编制评审与批准发布</w:t>
      </w:r>
    </w:p>
    <w:p>
      <w:pPr>
        <w:jc w:val="both"/>
      </w:pPr>
      <w:r>
        <w:t>编制依据包括招标要求、已确认现状、甲方现行制度、业务需求、技术设计和适用管理要求。每项成果指定主责岗位与联合评审岗位，编制时核对与其他成果的定义、流程和责任。引用已有制度时核验版本和适用范围，不能将失效规定直接复制为正式要求。</w:t>
      </w:r>
    </w:p>
    <w:p>
      <w:pPr>
        <w:jc w:val="both"/>
      </w:pPr>
      <w:r>
        <w:t>评审分业务可执行性、技术可实现性、质量安全和交叉一致性检查。意见记录具体位置、问题、责任和处理结论，修改后对照关闭。存在原则性分歧时由相应决策权限裁定，未解决事项不能被隐藏在正式版本中。批准后明确生效时间、适用范围和实施任务，完成必要宣贯。</w:t>
      </w:r>
    </w:p>
    <w:p>
      <w:pPr>
        <w:jc w:val="both"/>
      </w:pPr>
      <w:r>
        <w:t>发布同步更新目录、流程配置、岗位权限和操作指引，关键变更经验证后切换。正式版本保留签批和变更记录，历史版本受控存档。实施人员使用统一发布入口获取当前版本，避免以个人保存的旧文件作为操作依据。</w:t>
      </w:r>
    </w:p>
    <w:p>
      <w:pPr>
        <w:pStyle w:val="Heading2"/>
      </w:pPr>
      <w:r>
        <w:t>7.6 滚动优化与变更管理</w:t>
      </w:r>
    </w:p>
    <w:p>
      <w:pPr>
        <w:jc w:val="both"/>
      </w:pPr>
      <w:r>
        <w:t>实施阶段根据实际业务、平台验证和使用反馈滚动优化成果名称、内容及组织方式。调整提出原因、原新对应、影响和实施安排，经甲方批准后执行。数量和名称变化时持续核对招标要求与原清单内容，保持不少于二十五份要求及各项实质内容完整，不通过合并名称删减管理责任。</w:t>
      </w:r>
    </w:p>
    <w:p>
      <w:pPr>
        <w:jc w:val="both"/>
      </w:pPr>
      <w:r>
        <w:t>文档合并、拆分或改名保留原清单对应和版本关系，配套配置和记录同步更新。不同成果存在重复内容时统一责任归属及引用，避免同一事项出现多套审批或不同期限。需要新增细则时确定其与管理办法及操作规范的层级，不能另起与正式体系冲突的规则。</w:t>
      </w:r>
    </w:p>
    <w:p>
      <w:pPr>
        <w:jc w:val="both"/>
      </w:pPr>
      <w:r>
        <w:t>变更完成后重新检查业务对象、指标、标签、字段、权限和期限的一致性，并验证受影响流程。变更未生效前继续执行当前批准版本；紧急处置遵循既有应急权限，事后完成记录和复核。最终交付清单能够清楚追踪所有批准变更。</w:t>
      </w:r>
    </w:p>
    <w:p>
      <w:pPr>
        <w:pStyle w:val="Heading2"/>
      </w:pPr>
      <w:r>
        <w:t>7.7 成果与平台证据对应</w:t>
      </w:r>
    </w:p>
    <w:p>
      <w:pPr>
        <w:jc w:val="both"/>
      </w:pPr>
      <w:r>
        <w:t>每项成果建立要求、配置、操作和证据的对应关系。标准对应标准库及映射，质量对应规则任务和问题单，安全对应标签、权限及审计，生存周期对应需求与运行处置，应用流通对应来源核验和共享服务。管理人员能够从文件要求查到实际配置，也能从一次业务操作查到批准依据。</w:t>
      </w:r>
    </w:p>
    <w:p>
      <w:pPr>
        <w:jc w:val="both"/>
      </w:pPr>
      <w:r>
        <w:t>证据采用实际形成的记录，包括评审、审批、任务日志、测试、抽查、问题整改和使用确认。证据注明对象、时间、版本和责任，敏感内容按权限保管。系统自动记录与人工材料存在差异时核验原因并保留说明，不能替换原始记录或补造过去的执行事实。</w:t>
      </w:r>
    </w:p>
    <w:p>
      <w:pPr>
        <w:jc w:val="both"/>
      </w:pPr>
      <w:r>
        <w:t>交付前选择代表性流程检查证据链是否连续，发现缺口补充实际核验和当前确认。历史无法恢复的部分如实登记，后续执行按正式流程持续留痕。成熟度评估支撑材料基于真实实施与运行，按照适用评估要求组织，不预设未经确认的固定运行轮数或虚构通过结论。</w:t>
      </w:r>
    </w:p>
    <w:p>
      <w:pPr>
        <w:pStyle w:val="Heading2"/>
      </w:pPr>
      <w:r>
        <w:t>7.8 正式移交与维护安排</w:t>
      </w:r>
    </w:p>
    <w:p>
      <w:pPr>
        <w:jc w:val="both"/>
      </w:pPr>
      <w:r>
        <w:t>正式移交提供成果总目录、各项正式文档、配套字典规则、模型与配置、运行和验证记录、版本及校验信息。文件可正常打开、检索和编辑，附件与正文引用完整，目录入口能够定位对应内容。纸质和电子交付按甲方要求执行，接收清单记录实际文件和版本。</w:t>
      </w:r>
    </w:p>
    <w:p>
      <w:pPr>
        <w:jc w:val="both"/>
      </w:pPr>
      <w:r>
        <w:t>移交前完成交叉核对，检查三十七项成果、两项现状评估成果及配套实施内容是否齐全，检查关键要求是否落实、问题是否完成必要整改。运行岗位通过实际操作验证接管能力，未完成事项明确责任、影响、时限和跟踪方式。项目临时访问和交付副本按批准安排处理。</w:t>
      </w:r>
    </w:p>
    <w:p>
      <w:pPr>
        <w:jc w:val="both"/>
      </w:pPr>
      <w:r>
        <w:t>后续维护将新增业务、来源变化和治理问题纳入统一需求与变更机制，定期复查文档和平台是否一致。制度更新、配置更新和培训同步安排，保证交付成果能够继续用于实际管理与数据供给。</w:t>
      </w:r>
    </w:p>
    <w:p>
      <w:pPr>
        <w:pStyle w:val="Heading1"/>
      </w:pPr>
      <w:r>
        <w:t>8 九项治理能力平台实施</w:t>
      </w:r>
    </w:p>
    <w:p>
      <w:pPr>
        <w:pStyle w:val="Heading2"/>
      </w:pPr>
      <w:r>
        <w:t>8.1 平台实施架构与协同</w:t>
      </w:r>
    </w:p>
    <w:p>
      <w:pPr>
        <w:jc w:val="both"/>
      </w:pPr>
      <w:r>
        <w:t>我方将数据汇聚、数据处理、元数据管理、数据资产管理、数据标准管理、数据质量管理、数据安全管理、数据指标管理、数据服务管理九项内容在数据治理开发工具平台落地实施，并与神兽 OS总体架构、数据集加工生产平台和数据集运营服务管理平台衔接。实施设计明确功能组件、部署位置、对象模型、接口、权限及运行责任，逐项交付实际可用能力。</w:t>
      </w:r>
    </w:p>
    <w:p>
      <w:pPr>
        <w:jc w:val="both"/>
      </w:pPr>
      <w:r>
        <w:t>治理平台管理业务来源、统一对象、模型、标准、质量、权限和服务，为加工生产提供经治理的内容及元数据。加工生产平台围绕数据集用途执行预处理、标注、合成增强、质检和验证等生产任务，记录样本及版本关系。运营服务管理平台管理成果登记、发布、使用及运营过程，调用治理与生产形成的资源和服务。跨平台使用统一对象标识、版本、授权和追溯关系，减少重复维护。</w:t>
      </w:r>
    </w:p>
    <w:p>
      <w:pPr>
        <w:jc w:val="both"/>
      </w:pPr>
      <w:r>
        <w:t>平台协同采用明确的数据及接口契约，输入输出定义对象、格式、范围、质量状态、权限、版本和失败处理。任务接收先登记来源和批次，再核验完整性及适用条件；问题反馈携带可定位信息；版本更新明确替代关系和影响。组件部署方式不改变九项治理能力必须实现的要求，也不改变已有采购功能、许可及集成责任。</w:t>
      </w:r>
    </w:p>
    <w:p>
      <w:pPr>
        <w:jc w:val="both"/>
      </w:pPr>
      <w:r>
        <w:t>实施从统一身份与权限、资源登记、来源连接和基础字典开始，逐步配置模型、标准、质量及服务。配置均有版本和责任，运行日志能够关联到业务对象和需求。平台验收检查真实操作与结果，演示页面、空目录或只有制度文件均不能作为能力已经落地的证据。</w:t>
      </w:r>
    </w:p>
    <w:p>
      <w:pPr>
        <w:keepNext/>
        <w:spacing w:line="240" w:lineRule="auto" w:before="160" w:after="80"/>
        <w:ind w:firstLine="0"/>
        <w:jc w:val="center"/>
      </w:pPr>
      <w:r>
        <w:drawing>
          <wp:inline xmlns:a="http://schemas.openxmlformats.org/drawingml/2006/main" xmlns:pic="http://schemas.openxmlformats.org/drawingml/2006/picture">
            <wp:extent cx="6048000" cy="5113661"/>
            <wp:docPr id="13" name="Picture 13"/>
            <wp:cNvGraphicFramePr>
              <a:graphicFrameLocks noChangeAspect="1"/>
            </wp:cNvGraphicFramePr>
            <a:graphic>
              <a:graphicData uri="http://schemas.openxmlformats.org/drawingml/2006/picture">
                <pic:pic>
                  <pic:nvPicPr>
                    <pic:cNvPr id="0" name="图13_九项能力.png"/>
                    <pic:cNvPicPr/>
                  </pic:nvPicPr>
                  <pic:blipFill>
                    <a:blip r:embed="rId23"/>
                    <a:stretch>
                      <a:fillRect/>
                    </a:stretch>
                  </pic:blipFill>
                  <pic:spPr>
                    <a:xfrm>
                      <a:off x="0" y="0"/>
                      <a:ext cx="6048000" cy="5113661"/>
                    </a:xfrm>
                    <a:prstGeom prst="rect"/>
                  </pic:spPr>
                </pic:pic>
              </a:graphicData>
            </a:graphic>
          </wp:inline>
        </w:drawing>
      </w:r>
    </w:p>
    <w:p>
      <w:pPr>
        <w:pStyle w:val="Caption"/>
        <w:jc w:val="center"/>
      </w:pPr>
      <w:r>
        <w:t>图8-1 九项治理能力实施</w:t>
      </w:r>
    </w:p>
    <w:p>
      <w:pPr>
        <w:pStyle w:val="Heading2"/>
      </w:pPr>
      <w:r>
        <w:t>8.2 数据汇聚实施</w:t>
      </w:r>
    </w:p>
    <w:p>
      <w:pPr>
        <w:jc w:val="both"/>
      </w:pPr>
      <w:r>
        <w:t>数据汇聚针对已确认的十七套外围系统及其他批准来源建立接入台账，登记系统责任、对象、接口、范围、更新方式、业务时间和授权条件。十七套系统包括CRM、ERP、SCM、QMS、WMS、MES、LMS、EMS、SOS、EAM、PLM、SCADA、OA、久其系统、主数据管理平台、热处理群控系统和安全监管平台，按实际对象及业务需要设计接入。</w:t>
      </w:r>
    </w:p>
    <w:p>
      <w:pPr>
        <w:jc w:val="both"/>
      </w:pPr>
      <w:r>
        <w:t>各来源核对结构化表、接口、文档、图像、时序和视频等内容形态，选择适当通道和批次方式。结构化来源检查主键、更新及删除语义；文件来源检查完整性、重名和版本；设备时序检查测点、采样时间和断点；视频和图像检查对象、时间、位置及必要元数据。来源内容与授权不一致时暂停受影响范围，组织核验。</w:t>
      </w:r>
    </w:p>
    <w:p>
      <w:pPr>
        <w:jc w:val="both"/>
      </w:pPr>
      <w:r>
        <w:t>初始汇聚记录基线范围并完成对账，增量汇聚记录可恢复的位置和变化类型，任务中断后从已确认状态继续。对乱序、迟到、重复和补录建立明确处理，接收成功与业务完整分别判断。来源结构变化触发影响分析和映射更新，未识别字段或类型变化不能静默丢弃。</w:t>
      </w:r>
    </w:p>
    <w:p>
      <w:pPr>
        <w:jc w:val="both"/>
      </w:pPr>
      <w:r>
        <w:t>验收从源范围追溯到接收批次和输出对象，核对记录、文件、关键数量及差额原因，验证权限、异常隔离、断点恢复和重复提交。每个来源具备实际连接配置、任务、日志、对账及责任记录，能够持续供给后续治理与加工。</w:t>
      </w:r>
    </w:p>
    <w:p>
      <w:pPr>
        <w:pStyle w:val="Caption"/>
        <w:keepNext/>
      </w:pPr>
      <w:r>
        <w:t>表8-1 数据汇聚实施核验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来源与范围</w:t>
            </w:r>
          </w:p>
        </w:tc>
        <w:tc>
          <w:tcPr>
            <w:tcW w:type="dxa" w:w="3855"/>
            <w:vAlign w:val="center"/>
          </w:tcPr>
          <w:p>
            <w:pPr>
              <w:keepNext w:val="0"/>
              <w:spacing w:line="320" w:lineRule="exact" w:after="0" w:before="0"/>
              <w:ind w:firstLine="0"/>
              <w:jc w:val="left"/>
            </w:pPr>
            <w:r>
              <w:rPr>
                <w:b w:val="0"/>
                <w:sz w:val="21"/>
              </w:rPr>
              <w:t>接入台账、授权、结构和版本</w:t>
            </w:r>
          </w:p>
        </w:tc>
        <w:tc>
          <w:tcPr>
            <w:tcW w:type="dxa" w:w="3277"/>
            <w:vAlign w:val="center"/>
          </w:tcPr>
          <w:p>
            <w:pPr>
              <w:keepNext w:val="0"/>
              <w:spacing w:line="320" w:lineRule="exact" w:after="0" w:before="0"/>
              <w:ind w:firstLine="0"/>
              <w:jc w:val="left"/>
            </w:pPr>
            <w:r>
              <w:rPr>
                <w:b w:val="0"/>
                <w:sz w:val="21"/>
              </w:rPr>
              <w:t>批准记录、连接及字段核验</w:t>
            </w:r>
          </w:p>
        </w:tc>
      </w:tr>
      <w:tr>
        <w:trPr>
          <w:cantSplit/>
        </w:trPr>
        <w:tc>
          <w:tcPr>
            <w:tcW w:type="dxa" w:w="2506"/>
            <w:vAlign w:val="center"/>
          </w:tcPr>
          <w:p>
            <w:pPr>
              <w:keepNext w:val="0"/>
              <w:spacing w:line="320" w:lineRule="exact" w:after="0" w:before="0"/>
              <w:ind w:firstLine="0"/>
              <w:jc w:val="left"/>
            </w:pPr>
            <w:r>
              <w:rPr>
                <w:b w:val="0"/>
                <w:sz w:val="21"/>
              </w:rPr>
              <w:t>批次与增量</w:t>
            </w:r>
          </w:p>
        </w:tc>
        <w:tc>
          <w:tcPr>
            <w:tcW w:type="dxa" w:w="3855"/>
            <w:vAlign w:val="center"/>
          </w:tcPr>
          <w:p>
            <w:pPr>
              <w:keepNext w:val="0"/>
              <w:spacing w:line="320" w:lineRule="exact" w:after="0" w:before="0"/>
              <w:ind w:firstLine="0"/>
              <w:jc w:val="left"/>
            </w:pPr>
            <w:r>
              <w:rPr>
                <w:b w:val="0"/>
                <w:sz w:val="21"/>
              </w:rPr>
              <w:t>边界、位置、删除及迟到处理</w:t>
            </w:r>
          </w:p>
        </w:tc>
        <w:tc>
          <w:tcPr>
            <w:tcW w:type="dxa" w:w="3277"/>
            <w:vAlign w:val="center"/>
          </w:tcPr>
          <w:p>
            <w:pPr>
              <w:keepNext w:val="0"/>
              <w:spacing w:line="320" w:lineRule="exact" w:after="0" w:before="0"/>
              <w:ind w:firstLine="0"/>
              <w:jc w:val="left"/>
            </w:pPr>
            <w:r>
              <w:rPr>
                <w:b w:val="0"/>
                <w:sz w:val="21"/>
              </w:rPr>
              <w:t>批次日志、对账和变化记录</w:t>
            </w:r>
          </w:p>
        </w:tc>
      </w:tr>
      <w:tr>
        <w:trPr>
          <w:cantSplit/>
        </w:trPr>
        <w:tc>
          <w:tcPr>
            <w:tcW w:type="dxa" w:w="2506"/>
            <w:vAlign w:val="center"/>
          </w:tcPr>
          <w:p>
            <w:pPr>
              <w:keepNext w:val="0"/>
              <w:spacing w:line="320" w:lineRule="exact" w:after="0" w:before="0"/>
              <w:ind w:firstLine="0"/>
              <w:jc w:val="left"/>
            </w:pPr>
            <w:r>
              <w:rPr>
                <w:b w:val="0"/>
                <w:sz w:val="21"/>
              </w:rPr>
              <w:t>异常与恢复</w:t>
            </w:r>
          </w:p>
        </w:tc>
        <w:tc>
          <w:tcPr>
            <w:tcW w:type="dxa" w:w="3855"/>
            <w:vAlign w:val="center"/>
          </w:tcPr>
          <w:p>
            <w:pPr>
              <w:keepNext w:val="0"/>
              <w:spacing w:line="320" w:lineRule="exact" w:after="0" w:before="0"/>
              <w:ind w:firstLine="0"/>
              <w:jc w:val="left"/>
            </w:pPr>
            <w:r>
              <w:rPr>
                <w:b w:val="0"/>
                <w:sz w:val="21"/>
              </w:rPr>
              <w:t>隔离、重试、补采和重计控制</w:t>
            </w:r>
          </w:p>
        </w:tc>
        <w:tc>
          <w:tcPr>
            <w:tcW w:type="dxa" w:w="3277"/>
            <w:vAlign w:val="center"/>
          </w:tcPr>
          <w:p>
            <w:pPr>
              <w:keepNext w:val="0"/>
              <w:spacing w:line="320" w:lineRule="exact" w:after="0" w:before="0"/>
              <w:ind w:firstLine="0"/>
              <w:jc w:val="left"/>
            </w:pPr>
            <w:r>
              <w:rPr>
                <w:b w:val="0"/>
                <w:sz w:val="21"/>
              </w:rPr>
              <w:t>故障验证及恢复结果</w:t>
            </w:r>
          </w:p>
        </w:tc>
      </w:tr>
    </w:tbl>
    <w:p>
      <w:pPr>
        <w:spacing w:after="40" w:line="240" w:lineRule="auto"/>
        <w:ind w:firstLine="0"/>
      </w:pPr>
      <w:r>
        <w:rPr>
          <w:sz w:val="4"/>
        </w:rPr>
      </w:r>
    </w:p>
    <w:p>
      <w:pPr>
        <w:pStyle w:val="Heading2"/>
      </w:pPr>
      <w:r>
        <w:t>8.3 数据处理实施</w:t>
      </w:r>
    </w:p>
    <w:p>
      <w:pPr>
        <w:jc w:val="both"/>
      </w:pPr>
      <w:r>
        <w:t>数据处理按照批准模型和映射执行标准化、关联、去重、转换、汇总及必要修复。来源内容进入贴源层时保留原始值、业务时间和批次，明细层统一表达并建立对象关系，公共维度及主题汇总支持复用，应用层向数据集、指标、知识和服务供给适用结果。处理任务与模型、标准和输入版本绑定。</w:t>
      </w:r>
    </w:p>
    <w:p>
      <w:pPr>
        <w:jc w:val="both"/>
      </w:pPr>
      <w:r>
        <w:t>字段转换检查类型、单位、精度及代码含义，关联处理核对业务键和时间，重复判断结合实际身份与来源族。对于分配、聚合和插补等可能改变含义的处理，明确业务依据和适用限制，保留原始内容及方法记录。无法可靠修复的记录隔离或限制用途，不能用默认值填充后当作真实完整数据。</w:t>
      </w:r>
    </w:p>
    <w:p>
      <w:pPr>
        <w:jc w:val="both"/>
      </w:pPr>
      <w:r>
        <w:t>任务编排明确依赖、执行窗口、检查和失败分支，关键步骤设置输入输出对账。重跑使用确定范围和幂等规则，历史重算生成可追溯后继版本。共享逻辑由统一规则或公共组件维护，避免同一单位换算、状态映射或指标口径在多处各自实现。</w:t>
      </w:r>
    </w:p>
    <w:p>
      <w:pPr>
        <w:jc w:val="both"/>
      </w:pPr>
      <w:r>
        <w:t>验收检查处理结果与源事实及批准规则一致，记录变化能够解释，关键关联无错误放大，异常处置可追溯。通过重复执行、部分失败、迟到补数和规则变更验证可靠性，核对下游取得的版本和状态，确保加工任务能够稳定消费治理结果。</w:t>
      </w:r>
    </w:p>
    <w:p>
      <w:pPr>
        <w:pStyle w:val="Caption"/>
        <w:keepNext/>
      </w:pPr>
      <w:r>
        <w:t>表8-2 数据处理实施核验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模型与映射</w:t>
            </w:r>
          </w:p>
        </w:tc>
        <w:tc>
          <w:tcPr>
            <w:tcW w:type="dxa" w:w="3855"/>
            <w:vAlign w:val="center"/>
          </w:tcPr>
          <w:p>
            <w:pPr>
              <w:keepNext w:val="0"/>
              <w:spacing w:line="320" w:lineRule="exact" w:after="0" w:before="0"/>
              <w:ind w:firstLine="0"/>
              <w:jc w:val="left"/>
            </w:pPr>
            <w:r>
              <w:rPr>
                <w:b w:val="0"/>
                <w:sz w:val="21"/>
              </w:rPr>
              <w:t>粒度、字段、单位、关系及历史</w:t>
            </w:r>
          </w:p>
        </w:tc>
        <w:tc>
          <w:tcPr>
            <w:tcW w:type="dxa" w:w="3277"/>
            <w:vAlign w:val="center"/>
          </w:tcPr>
          <w:p>
            <w:pPr>
              <w:keepNext w:val="0"/>
              <w:spacing w:line="320" w:lineRule="exact" w:after="0" w:before="0"/>
              <w:ind w:firstLine="0"/>
              <w:jc w:val="left"/>
            </w:pPr>
            <w:r>
              <w:rPr>
                <w:b w:val="0"/>
                <w:sz w:val="21"/>
              </w:rPr>
              <w:t>模型、映射和业务确认</w:t>
            </w:r>
          </w:p>
        </w:tc>
      </w:tr>
      <w:tr>
        <w:trPr>
          <w:cantSplit/>
        </w:trPr>
        <w:tc>
          <w:tcPr>
            <w:tcW w:type="dxa" w:w="2506"/>
            <w:vAlign w:val="center"/>
          </w:tcPr>
          <w:p>
            <w:pPr>
              <w:keepNext w:val="0"/>
              <w:spacing w:line="320" w:lineRule="exact" w:after="0" w:before="0"/>
              <w:ind w:firstLine="0"/>
              <w:jc w:val="left"/>
            </w:pPr>
            <w:r>
              <w:rPr>
                <w:b w:val="0"/>
                <w:sz w:val="21"/>
              </w:rPr>
              <w:t>作业执行</w:t>
            </w:r>
          </w:p>
        </w:tc>
        <w:tc>
          <w:tcPr>
            <w:tcW w:type="dxa" w:w="3855"/>
            <w:vAlign w:val="center"/>
          </w:tcPr>
          <w:p>
            <w:pPr>
              <w:keepNext w:val="0"/>
              <w:spacing w:line="320" w:lineRule="exact" w:after="0" w:before="0"/>
              <w:ind w:firstLine="0"/>
              <w:jc w:val="left"/>
            </w:pPr>
            <w:r>
              <w:rPr>
                <w:b w:val="0"/>
                <w:sz w:val="21"/>
              </w:rPr>
              <w:t>依赖、幂等、分支和输入输出核对</w:t>
            </w:r>
          </w:p>
        </w:tc>
        <w:tc>
          <w:tcPr>
            <w:tcW w:type="dxa" w:w="3277"/>
            <w:vAlign w:val="center"/>
          </w:tcPr>
          <w:p>
            <w:pPr>
              <w:keepNext w:val="0"/>
              <w:spacing w:line="320" w:lineRule="exact" w:after="0" w:before="0"/>
              <w:ind w:firstLine="0"/>
              <w:jc w:val="left"/>
            </w:pPr>
            <w:r>
              <w:rPr>
                <w:b w:val="0"/>
                <w:sz w:val="21"/>
              </w:rPr>
              <w:t>配置、任务日志及对账</w:t>
            </w:r>
          </w:p>
        </w:tc>
      </w:tr>
      <w:tr>
        <w:trPr>
          <w:cantSplit/>
        </w:trPr>
        <w:tc>
          <w:tcPr>
            <w:tcW w:type="dxa" w:w="2506"/>
            <w:vAlign w:val="center"/>
          </w:tcPr>
          <w:p>
            <w:pPr>
              <w:keepNext w:val="0"/>
              <w:spacing w:line="320" w:lineRule="exact" w:after="0" w:before="0"/>
              <w:ind w:firstLine="0"/>
              <w:jc w:val="left"/>
            </w:pPr>
            <w:r>
              <w:rPr>
                <w:b w:val="0"/>
                <w:sz w:val="21"/>
              </w:rPr>
              <w:t>修复与重算</w:t>
            </w:r>
          </w:p>
        </w:tc>
        <w:tc>
          <w:tcPr>
            <w:tcW w:type="dxa" w:w="3855"/>
            <w:vAlign w:val="center"/>
          </w:tcPr>
          <w:p>
            <w:pPr>
              <w:keepNext w:val="0"/>
              <w:spacing w:line="320" w:lineRule="exact" w:after="0" w:before="0"/>
              <w:ind w:firstLine="0"/>
              <w:jc w:val="left"/>
            </w:pPr>
            <w:r>
              <w:rPr>
                <w:b w:val="0"/>
                <w:sz w:val="21"/>
              </w:rPr>
              <w:t>原值保留、依据、版本及影响</w:t>
            </w:r>
          </w:p>
        </w:tc>
        <w:tc>
          <w:tcPr>
            <w:tcW w:type="dxa" w:w="3277"/>
            <w:vAlign w:val="center"/>
          </w:tcPr>
          <w:p>
            <w:pPr>
              <w:keepNext w:val="0"/>
              <w:spacing w:line="320" w:lineRule="exact" w:after="0" w:before="0"/>
              <w:ind w:firstLine="0"/>
              <w:jc w:val="left"/>
            </w:pPr>
            <w:r>
              <w:rPr>
                <w:b w:val="0"/>
                <w:sz w:val="21"/>
              </w:rPr>
              <w:t>修复记录、后继结果和复检</w:t>
            </w:r>
          </w:p>
        </w:tc>
      </w:tr>
    </w:tbl>
    <w:p>
      <w:pPr>
        <w:spacing w:after="40" w:line="240" w:lineRule="auto"/>
        <w:ind w:firstLine="0"/>
      </w:pPr>
      <w:r>
        <w:rPr>
          <w:sz w:val="4"/>
        </w:rPr>
      </w:r>
    </w:p>
    <w:p>
      <w:pPr>
        <w:pStyle w:val="Heading2"/>
      </w:pPr>
      <w:r>
        <w:t>8.4 元数据管理实施</w:t>
      </w:r>
    </w:p>
    <w:p>
      <w:pPr>
        <w:jc w:val="both"/>
      </w:pPr>
      <w:r>
        <w:t>元数据管理同时覆盖业务、技术和管理三类内容。业务元数据包含定义、对象、责任、指标及用途；技术元数据包含来源结构、字段、模型、作业、接口和存储位置；管理元数据包含分类分级、授权、质量、版本、状态及生命周期要求。各类信息通过稳定标识关联到同一实际对象。</w:t>
      </w:r>
    </w:p>
    <w:p>
      <w:pPr>
        <w:jc w:val="both"/>
      </w:pPr>
      <w:r>
        <w:t>元数据采集采用自动获取与业务确认结合的方式，自动采集能够可靠识别的结构、任务和运行信息，人工维护业务含义和管理依据。采集结果先比较差异，再经相应流程确认发布；缺失定义、失效引用或结构变化产生维护任务。手工登记与自动同步的字段明确优先和冲突处理，避免自动任务覆盖已批准业务解释。</w:t>
      </w:r>
    </w:p>
    <w:p>
      <w:pPr>
        <w:jc w:val="both"/>
      </w:pPr>
      <w:r>
        <w:t>血缘记录来源到模型、任务、指标、知识、数据集和服务的派生关系，既记录对象级关系，也在关键场景保留字段和规则关系。未知关系保持可识别状态并安排补齐，不能将无血缘对象展示为已经可追溯。变更分析遍历实际依赖，覆盖中间任务、缓存及已发布结果，并通知责任岗位验证。</w:t>
      </w:r>
    </w:p>
    <w:p>
      <w:pPr>
        <w:jc w:val="both"/>
      </w:pPr>
      <w:r>
        <w:t>验收核对元数据与实际系统、任务和内容一致，验证新增、变更、停用及异常同步。选取跨系统指标或数据集记录回查来源、字段、转换和版本，检查影响分析能够找到关键下游。元数据维护权限、定期检查和责任移交到位，避免项目结束后信息失效。</w:t>
      </w:r>
    </w:p>
    <w:p>
      <w:pPr>
        <w:pStyle w:val="Caption"/>
        <w:keepNext/>
      </w:pPr>
      <w:r>
        <w:t>表8-3 元数据管理实施核验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三类元数据</w:t>
            </w:r>
          </w:p>
        </w:tc>
        <w:tc>
          <w:tcPr>
            <w:tcW w:type="dxa" w:w="3855"/>
            <w:vAlign w:val="center"/>
          </w:tcPr>
          <w:p>
            <w:pPr>
              <w:keepNext w:val="0"/>
              <w:spacing w:line="320" w:lineRule="exact" w:after="0" w:before="0"/>
              <w:ind w:firstLine="0"/>
              <w:jc w:val="left"/>
            </w:pPr>
            <w:r>
              <w:rPr>
                <w:b w:val="0"/>
                <w:sz w:val="21"/>
              </w:rPr>
              <w:t>采集、确认、同步和责任</w:t>
            </w:r>
          </w:p>
        </w:tc>
        <w:tc>
          <w:tcPr>
            <w:tcW w:type="dxa" w:w="3277"/>
            <w:vAlign w:val="center"/>
          </w:tcPr>
          <w:p>
            <w:pPr>
              <w:keepNext w:val="0"/>
              <w:spacing w:line="320" w:lineRule="exact" w:after="0" w:before="0"/>
              <w:ind w:firstLine="0"/>
              <w:jc w:val="left"/>
            </w:pPr>
            <w:r>
              <w:rPr>
                <w:b w:val="0"/>
                <w:sz w:val="21"/>
              </w:rPr>
              <w:t>字典、差异及发布记录</w:t>
            </w:r>
          </w:p>
        </w:tc>
      </w:tr>
      <w:tr>
        <w:trPr>
          <w:cantSplit/>
        </w:trPr>
        <w:tc>
          <w:tcPr>
            <w:tcW w:type="dxa" w:w="2506"/>
            <w:vAlign w:val="center"/>
          </w:tcPr>
          <w:p>
            <w:pPr>
              <w:keepNext w:val="0"/>
              <w:spacing w:line="320" w:lineRule="exact" w:after="0" w:before="0"/>
              <w:ind w:firstLine="0"/>
              <w:jc w:val="left"/>
            </w:pPr>
            <w:r>
              <w:rPr>
                <w:b w:val="0"/>
                <w:sz w:val="21"/>
              </w:rPr>
              <w:t>血缘关系</w:t>
            </w:r>
          </w:p>
        </w:tc>
        <w:tc>
          <w:tcPr>
            <w:tcW w:type="dxa" w:w="3855"/>
            <w:vAlign w:val="center"/>
          </w:tcPr>
          <w:p>
            <w:pPr>
              <w:keepNext w:val="0"/>
              <w:spacing w:line="320" w:lineRule="exact" w:after="0" w:before="0"/>
              <w:ind w:firstLine="0"/>
              <w:jc w:val="left"/>
            </w:pPr>
            <w:r>
              <w:rPr>
                <w:b w:val="0"/>
                <w:sz w:val="21"/>
              </w:rPr>
              <w:t>来源、处理、结果和关键字段</w:t>
            </w:r>
          </w:p>
        </w:tc>
        <w:tc>
          <w:tcPr>
            <w:tcW w:type="dxa" w:w="3277"/>
            <w:vAlign w:val="center"/>
          </w:tcPr>
          <w:p>
            <w:pPr>
              <w:keepNext w:val="0"/>
              <w:spacing w:line="320" w:lineRule="exact" w:after="0" w:before="0"/>
              <w:ind w:firstLine="0"/>
              <w:jc w:val="left"/>
            </w:pPr>
            <w:r>
              <w:rPr>
                <w:b w:val="0"/>
                <w:sz w:val="21"/>
              </w:rPr>
              <w:t>关联图、任务及版本</w:t>
            </w:r>
          </w:p>
        </w:tc>
      </w:tr>
      <w:tr>
        <w:trPr>
          <w:cantSplit/>
        </w:trPr>
        <w:tc>
          <w:tcPr>
            <w:tcW w:type="dxa" w:w="2506"/>
            <w:vAlign w:val="center"/>
          </w:tcPr>
          <w:p>
            <w:pPr>
              <w:keepNext w:val="0"/>
              <w:spacing w:line="320" w:lineRule="exact" w:after="0" w:before="0"/>
              <w:ind w:firstLine="0"/>
              <w:jc w:val="left"/>
            </w:pPr>
            <w:r>
              <w:rPr>
                <w:b w:val="0"/>
                <w:sz w:val="21"/>
              </w:rPr>
              <w:t>变更影响</w:t>
            </w:r>
          </w:p>
        </w:tc>
        <w:tc>
          <w:tcPr>
            <w:tcW w:type="dxa" w:w="3855"/>
            <w:vAlign w:val="center"/>
          </w:tcPr>
          <w:p>
            <w:pPr>
              <w:keepNext w:val="0"/>
              <w:spacing w:line="320" w:lineRule="exact" w:after="0" w:before="0"/>
              <w:ind w:firstLine="0"/>
              <w:jc w:val="left"/>
            </w:pPr>
            <w:r>
              <w:rPr>
                <w:b w:val="0"/>
                <w:sz w:val="21"/>
              </w:rPr>
              <w:t>依赖识别、通知和验证</w:t>
            </w:r>
          </w:p>
        </w:tc>
        <w:tc>
          <w:tcPr>
            <w:tcW w:type="dxa" w:w="3277"/>
            <w:vAlign w:val="center"/>
          </w:tcPr>
          <w:p>
            <w:pPr>
              <w:keepNext w:val="0"/>
              <w:spacing w:line="320" w:lineRule="exact" w:after="0" w:before="0"/>
              <w:ind w:firstLine="0"/>
              <w:jc w:val="left"/>
            </w:pPr>
            <w:r>
              <w:rPr>
                <w:b w:val="0"/>
                <w:sz w:val="21"/>
              </w:rPr>
              <w:t>影响清单、处理及复核</w:t>
            </w:r>
          </w:p>
        </w:tc>
      </w:tr>
    </w:tbl>
    <w:p>
      <w:pPr>
        <w:spacing w:after="40" w:line="240" w:lineRule="auto"/>
        <w:ind w:firstLine="0"/>
      </w:pPr>
      <w:r>
        <w:rPr>
          <w:sz w:val="4"/>
        </w:rPr>
      </w:r>
    </w:p>
    <w:p>
      <w:pPr>
        <w:pStyle w:val="Heading2"/>
      </w:pPr>
      <w:r>
        <w:t>8.5 数据资产管理实施</w:t>
      </w:r>
    </w:p>
    <w:p>
      <w:pPr>
        <w:jc w:val="both"/>
      </w:pPr>
      <w:r>
        <w:t>数据资产管理依据资源目录和权属核验组织登记，覆盖原始资源、治理成果、指标、知识、数据集及服务等实际对象。目录记录身份、内容、来源、责任、质量、安全、权利、版本、获取方式和生命周期状态。目录项与存储对象或服务绑定，不能只有名称而无实际内容或有效入口。</w:t>
      </w:r>
    </w:p>
    <w:p>
      <w:pPr>
        <w:jc w:val="both"/>
      </w:pPr>
      <w:r>
        <w:t>资产上架前核对必要元数据、来源依据、质量状态、授权条件及服务可用性，批准后发布相应范围。管理状态区分登记、核验、可发布、已发布、受限、暂停、归档和退役，状态变化与权限及实际访问联动。质量下降、许可变化或服务异常触发限制和复查。</w:t>
      </w:r>
    </w:p>
    <w:p>
      <w:pPr>
        <w:jc w:val="both"/>
      </w:pPr>
      <w:r>
        <w:t>价值评价按业务贡献、数据质量、供给维护成本、稀缺及替代性、复用能力、持续供给和风险约束等维度收集证据，服务于内部资源投入和治理排序。潜在价值与已经实现的效果分别记录，重复副本和不可用内容不能通过扩大容量提高评价。涉及财务计量或交易定价时采用相应专业依据，内部评分不直接换算货币价值。</w:t>
      </w:r>
    </w:p>
    <w:p>
      <w:pPr>
        <w:jc w:val="both"/>
      </w:pPr>
      <w:r>
        <w:t>资产申请和使用与共享审批一致，平台记录申请、批准、开通、使用、变更和退出。验收检查目录可检索、入口可用、权利与内容对应、状态及权限一致，并能够从一个派生成果回查来源限制。移交资产维护、复查和退役操作，保持实际目录持续更新。</w:t>
      </w:r>
    </w:p>
    <w:p>
      <w:pPr>
        <w:pStyle w:val="Caption"/>
        <w:keepNext/>
      </w:pPr>
      <w:r>
        <w:t>表8-4 数据资产管理实施核验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目录与权属</w:t>
            </w:r>
          </w:p>
        </w:tc>
        <w:tc>
          <w:tcPr>
            <w:tcW w:type="dxa" w:w="3855"/>
            <w:vAlign w:val="center"/>
          </w:tcPr>
          <w:p>
            <w:pPr>
              <w:keepNext w:val="0"/>
              <w:spacing w:line="320" w:lineRule="exact" w:after="0" w:before="0"/>
              <w:ind w:firstLine="0"/>
              <w:jc w:val="left"/>
            </w:pPr>
            <w:r>
              <w:rPr>
                <w:b w:val="0"/>
                <w:sz w:val="21"/>
              </w:rPr>
              <w:t>来源、许可、责任和实际入口</w:t>
            </w:r>
          </w:p>
        </w:tc>
        <w:tc>
          <w:tcPr>
            <w:tcW w:type="dxa" w:w="3277"/>
            <w:vAlign w:val="center"/>
          </w:tcPr>
          <w:p>
            <w:pPr>
              <w:keepNext w:val="0"/>
              <w:spacing w:line="320" w:lineRule="exact" w:after="0" w:before="0"/>
              <w:ind w:firstLine="0"/>
              <w:jc w:val="left"/>
            </w:pPr>
            <w:r>
              <w:rPr>
                <w:b w:val="0"/>
                <w:sz w:val="21"/>
              </w:rPr>
              <w:t>目录、依据及访问核验</w:t>
            </w:r>
          </w:p>
        </w:tc>
      </w:tr>
      <w:tr>
        <w:trPr>
          <w:cantSplit/>
        </w:trPr>
        <w:tc>
          <w:tcPr>
            <w:tcW w:type="dxa" w:w="2506"/>
            <w:vAlign w:val="center"/>
          </w:tcPr>
          <w:p>
            <w:pPr>
              <w:keepNext w:val="0"/>
              <w:spacing w:line="320" w:lineRule="exact" w:after="0" w:before="0"/>
              <w:ind w:firstLine="0"/>
              <w:jc w:val="left"/>
            </w:pPr>
            <w:r>
              <w:rPr>
                <w:b w:val="0"/>
                <w:sz w:val="21"/>
              </w:rPr>
              <w:t>状态与上架</w:t>
            </w:r>
          </w:p>
        </w:tc>
        <w:tc>
          <w:tcPr>
            <w:tcW w:type="dxa" w:w="3855"/>
            <w:vAlign w:val="center"/>
          </w:tcPr>
          <w:p>
            <w:pPr>
              <w:keepNext w:val="0"/>
              <w:spacing w:line="320" w:lineRule="exact" w:after="0" w:before="0"/>
              <w:ind w:firstLine="0"/>
              <w:jc w:val="left"/>
            </w:pPr>
            <w:r>
              <w:rPr>
                <w:b w:val="0"/>
                <w:sz w:val="21"/>
              </w:rPr>
              <w:t>检查、批准、发布和限制</w:t>
            </w:r>
          </w:p>
        </w:tc>
        <w:tc>
          <w:tcPr>
            <w:tcW w:type="dxa" w:w="3277"/>
            <w:vAlign w:val="center"/>
          </w:tcPr>
          <w:p>
            <w:pPr>
              <w:keepNext w:val="0"/>
              <w:spacing w:line="320" w:lineRule="exact" w:after="0" w:before="0"/>
              <w:ind w:firstLine="0"/>
              <w:jc w:val="left"/>
            </w:pPr>
            <w:r>
              <w:rPr>
                <w:b w:val="0"/>
                <w:sz w:val="21"/>
              </w:rPr>
              <w:t>上架记录及状态联动</w:t>
            </w:r>
          </w:p>
        </w:tc>
      </w:tr>
      <w:tr>
        <w:trPr>
          <w:cantSplit/>
        </w:trPr>
        <w:tc>
          <w:tcPr>
            <w:tcW w:type="dxa" w:w="2506"/>
            <w:vAlign w:val="center"/>
          </w:tcPr>
          <w:p>
            <w:pPr>
              <w:keepNext w:val="0"/>
              <w:spacing w:line="320" w:lineRule="exact" w:after="0" w:before="0"/>
              <w:ind w:firstLine="0"/>
              <w:jc w:val="left"/>
            </w:pPr>
            <w:r>
              <w:rPr>
                <w:b w:val="0"/>
                <w:sz w:val="21"/>
              </w:rPr>
              <w:t>价值与使用</w:t>
            </w:r>
          </w:p>
        </w:tc>
        <w:tc>
          <w:tcPr>
            <w:tcW w:type="dxa" w:w="3855"/>
            <w:vAlign w:val="center"/>
          </w:tcPr>
          <w:p>
            <w:pPr>
              <w:keepNext w:val="0"/>
              <w:spacing w:line="320" w:lineRule="exact" w:after="0" w:before="0"/>
              <w:ind w:firstLine="0"/>
              <w:jc w:val="left"/>
            </w:pPr>
            <w:r>
              <w:rPr>
                <w:b w:val="0"/>
                <w:sz w:val="21"/>
              </w:rPr>
              <w:t>证据评价、申请、监督和退出</w:t>
            </w:r>
          </w:p>
        </w:tc>
        <w:tc>
          <w:tcPr>
            <w:tcW w:type="dxa" w:w="3277"/>
            <w:vAlign w:val="center"/>
          </w:tcPr>
          <w:p>
            <w:pPr>
              <w:keepNext w:val="0"/>
              <w:spacing w:line="320" w:lineRule="exact" w:after="0" w:before="0"/>
              <w:ind w:firstLine="0"/>
              <w:jc w:val="left"/>
            </w:pPr>
            <w:r>
              <w:rPr>
                <w:b w:val="0"/>
                <w:sz w:val="21"/>
              </w:rPr>
              <w:t>评价记录、授权及处置</w:t>
            </w:r>
          </w:p>
        </w:tc>
      </w:tr>
    </w:tbl>
    <w:p>
      <w:pPr>
        <w:spacing w:after="40" w:line="240" w:lineRule="auto"/>
        <w:ind w:firstLine="0"/>
      </w:pPr>
      <w:r>
        <w:rPr>
          <w:sz w:val="4"/>
        </w:rPr>
      </w:r>
    </w:p>
    <w:p>
      <w:pPr>
        <w:pStyle w:val="Heading2"/>
      </w:pPr>
      <w:r>
        <w:t>8.6 数据标准管理实施</w:t>
      </w:r>
    </w:p>
    <w:p>
      <w:pPr>
        <w:jc w:val="both"/>
      </w:pPr>
      <w:r>
        <w:t>平台建立术语、参考数据、数据元、指标及相关主数据管理信息的统一登记和维护能力，支持按业务域、对象、责任及版本检索。标准审批流程配置提出、审查、联合评审、批准、生效和停用状态，标准管理员维护类别和域代码，确保标识结构一致。</w:t>
      </w:r>
    </w:p>
    <w:p>
      <w:pPr>
        <w:jc w:val="both"/>
      </w:pPr>
      <w:r>
        <w:t>标准与物理字段、模型、质量规则、接口和知识对象建立映射，正式任务引用批准版本。标准变更自动或受控触发影响清单，相关岗位安排模型、规则及服务更新。对存量系统通过映射执行标准化，保留原始表达和历史依据，避免直接覆盖源字段导致业务损失。</w:t>
      </w:r>
    </w:p>
    <w:p>
      <w:pPr>
        <w:jc w:val="both"/>
      </w:pPr>
      <w:r>
        <w:t>主数据审批记录在现有平台和治理目录间建立可检索关联，新增、变更、停用和分发状态能够追踪。历史核查材料与实际对象绑定，无法恢复的历史缺口保留当前核验及控制措施。代码字典和数据元的有效期用于运行检查，过期或未知值能够被识别并反馈。</w:t>
      </w:r>
    </w:p>
    <w:p>
      <w:pPr>
        <w:jc w:val="both"/>
      </w:pPr>
      <w:r>
        <w:t>验收验证标准从申请到发布、映射到执行、变更到下游同步的完整流程。抽取实际字段、指标和知识概念核对定义及版本，检查标准冲突和遗漏的处理。标准文件、平台登记和任务配置一致，使用岗位能够正确查询和维护。</w:t>
      </w:r>
    </w:p>
    <w:p>
      <w:pPr>
        <w:pStyle w:val="Caption"/>
        <w:keepNext/>
      </w:pPr>
      <w:r>
        <w:t>表8-5 数据标准管理实施核验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标准登记</w:t>
            </w:r>
          </w:p>
        </w:tc>
        <w:tc>
          <w:tcPr>
            <w:tcW w:type="dxa" w:w="3855"/>
            <w:vAlign w:val="center"/>
          </w:tcPr>
          <w:p>
            <w:pPr>
              <w:keepNext w:val="0"/>
              <w:spacing w:line="320" w:lineRule="exact" w:after="0" w:before="0"/>
              <w:ind w:firstLine="0"/>
              <w:jc w:val="left"/>
            </w:pPr>
            <w:r>
              <w:rPr>
                <w:b w:val="0"/>
                <w:sz w:val="21"/>
              </w:rPr>
              <w:t>标识、定义、引用和版本</w:t>
            </w:r>
          </w:p>
        </w:tc>
        <w:tc>
          <w:tcPr>
            <w:tcW w:type="dxa" w:w="3277"/>
            <w:vAlign w:val="center"/>
          </w:tcPr>
          <w:p>
            <w:pPr>
              <w:keepNext w:val="0"/>
              <w:spacing w:line="320" w:lineRule="exact" w:after="0" w:before="0"/>
              <w:ind w:firstLine="0"/>
              <w:jc w:val="left"/>
            </w:pPr>
            <w:r>
              <w:rPr>
                <w:b w:val="0"/>
                <w:sz w:val="21"/>
              </w:rPr>
              <w:t>标准库及审批记录</w:t>
            </w:r>
          </w:p>
        </w:tc>
      </w:tr>
      <w:tr>
        <w:trPr>
          <w:cantSplit/>
        </w:trPr>
        <w:tc>
          <w:tcPr>
            <w:tcW w:type="dxa" w:w="2506"/>
            <w:vAlign w:val="center"/>
          </w:tcPr>
          <w:p>
            <w:pPr>
              <w:keepNext w:val="0"/>
              <w:spacing w:line="320" w:lineRule="exact" w:after="0" w:before="0"/>
              <w:ind w:firstLine="0"/>
              <w:jc w:val="left"/>
            </w:pPr>
            <w:r>
              <w:rPr>
                <w:b w:val="0"/>
                <w:sz w:val="21"/>
              </w:rPr>
              <w:t>应用映射</w:t>
            </w:r>
          </w:p>
        </w:tc>
        <w:tc>
          <w:tcPr>
            <w:tcW w:type="dxa" w:w="3855"/>
            <w:vAlign w:val="center"/>
          </w:tcPr>
          <w:p>
            <w:pPr>
              <w:keepNext w:val="0"/>
              <w:spacing w:line="320" w:lineRule="exact" w:after="0" w:before="0"/>
              <w:ind w:firstLine="0"/>
              <w:jc w:val="left"/>
            </w:pPr>
            <w:r>
              <w:rPr>
                <w:b w:val="0"/>
                <w:sz w:val="21"/>
              </w:rPr>
              <w:t>字段、模型、指标和知识关联</w:t>
            </w:r>
          </w:p>
        </w:tc>
        <w:tc>
          <w:tcPr>
            <w:tcW w:type="dxa" w:w="3277"/>
            <w:vAlign w:val="center"/>
          </w:tcPr>
          <w:p>
            <w:pPr>
              <w:keepNext w:val="0"/>
              <w:spacing w:line="320" w:lineRule="exact" w:after="0" w:before="0"/>
              <w:ind w:firstLine="0"/>
              <w:jc w:val="left"/>
            </w:pPr>
            <w:r>
              <w:rPr>
                <w:b w:val="0"/>
                <w:sz w:val="21"/>
              </w:rPr>
              <w:t>映射表及运行配置</w:t>
            </w:r>
          </w:p>
        </w:tc>
      </w:tr>
      <w:tr>
        <w:trPr>
          <w:cantSplit/>
        </w:trPr>
        <w:tc>
          <w:tcPr>
            <w:tcW w:type="dxa" w:w="2506"/>
            <w:vAlign w:val="center"/>
          </w:tcPr>
          <w:p>
            <w:pPr>
              <w:keepNext w:val="0"/>
              <w:spacing w:line="320" w:lineRule="exact" w:after="0" w:before="0"/>
              <w:ind w:firstLine="0"/>
              <w:jc w:val="left"/>
            </w:pPr>
            <w:r>
              <w:rPr>
                <w:b w:val="0"/>
                <w:sz w:val="21"/>
              </w:rPr>
              <w:t>变更与历史</w:t>
            </w:r>
          </w:p>
        </w:tc>
        <w:tc>
          <w:tcPr>
            <w:tcW w:type="dxa" w:w="3855"/>
            <w:vAlign w:val="center"/>
          </w:tcPr>
          <w:p>
            <w:pPr>
              <w:keepNext w:val="0"/>
              <w:spacing w:line="320" w:lineRule="exact" w:after="0" w:before="0"/>
              <w:ind w:firstLine="0"/>
              <w:jc w:val="left"/>
            </w:pPr>
            <w:r>
              <w:rPr>
                <w:b w:val="0"/>
                <w:sz w:val="21"/>
              </w:rPr>
              <w:t>影响、同步、有效期及缺口</w:t>
            </w:r>
          </w:p>
        </w:tc>
        <w:tc>
          <w:tcPr>
            <w:tcW w:type="dxa" w:w="3277"/>
            <w:vAlign w:val="center"/>
          </w:tcPr>
          <w:p>
            <w:pPr>
              <w:keepNext w:val="0"/>
              <w:spacing w:line="320" w:lineRule="exact" w:after="0" w:before="0"/>
              <w:ind w:firstLine="0"/>
              <w:jc w:val="left"/>
            </w:pPr>
            <w:r>
              <w:rPr>
                <w:b w:val="0"/>
                <w:sz w:val="21"/>
              </w:rPr>
              <w:t>变更记录、复核和历史索引</w:t>
            </w:r>
          </w:p>
        </w:tc>
      </w:tr>
    </w:tbl>
    <w:p>
      <w:pPr>
        <w:spacing w:after="40" w:line="240" w:lineRule="auto"/>
        <w:ind w:firstLine="0"/>
      </w:pPr>
      <w:r>
        <w:rPr>
          <w:sz w:val="4"/>
        </w:rPr>
      </w:r>
    </w:p>
    <w:p>
      <w:pPr>
        <w:pStyle w:val="Heading2"/>
      </w:pPr>
      <w:r>
        <w:t>8.7 数据质量管理实施</w:t>
      </w:r>
    </w:p>
    <w:p>
      <w:pPr>
        <w:jc w:val="both"/>
      </w:pPr>
      <w:r>
        <w:t>平台将质量需求和规则库转化为可执行校验，配置范围、逻辑、参数、频率、依赖及异常等级。规则发布经过业务确认和测试，运行结果保留检查量、异常量、失败和未覆盖范围。界面能够按对象、来源、业务域、规则和时间查看结果，敏感异常样本受控展示。</w:t>
      </w:r>
    </w:p>
    <w:p>
      <w:pPr>
        <w:jc w:val="both"/>
      </w:pPr>
      <w:r>
        <w:t>质量任务嵌入采集、处理和服务发布流程，关键检查失败时按批准策略隔离或阻止受影响内容发布。周期检查覆盖持续运行及历史范围，事件检查响应标准、模型和来源变化。不同维度结果与执行状态分别呈现，避免“任务未运行但质量通过”的错误状态。</w:t>
      </w:r>
    </w:p>
    <w:p>
      <w:pPr>
        <w:jc w:val="both"/>
      </w:pPr>
      <w:r>
        <w:t>问题流程在平台登记上报、分派、整改、复核和归档，关联异常样本、根因、责任、时限及下游影响。修复结果由独立岗位验证，问题关闭同步更新相关质量状态。重复问题汇总分析根因并形成预防任务，质量报告可回查实际明细。</w:t>
      </w:r>
    </w:p>
    <w:p>
      <w:pPr>
        <w:jc w:val="both"/>
      </w:pPr>
      <w:r>
        <w:t>验收使用正常、异常、不适用、执行失败、修复和重检情形验证规则及流程，核对分母、评分和报告。检查多源对账、时效、唯一性及关键业务关联，确保能够定位到具体记录和处理环节。业务质量和数据集正式评测保持各自标准，接口共享问题与版本证据。</w:t>
      </w:r>
    </w:p>
    <w:p>
      <w:pPr>
        <w:pStyle w:val="Caption"/>
        <w:keepNext/>
      </w:pPr>
      <w:r>
        <w:t>表8-6 数据质量管理实施核验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规则与调度</w:t>
            </w:r>
          </w:p>
        </w:tc>
        <w:tc>
          <w:tcPr>
            <w:tcW w:type="dxa" w:w="3855"/>
            <w:vAlign w:val="center"/>
          </w:tcPr>
          <w:p>
            <w:pPr>
              <w:keepNext w:val="0"/>
              <w:spacing w:line="320" w:lineRule="exact" w:after="0" w:before="0"/>
              <w:ind w:firstLine="0"/>
              <w:jc w:val="left"/>
            </w:pPr>
            <w:r>
              <w:rPr>
                <w:b w:val="0"/>
                <w:sz w:val="21"/>
              </w:rPr>
              <w:t>范围、参数、依赖和状态</w:t>
            </w:r>
          </w:p>
        </w:tc>
        <w:tc>
          <w:tcPr>
            <w:tcW w:type="dxa" w:w="3277"/>
            <w:vAlign w:val="center"/>
          </w:tcPr>
          <w:p>
            <w:pPr>
              <w:keepNext w:val="0"/>
              <w:spacing w:line="320" w:lineRule="exact" w:after="0" w:before="0"/>
              <w:ind w:firstLine="0"/>
              <w:jc w:val="left"/>
            </w:pPr>
            <w:r>
              <w:rPr>
                <w:b w:val="0"/>
                <w:sz w:val="21"/>
              </w:rPr>
              <w:t>规则版本、调度及测试</w:t>
            </w:r>
          </w:p>
        </w:tc>
      </w:tr>
      <w:tr>
        <w:trPr>
          <w:cantSplit/>
        </w:trPr>
        <w:tc>
          <w:tcPr>
            <w:tcW w:type="dxa" w:w="2506"/>
            <w:vAlign w:val="center"/>
          </w:tcPr>
          <w:p>
            <w:pPr>
              <w:keepNext w:val="0"/>
              <w:spacing w:line="320" w:lineRule="exact" w:after="0" w:before="0"/>
              <w:ind w:firstLine="0"/>
              <w:jc w:val="left"/>
            </w:pPr>
            <w:r>
              <w:rPr>
                <w:b w:val="0"/>
                <w:sz w:val="21"/>
              </w:rPr>
              <w:t>检查与分析</w:t>
            </w:r>
          </w:p>
        </w:tc>
        <w:tc>
          <w:tcPr>
            <w:tcW w:type="dxa" w:w="3855"/>
            <w:vAlign w:val="center"/>
          </w:tcPr>
          <w:p>
            <w:pPr>
              <w:keepNext w:val="0"/>
              <w:spacing w:line="320" w:lineRule="exact" w:after="0" w:before="0"/>
              <w:ind w:firstLine="0"/>
              <w:jc w:val="left"/>
            </w:pPr>
            <w:r>
              <w:rPr>
                <w:b w:val="0"/>
                <w:sz w:val="21"/>
              </w:rPr>
              <w:t>六维结果、覆盖和可复算评分</w:t>
            </w:r>
          </w:p>
        </w:tc>
        <w:tc>
          <w:tcPr>
            <w:tcW w:type="dxa" w:w="3277"/>
            <w:vAlign w:val="center"/>
          </w:tcPr>
          <w:p>
            <w:pPr>
              <w:keepNext w:val="0"/>
              <w:spacing w:line="320" w:lineRule="exact" w:after="0" w:before="0"/>
              <w:ind w:firstLine="0"/>
              <w:jc w:val="left"/>
            </w:pPr>
            <w:r>
              <w:rPr>
                <w:b w:val="0"/>
                <w:sz w:val="21"/>
              </w:rPr>
              <w:t>结果明细、报告及样本</w:t>
            </w:r>
          </w:p>
        </w:tc>
      </w:tr>
      <w:tr>
        <w:trPr>
          <w:cantSplit/>
        </w:trPr>
        <w:tc>
          <w:tcPr>
            <w:tcW w:type="dxa" w:w="2506"/>
            <w:vAlign w:val="center"/>
          </w:tcPr>
          <w:p>
            <w:pPr>
              <w:keepNext w:val="0"/>
              <w:spacing w:line="320" w:lineRule="exact" w:after="0" w:before="0"/>
              <w:ind w:firstLine="0"/>
              <w:jc w:val="left"/>
            </w:pPr>
            <w:r>
              <w:rPr>
                <w:b w:val="0"/>
                <w:sz w:val="21"/>
              </w:rPr>
              <w:t>整改闭环</w:t>
            </w:r>
          </w:p>
        </w:tc>
        <w:tc>
          <w:tcPr>
            <w:tcW w:type="dxa" w:w="3855"/>
            <w:vAlign w:val="center"/>
          </w:tcPr>
          <w:p>
            <w:pPr>
              <w:keepNext w:val="0"/>
              <w:spacing w:line="320" w:lineRule="exact" w:after="0" w:before="0"/>
              <w:ind w:firstLine="0"/>
              <w:jc w:val="left"/>
            </w:pPr>
            <w:r>
              <w:rPr>
                <w:b w:val="0"/>
                <w:sz w:val="21"/>
              </w:rPr>
              <w:t>责任、修复、复核和影响处理</w:t>
            </w:r>
          </w:p>
        </w:tc>
        <w:tc>
          <w:tcPr>
            <w:tcW w:type="dxa" w:w="3277"/>
            <w:vAlign w:val="center"/>
          </w:tcPr>
          <w:p>
            <w:pPr>
              <w:keepNext w:val="0"/>
              <w:spacing w:line="320" w:lineRule="exact" w:after="0" w:before="0"/>
              <w:ind w:firstLine="0"/>
              <w:jc w:val="left"/>
            </w:pPr>
            <w:r>
              <w:rPr>
                <w:b w:val="0"/>
                <w:sz w:val="21"/>
              </w:rPr>
              <w:t>问题单、重检及关闭记录</w:t>
            </w:r>
          </w:p>
        </w:tc>
      </w:tr>
    </w:tbl>
    <w:p>
      <w:pPr>
        <w:spacing w:after="40" w:line="240" w:lineRule="auto"/>
        <w:ind w:firstLine="0"/>
      </w:pPr>
      <w:r>
        <w:rPr>
          <w:sz w:val="4"/>
        </w:rPr>
      </w:r>
    </w:p>
    <w:p>
      <w:pPr>
        <w:pStyle w:val="Heading2"/>
      </w:pPr>
      <w:r>
        <w:t>8.8 数据安全管理实施</w:t>
      </w:r>
    </w:p>
    <w:p>
      <w:pPr>
        <w:jc w:val="both"/>
      </w:pPr>
      <w:r>
        <w:t>安全管理配置L1至L5五级标签及对象、字段和文件范围，标签随采集、处理、发布和共享传递。权限策略绑定主体、资源、操作、环境和期限，实际授权与审批条件对应。身份、密码服务、脱敏、水印和审计能力按项目整体设计接入，关键路径保持一致控制。</w:t>
      </w:r>
    </w:p>
    <w:p>
      <w:pPr>
        <w:jc w:val="both"/>
      </w:pPr>
      <w:r>
        <w:t>权限验证覆盖页面、接口、后台任务、文件地址、缓存和导出，拒绝访问及失败操作同样记录。敏感处理任务保存规则版本和效果验证，未经批准不得将原始内容传入外部处理服务。数据用于训练、验证或对外共享时再次核验用途和来源限制，不能只检查登录身份。</w:t>
      </w:r>
    </w:p>
    <w:p>
      <w:pPr>
        <w:jc w:val="both"/>
      </w:pPr>
      <w:r>
        <w:t>安全事件和策略变更关联实际对象及使用方，标签提升、授权撤回和服务暂停及时传递到下游。日志采集保持完整、可关联和受保护，出现采集缺失或时间异常时告警并补齐。临时权限和项目账号按期限回收，接管岗位能够查询、复查和处置。</w:t>
      </w:r>
    </w:p>
    <w:p>
      <w:pPr>
        <w:jc w:val="both"/>
      </w:pPr>
      <w:r>
        <w:t>验收通过允许访问、越权拒绝、到期回收、脱敏检查、导出追踪和异常审计等场景验证。分级目录、审批、策略和实际操作结果一致，安全控制不因重试、批量任务或性能优化失效。第三方评估所需证据按实际版本提供，整改结果经过复核。</w:t>
      </w:r>
    </w:p>
    <w:p>
      <w:pPr>
        <w:pStyle w:val="Caption"/>
        <w:keepNext/>
      </w:pPr>
      <w:r>
        <w:t>表8-7 数据安全管理实施核验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标签与权限</w:t>
            </w:r>
          </w:p>
        </w:tc>
        <w:tc>
          <w:tcPr>
            <w:tcW w:type="dxa" w:w="3855"/>
            <w:vAlign w:val="center"/>
          </w:tcPr>
          <w:p>
            <w:pPr>
              <w:keepNext w:val="0"/>
              <w:spacing w:line="320" w:lineRule="exact" w:after="0" w:before="0"/>
              <w:ind w:firstLine="0"/>
              <w:jc w:val="left"/>
            </w:pPr>
            <w:r>
              <w:rPr>
                <w:b w:val="0"/>
                <w:sz w:val="21"/>
              </w:rPr>
              <w:t>五级标签、条件授权及期限</w:t>
            </w:r>
          </w:p>
        </w:tc>
        <w:tc>
          <w:tcPr>
            <w:tcW w:type="dxa" w:w="3277"/>
            <w:vAlign w:val="center"/>
          </w:tcPr>
          <w:p>
            <w:pPr>
              <w:keepNext w:val="0"/>
              <w:spacing w:line="320" w:lineRule="exact" w:after="0" w:before="0"/>
              <w:ind w:firstLine="0"/>
              <w:jc w:val="left"/>
            </w:pPr>
            <w:r>
              <w:rPr>
                <w:b w:val="0"/>
                <w:sz w:val="21"/>
              </w:rPr>
              <w:t>目录、审批和正反向测试</w:t>
            </w:r>
          </w:p>
        </w:tc>
      </w:tr>
      <w:tr>
        <w:trPr>
          <w:cantSplit/>
        </w:trPr>
        <w:tc>
          <w:tcPr>
            <w:tcW w:type="dxa" w:w="2506"/>
            <w:vAlign w:val="center"/>
          </w:tcPr>
          <w:p>
            <w:pPr>
              <w:keepNext w:val="0"/>
              <w:spacing w:line="320" w:lineRule="exact" w:after="0" w:before="0"/>
              <w:ind w:firstLine="0"/>
              <w:jc w:val="left"/>
            </w:pPr>
            <w:r>
              <w:rPr>
                <w:b w:val="0"/>
                <w:sz w:val="21"/>
              </w:rPr>
              <w:t>数据防护</w:t>
            </w:r>
          </w:p>
        </w:tc>
        <w:tc>
          <w:tcPr>
            <w:tcW w:type="dxa" w:w="3855"/>
            <w:vAlign w:val="center"/>
          </w:tcPr>
          <w:p>
            <w:pPr>
              <w:keepNext w:val="0"/>
              <w:spacing w:line="320" w:lineRule="exact" w:after="0" w:before="0"/>
              <w:ind w:firstLine="0"/>
              <w:jc w:val="left"/>
            </w:pPr>
            <w:r>
              <w:rPr>
                <w:b w:val="0"/>
                <w:sz w:val="21"/>
              </w:rPr>
              <w:t>脱敏、水印、导出和密码能力衔接</w:t>
            </w:r>
          </w:p>
        </w:tc>
        <w:tc>
          <w:tcPr>
            <w:tcW w:type="dxa" w:w="3277"/>
            <w:vAlign w:val="center"/>
          </w:tcPr>
          <w:p>
            <w:pPr>
              <w:keepNext w:val="0"/>
              <w:spacing w:line="320" w:lineRule="exact" w:after="0" w:before="0"/>
              <w:ind w:firstLine="0"/>
              <w:jc w:val="left"/>
            </w:pPr>
            <w:r>
              <w:rPr>
                <w:b w:val="0"/>
                <w:sz w:val="21"/>
              </w:rPr>
              <w:t>规则、处理记录和效果验证</w:t>
            </w:r>
          </w:p>
        </w:tc>
      </w:tr>
      <w:tr>
        <w:trPr>
          <w:cantSplit/>
        </w:trPr>
        <w:tc>
          <w:tcPr>
            <w:tcW w:type="dxa" w:w="2506"/>
            <w:vAlign w:val="center"/>
          </w:tcPr>
          <w:p>
            <w:pPr>
              <w:keepNext w:val="0"/>
              <w:spacing w:line="320" w:lineRule="exact" w:after="0" w:before="0"/>
              <w:ind w:firstLine="0"/>
              <w:jc w:val="left"/>
            </w:pPr>
            <w:r>
              <w:rPr>
                <w:b w:val="0"/>
                <w:sz w:val="21"/>
              </w:rPr>
              <w:t>审计与回收</w:t>
            </w:r>
          </w:p>
        </w:tc>
        <w:tc>
          <w:tcPr>
            <w:tcW w:type="dxa" w:w="3855"/>
            <w:vAlign w:val="center"/>
          </w:tcPr>
          <w:p>
            <w:pPr>
              <w:keepNext w:val="0"/>
              <w:spacing w:line="320" w:lineRule="exact" w:after="0" w:before="0"/>
              <w:ind w:firstLine="0"/>
              <w:jc w:val="left"/>
            </w:pPr>
            <w:r>
              <w:rPr>
                <w:b w:val="0"/>
                <w:sz w:val="21"/>
              </w:rPr>
              <w:t>全路径日志、异常处置和退出</w:t>
            </w:r>
          </w:p>
        </w:tc>
        <w:tc>
          <w:tcPr>
            <w:tcW w:type="dxa" w:w="3277"/>
            <w:vAlign w:val="center"/>
          </w:tcPr>
          <w:p>
            <w:pPr>
              <w:keepNext w:val="0"/>
              <w:spacing w:line="320" w:lineRule="exact" w:after="0" w:before="0"/>
              <w:ind w:firstLine="0"/>
              <w:jc w:val="left"/>
            </w:pPr>
            <w:r>
              <w:rPr>
                <w:b w:val="0"/>
                <w:sz w:val="21"/>
              </w:rPr>
              <w:t>日志、事件及回收记录</w:t>
            </w:r>
          </w:p>
        </w:tc>
      </w:tr>
    </w:tbl>
    <w:p>
      <w:pPr>
        <w:spacing w:after="40" w:line="240" w:lineRule="auto"/>
        <w:ind w:firstLine="0"/>
      </w:pPr>
      <w:r>
        <w:rPr>
          <w:sz w:val="4"/>
        </w:rPr>
      </w:r>
    </w:p>
    <w:p>
      <w:pPr>
        <w:pStyle w:val="Heading2"/>
      </w:pPr>
      <w:r>
        <w:t>8.9 数据指标管理实施</w:t>
      </w:r>
    </w:p>
    <w:p>
      <w:pPr>
        <w:jc w:val="both"/>
      </w:pPr>
      <w:r>
        <w:t>指标管理在治理规划和业务计算口径确认后形成正式指标体系，平台维护指标标准、维度、来源、公式、计算任务及发布状态。候选指标与正式指标分开，未完成确认的口径保留评审状态。跨业务域指标核对对象、时间、单位和过滤条件，统一后再进入计算配置。</w:t>
      </w:r>
    </w:p>
    <w:p>
      <w:pPr>
        <w:jc w:val="both"/>
      </w:pPr>
      <w:r>
        <w:t>计算任务引用标准版本和有效维度，保留输入范围、执行参数、输出及质量结果。比率保留分子分母，汇总保留组成范围，时间序列保留重算和修正记录。能够从展示结果追溯至明细及规则，业务人员可复核含义，技术人员可复算结果。</w:t>
      </w:r>
    </w:p>
    <w:p>
      <w:pPr>
        <w:jc w:val="both"/>
      </w:pPr>
      <w:r>
        <w:t>指标发布设置质量和授权检查，服务返回期间、单位、版本及必要解释。来源延迟或数据不完整时显示相应状态并控制使用，不能继续把旧值当作当期正常结果。口径变更形成生效版本，历史结果保留原口径及替代关系，受影响服务和报告同步调整。</w:t>
      </w:r>
    </w:p>
    <w:p>
      <w:pPr>
        <w:jc w:val="both"/>
      </w:pPr>
      <w:r>
        <w:t>验收核对正式指标清单、计算配置及实际结果，选择跨域指标进行独立复算，检查零分母、无数据、冲销、迟到和历史重算处理。指标异常能够定位至来源、映射或计算任务，修复后复核下游查询及决策使用。</w:t>
      </w:r>
    </w:p>
    <w:p>
      <w:pPr>
        <w:pStyle w:val="Caption"/>
        <w:keepNext/>
      </w:pPr>
      <w:r>
        <w:t>表8-8 数据指标管理实施核验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口径与体系</w:t>
            </w:r>
          </w:p>
        </w:tc>
        <w:tc>
          <w:tcPr>
            <w:tcW w:type="dxa" w:w="3855"/>
            <w:vAlign w:val="center"/>
          </w:tcPr>
          <w:p>
            <w:pPr>
              <w:keepNext w:val="0"/>
              <w:spacing w:line="320" w:lineRule="exact" w:after="0" w:before="0"/>
              <w:ind w:firstLine="0"/>
              <w:jc w:val="left"/>
            </w:pPr>
            <w:r>
              <w:rPr>
                <w:b w:val="0"/>
                <w:sz w:val="21"/>
              </w:rPr>
              <w:t>业务确认、公式、维度和来源</w:t>
            </w:r>
          </w:p>
        </w:tc>
        <w:tc>
          <w:tcPr>
            <w:tcW w:type="dxa" w:w="3277"/>
            <w:vAlign w:val="center"/>
          </w:tcPr>
          <w:p>
            <w:pPr>
              <w:keepNext w:val="0"/>
              <w:spacing w:line="320" w:lineRule="exact" w:after="0" w:before="0"/>
              <w:ind w:firstLine="0"/>
              <w:jc w:val="left"/>
            </w:pPr>
            <w:r>
              <w:rPr>
                <w:b w:val="0"/>
                <w:sz w:val="21"/>
              </w:rPr>
              <w:t>标准、评审及正式清单</w:t>
            </w:r>
          </w:p>
        </w:tc>
      </w:tr>
      <w:tr>
        <w:trPr>
          <w:cantSplit/>
        </w:trPr>
        <w:tc>
          <w:tcPr>
            <w:tcW w:type="dxa" w:w="2506"/>
            <w:vAlign w:val="center"/>
          </w:tcPr>
          <w:p>
            <w:pPr>
              <w:keepNext w:val="0"/>
              <w:spacing w:line="320" w:lineRule="exact" w:after="0" w:before="0"/>
              <w:ind w:firstLine="0"/>
              <w:jc w:val="left"/>
            </w:pPr>
            <w:r>
              <w:rPr>
                <w:b w:val="0"/>
                <w:sz w:val="21"/>
              </w:rPr>
              <w:t>计算与追溯</w:t>
            </w:r>
          </w:p>
        </w:tc>
        <w:tc>
          <w:tcPr>
            <w:tcW w:type="dxa" w:w="3855"/>
            <w:vAlign w:val="center"/>
          </w:tcPr>
          <w:p>
            <w:pPr>
              <w:keepNext w:val="0"/>
              <w:spacing w:line="320" w:lineRule="exact" w:after="0" w:before="0"/>
              <w:ind w:firstLine="0"/>
              <w:jc w:val="left"/>
            </w:pPr>
            <w:r>
              <w:rPr>
                <w:b w:val="0"/>
                <w:sz w:val="21"/>
              </w:rPr>
              <w:t>输入、参数、分子分母和版本</w:t>
            </w:r>
          </w:p>
        </w:tc>
        <w:tc>
          <w:tcPr>
            <w:tcW w:type="dxa" w:w="3277"/>
            <w:vAlign w:val="center"/>
          </w:tcPr>
          <w:p>
            <w:pPr>
              <w:keepNext w:val="0"/>
              <w:spacing w:line="320" w:lineRule="exact" w:after="0" w:before="0"/>
              <w:ind w:firstLine="0"/>
              <w:jc w:val="left"/>
            </w:pPr>
            <w:r>
              <w:rPr>
                <w:b w:val="0"/>
                <w:sz w:val="21"/>
              </w:rPr>
              <w:t>任务日志、明细和复算</w:t>
            </w:r>
          </w:p>
        </w:tc>
      </w:tr>
      <w:tr>
        <w:trPr>
          <w:cantSplit/>
        </w:trPr>
        <w:tc>
          <w:tcPr>
            <w:tcW w:type="dxa" w:w="2506"/>
            <w:vAlign w:val="center"/>
          </w:tcPr>
          <w:p>
            <w:pPr>
              <w:keepNext w:val="0"/>
              <w:spacing w:line="320" w:lineRule="exact" w:after="0" w:before="0"/>
              <w:ind w:firstLine="0"/>
              <w:jc w:val="left"/>
            </w:pPr>
            <w:r>
              <w:rPr>
                <w:b w:val="0"/>
                <w:sz w:val="21"/>
              </w:rPr>
              <w:t>发布与变更</w:t>
            </w:r>
          </w:p>
        </w:tc>
        <w:tc>
          <w:tcPr>
            <w:tcW w:type="dxa" w:w="3855"/>
            <w:vAlign w:val="center"/>
          </w:tcPr>
          <w:p>
            <w:pPr>
              <w:keepNext w:val="0"/>
              <w:spacing w:line="320" w:lineRule="exact" w:after="0" w:before="0"/>
              <w:ind w:firstLine="0"/>
              <w:jc w:val="left"/>
            </w:pPr>
            <w:r>
              <w:rPr>
                <w:b w:val="0"/>
                <w:sz w:val="21"/>
              </w:rPr>
              <w:t>质量、权限、时效及历史处理</w:t>
            </w:r>
          </w:p>
        </w:tc>
        <w:tc>
          <w:tcPr>
            <w:tcW w:type="dxa" w:w="3277"/>
            <w:vAlign w:val="center"/>
          </w:tcPr>
          <w:p>
            <w:pPr>
              <w:keepNext w:val="0"/>
              <w:spacing w:line="320" w:lineRule="exact" w:after="0" w:before="0"/>
              <w:ind w:firstLine="0"/>
              <w:jc w:val="left"/>
            </w:pPr>
            <w:r>
              <w:rPr>
                <w:b w:val="0"/>
                <w:sz w:val="21"/>
              </w:rPr>
              <w:t>发布记录、状态和变更验证</w:t>
            </w:r>
          </w:p>
        </w:tc>
      </w:tr>
    </w:tbl>
    <w:p>
      <w:pPr>
        <w:spacing w:after="40" w:line="240" w:lineRule="auto"/>
        <w:ind w:firstLine="0"/>
      </w:pPr>
      <w:r>
        <w:rPr>
          <w:sz w:val="4"/>
        </w:rPr>
      </w:r>
    </w:p>
    <w:p>
      <w:pPr>
        <w:pStyle w:val="Heading2"/>
      </w:pPr>
      <w:r>
        <w:t>8.10 数据服务管理实施</w:t>
      </w:r>
    </w:p>
    <w:p>
      <w:pPr>
        <w:jc w:val="both"/>
      </w:pPr>
      <w:r>
        <w:t>服务管理将治理后的表、文件、指标、知识及多模态资源按批准用途封装为实际服务，登记目录、接口或交付方式、使用条件及运维责任。服务与数据生产、质量及版本联动，能够识别当前可用内容和限制。既有服务复用保持一致定义，新增需求通过统一流程实施。</w:t>
      </w:r>
    </w:p>
    <w:p>
      <w:pPr>
        <w:jc w:val="both"/>
      </w:pPr>
      <w:r>
        <w:t>服务发布经过功能、质量、权限、性能和运行验证，调用方完成必要试用确认。监测记录调用、错误、响应、内容时效和异常使用，计量口径区分业务请求与技术重试。故障处理关联上游任务和受影响使用方，恢复后核对数据及服务版本。</w:t>
      </w:r>
    </w:p>
    <w:p>
      <w:pPr>
        <w:jc w:val="both"/>
      </w:pPr>
      <w:r>
        <w:t>服务变更维护使用方清单和兼容安排，字段含义变化、权限收紧、来源撤回和接口退出均通知相关岗位。退役前确认依赖迁移，停止新授权，回收凭据和链接并更新目录。已交付副本按批准条件处理，审计和必要历史记录继续受控保存。</w:t>
      </w:r>
    </w:p>
    <w:p>
      <w:pPr>
        <w:jc w:val="both"/>
      </w:pPr>
      <w:r>
        <w:t>验收贯通资源登记、申请审批、授权开通、调用或交付、使用反馈及退出，检查实际内容与批准范围一致。服务指南、结构定义、异常说明和支持方式完整，甲方岗位能够独立维护目录、查询运行及处理常见问题。</w:t>
      </w:r>
    </w:p>
    <w:p>
      <w:pPr>
        <w:pStyle w:val="Caption"/>
        <w:keepNext/>
      </w:pPr>
      <w:r>
        <w:t>表8-9 数据服务管理实施核验</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核验对象</w:t>
            </w:r>
          </w:p>
        </w:tc>
        <w:tc>
          <w:tcPr>
            <w:tcW w:type="dxa" w:w="3855"/>
            <w:vAlign w:val="center"/>
            <w:shd w:fill="EDF1F3"/>
          </w:tcPr>
          <w:p>
            <w:pPr>
              <w:keepNext/>
              <w:spacing w:line="320" w:lineRule="exact" w:after="0" w:before="0"/>
              <w:ind w:firstLine="0"/>
              <w:jc w:val="center"/>
            </w:pPr>
            <w:r>
              <w:rPr>
                <w:b/>
                <w:sz w:val="21"/>
              </w:rPr>
              <w:t>实施控制</w:t>
            </w:r>
          </w:p>
        </w:tc>
        <w:tc>
          <w:tcPr>
            <w:tcW w:type="dxa" w:w="3277"/>
            <w:vAlign w:val="center"/>
            <w:shd w:fill="EDF1F3"/>
          </w:tcPr>
          <w:p>
            <w:pPr>
              <w:keepNext/>
              <w:spacing w:line="320" w:lineRule="exact" w:after="0" w:before="0"/>
              <w:ind w:firstLine="0"/>
              <w:jc w:val="center"/>
            </w:pPr>
            <w:r>
              <w:rPr>
                <w:b/>
                <w:sz w:val="21"/>
              </w:rPr>
              <w:t>验收证据</w:t>
            </w:r>
          </w:p>
        </w:tc>
      </w:tr>
      <w:tr>
        <w:trPr>
          <w:cantSplit/>
        </w:trPr>
        <w:tc>
          <w:tcPr>
            <w:tcW w:type="dxa" w:w="2506"/>
            <w:vAlign w:val="center"/>
          </w:tcPr>
          <w:p>
            <w:pPr>
              <w:keepNext w:val="0"/>
              <w:spacing w:line="320" w:lineRule="exact" w:after="0" w:before="0"/>
              <w:ind w:firstLine="0"/>
              <w:jc w:val="left"/>
            </w:pPr>
            <w:r>
              <w:rPr>
                <w:b w:val="0"/>
                <w:sz w:val="21"/>
              </w:rPr>
              <w:t>服务发布</w:t>
            </w:r>
          </w:p>
        </w:tc>
        <w:tc>
          <w:tcPr>
            <w:tcW w:type="dxa" w:w="3855"/>
            <w:vAlign w:val="center"/>
          </w:tcPr>
          <w:p>
            <w:pPr>
              <w:keepNext w:val="0"/>
              <w:spacing w:line="320" w:lineRule="exact" w:after="0" w:before="0"/>
              <w:ind w:firstLine="0"/>
              <w:jc w:val="left"/>
            </w:pPr>
            <w:r>
              <w:rPr>
                <w:b w:val="0"/>
                <w:sz w:val="21"/>
              </w:rPr>
              <w:t>目录、结构、条件和测试</w:t>
            </w:r>
          </w:p>
        </w:tc>
        <w:tc>
          <w:tcPr>
            <w:tcW w:type="dxa" w:w="3277"/>
            <w:vAlign w:val="center"/>
          </w:tcPr>
          <w:p>
            <w:pPr>
              <w:keepNext w:val="0"/>
              <w:spacing w:line="320" w:lineRule="exact" w:after="0" w:before="0"/>
              <w:ind w:firstLine="0"/>
              <w:jc w:val="left"/>
            </w:pPr>
            <w:r>
              <w:rPr>
                <w:b w:val="0"/>
                <w:sz w:val="21"/>
              </w:rPr>
              <w:t>发布清单及调用验证</w:t>
            </w:r>
          </w:p>
        </w:tc>
      </w:tr>
      <w:tr>
        <w:trPr>
          <w:cantSplit/>
        </w:trPr>
        <w:tc>
          <w:tcPr>
            <w:tcW w:type="dxa" w:w="2506"/>
            <w:vAlign w:val="center"/>
          </w:tcPr>
          <w:p>
            <w:pPr>
              <w:keepNext w:val="0"/>
              <w:spacing w:line="320" w:lineRule="exact" w:after="0" w:before="0"/>
              <w:ind w:firstLine="0"/>
              <w:jc w:val="left"/>
            </w:pPr>
            <w:r>
              <w:rPr>
                <w:b w:val="0"/>
                <w:sz w:val="21"/>
              </w:rPr>
              <w:t>运行与反馈</w:t>
            </w:r>
          </w:p>
        </w:tc>
        <w:tc>
          <w:tcPr>
            <w:tcW w:type="dxa" w:w="3855"/>
            <w:vAlign w:val="center"/>
          </w:tcPr>
          <w:p>
            <w:pPr>
              <w:keepNext w:val="0"/>
              <w:spacing w:line="320" w:lineRule="exact" w:after="0" w:before="0"/>
              <w:ind w:firstLine="0"/>
              <w:jc w:val="left"/>
            </w:pPr>
            <w:r>
              <w:rPr>
                <w:b w:val="0"/>
                <w:sz w:val="21"/>
              </w:rPr>
              <w:t>监控、计量、故障和业务评价</w:t>
            </w:r>
          </w:p>
        </w:tc>
        <w:tc>
          <w:tcPr>
            <w:tcW w:type="dxa" w:w="3277"/>
            <w:vAlign w:val="center"/>
          </w:tcPr>
          <w:p>
            <w:pPr>
              <w:keepNext w:val="0"/>
              <w:spacing w:line="320" w:lineRule="exact" w:after="0" w:before="0"/>
              <w:ind w:firstLine="0"/>
              <w:jc w:val="left"/>
            </w:pPr>
            <w:r>
              <w:rPr>
                <w:b w:val="0"/>
                <w:sz w:val="21"/>
              </w:rPr>
              <w:t>运行报告、反馈及恢复</w:t>
            </w:r>
          </w:p>
        </w:tc>
      </w:tr>
      <w:tr>
        <w:trPr>
          <w:cantSplit/>
        </w:trPr>
        <w:tc>
          <w:tcPr>
            <w:tcW w:type="dxa" w:w="2506"/>
            <w:vAlign w:val="center"/>
          </w:tcPr>
          <w:p>
            <w:pPr>
              <w:keepNext w:val="0"/>
              <w:spacing w:line="320" w:lineRule="exact" w:after="0" w:before="0"/>
              <w:ind w:firstLine="0"/>
              <w:jc w:val="left"/>
            </w:pPr>
            <w:r>
              <w:rPr>
                <w:b w:val="0"/>
                <w:sz w:val="21"/>
              </w:rPr>
              <w:t>变更与退出</w:t>
            </w:r>
          </w:p>
        </w:tc>
        <w:tc>
          <w:tcPr>
            <w:tcW w:type="dxa" w:w="3855"/>
            <w:vAlign w:val="center"/>
          </w:tcPr>
          <w:p>
            <w:pPr>
              <w:keepNext w:val="0"/>
              <w:spacing w:line="320" w:lineRule="exact" w:after="0" w:before="0"/>
              <w:ind w:firstLine="0"/>
              <w:jc w:val="left"/>
            </w:pPr>
            <w:r>
              <w:rPr>
                <w:b w:val="0"/>
                <w:sz w:val="21"/>
              </w:rPr>
              <w:t>兼容、通知、迁移和权限回收</w:t>
            </w:r>
          </w:p>
        </w:tc>
        <w:tc>
          <w:tcPr>
            <w:tcW w:type="dxa" w:w="3277"/>
            <w:vAlign w:val="center"/>
          </w:tcPr>
          <w:p>
            <w:pPr>
              <w:keepNext w:val="0"/>
              <w:spacing w:line="320" w:lineRule="exact" w:after="0" w:before="0"/>
              <w:ind w:firstLine="0"/>
              <w:jc w:val="left"/>
            </w:pPr>
            <w:r>
              <w:rPr>
                <w:b w:val="0"/>
                <w:sz w:val="21"/>
              </w:rPr>
              <w:t>变更记录、退出及复核</w:t>
            </w:r>
          </w:p>
        </w:tc>
      </w:tr>
    </w:tbl>
    <w:p>
      <w:pPr>
        <w:spacing w:after="40" w:line="240" w:lineRule="auto"/>
        <w:ind w:firstLine="0"/>
      </w:pPr>
      <w:r>
        <w:rPr>
          <w:sz w:val="4"/>
        </w:rPr>
      </w:r>
    </w:p>
    <w:p>
      <w:pPr>
        <w:pStyle w:val="Heading1"/>
      </w:pPr>
      <w:r>
        <w:t>9 九个业务域治理实施</w:t>
      </w:r>
    </w:p>
    <w:p>
      <w:pPr>
        <w:pStyle w:val="Heading2"/>
      </w:pPr>
      <w:r>
        <w:t>9.1 人力资源域</w:t>
      </w:r>
    </w:p>
    <w:p>
      <w:pPr>
        <w:jc w:val="both"/>
      </w:pPr>
      <w:r>
        <w:t>人力资源域围绕组织、岗位、人员任职、资质、培训和授权关系开展治理，支持数据责任落实、作业资格核验及数据使用权限管理。实施前核对现行组织和人员管理来源，明确可用于本项目的字段、用途及范围。个人信息按最小必要原则处理，不因属于企业内部数据就默认允许进入所有训练或共享用途。</w:t>
      </w:r>
    </w:p>
    <w:p>
      <w:pPr>
        <w:jc w:val="both"/>
      </w:pPr>
      <w:r>
        <w:t>组织和岗位采用经确认的权威标识，保留层级、归属、生效和失效时间。人员任职与岗位关系随实际变动维护，历史工单、检验和审批关联当时有效任职，避免用当前组织结构重写过去责任。人员姓名不作为唯一关联键，跨系统映射核对身份及有效期间，处理重名、离职再入职和岗位兼任等实际情况。</w:t>
      </w:r>
    </w:p>
    <w:p>
      <w:pPr>
        <w:jc w:val="both"/>
      </w:pPr>
      <w:r>
        <w:t>资质、培训和岗位能力记录核对来源、适用岗位、有效期和核验状态。关键作业或数据管理岗位需要的能力与相应记录关联，过期或缺失时触发核查，不能把参加培训等同于已经具备独立执行能力。数据管理师能力提升与治理培训、岗位实践和考核记录衔接，评价依据实际任务完成情况。</w:t>
      </w:r>
    </w:p>
    <w:p>
      <w:pPr>
        <w:jc w:val="both"/>
      </w:pPr>
      <w:r>
        <w:t>质量检查包括组织关系完整、任职时间合理、身份唯一、资格状态有效以及人员变动同步及时。与审批和权限平台核对调岗、离职后的角色调整，识别未回收权限和无责任账号。发现人员或组织映射错误时，评估审批、操作审计和历史责任查询的影响，修复保留前后关系及依据。</w:t>
      </w:r>
    </w:p>
    <w:p>
      <w:pPr>
        <w:jc w:val="both"/>
      </w:pPr>
      <w:r>
        <w:t>正式供给以批准用途提供岗位责任、组织维度或必要资格信息，敏感身份和其他无关字段受控排除。验收通过人员变动、岗位授权调整和历史责任查询等事项，核对数据、权限与记录一致。移交人员及组织维护责任、变更同步、权限复核和保留要求。</w:t>
      </w:r>
    </w:p>
    <w:p>
      <w:pPr>
        <w:pStyle w:val="Caption"/>
        <w:keepNext/>
      </w:pPr>
      <w:r>
        <w:t>表9-1 人力资源域治理重点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组织与岗位</w:t>
            </w:r>
          </w:p>
        </w:tc>
        <w:tc>
          <w:tcPr>
            <w:tcW w:type="dxa" w:w="3855"/>
            <w:vAlign w:val="center"/>
          </w:tcPr>
          <w:p>
            <w:pPr>
              <w:keepNext w:val="0"/>
              <w:spacing w:line="320" w:lineRule="exact" w:after="0" w:before="0"/>
              <w:ind w:firstLine="0"/>
              <w:jc w:val="left"/>
            </w:pPr>
            <w:r>
              <w:rPr>
                <w:b w:val="0"/>
                <w:sz w:val="21"/>
              </w:rPr>
              <w:t>权威编码、层级和有效历史</w:t>
            </w:r>
          </w:p>
        </w:tc>
        <w:tc>
          <w:tcPr>
            <w:tcW w:type="dxa" w:w="3277"/>
            <w:vAlign w:val="center"/>
          </w:tcPr>
          <w:p>
            <w:pPr>
              <w:keepNext w:val="0"/>
              <w:spacing w:line="320" w:lineRule="exact" w:after="0" w:before="0"/>
              <w:ind w:firstLine="0"/>
              <w:jc w:val="left"/>
            </w:pPr>
            <w:r>
              <w:rPr>
                <w:b w:val="0"/>
                <w:sz w:val="21"/>
              </w:rPr>
              <w:t>组织、岗位、责任及审批</w:t>
            </w:r>
          </w:p>
        </w:tc>
      </w:tr>
      <w:tr>
        <w:trPr>
          <w:cantSplit/>
        </w:trPr>
        <w:tc>
          <w:tcPr>
            <w:tcW w:type="dxa" w:w="2506"/>
            <w:vAlign w:val="center"/>
          </w:tcPr>
          <w:p>
            <w:pPr>
              <w:keepNext w:val="0"/>
              <w:spacing w:line="320" w:lineRule="exact" w:after="0" w:before="0"/>
              <w:ind w:firstLine="0"/>
              <w:jc w:val="left"/>
            </w:pPr>
            <w:r>
              <w:rPr>
                <w:b w:val="0"/>
                <w:sz w:val="21"/>
              </w:rPr>
              <w:t>人员任职</w:t>
            </w:r>
          </w:p>
        </w:tc>
        <w:tc>
          <w:tcPr>
            <w:tcW w:type="dxa" w:w="3855"/>
            <w:vAlign w:val="center"/>
          </w:tcPr>
          <w:p>
            <w:pPr>
              <w:keepNext w:val="0"/>
              <w:spacing w:line="320" w:lineRule="exact" w:after="0" w:before="0"/>
              <w:ind w:firstLine="0"/>
              <w:jc w:val="left"/>
            </w:pPr>
            <w:r>
              <w:rPr>
                <w:b w:val="0"/>
                <w:sz w:val="21"/>
              </w:rPr>
              <w:t>唯一身份、任职时间和状态</w:t>
            </w:r>
          </w:p>
        </w:tc>
        <w:tc>
          <w:tcPr>
            <w:tcW w:type="dxa" w:w="3277"/>
            <w:vAlign w:val="center"/>
          </w:tcPr>
          <w:p>
            <w:pPr>
              <w:keepNext w:val="0"/>
              <w:spacing w:line="320" w:lineRule="exact" w:after="0" w:before="0"/>
              <w:ind w:firstLine="0"/>
              <w:jc w:val="left"/>
            </w:pPr>
            <w:r>
              <w:rPr>
                <w:b w:val="0"/>
                <w:sz w:val="21"/>
              </w:rPr>
              <w:t>当前权限与历史责任</w:t>
            </w:r>
          </w:p>
        </w:tc>
      </w:tr>
      <w:tr>
        <w:trPr>
          <w:cantSplit/>
        </w:trPr>
        <w:tc>
          <w:tcPr>
            <w:tcW w:type="dxa" w:w="2506"/>
            <w:vAlign w:val="center"/>
          </w:tcPr>
          <w:p>
            <w:pPr>
              <w:keepNext w:val="0"/>
              <w:spacing w:line="320" w:lineRule="exact" w:after="0" w:before="0"/>
              <w:ind w:firstLine="0"/>
              <w:jc w:val="left"/>
            </w:pPr>
            <w:r>
              <w:rPr>
                <w:b w:val="0"/>
                <w:sz w:val="21"/>
              </w:rPr>
              <w:t>资格与培训</w:t>
            </w:r>
          </w:p>
        </w:tc>
        <w:tc>
          <w:tcPr>
            <w:tcW w:type="dxa" w:w="3855"/>
            <w:vAlign w:val="center"/>
          </w:tcPr>
          <w:p>
            <w:pPr>
              <w:keepNext w:val="0"/>
              <w:spacing w:line="320" w:lineRule="exact" w:after="0" w:before="0"/>
              <w:ind w:firstLine="0"/>
              <w:jc w:val="left"/>
            </w:pPr>
            <w:r>
              <w:rPr>
                <w:b w:val="0"/>
                <w:sz w:val="21"/>
              </w:rPr>
              <w:t>来源、有效期和实际能力</w:t>
            </w:r>
          </w:p>
        </w:tc>
        <w:tc>
          <w:tcPr>
            <w:tcW w:type="dxa" w:w="3277"/>
            <w:vAlign w:val="center"/>
          </w:tcPr>
          <w:p>
            <w:pPr>
              <w:keepNext w:val="0"/>
              <w:spacing w:line="320" w:lineRule="exact" w:after="0" w:before="0"/>
              <w:ind w:firstLine="0"/>
              <w:jc w:val="left"/>
            </w:pPr>
            <w:r>
              <w:rPr>
                <w:b w:val="0"/>
                <w:sz w:val="21"/>
              </w:rPr>
              <w:t>岗位要求、记录及核验</w:t>
            </w:r>
          </w:p>
        </w:tc>
      </w:tr>
    </w:tbl>
    <w:p>
      <w:pPr>
        <w:spacing w:after="40" w:line="240" w:lineRule="auto"/>
        <w:ind w:firstLine="0"/>
      </w:pPr>
      <w:r>
        <w:rPr>
          <w:sz w:val="4"/>
        </w:rPr>
      </w:r>
    </w:p>
    <w:p>
      <w:pPr>
        <w:pStyle w:val="Heading2"/>
      </w:pPr>
      <w:r>
        <w:t>9.2 研发设计域</w:t>
      </w:r>
    </w:p>
    <w:p>
      <w:pPr>
        <w:jc w:val="both"/>
      </w:pPr>
      <w:r>
        <w:t>研发设计域围绕产品、零部件、图纸、设计版本、物料清单、工艺文件和技术标准开展治理，为产品工艺设计数据集、产品智能选型和板材备料工艺智能设计等任务提供可靠关联。以PLM及经确认的设计工艺管理来源为基础，核对正式发布、变更、作废和历史版本，区分当前有效与历史参考内容。</w:t>
      </w:r>
    </w:p>
    <w:p>
      <w:pPr>
        <w:jc w:val="both"/>
      </w:pPr>
      <w:r>
        <w:t>图纸身份由图号、版本及适用对象共同确定，文件名和存放目录作为辅助定位信息，不能单独证明有效性。图纸与工艺卡、工艺路线的关联核对产品或零件、版本、批准状态和适用时间，保留一对多、多对一及变更关系。不能因为历史资料数量相近就推定全部天然成对，也不能将未审核工艺内容作为正式匹配结果。</w:t>
      </w:r>
    </w:p>
    <w:p>
      <w:pPr>
        <w:jc w:val="both"/>
      </w:pPr>
      <w:r>
        <w:t>设计属性和工艺参数统一名称、单位、精度及适用条件，尺寸、材料、热处理、焊接和检验要求分别保存专业含义。解析得到的文本、图像及结构化字段关联原文位置，重要数值和符号开展专业复核。无法清晰识别或含义不确定的内容标记核验，未经确认不直接用于生成监督答案。</w:t>
      </w:r>
    </w:p>
    <w:p>
      <w:pPr>
        <w:jc w:val="both"/>
      </w:pPr>
      <w:r>
        <w:t>质量检查包括文件可读、页码及附件完整、图号版本一致、物料清单关系合理、工艺适用条件明确及变更传播完整。标准引用核对版本和生效范围，外部标准资料的使用方式遵守许可。设计变更时通过血缘识别受影响工艺、制造、检验、知识及样本，安排更新与重新验证。</w:t>
      </w:r>
    </w:p>
    <w:p>
      <w:pPr>
        <w:jc w:val="both"/>
      </w:pPr>
      <w:r>
        <w:t>数据服务提供经授权的设计工艺检索、对象关系及有效版本，返回必要来源与状态。验收从一个产品或零件追踪图纸、工艺、物料及相应检验要求，检查历史版本可解释、当前版本可用和权限正确。治理结果为场景验证提供数据支撑，专业设计与工艺判断依据实际业务要求实施。</w:t>
      </w:r>
    </w:p>
    <w:p>
      <w:pPr>
        <w:pStyle w:val="Caption"/>
        <w:keepNext/>
      </w:pPr>
      <w:r>
        <w:t>表9-2 研发设计域治理重点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产品与零部件</w:t>
            </w:r>
          </w:p>
        </w:tc>
        <w:tc>
          <w:tcPr>
            <w:tcW w:type="dxa" w:w="3855"/>
            <w:vAlign w:val="center"/>
          </w:tcPr>
          <w:p>
            <w:pPr>
              <w:keepNext w:val="0"/>
              <w:spacing w:line="320" w:lineRule="exact" w:after="0" w:before="0"/>
              <w:ind w:firstLine="0"/>
              <w:jc w:val="left"/>
            </w:pPr>
            <w:r>
              <w:rPr>
                <w:b w:val="0"/>
                <w:sz w:val="21"/>
              </w:rPr>
              <w:t>身份、结构、版本和适用范围</w:t>
            </w:r>
          </w:p>
        </w:tc>
        <w:tc>
          <w:tcPr>
            <w:tcW w:type="dxa" w:w="3277"/>
            <w:vAlign w:val="center"/>
          </w:tcPr>
          <w:p>
            <w:pPr>
              <w:keepNext w:val="0"/>
              <w:spacing w:line="320" w:lineRule="exact" w:after="0" w:before="0"/>
              <w:ind w:firstLine="0"/>
              <w:jc w:val="left"/>
            </w:pPr>
            <w:r>
              <w:rPr>
                <w:b w:val="0"/>
                <w:sz w:val="21"/>
              </w:rPr>
              <w:t>产品、物料及设计结构</w:t>
            </w:r>
          </w:p>
        </w:tc>
      </w:tr>
      <w:tr>
        <w:trPr>
          <w:cantSplit/>
        </w:trPr>
        <w:tc>
          <w:tcPr>
            <w:tcW w:type="dxa" w:w="2506"/>
            <w:vAlign w:val="center"/>
          </w:tcPr>
          <w:p>
            <w:pPr>
              <w:keepNext w:val="0"/>
              <w:spacing w:line="320" w:lineRule="exact" w:after="0" w:before="0"/>
              <w:ind w:firstLine="0"/>
              <w:jc w:val="left"/>
            </w:pPr>
            <w:r>
              <w:rPr>
                <w:b w:val="0"/>
                <w:sz w:val="21"/>
              </w:rPr>
              <w:t>图纸与工艺</w:t>
            </w:r>
          </w:p>
        </w:tc>
        <w:tc>
          <w:tcPr>
            <w:tcW w:type="dxa" w:w="3855"/>
            <w:vAlign w:val="center"/>
          </w:tcPr>
          <w:p>
            <w:pPr>
              <w:keepNext w:val="0"/>
              <w:spacing w:line="320" w:lineRule="exact" w:after="0" w:before="0"/>
              <w:ind w:firstLine="0"/>
              <w:jc w:val="left"/>
            </w:pPr>
            <w:r>
              <w:rPr>
                <w:b w:val="0"/>
                <w:sz w:val="21"/>
              </w:rPr>
              <w:t>图号、版本、批准和匹配依据</w:t>
            </w:r>
          </w:p>
        </w:tc>
        <w:tc>
          <w:tcPr>
            <w:tcW w:type="dxa" w:w="3277"/>
            <w:vAlign w:val="center"/>
          </w:tcPr>
          <w:p>
            <w:pPr>
              <w:keepNext w:val="0"/>
              <w:spacing w:line="320" w:lineRule="exact" w:after="0" w:before="0"/>
              <w:ind w:firstLine="0"/>
              <w:jc w:val="left"/>
            </w:pPr>
            <w:r>
              <w:rPr>
                <w:b w:val="0"/>
                <w:sz w:val="21"/>
              </w:rPr>
              <w:t>图纸、工艺卡及路线</w:t>
            </w:r>
          </w:p>
        </w:tc>
      </w:tr>
      <w:tr>
        <w:trPr>
          <w:cantSplit/>
        </w:trPr>
        <w:tc>
          <w:tcPr>
            <w:tcW w:type="dxa" w:w="2506"/>
            <w:vAlign w:val="center"/>
          </w:tcPr>
          <w:p>
            <w:pPr>
              <w:keepNext w:val="0"/>
              <w:spacing w:line="320" w:lineRule="exact" w:after="0" w:before="0"/>
              <w:ind w:firstLine="0"/>
              <w:jc w:val="left"/>
            </w:pPr>
            <w:r>
              <w:rPr>
                <w:b w:val="0"/>
                <w:sz w:val="21"/>
              </w:rPr>
              <w:t>技术要求</w:t>
            </w:r>
          </w:p>
        </w:tc>
        <w:tc>
          <w:tcPr>
            <w:tcW w:type="dxa" w:w="3855"/>
            <w:vAlign w:val="center"/>
          </w:tcPr>
          <w:p>
            <w:pPr>
              <w:keepNext w:val="0"/>
              <w:spacing w:line="320" w:lineRule="exact" w:after="0" w:before="0"/>
              <w:ind w:firstLine="0"/>
              <w:jc w:val="left"/>
            </w:pPr>
            <w:r>
              <w:rPr>
                <w:b w:val="0"/>
                <w:sz w:val="21"/>
              </w:rPr>
              <w:t>单位、精度、来源和有效版本</w:t>
            </w:r>
          </w:p>
        </w:tc>
        <w:tc>
          <w:tcPr>
            <w:tcW w:type="dxa" w:w="3277"/>
            <w:vAlign w:val="center"/>
          </w:tcPr>
          <w:p>
            <w:pPr>
              <w:keepNext w:val="0"/>
              <w:spacing w:line="320" w:lineRule="exact" w:after="0" w:before="0"/>
              <w:ind w:firstLine="0"/>
              <w:jc w:val="left"/>
            </w:pPr>
            <w:r>
              <w:rPr>
                <w:b w:val="0"/>
                <w:sz w:val="21"/>
              </w:rPr>
              <w:t>设计、制造及检验</w:t>
            </w:r>
          </w:p>
        </w:tc>
      </w:tr>
    </w:tbl>
    <w:p>
      <w:pPr>
        <w:spacing w:after="40" w:line="240" w:lineRule="auto"/>
        <w:ind w:firstLine="0"/>
      </w:pPr>
      <w:r>
        <w:rPr>
          <w:sz w:val="4"/>
        </w:rPr>
      </w:r>
    </w:p>
    <w:p>
      <w:pPr>
        <w:pStyle w:val="Heading2"/>
      </w:pPr>
      <w:r>
        <w:t>9.3 生产制造域</w:t>
      </w:r>
    </w:p>
    <w:p>
      <w:pPr>
        <w:jc w:val="both"/>
      </w:pPr>
      <w:r>
        <w:t>生产制造域围绕工单、工艺路线、工序执行、工件、批次、设备、人员、过程参数和报工记录开展治理，衔接MES、SCADA、热处理群控系统及相关来源。治理以实际生产对象和事件为基础，区分计划、指令、设定、执行、测量和确认记录，不把计划值或设定值当作实际发生事实。</w:t>
      </w:r>
    </w:p>
    <w:p>
      <w:pPr>
        <w:jc w:val="both"/>
      </w:pPr>
      <w:r>
        <w:t>工单与订单、产品、物料、工艺版本关联，工序执行与工件、设备、岗位和时间关联。拆单、合批、返工、补报和撤销按真实业务关系保存，重复工序或多次执行有独立身份。工序名称及代码映射到标准，保留来源称谓和版本；过程状态按合法转换检查，异常中止和恢复记录完整。</w:t>
      </w:r>
    </w:p>
    <w:p>
      <w:pPr>
        <w:jc w:val="both"/>
      </w:pPr>
      <w:r>
        <w:t>热处理数据关联炉次、装炉明细、工件或批次、工艺版本、阶段、设定参数、实际曲线及检验结果。一个炉次包含多个对象时保留装炉关系和时间，不能将同一曲线简单复制成多个独立来源。焊接数据关联工位、工件、工艺、作业时间、过程记录及后续检验，返修前后状态和标签分别保留。</w:t>
      </w:r>
    </w:p>
    <w:p>
      <w:pPr>
        <w:jc w:val="both"/>
      </w:pPr>
      <w:r>
        <w:t>时序数据核对测点、设备配置、采样时间、单位、频率和中断情况，设备停机与采集故障分别识别。视频或图像关联具体对象、工位、工序和时间段，能够解释与结构化记录的对应依据。时间对齐采用明确窗口和偏差处理，超出可靠范围的内容限制组合用途。</w:t>
      </w:r>
    </w:p>
    <w:p>
      <w:pPr>
        <w:jc w:val="both"/>
      </w:pPr>
      <w:r>
        <w:t>质量检查重点覆盖工单完整、执行顺序、对象关联、过程连续、单位一致、实际时间合理及结果可追溯。发现过程缺口时查明源记录、采集和加工环节，不能通过插值或复制邻近记录掩盖真实缺失。正式数据集供给保留实际形成时间、来源族和处理记录，支持后续样本质量与独立性核查。</w:t>
      </w:r>
    </w:p>
    <w:p>
      <w:pPr>
        <w:jc w:val="both"/>
      </w:pPr>
      <w:r>
        <w:t>验收选取热处理、焊接及其他代表性工序贯通验证从计划、执行到检验的关联，检查异常、补报和历史变更。实际平台能够按工件、工单、炉次或设备检索，能够定位曲线、图像和视频的对应记录，并按权限提供场景验证所需内容。</w:t>
      </w:r>
    </w:p>
    <w:p>
      <w:pPr>
        <w:pStyle w:val="Caption"/>
        <w:keepNext/>
      </w:pPr>
      <w:r>
        <w:t>表9-3 生产制造域治理重点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工单与工序</w:t>
            </w:r>
          </w:p>
        </w:tc>
        <w:tc>
          <w:tcPr>
            <w:tcW w:type="dxa" w:w="3855"/>
            <w:vAlign w:val="center"/>
          </w:tcPr>
          <w:p>
            <w:pPr>
              <w:keepNext w:val="0"/>
              <w:spacing w:line="320" w:lineRule="exact" w:after="0" w:before="0"/>
              <w:ind w:firstLine="0"/>
              <w:jc w:val="left"/>
            </w:pPr>
            <w:r>
              <w:rPr>
                <w:b w:val="0"/>
                <w:sz w:val="21"/>
              </w:rPr>
              <w:t>身份、路线、状态和实际执行</w:t>
            </w:r>
          </w:p>
        </w:tc>
        <w:tc>
          <w:tcPr>
            <w:tcW w:type="dxa" w:w="3277"/>
            <w:vAlign w:val="center"/>
          </w:tcPr>
          <w:p>
            <w:pPr>
              <w:keepNext w:val="0"/>
              <w:spacing w:line="320" w:lineRule="exact" w:after="0" w:before="0"/>
              <w:ind w:firstLine="0"/>
              <w:jc w:val="left"/>
            </w:pPr>
            <w:r>
              <w:rPr>
                <w:b w:val="0"/>
                <w:sz w:val="21"/>
              </w:rPr>
              <w:t>订单、产品、工艺及报工</w:t>
            </w:r>
          </w:p>
        </w:tc>
      </w:tr>
      <w:tr>
        <w:trPr>
          <w:cantSplit/>
        </w:trPr>
        <w:tc>
          <w:tcPr>
            <w:tcW w:type="dxa" w:w="2506"/>
            <w:vAlign w:val="center"/>
          </w:tcPr>
          <w:p>
            <w:pPr>
              <w:keepNext w:val="0"/>
              <w:spacing w:line="320" w:lineRule="exact" w:after="0" w:before="0"/>
              <w:ind w:firstLine="0"/>
              <w:jc w:val="left"/>
            </w:pPr>
            <w:r>
              <w:rPr>
                <w:b w:val="0"/>
                <w:sz w:val="21"/>
              </w:rPr>
              <w:t>热处理与焊接</w:t>
            </w:r>
          </w:p>
        </w:tc>
        <w:tc>
          <w:tcPr>
            <w:tcW w:type="dxa" w:w="3855"/>
            <w:vAlign w:val="center"/>
          </w:tcPr>
          <w:p>
            <w:pPr>
              <w:keepNext w:val="0"/>
              <w:spacing w:line="320" w:lineRule="exact" w:after="0" w:before="0"/>
              <w:ind w:firstLine="0"/>
              <w:jc w:val="left"/>
            </w:pPr>
            <w:r>
              <w:rPr>
                <w:b w:val="0"/>
                <w:sz w:val="21"/>
              </w:rPr>
              <w:t>对象、过程、时间及版本</w:t>
            </w:r>
          </w:p>
        </w:tc>
        <w:tc>
          <w:tcPr>
            <w:tcW w:type="dxa" w:w="3277"/>
            <w:vAlign w:val="center"/>
          </w:tcPr>
          <w:p>
            <w:pPr>
              <w:keepNext w:val="0"/>
              <w:spacing w:line="320" w:lineRule="exact" w:after="0" w:before="0"/>
              <w:ind w:firstLine="0"/>
              <w:jc w:val="left"/>
            </w:pPr>
            <w:r>
              <w:rPr>
                <w:b w:val="0"/>
                <w:sz w:val="21"/>
              </w:rPr>
              <w:t>工件、设备、参数和检验</w:t>
            </w:r>
          </w:p>
        </w:tc>
      </w:tr>
      <w:tr>
        <w:trPr>
          <w:cantSplit/>
        </w:trPr>
        <w:tc>
          <w:tcPr>
            <w:tcW w:type="dxa" w:w="2506"/>
            <w:vAlign w:val="center"/>
          </w:tcPr>
          <w:p>
            <w:pPr>
              <w:keepNext w:val="0"/>
              <w:spacing w:line="320" w:lineRule="exact" w:after="0" w:before="0"/>
              <w:ind w:firstLine="0"/>
              <w:jc w:val="left"/>
            </w:pPr>
            <w:r>
              <w:rPr>
                <w:b w:val="0"/>
                <w:sz w:val="21"/>
              </w:rPr>
              <w:t>时序与视频</w:t>
            </w:r>
          </w:p>
        </w:tc>
        <w:tc>
          <w:tcPr>
            <w:tcW w:type="dxa" w:w="3855"/>
            <w:vAlign w:val="center"/>
          </w:tcPr>
          <w:p>
            <w:pPr>
              <w:keepNext w:val="0"/>
              <w:spacing w:line="320" w:lineRule="exact" w:after="0" w:before="0"/>
              <w:ind w:firstLine="0"/>
              <w:jc w:val="left"/>
            </w:pPr>
            <w:r>
              <w:rPr>
                <w:b w:val="0"/>
                <w:sz w:val="21"/>
              </w:rPr>
              <w:t>测点、时间、单位和片段</w:t>
            </w:r>
          </w:p>
        </w:tc>
        <w:tc>
          <w:tcPr>
            <w:tcW w:type="dxa" w:w="3277"/>
            <w:vAlign w:val="center"/>
          </w:tcPr>
          <w:p>
            <w:pPr>
              <w:keepNext w:val="0"/>
              <w:spacing w:line="320" w:lineRule="exact" w:after="0" w:before="0"/>
              <w:ind w:firstLine="0"/>
              <w:jc w:val="left"/>
            </w:pPr>
            <w:r>
              <w:rPr>
                <w:b w:val="0"/>
                <w:sz w:val="21"/>
              </w:rPr>
              <w:t>过程事件与多模态内容</w:t>
            </w:r>
          </w:p>
        </w:tc>
      </w:tr>
    </w:tbl>
    <w:p>
      <w:pPr>
        <w:spacing w:after="40" w:line="240" w:lineRule="auto"/>
        <w:ind w:firstLine="0"/>
      </w:pPr>
      <w:r>
        <w:rPr>
          <w:sz w:val="4"/>
        </w:rPr>
      </w:r>
    </w:p>
    <w:p>
      <w:pPr>
        <w:pStyle w:val="Heading2"/>
      </w:pPr>
      <w:r>
        <w:t>9.4 仓储物流域</w:t>
      </w:r>
    </w:p>
    <w:p>
      <w:pPr>
        <w:jc w:val="both"/>
      </w:pPr>
      <w:r>
        <w:t>仓储物流域围绕物料、仓库、库位、批次、库存状态、收发存交易、调拨和运输任务开展治理，衔接WMS、LMS及ERP等相关来源。明确库存快照与库存流水的不同含义，统一物料身份、计量单位和状态，保留业务发生时间、记账时间及实际接收时间。</w:t>
      </w:r>
    </w:p>
    <w:p>
      <w:pPr>
        <w:jc w:val="both"/>
      </w:pPr>
      <w:r>
        <w:t>库存核对在同一对象、地点、状态、单位和期间下进行，期初、入库、出库、调整及期末关系按批准业务规则验证。盘点差异、冲销、退回、在途和冻结等情况分别登记，不能把所有系统显示的“库存”直接相减判断错误。可用库存、实物库存和账面库存分别定义适用范围和计算方法。</w:t>
      </w:r>
    </w:p>
    <w:p>
      <w:pPr>
        <w:jc w:val="both"/>
      </w:pPr>
      <w:r>
        <w:t>批次、序列号与质量状态关联，受限、待检或不合格对象的使用条件明确。单位换算保留来源和批准规则，包装单位、计量单位和重量等不能无依据互换。物流任务关联发运、接收和实际运输状态，事件顺序与时间核验支持及时性分析，异常签收和补录保持记录。</w:t>
      </w:r>
    </w:p>
    <w:p>
      <w:pPr>
        <w:jc w:val="both"/>
      </w:pPr>
      <w:r>
        <w:t>质量检查包括物料与库位有效、交易唯一、出入库关系、数量单位一致、状态可用及跨系统同步。库存控制应用所需需求、供应、交付和库存信息分别保存对象和时间，历史回看使用当时可得数据，避免引入后续结果造成判断偏差。供应链数据用于训练和验证时保留业务期间及来源关系。</w:t>
      </w:r>
    </w:p>
    <w:p>
      <w:pPr>
        <w:jc w:val="both"/>
      </w:pPr>
      <w:r>
        <w:t>验收选取收货、入库、出库、调拨、退回和盘点等代表性流程，核对源记录、治理结果和指标计算。对账差异能够解释并定位，迟到交易补到后能够更新相关结果且保留版本。共享服务按岗位提供必要库存及物流信息，敏感交易和合作方信息受控。</w:t>
      </w:r>
    </w:p>
    <w:p>
      <w:pPr>
        <w:pStyle w:val="Caption"/>
        <w:keepNext/>
      </w:pPr>
      <w:r>
        <w:t>表9-4 仓储物流域治理重点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库存对象</w:t>
            </w:r>
          </w:p>
        </w:tc>
        <w:tc>
          <w:tcPr>
            <w:tcW w:type="dxa" w:w="3855"/>
            <w:vAlign w:val="center"/>
          </w:tcPr>
          <w:p>
            <w:pPr>
              <w:keepNext w:val="0"/>
              <w:spacing w:line="320" w:lineRule="exact" w:after="0" w:before="0"/>
              <w:ind w:firstLine="0"/>
              <w:jc w:val="left"/>
            </w:pPr>
            <w:r>
              <w:rPr>
                <w:b w:val="0"/>
                <w:sz w:val="21"/>
              </w:rPr>
              <w:t>物料、地点、批次、状态和单位</w:t>
            </w:r>
          </w:p>
        </w:tc>
        <w:tc>
          <w:tcPr>
            <w:tcW w:type="dxa" w:w="3277"/>
            <w:vAlign w:val="center"/>
          </w:tcPr>
          <w:p>
            <w:pPr>
              <w:keepNext w:val="0"/>
              <w:spacing w:line="320" w:lineRule="exact" w:after="0" w:before="0"/>
              <w:ind w:firstLine="0"/>
              <w:jc w:val="left"/>
            </w:pPr>
            <w:r>
              <w:rPr>
                <w:b w:val="0"/>
                <w:sz w:val="21"/>
              </w:rPr>
              <w:t>快照、流水及可用范围</w:t>
            </w:r>
          </w:p>
        </w:tc>
      </w:tr>
      <w:tr>
        <w:trPr>
          <w:cantSplit/>
        </w:trPr>
        <w:tc>
          <w:tcPr>
            <w:tcW w:type="dxa" w:w="2506"/>
            <w:vAlign w:val="center"/>
          </w:tcPr>
          <w:p>
            <w:pPr>
              <w:keepNext w:val="0"/>
              <w:spacing w:line="320" w:lineRule="exact" w:after="0" w:before="0"/>
              <w:ind w:firstLine="0"/>
              <w:jc w:val="left"/>
            </w:pPr>
            <w:r>
              <w:rPr>
                <w:b w:val="0"/>
                <w:sz w:val="21"/>
              </w:rPr>
              <w:t>收发存交易</w:t>
            </w:r>
          </w:p>
        </w:tc>
        <w:tc>
          <w:tcPr>
            <w:tcW w:type="dxa" w:w="3855"/>
            <w:vAlign w:val="center"/>
          </w:tcPr>
          <w:p>
            <w:pPr>
              <w:keepNext w:val="0"/>
              <w:spacing w:line="320" w:lineRule="exact" w:after="0" w:before="0"/>
              <w:ind w:firstLine="0"/>
              <w:jc w:val="left"/>
            </w:pPr>
            <w:r>
              <w:rPr>
                <w:b w:val="0"/>
                <w:sz w:val="21"/>
              </w:rPr>
              <w:t>身份、时间、数量及冲销</w:t>
            </w:r>
          </w:p>
        </w:tc>
        <w:tc>
          <w:tcPr>
            <w:tcW w:type="dxa" w:w="3277"/>
            <w:vAlign w:val="center"/>
          </w:tcPr>
          <w:p>
            <w:pPr>
              <w:keepNext w:val="0"/>
              <w:spacing w:line="320" w:lineRule="exact" w:after="0" w:before="0"/>
              <w:ind w:firstLine="0"/>
              <w:jc w:val="left"/>
            </w:pPr>
            <w:r>
              <w:rPr>
                <w:b w:val="0"/>
                <w:sz w:val="21"/>
              </w:rPr>
              <w:t>期初、变化和期末</w:t>
            </w:r>
          </w:p>
        </w:tc>
      </w:tr>
      <w:tr>
        <w:trPr>
          <w:cantSplit/>
        </w:trPr>
        <w:tc>
          <w:tcPr>
            <w:tcW w:type="dxa" w:w="2506"/>
            <w:vAlign w:val="center"/>
          </w:tcPr>
          <w:p>
            <w:pPr>
              <w:keepNext w:val="0"/>
              <w:spacing w:line="320" w:lineRule="exact" w:after="0" w:before="0"/>
              <w:ind w:firstLine="0"/>
              <w:jc w:val="left"/>
            </w:pPr>
            <w:r>
              <w:rPr>
                <w:b w:val="0"/>
                <w:sz w:val="21"/>
              </w:rPr>
              <w:t>物流任务</w:t>
            </w:r>
          </w:p>
        </w:tc>
        <w:tc>
          <w:tcPr>
            <w:tcW w:type="dxa" w:w="3855"/>
            <w:vAlign w:val="center"/>
          </w:tcPr>
          <w:p>
            <w:pPr>
              <w:keepNext w:val="0"/>
              <w:spacing w:line="320" w:lineRule="exact" w:after="0" w:before="0"/>
              <w:ind w:firstLine="0"/>
              <w:jc w:val="left"/>
            </w:pPr>
            <w:r>
              <w:rPr>
                <w:b w:val="0"/>
                <w:sz w:val="21"/>
              </w:rPr>
              <w:t>发运、运输、接收和异常</w:t>
            </w:r>
          </w:p>
        </w:tc>
        <w:tc>
          <w:tcPr>
            <w:tcW w:type="dxa" w:w="3277"/>
            <w:vAlign w:val="center"/>
          </w:tcPr>
          <w:p>
            <w:pPr>
              <w:keepNext w:val="0"/>
              <w:spacing w:line="320" w:lineRule="exact" w:after="0" w:before="0"/>
              <w:ind w:firstLine="0"/>
              <w:jc w:val="left"/>
            </w:pPr>
            <w:r>
              <w:rPr>
                <w:b w:val="0"/>
                <w:sz w:val="21"/>
              </w:rPr>
              <w:t>订单、批次及交付</w:t>
            </w:r>
          </w:p>
        </w:tc>
      </w:tr>
    </w:tbl>
    <w:p>
      <w:pPr>
        <w:spacing w:after="40" w:line="240" w:lineRule="auto"/>
        <w:ind w:firstLine="0"/>
      </w:pPr>
      <w:r>
        <w:rPr>
          <w:sz w:val="4"/>
        </w:rPr>
      </w:r>
    </w:p>
    <w:p>
      <w:pPr>
        <w:pStyle w:val="Heading2"/>
      </w:pPr>
      <w:r>
        <w:t>9.5 财务管理域</w:t>
      </w:r>
    </w:p>
    <w:p>
      <w:pPr>
        <w:jc w:val="both"/>
      </w:pPr>
      <w:r>
        <w:t>财务管理域围绕与项目供需、成本、经营指标和责任分析有关的数据开展治理，衔接久其系统、ERP及经确认的相关来源。实施范围由实际需求和授权确定，明确会计期间、组织、科目、币种、金额方向及业务对象关系。财务专业口径由甲方相应责任岗位确认，技术处理不擅自改变核算含义。</w:t>
      </w:r>
    </w:p>
    <w:p>
      <w:pPr>
        <w:jc w:val="both"/>
      </w:pPr>
      <w:r>
        <w:t>财务凭证、业务交易、汇总报表和管理指标分别保存粒度及来源，跨系统关联明确订单、物料、项目或组织等实际键。冲销、调整、结转和跨期补录保留状态及生效关系，不能把汇总结果重复与明细合并计算。币种和单位换算有明确依据、适用日期及版本，展示金额能够追溯原始口径。</w:t>
      </w:r>
    </w:p>
    <w:p>
      <w:pPr>
        <w:jc w:val="both"/>
      </w:pPr>
      <w:r>
        <w:t>质量检查关注金额和数量类型、期间归属、必要维度完整、借贷或业务关系符合相应规则、凭证与业务对象对应及汇总可复算。业务数据与财务数据存在合法时点差异时记录原因和比较条件，不能以强制同步掩盖核算周期差异。无可靠来源的估算数据与正式记录明确区分。</w:t>
      </w:r>
    </w:p>
    <w:p>
      <w:pPr>
        <w:jc w:val="both"/>
      </w:pPr>
      <w:r>
        <w:t>用于决策数据查询的指标保存公式、期间、维度和来源，跨部门使用时说明适用含义。涉及资产价值评价的内部治理评分不直接视为财务确认金额，相关专业判断遵循甲方批准依据。财务数据和合同价格按分级及用途授权，导出和明细查询记录完整。</w:t>
      </w:r>
    </w:p>
    <w:p>
      <w:pPr>
        <w:jc w:val="both"/>
      </w:pPr>
      <w:r>
        <w:t>验收通过代表性指标和交易关联核对明细、汇总、期间及修正，确保能够独立复算并解释差异。权限测试验证不同岗位可见范围，历史报告能够找到当时版本和后续调整关系。移交财务数据治理规则、映射、质量问题和指标维护责任。</w:t>
      </w:r>
    </w:p>
    <w:p>
      <w:pPr>
        <w:pStyle w:val="Caption"/>
        <w:keepNext/>
      </w:pPr>
      <w:r>
        <w:t>表9-5 财务管理域治理重点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期间与维度</w:t>
            </w:r>
          </w:p>
        </w:tc>
        <w:tc>
          <w:tcPr>
            <w:tcW w:type="dxa" w:w="3855"/>
            <w:vAlign w:val="center"/>
          </w:tcPr>
          <w:p>
            <w:pPr>
              <w:keepNext w:val="0"/>
              <w:spacing w:line="320" w:lineRule="exact" w:after="0" w:before="0"/>
              <w:ind w:firstLine="0"/>
              <w:jc w:val="left"/>
            </w:pPr>
            <w:r>
              <w:rPr>
                <w:b w:val="0"/>
                <w:sz w:val="21"/>
              </w:rPr>
              <w:t>组织、科目、币种和时间</w:t>
            </w:r>
          </w:p>
        </w:tc>
        <w:tc>
          <w:tcPr>
            <w:tcW w:type="dxa" w:w="3277"/>
            <w:vAlign w:val="center"/>
          </w:tcPr>
          <w:p>
            <w:pPr>
              <w:keepNext w:val="0"/>
              <w:spacing w:line="320" w:lineRule="exact" w:after="0" w:before="0"/>
              <w:ind w:firstLine="0"/>
              <w:jc w:val="left"/>
            </w:pPr>
            <w:r>
              <w:rPr>
                <w:b w:val="0"/>
                <w:sz w:val="21"/>
              </w:rPr>
              <w:t>业务归属与核算口径</w:t>
            </w:r>
          </w:p>
        </w:tc>
      </w:tr>
      <w:tr>
        <w:trPr>
          <w:cantSplit/>
        </w:trPr>
        <w:tc>
          <w:tcPr>
            <w:tcW w:type="dxa" w:w="2506"/>
            <w:vAlign w:val="center"/>
          </w:tcPr>
          <w:p>
            <w:pPr>
              <w:keepNext w:val="0"/>
              <w:spacing w:line="320" w:lineRule="exact" w:after="0" w:before="0"/>
              <w:ind w:firstLine="0"/>
              <w:jc w:val="left"/>
            </w:pPr>
            <w:r>
              <w:rPr>
                <w:b w:val="0"/>
                <w:sz w:val="21"/>
              </w:rPr>
              <w:t>凭证与交易</w:t>
            </w:r>
          </w:p>
        </w:tc>
        <w:tc>
          <w:tcPr>
            <w:tcW w:type="dxa" w:w="3855"/>
            <w:vAlign w:val="center"/>
          </w:tcPr>
          <w:p>
            <w:pPr>
              <w:keepNext w:val="0"/>
              <w:spacing w:line="320" w:lineRule="exact" w:after="0" w:before="0"/>
              <w:ind w:firstLine="0"/>
              <w:jc w:val="left"/>
            </w:pPr>
            <w:r>
              <w:rPr>
                <w:b w:val="0"/>
                <w:sz w:val="21"/>
              </w:rPr>
              <w:t>粒度、状态、冲销和调整</w:t>
            </w:r>
          </w:p>
        </w:tc>
        <w:tc>
          <w:tcPr>
            <w:tcW w:type="dxa" w:w="3277"/>
            <w:vAlign w:val="center"/>
          </w:tcPr>
          <w:p>
            <w:pPr>
              <w:keepNext w:val="0"/>
              <w:spacing w:line="320" w:lineRule="exact" w:after="0" w:before="0"/>
              <w:ind w:firstLine="0"/>
              <w:jc w:val="left"/>
            </w:pPr>
            <w:r>
              <w:rPr>
                <w:b w:val="0"/>
                <w:sz w:val="21"/>
              </w:rPr>
              <w:t>明细、业务对象及汇总</w:t>
            </w:r>
          </w:p>
        </w:tc>
      </w:tr>
      <w:tr>
        <w:trPr>
          <w:cantSplit/>
        </w:trPr>
        <w:tc>
          <w:tcPr>
            <w:tcW w:type="dxa" w:w="2506"/>
            <w:vAlign w:val="center"/>
          </w:tcPr>
          <w:p>
            <w:pPr>
              <w:keepNext w:val="0"/>
              <w:spacing w:line="320" w:lineRule="exact" w:after="0" w:before="0"/>
              <w:ind w:firstLine="0"/>
              <w:jc w:val="left"/>
            </w:pPr>
            <w:r>
              <w:rPr>
                <w:b w:val="0"/>
                <w:sz w:val="21"/>
              </w:rPr>
              <w:t>经营指标</w:t>
            </w:r>
          </w:p>
        </w:tc>
        <w:tc>
          <w:tcPr>
            <w:tcW w:type="dxa" w:w="3855"/>
            <w:vAlign w:val="center"/>
          </w:tcPr>
          <w:p>
            <w:pPr>
              <w:keepNext w:val="0"/>
              <w:spacing w:line="320" w:lineRule="exact" w:after="0" w:before="0"/>
              <w:ind w:firstLine="0"/>
              <w:jc w:val="left"/>
            </w:pPr>
            <w:r>
              <w:rPr>
                <w:b w:val="0"/>
                <w:sz w:val="21"/>
              </w:rPr>
              <w:t>公式、来源、版本和权限</w:t>
            </w:r>
          </w:p>
        </w:tc>
        <w:tc>
          <w:tcPr>
            <w:tcW w:type="dxa" w:w="3277"/>
            <w:vAlign w:val="center"/>
          </w:tcPr>
          <w:p>
            <w:pPr>
              <w:keepNext w:val="0"/>
              <w:spacing w:line="320" w:lineRule="exact" w:after="0" w:before="0"/>
              <w:ind w:firstLine="0"/>
              <w:jc w:val="left"/>
            </w:pPr>
            <w:r>
              <w:rPr>
                <w:b w:val="0"/>
                <w:sz w:val="21"/>
              </w:rPr>
              <w:t>展示结果与可复算依据</w:t>
            </w:r>
          </w:p>
        </w:tc>
      </w:tr>
    </w:tbl>
    <w:p>
      <w:pPr>
        <w:spacing w:after="40" w:line="240" w:lineRule="auto"/>
        <w:ind w:firstLine="0"/>
      </w:pPr>
      <w:r>
        <w:rPr>
          <w:sz w:val="4"/>
        </w:rPr>
      </w:r>
    </w:p>
    <w:p>
      <w:pPr>
        <w:pStyle w:val="Heading2"/>
      </w:pPr>
      <w:r>
        <w:t>9.6 设备管理域</w:t>
      </w:r>
    </w:p>
    <w:p>
      <w:pPr>
        <w:jc w:val="both"/>
      </w:pPr>
      <w:r>
        <w:t>设备管理域围绕设备身份、型号配置、部件、安装位置、测点、运行状态、告警、故障、维修和更换记录开展治理，衔接EAM、SCADA、SOS及相关来源。设备唯一身份与资产编号、业务编号、通信标识等建立映射，设备迁移或通信标识变化不改变实际实体追溯。</w:t>
      </w:r>
    </w:p>
    <w:p>
      <w:pPr>
        <w:jc w:val="both"/>
      </w:pPr>
      <w:r>
        <w:t>设备和部件关系保存有效时间，部件更换、测点调整、传感器校准和控制参数变化记录实际发生时间及依据。历史时序按照当时配置解释，不能使用当前测点含义覆盖过去数据。设备停机、通信中断、传感器故障和真实运行异常分别标识，保持故障分析条件准确。</w:t>
      </w:r>
    </w:p>
    <w:p>
      <w:pPr>
        <w:jc w:val="both"/>
      </w:pPr>
      <w:r>
        <w:t>告警不直接等同于已确认故障，故障标签依据检修、专业确认或其他可靠证据形成。维修记录关联故障现象、诊断、措施、部件、时间和恢复结果，无法确认根因的事件保留实际状态。重复告警可按事件归并，但保留原始记录和归并规则，不能丢失发生过程。</w:t>
      </w:r>
    </w:p>
    <w:p>
      <w:pPr>
        <w:jc w:val="both"/>
      </w:pPr>
      <w:r>
        <w:t>健康诊断数据供给关联设备、配置、工况、测点、时间和结果标签，检查运行区间、故障区间及维修后的变化。训练和验证按设备、事件或来源家族等实际相关性隔离，防止同一事件相邻片段泄漏。数据缺失、异常测量和插补处理保留标识，专业结论基于可核验证据。</w:t>
      </w:r>
    </w:p>
    <w:p>
      <w:pPr>
        <w:jc w:val="both"/>
      </w:pPr>
      <w:r>
        <w:t>验收从设备档案追踪一段运行数据、关联告警、故障确认及维修结果，核对对象、时间和状态一致。设备变更、测点失效和历史查询能够正确处理，权限和保密要求覆盖技术参数及远程运维内容。运维岗位能够维护映射、核查时序异常并定位来源。</w:t>
      </w:r>
    </w:p>
    <w:p>
      <w:pPr>
        <w:pStyle w:val="Caption"/>
        <w:keepNext/>
      </w:pPr>
      <w:r>
        <w:t>表9-6 设备管理域治理重点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设备与部件</w:t>
            </w:r>
          </w:p>
        </w:tc>
        <w:tc>
          <w:tcPr>
            <w:tcW w:type="dxa" w:w="3855"/>
            <w:vAlign w:val="center"/>
          </w:tcPr>
          <w:p>
            <w:pPr>
              <w:keepNext w:val="0"/>
              <w:spacing w:line="320" w:lineRule="exact" w:after="0" w:before="0"/>
              <w:ind w:firstLine="0"/>
              <w:jc w:val="left"/>
            </w:pPr>
            <w:r>
              <w:rPr>
                <w:b w:val="0"/>
                <w:sz w:val="21"/>
              </w:rPr>
              <w:t>身份、配置、位置及有效历史</w:t>
            </w:r>
          </w:p>
        </w:tc>
        <w:tc>
          <w:tcPr>
            <w:tcW w:type="dxa" w:w="3277"/>
            <w:vAlign w:val="center"/>
          </w:tcPr>
          <w:p>
            <w:pPr>
              <w:keepNext w:val="0"/>
              <w:spacing w:line="320" w:lineRule="exact" w:after="0" w:before="0"/>
              <w:ind w:firstLine="0"/>
              <w:jc w:val="left"/>
            </w:pPr>
            <w:r>
              <w:rPr>
                <w:b w:val="0"/>
                <w:sz w:val="21"/>
              </w:rPr>
              <w:t>资产、实物和安装关系</w:t>
            </w:r>
          </w:p>
        </w:tc>
      </w:tr>
      <w:tr>
        <w:trPr>
          <w:cantSplit/>
        </w:trPr>
        <w:tc>
          <w:tcPr>
            <w:tcW w:type="dxa" w:w="2506"/>
            <w:vAlign w:val="center"/>
          </w:tcPr>
          <w:p>
            <w:pPr>
              <w:keepNext w:val="0"/>
              <w:spacing w:line="320" w:lineRule="exact" w:after="0" w:before="0"/>
              <w:ind w:firstLine="0"/>
              <w:jc w:val="left"/>
            </w:pPr>
            <w:r>
              <w:rPr>
                <w:b w:val="0"/>
                <w:sz w:val="21"/>
              </w:rPr>
              <w:t>测点与运行</w:t>
            </w:r>
          </w:p>
        </w:tc>
        <w:tc>
          <w:tcPr>
            <w:tcW w:type="dxa" w:w="3855"/>
            <w:vAlign w:val="center"/>
          </w:tcPr>
          <w:p>
            <w:pPr>
              <w:keepNext w:val="0"/>
              <w:spacing w:line="320" w:lineRule="exact" w:after="0" w:before="0"/>
              <w:ind w:firstLine="0"/>
              <w:jc w:val="left"/>
            </w:pPr>
            <w:r>
              <w:rPr>
                <w:b w:val="0"/>
                <w:sz w:val="21"/>
              </w:rPr>
              <w:t>含义、单位、校准和连续性</w:t>
            </w:r>
          </w:p>
        </w:tc>
        <w:tc>
          <w:tcPr>
            <w:tcW w:type="dxa" w:w="3277"/>
            <w:vAlign w:val="center"/>
          </w:tcPr>
          <w:p>
            <w:pPr>
              <w:keepNext w:val="0"/>
              <w:spacing w:line="320" w:lineRule="exact" w:after="0" w:before="0"/>
              <w:ind w:firstLine="0"/>
              <w:jc w:val="left"/>
            </w:pPr>
            <w:r>
              <w:rPr>
                <w:b w:val="0"/>
                <w:sz w:val="21"/>
              </w:rPr>
              <w:t>设备状态与时序内容</w:t>
            </w:r>
          </w:p>
        </w:tc>
      </w:tr>
      <w:tr>
        <w:trPr>
          <w:cantSplit/>
        </w:trPr>
        <w:tc>
          <w:tcPr>
            <w:tcW w:type="dxa" w:w="2506"/>
            <w:vAlign w:val="center"/>
          </w:tcPr>
          <w:p>
            <w:pPr>
              <w:keepNext w:val="0"/>
              <w:spacing w:line="320" w:lineRule="exact" w:after="0" w:before="0"/>
              <w:ind w:firstLine="0"/>
              <w:jc w:val="left"/>
            </w:pPr>
            <w:r>
              <w:rPr>
                <w:b w:val="0"/>
                <w:sz w:val="21"/>
              </w:rPr>
              <w:t>故障与维修</w:t>
            </w:r>
          </w:p>
        </w:tc>
        <w:tc>
          <w:tcPr>
            <w:tcW w:type="dxa" w:w="3855"/>
            <w:vAlign w:val="center"/>
          </w:tcPr>
          <w:p>
            <w:pPr>
              <w:keepNext w:val="0"/>
              <w:spacing w:line="320" w:lineRule="exact" w:after="0" w:before="0"/>
              <w:ind w:firstLine="0"/>
              <w:jc w:val="left"/>
            </w:pPr>
            <w:r>
              <w:rPr>
                <w:b w:val="0"/>
                <w:sz w:val="21"/>
              </w:rPr>
              <w:t>证据、事件、措施和结果</w:t>
            </w:r>
          </w:p>
        </w:tc>
        <w:tc>
          <w:tcPr>
            <w:tcW w:type="dxa" w:w="3277"/>
            <w:vAlign w:val="center"/>
          </w:tcPr>
          <w:p>
            <w:pPr>
              <w:keepNext w:val="0"/>
              <w:spacing w:line="320" w:lineRule="exact" w:after="0" w:before="0"/>
              <w:ind w:firstLine="0"/>
              <w:jc w:val="left"/>
            </w:pPr>
            <w:r>
              <w:rPr>
                <w:b w:val="0"/>
                <w:sz w:val="21"/>
              </w:rPr>
              <w:t>告警、确认及恢复</w:t>
            </w:r>
          </w:p>
        </w:tc>
      </w:tr>
    </w:tbl>
    <w:p>
      <w:pPr>
        <w:spacing w:after="40" w:line="240" w:lineRule="auto"/>
        <w:ind w:firstLine="0"/>
      </w:pPr>
      <w:r>
        <w:rPr>
          <w:sz w:val="4"/>
        </w:rPr>
      </w:r>
    </w:p>
    <w:p>
      <w:pPr>
        <w:pStyle w:val="Heading2"/>
      </w:pPr>
      <w:r>
        <w:t>9.7 采购管理域</w:t>
      </w:r>
    </w:p>
    <w:p>
      <w:pPr>
        <w:jc w:val="both"/>
      </w:pPr>
      <w:r>
        <w:t>采购管理域围绕供应商、物料、采购需求、订单、交期、收货、检验和退货开展治理，衔接SCM、ERP、QMS及相关来源。供应商身份与资格、合同主体和实际供货对象核对，物料编码及单位与主数据标准一致，采购记录保留业务时间、批准状态及变更关系。</w:t>
      </w:r>
    </w:p>
    <w:p>
      <w:pPr>
        <w:jc w:val="both"/>
      </w:pPr>
      <w:r>
        <w:t>采购订单与需求、供应商、物料、数量、价格和交付安排建立关系，订单行与收货、检验及退回的多次履行记录分别保存。部分交付、延期、取消和替代物料明确实际状态，不能以订单已经建立推定货物已经到达。供应商名称变更或主体变化按证据处理，避免历史履约记录错误合并。</w:t>
      </w:r>
    </w:p>
    <w:p>
      <w:pPr>
        <w:jc w:val="both"/>
      </w:pPr>
      <w:r>
        <w:t>质量检查关注关键属性完整、订单及行身份唯一、数量单位一致、交付日期有效、收货与检验关系以及采购状态变化。价格和交期等内容按批准用途和分级控制，外部供应商资料核查来源和使用许可。涉及合同文本时保留版本、签订状态及对应订单，草案与正式文件分开。</w:t>
      </w:r>
    </w:p>
    <w:p>
      <w:pPr>
        <w:jc w:val="both"/>
      </w:pPr>
      <w:r>
        <w:t>供需计划数据供给将需求、采购计划、实际订单、到货和质量状态分别表达，能够重建业务时点下已知的信息。供应风险或交付表现的指标定义明确统计总体、期间、排除条件和确认依据，不将尚未结束订单的结果提前视为已完成。数据修复评估对库存、财务和供需分析的影响。</w:t>
      </w:r>
    </w:p>
    <w:p>
      <w:pPr>
        <w:jc w:val="both"/>
      </w:pPr>
      <w:r>
        <w:t>验收贯通需求、采购订单、收货、检验、入库及退回关系，核对多次履行、变更和跨期情况。供应商和物料映射准确，关键数量可对账，服务返回实际状态和更新时间。维护职责覆盖供应商主数据、订单映射、质量规则和共享权限。</w:t>
      </w:r>
    </w:p>
    <w:p>
      <w:pPr>
        <w:pStyle w:val="Caption"/>
        <w:keepNext/>
      </w:pPr>
      <w:r>
        <w:t>表9-7 采购管理域治理重点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供应商与物料</w:t>
            </w:r>
          </w:p>
        </w:tc>
        <w:tc>
          <w:tcPr>
            <w:tcW w:type="dxa" w:w="3855"/>
            <w:vAlign w:val="center"/>
          </w:tcPr>
          <w:p>
            <w:pPr>
              <w:keepNext w:val="0"/>
              <w:spacing w:line="320" w:lineRule="exact" w:after="0" w:before="0"/>
              <w:ind w:firstLine="0"/>
              <w:jc w:val="left"/>
            </w:pPr>
            <w:r>
              <w:rPr>
                <w:b w:val="0"/>
                <w:sz w:val="21"/>
              </w:rPr>
              <w:t>身份、资格、编码和单位</w:t>
            </w:r>
          </w:p>
        </w:tc>
        <w:tc>
          <w:tcPr>
            <w:tcW w:type="dxa" w:w="3277"/>
            <w:vAlign w:val="center"/>
          </w:tcPr>
          <w:p>
            <w:pPr>
              <w:keepNext w:val="0"/>
              <w:spacing w:line="320" w:lineRule="exact" w:after="0" w:before="0"/>
              <w:ind w:firstLine="0"/>
              <w:jc w:val="left"/>
            </w:pPr>
            <w:r>
              <w:rPr>
                <w:b w:val="0"/>
                <w:sz w:val="21"/>
              </w:rPr>
              <w:t>合同主体与供货对象</w:t>
            </w:r>
          </w:p>
        </w:tc>
      </w:tr>
      <w:tr>
        <w:trPr>
          <w:cantSplit/>
        </w:trPr>
        <w:tc>
          <w:tcPr>
            <w:tcW w:type="dxa" w:w="2506"/>
            <w:vAlign w:val="center"/>
          </w:tcPr>
          <w:p>
            <w:pPr>
              <w:keepNext w:val="0"/>
              <w:spacing w:line="320" w:lineRule="exact" w:after="0" w:before="0"/>
              <w:ind w:firstLine="0"/>
              <w:jc w:val="left"/>
            </w:pPr>
            <w:r>
              <w:rPr>
                <w:b w:val="0"/>
                <w:sz w:val="21"/>
              </w:rPr>
              <w:t>需求与订单</w:t>
            </w:r>
          </w:p>
        </w:tc>
        <w:tc>
          <w:tcPr>
            <w:tcW w:type="dxa" w:w="3855"/>
            <w:vAlign w:val="center"/>
          </w:tcPr>
          <w:p>
            <w:pPr>
              <w:keepNext w:val="0"/>
              <w:spacing w:line="320" w:lineRule="exact" w:after="0" w:before="0"/>
              <w:ind w:firstLine="0"/>
              <w:jc w:val="left"/>
            </w:pPr>
            <w:r>
              <w:rPr>
                <w:b w:val="0"/>
                <w:sz w:val="21"/>
              </w:rPr>
              <w:t>批准、版本、数量和交期</w:t>
            </w:r>
          </w:p>
        </w:tc>
        <w:tc>
          <w:tcPr>
            <w:tcW w:type="dxa" w:w="3277"/>
            <w:vAlign w:val="center"/>
          </w:tcPr>
          <w:p>
            <w:pPr>
              <w:keepNext w:val="0"/>
              <w:spacing w:line="320" w:lineRule="exact" w:after="0" w:before="0"/>
              <w:ind w:firstLine="0"/>
              <w:jc w:val="left"/>
            </w:pPr>
            <w:r>
              <w:rPr>
                <w:b w:val="0"/>
                <w:sz w:val="21"/>
              </w:rPr>
              <w:t>需求、订单行及变化</w:t>
            </w:r>
          </w:p>
        </w:tc>
      </w:tr>
      <w:tr>
        <w:trPr>
          <w:cantSplit/>
        </w:trPr>
        <w:tc>
          <w:tcPr>
            <w:tcW w:type="dxa" w:w="2506"/>
            <w:vAlign w:val="center"/>
          </w:tcPr>
          <w:p>
            <w:pPr>
              <w:keepNext w:val="0"/>
              <w:spacing w:line="320" w:lineRule="exact" w:after="0" w:before="0"/>
              <w:ind w:firstLine="0"/>
              <w:jc w:val="left"/>
            </w:pPr>
            <w:r>
              <w:rPr>
                <w:b w:val="0"/>
                <w:sz w:val="21"/>
              </w:rPr>
              <w:t>履行与质量</w:t>
            </w:r>
          </w:p>
        </w:tc>
        <w:tc>
          <w:tcPr>
            <w:tcW w:type="dxa" w:w="3855"/>
            <w:vAlign w:val="center"/>
          </w:tcPr>
          <w:p>
            <w:pPr>
              <w:keepNext w:val="0"/>
              <w:spacing w:line="320" w:lineRule="exact" w:after="0" w:before="0"/>
              <w:ind w:firstLine="0"/>
              <w:jc w:val="left"/>
            </w:pPr>
            <w:r>
              <w:rPr>
                <w:b w:val="0"/>
                <w:sz w:val="21"/>
              </w:rPr>
              <w:t>收货、检验、入库和退回</w:t>
            </w:r>
          </w:p>
        </w:tc>
        <w:tc>
          <w:tcPr>
            <w:tcW w:type="dxa" w:w="3277"/>
            <w:vAlign w:val="center"/>
          </w:tcPr>
          <w:p>
            <w:pPr>
              <w:keepNext w:val="0"/>
              <w:spacing w:line="320" w:lineRule="exact" w:after="0" w:before="0"/>
              <w:ind w:firstLine="0"/>
              <w:jc w:val="left"/>
            </w:pPr>
            <w:r>
              <w:rPr>
                <w:b w:val="0"/>
                <w:sz w:val="21"/>
              </w:rPr>
              <w:t>多次交付及实际结果</w:t>
            </w:r>
          </w:p>
        </w:tc>
      </w:tr>
    </w:tbl>
    <w:p>
      <w:pPr>
        <w:spacing w:after="40" w:line="240" w:lineRule="auto"/>
        <w:ind w:firstLine="0"/>
      </w:pPr>
      <w:r>
        <w:rPr>
          <w:sz w:val="4"/>
        </w:rPr>
      </w:r>
    </w:p>
    <w:p>
      <w:pPr>
        <w:pStyle w:val="Heading2"/>
      </w:pPr>
      <w:r>
        <w:t>9.8 营销管理域</w:t>
      </w:r>
    </w:p>
    <w:p>
      <w:pPr>
        <w:jc w:val="both"/>
      </w:pPr>
      <w:r>
        <w:t>营销管理域围绕客户、商机、需求、产品配置、报价、合同、订单、交付及售后反馈开展治理，衔接CRM、ERP、SOS、OA及相关来源。客户身份、合同主体和实际使用单位分别定义，产品名称与型号、配置和适用条件建立关联，保留需求变化和业务沟通形成时间。</w:t>
      </w:r>
    </w:p>
    <w:p>
      <w:pPr>
        <w:jc w:val="both"/>
      </w:pPr>
      <w:r>
        <w:t>产品智能选型所需需求属性与产品技术属性核对单位、适用工况、约束条件及版本，缺少关键条件时保持不确定状态，不自动推定满足。历史选型或报价结果保留当时输入、配置、批准和实际结果，不能只保留最终产品名称而失去判断依据。产品参数来源与设计有效版本关联。</w:t>
      </w:r>
    </w:p>
    <w:p>
      <w:pPr>
        <w:jc w:val="both"/>
      </w:pPr>
      <w:r>
        <w:t>合同、标书和其他文档区分草案、评审、正式及变更版本，条款解析关联原文位置、适用对象和时间。客户、联系人、价格及商业条件按分级和用途控制，知识检索和问答服务只提供当前用户获准使用的内容。历史条款不自动成为当前合同的适用要求，实际判断引用对应有效材料。</w:t>
      </w:r>
    </w:p>
    <w:p>
      <w:pPr>
        <w:jc w:val="both"/>
      </w:pPr>
      <w:r>
        <w:t>质量检查包括客户唯一身份、产品配置完整、需求单位一致、合同与订单关联、交付状态及时及文档版本准确。售后反馈关联产品或设备、事件、时间和处理结果，未经确认的反馈与正式结论分别保存。跨域分析连接研发、制造、质量和设备数据时核对对象与时间，避免仅凭相近名称错误关联。</w:t>
      </w:r>
    </w:p>
    <w:p>
      <w:pPr>
        <w:jc w:val="both"/>
      </w:pPr>
      <w:r>
        <w:t>验收选取需求、选型依据、报价或合同、订单、交付和售后事件贯通核查，检查文档检索能够定位原文和有效版本。授权、脱敏和日志覆盖商业资料实际访问，数据服务支持批准业务任务，维护岗位能够处理客户和产品映射变化。</w:t>
      </w:r>
    </w:p>
    <w:p>
      <w:pPr>
        <w:pStyle w:val="Caption"/>
        <w:keepNext/>
      </w:pPr>
      <w:r>
        <w:t>表9-8 营销管理域治理重点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客户与需求</w:t>
            </w:r>
          </w:p>
        </w:tc>
        <w:tc>
          <w:tcPr>
            <w:tcW w:type="dxa" w:w="3855"/>
            <w:vAlign w:val="center"/>
          </w:tcPr>
          <w:p>
            <w:pPr>
              <w:keepNext w:val="0"/>
              <w:spacing w:line="320" w:lineRule="exact" w:after="0" w:before="0"/>
              <w:ind w:firstLine="0"/>
              <w:jc w:val="left"/>
            </w:pPr>
            <w:r>
              <w:rPr>
                <w:b w:val="0"/>
                <w:sz w:val="21"/>
              </w:rPr>
              <w:t>身份、主体、属性和实际时间</w:t>
            </w:r>
          </w:p>
        </w:tc>
        <w:tc>
          <w:tcPr>
            <w:tcW w:type="dxa" w:w="3277"/>
            <w:vAlign w:val="center"/>
          </w:tcPr>
          <w:p>
            <w:pPr>
              <w:keepNext w:val="0"/>
              <w:spacing w:line="320" w:lineRule="exact" w:after="0" w:before="0"/>
              <w:ind w:firstLine="0"/>
              <w:jc w:val="left"/>
            </w:pPr>
            <w:r>
              <w:rPr>
                <w:b w:val="0"/>
                <w:sz w:val="21"/>
              </w:rPr>
              <w:t>客户、使用方及业务条件</w:t>
            </w:r>
          </w:p>
        </w:tc>
      </w:tr>
      <w:tr>
        <w:trPr>
          <w:cantSplit/>
        </w:trPr>
        <w:tc>
          <w:tcPr>
            <w:tcW w:type="dxa" w:w="2506"/>
            <w:vAlign w:val="center"/>
          </w:tcPr>
          <w:p>
            <w:pPr>
              <w:keepNext w:val="0"/>
              <w:spacing w:line="320" w:lineRule="exact" w:after="0" w:before="0"/>
              <w:ind w:firstLine="0"/>
              <w:jc w:val="left"/>
            </w:pPr>
            <w:r>
              <w:rPr>
                <w:b w:val="0"/>
                <w:sz w:val="21"/>
              </w:rPr>
              <w:t>产品与配置</w:t>
            </w:r>
          </w:p>
        </w:tc>
        <w:tc>
          <w:tcPr>
            <w:tcW w:type="dxa" w:w="3855"/>
            <w:vAlign w:val="center"/>
          </w:tcPr>
          <w:p>
            <w:pPr>
              <w:keepNext w:val="0"/>
              <w:spacing w:line="320" w:lineRule="exact" w:after="0" w:before="0"/>
              <w:ind w:firstLine="0"/>
              <w:jc w:val="left"/>
            </w:pPr>
            <w:r>
              <w:rPr>
                <w:b w:val="0"/>
                <w:sz w:val="21"/>
              </w:rPr>
              <w:t>参数、约束、版本和来源</w:t>
            </w:r>
          </w:p>
        </w:tc>
        <w:tc>
          <w:tcPr>
            <w:tcW w:type="dxa" w:w="3277"/>
            <w:vAlign w:val="center"/>
          </w:tcPr>
          <w:p>
            <w:pPr>
              <w:keepNext w:val="0"/>
              <w:spacing w:line="320" w:lineRule="exact" w:after="0" w:before="0"/>
              <w:ind w:firstLine="0"/>
              <w:jc w:val="left"/>
            </w:pPr>
            <w:r>
              <w:rPr>
                <w:b w:val="0"/>
                <w:sz w:val="21"/>
              </w:rPr>
              <w:t>需求与技术适用性</w:t>
            </w:r>
          </w:p>
        </w:tc>
      </w:tr>
      <w:tr>
        <w:trPr>
          <w:cantSplit/>
        </w:trPr>
        <w:tc>
          <w:tcPr>
            <w:tcW w:type="dxa" w:w="2506"/>
            <w:vAlign w:val="center"/>
          </w:tcPr>
          <w:p>
            <w:pPr>
              <w:keepNext w:val="0"/>
              <w:spacing w:line="320" w:lineRule="exact" w:after="0" w:before="0"/>
              <w:ind w:firstLine="0"/>
              <w:jc w:val="left"/>
            </w:pPr>
            <w:r>
              <w:rPr>
                <w:b w:val="0"/>
                <w:sz w:val="21"/>
              </w:rPr>
              <w:t>合同与履行</w:t>
            </w:r>
          </w:p>
        </w:tc>
        <w:tc>
          <w:tcPr>
            <w:tcW w:type="dxa" w:w="3855"/>
            <w:vAlign w:val="center"/>
          </w:tcPr>
          <w:p>
            <w:pPr>
              <w:keepNext w:val="0"/>
              <w:spacing w:line="320" w:lineRule="exact" w:after="0" w:before="0"/>
              <w:ind w:firstLine="0"/>
              <w:jc w:val="left"/>
            </w:pPr>
            <w:r>
              <w:rPr>
                <w:b w:val="0"/>
                <w:sz w:val="21"/>
              </w:rPr>
              <w:t>文档状态、条款、订单及反馈</w:t>
            </w:r>
          </w:p>
        </w:tc>
        <w:tc>
          <w:tcPr>
            <w:tcW w:type="dxa" w:w="3277"/>
            <w:vAlign w:val="center"/>
          </w:tcPr>
          <w:p>
            <w:pPr>
              <w:keepNext w:val="0"/>
              <w:spacing w:line="320" w:lineRule="exact" w:after="0" w:before="0"/>
              <w:ind w:firstLine="0"/>
              <w:jc w:val="left"/>
            </w:pPr>
            <w:r>
              <w:rPr>
                <w:b w:val="0"/>
                <w:sz w:val="21"/>
              </w:rPr>
              <w:t>原文、交付和售后事件</w:t>
            </w:r>
          </w:p>
        </w:tc>
      </w:tr>
    </w:tbl>
    <w:p>
      <w:pPr>
        <w:spacing w:after="40" w:line="240" w:lineRule="auto"/>
        <w:ind w:firstLine="0"/>
      </w:pPr>
      <w:r>
        <w:rPr>
          <w:sz w:val="4"/>
        </w:rPr>
      </w:r>
    </w:p>
    <w:p>
      <w:pPr>
        <w:pStyle w:val="Heading2"/>
      </w:pPr>
      <w:r>
        <w:t>9.9 质量管理域</w:t>
      </w:r>
    </w:p>
    <w:p>
      <w:pPr>
        <w:jc w:val="both"/>
      </w:pPr>
      <w:r>
        <w:t>质量管理域围绕检验计划、标准、检验项目、工件或批次、测量结果、缺陷、判定、处置和复检开展治理，衔接QMS及研发、制造、采购和仓储相关来源。检验数据明确对象、位置、方法、设备、单位、时间及适用标准，原始测量、计算结果和最终判定分别保留。</w:t>
      </w:r>
    </w:p>
    <w:p>
      <w:pPr>
        <w:jc w:val="both"/>
      </w:pPr>
      <w:r>
        <w:t>检验批与工件、物料批次或生产批次的关系按实际业务登记，抽检结果的适用范围明确，不能把抽样合格直接扩展为每一件都有实际测量记录。复检、返工后检验和重测具有独立事件身份，保留原始不合格结果与处理过程。更正判定时记录依据、批准及影响，不能静默覆盖原始结论。</w:t>
      </w:r>
    </w:p>
    <w:p>
      <w:pPr>
        <w:jc w:val="both"/>
      </w:pPr>
      <w:r>
        <w:t>缺陷分类采用批准码表和专业定义，图像标注关联工件、位置、缺陷类别、标注依据及版本。图像增强、裁剪或格式转换保留来源关系，不能当作新增独立事实。文本描述和结构化标签存在冲突时组织专业复核，保留判断过程。质量标准变更明确生效时间和适用产品、工艺及批次。</w:t>
      </w:r>
    </w:p>
    <w:p>
      <w:pPr>
        <w:jc w:val="both"/>
      </w:pPr>
      <w:r>
        <w:t>质量检查关注项目完整、测量单位一致、判定逻辑有效、对象关联、重复记录及结果及时性。检验设备校准和测量条件按实际可得资料关联，缺少关键依据的结果标记限制。质量问题与工艺、设备、物料和供应商关联分析时区分相关性与已证实原因，根因结论以专业核验为依据。</w:t>
      </w:r>
    </w:p>
    <w:p>
      <w:pPr>
        <w:jc w:val="both"/>
      </w:pPr>
      <w:r>
        <w:t>产品质量数据集供给包括内容、标签、对象、过程和结果的可追溯关系，支持真实样本、来源隔离、专业准确及均衡检查。场景反馈发现标签或判定错误时评估训练、验证和知识服务影响，修复生成后继版本。验收贯通原始检验、缺陷、处置、复检和归档，核对实际数据与报告及服务一致。</w:t>
      </w:r>
    </w:p>
    <w:p>
      <w:pPr>
        <w:pStyle w:val="Caption"/>
        <w:keepNext/>
      </w:pPr>
      <w:r>
        <w:t>表9-9 质量管理域治理重点</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数据对象</w:t>
            </w:r>
          </w:p>
        </w:tc>
        <w:tc>
          <w:tcPr>
            <w:tcW w:type="dxa" w:w="3855"/>
            <w:vAlign w:val="center"/>
            <w:shd w:fill="EDF1F3"/>
          </w:tcPr>
          <w:p>
            <w:pPr>
              <w:keepNext/>
              <w:spacing w:line="320" w:lineRule="exact" w:after="0" w:before="0"/>
              <w:ind w:firstLine="0"/>
              <w:jc w:val="center"/>
            </w:pPr>
            <w:r>
              <w:rPr>
                <w:b/>
                <w:sz w:val="21"/>
              </w:rPr>
              <w:t>关键治理内容</w:t>
            </w:r>
          </w:p>
        </w:tc>
        <w:tc>
          <w:tcPr>
            <w:tcW w:type="dxa" w:w="3277"/>
            <w:vAlign w:val="center"/>
            <w:shd w:fill="EDF1F3"/>
          </w:tcPr>
          <w:p>
            <w:pPr>
              <w:keepNext/>
              <w:spacing w:line="320" w:lineRule="exact" w:after="0" w:before="0"/>
              <w:ind w:firstLine="0"/>
              <w:jc w:val="center"/>
            </w:pPr>
            <w:r>
              <w:rPr>
                <w:b/>
                <w:sz w:val="21"/>
              </w:rPr>
              <w:t>核验关系</w:t>
            </w:r>
          </w:p>
        </w:tc>
      </w:tr>
      <w:tr>
        <w:trPr>
          <w:cantSplit/>
        </w:trPr>
        <w:tc>
          <w:tcPr>
            <w:tcW w:type="dxa" w:w="2506"/>
            <w:vAlign w:val="center"/>
          </w:tcPr>
          <w:p>
            <w:pPr>
              <w:keepNext w:val="0"/>
              <w:spacing w:line="320" w:lineRule="exact" w:after="0" w:before="0"/>
              <w:ind w:firstLine="0"/>
              <w:jc w:val="left"/>
            </w:pPr>
            <w:r>
              <w:rPr>
                <w:b w:val="0"/>
                <w:sz w:val="21"/>
              </w:rPr>
              <w:t>检验对象与项目</w:t>
            </w:r>
          </w:p>
        </w:tc>
        <w:tc>
          <w:tcPr>
            <w:tcW w:type="dxa" w:w="3855"/>
            <w:vAlign w:val="center"/>
          </w:tcPr>
          <w:p>
            <w:pPr>
              <w:keepNext w:val="0"/>
              <w:spacing w:line="320" w:lineRule="exact" w:after="0" w:before="0"/>
              <w:ind w:firstLine="0"/>
              <w:jc w:val="left"/>
            </w:pPr>
            <w:r>
              <w:rPr>
                <w:b w:val="0"/>
                <w:sz w:val="21"/>
              </w:rPr>
              <w:t>批次、位置、方法、标准和时间</w:t>
            </w:r>
          </w:p>
        </w:tc>
        <w:tc>
          <w:tcPr>
            <w:tcW w:type="dxa" w:w="3277"/>
            <w:vAlign w:val="center"/>
          </w:tcPr>
          <w:p>
            <w:pPr>
              <w:keepNext w:val="0"/>
              <w:spacing w:line="320" w:lineRule="exact" w:after="0" w:before="0"/>
              <w:ind w:firstLine="0"/>
              <w:jc w:val="left"/>
            </w:pPr>
            <w:r>
              <w:rPr>
                <w:b w:val="0"/>
                <w:sz w:val="21"/>
              </w:rPr>
              <w:t>实物、要求及原始测量</w:t>
            </w:r>
          </w:p>
        </w:tc>
      </w:tr>
      <w:tr>
        <w:trPr>
          <w:cantSplit/>
        </w:trPr>
        <w:tc>
          <w:tcPr>
            <w:tcW w:type="dxa" w:w="2506"/>
            <w:vAlign w:val="center"/>
          </w:tcPr>
          <w:p>
            <w:pPr>
              <w:keepNext w:val="0"/>
              <w:spacing w:line="320" w:lineRule="exact" w:after="0" w:before="0"/>
              <w:ind w:firstLine="0"/>
              <w:jc w:val="left"/>
            </w:pPr>
            <w:r>
              <w:rPr>
                <w:b w:val="0"/>
                <w:sz w:val="21"/>
              </w:rPr>
              <w:t>缺陷与判定</w:t>
            </w:r>
          </w:p>
        </w:tc>
        <w:tc>
          <w:tcPr>
            <w:tcW w:type="dxa" w:w="3855"/>
            <w:vAlign w:val="center"/>
          </w:tcPr>
          <w:p>
            <w:pPr>
              <w:keepNext w:val="0"/>
              <w:spacing w:line="320" w:lineRule="exact" w:after="0" w:before="0"/>
              <w:ind w:firstLine="0"/>
              <w:jc w:val="left"/>
            </w:pPr>
            <w:r>
              <w:rPr>
                <w:b w:val="0"/>
                <w:sz w:val="21"/>
              </w:rPr>
              <w:t>定义、标签、依据和版本</w:t>
            </w:r>
          </w:p>
        </w:tc>
        <w:tc>
          <w:tcPr>
            <w:tcW w:type="dxa" w:w="3277"/>
            <w:vAlign w:val="center"/>
          </w:tcPr>
          <w:p>
            <w:pPr>
              <w:keepNext w:val="0"/>
              <w:spacing w:line="320" w:lineRule="exact" w:after="0" w:before="0"/>
              <w:ind w:firstLine="0"/>
              <w:jc w:val="left"/>
            </w:pPr>
            <w:r>
              <w:rPr>
                <w:b w:val="0"/>
                <w:sz w:val="21"/>
              </w:rPr>
              <w:t>图像、描述及专业结论</w:t>
            </w:r>
          </w:p>
        </w:tc>
      </w:tr>
      <w:tr>
        <w:trPr>
          <w:cantSplit/>
        </w:trPr>
        <w:tc>
          <w:tcPr>
            <w:tcW w:type="dxa" w:w="2506"/>
            <w:vAlign w:val="center"/>
          </w:tcPr>
          <w:p>
            <w:pPr>
              <w:keepNext w:val="0"/>
              <w:spacing w:line="320" w:lineRule="exact" w:after="0" w:before="0"/>
              <w:ind w:firstLine="0"/>
              <w:jc w:val="left"/>
            </w:pPr>
            <w:r>
              <w:rPr>
                <w:b w:val="0"/>
                <w:sz w:val="21"/>
              </w:rPr>
              <w:t>处置与复检</w:t>
            </w:r>
          </w:p>
        </w:tc>
        <w:tc>
          <w:tcPr>
            <w:tcW w:type="dxa" w:w="3855"/>
            <w:vAlign w:val="center"/>
          </w:tcPr>
          <w:p>
            <w:pPr>
              <w:keepNext w:val="0"/>
              <w:spacing w:line="320" w:lineRule="exact" w:after="0" w:before="0"/>
              <w:ind w:firstLine="0"/>
              <w:jc w:val="left"/>
            </w:pPr>
            <w:r>
              <w:rPr>
                <w:b w:val="0"/>
                <w:sz w:val="21"/>
              </w:rPr>
              <w:t>事件、批准、措施和结果</w:t>
            </w:r>
          </w:p>
        </w:tc>
        <w:tc>
          <w:tcPr>
            <w:tcW w:type="dxa" w:w="3277"/>
            <w:vAlign w:val="center"/>
          </w:tcPr>
          <w:p>
            <w:pPr>
              <w:keepNext w:val="0"/>
              <w:spacing w:line="320" w:lineRule="exact" w:after="0" w:before="0"/>
              <w:ind w:firstLine="0"/>
              <w:jc w:val="left"/>
            </w:pPr>
            <w:r>
              <w:rPr>
                <w:b w:val="0"/>
                <w:sz w:val="21"/>
              </w:rPr>
              <w:t>原始问题、修复及关闭</w:t>
            </w:r>
          </w:p>
        </w:tc>
      </w:tr>
    </w:tbl>
    <w:p>
      <w:pPr>
        <w:spacing w:after="40" w:line="240" w:lineRule="auto"/>
        <w:ind w:firstLine="0"/>
      </w:pPr>
      <w:r>
        <w:rPr>
          <w:sz w:val="4"/>
        </w:rPr>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4" name="Picture 14"/>
            <wp:cNvGraphicFramePr>
              <a:graphicFrameLocks noChangeAspect="1"/>
            </wp:cNvGraphicFramePr>
            <a:graphic>
              <a:graphicData uri="http://schemas.openxmlformats.org/drawingml/2006/picture">
                <pic:pic>
                  <pic:nvPicPr>
                    <pic:cNvPr id="0" name="图14_跨域关联.png"/>
                    <pic:cNvPicPr/>
                  </pic:nvPicPr>
                  <pic:blipFill>
                    <a:blip r:embed="rId24"/>
                    <a:stretch>
                      <a:fillRect/>
                    </a:stretch>
                  </pic:blipFill>
                  <pic:spPr>
                    <a:xfrm>
                      <a:off x="0" y="0"/>
                      <a:ext cx="6048000" cy="1942338"/>
                    </a:xfrm>
                    <a:prstGeom prst="rect"/>
                  </pic:spPr>
                </pic:pic>
              </a:graphicData>
            </a:graphic>
          </wp:inline>
        </w:drawing>
      </w:r>
    </w:p>
    <w:p>
      <w:pPr>
        <w:pStyle w:val="Caption"/>
        <w:jc w:val="center"/>
      </w:pPr>
      <w:r>
        <w:t>图9-1 跨业务域对象关联</w:t>
      </w:r>
    </w:p>
    <w:p>
      <w:pPr>
        <w:pStyle w:val="Heading2"/>
      </w:pPr>
      <w:r>
        <w:t>9.10 跨域关系与安全监管能源数据</w:t>
      </w:r>
    </w:p>
    <w:p>
      <w:pPr>
        <w:jc w:val="both"/>
      </w:pPr>
      <w:r>
        <w:t>跨域实施以订单、产品、物料、工单、工件、批次、设备和组织等共同对象连接九个业务域，保留各域独立事实和时间。统一标识用于关联，不能抹去领域之间的粒度和业务含义差异。共享关系由业务确认，跨域指标及场景使用在确认对象、时间、状态和权限后开展。</w:t>
      </w:r>
    </w:p>
    <w:p>
      <w:pPr>
        <w:jc w:val="both"/>
      </w:pPr>
      <w:r>
        <w:t>EMS能源能耗数据按设备、区域、计量点、介质、单位和期间登记，核对计量层级、累积读数、复位和异常情况，与生产对象关联时说明分配或归集依据。不能将区域总量未经依据分配到单个产品，也不能把设备停机和计量缺失混为一谈。能耗数据在批准范围内支持制造分析和相关指标。</w:t>
      </w:r>
    </w:p>
    <w:p>
      <w:pPr>
        <w:jc w:val="both"/>
      </w:pPr>
      <w:r>
        <w:t>安全监管平台来源按实际业务对象及权限开展核验，记录事件、设备或区域、时间、状态和处置关系。涉及人员、位置、视频及敏感业务内容时，先确认用途、级别和保护要求，再纳入相应治理及供给。安全事件与生产异常的关联需要证据支持，不能把时间接近直接写成因果关系。</w:t>
      </w:r>
    </w:p>
    <w:p>
      <w:pPr>
        <w:jc w:val="both"/>
      </w:pPr>
      <w:r>
        <w:t>跨域验收从业务问题出发贯通实际对象和流程，检查身份、版本、质量和权限的一致性。对无法确定的关联保留未确认状态并安排补核，正式供给按适用范围执行。跨域责任由统一治理机制协调，问题定位、整改和复核不因分属不同业务系统而中断。</w:t>
      </w:r>
    </w:p>
    <w:p>
      <w:pPr>
        <w:pStyle w:val="Heading1"/>
      </w:pPr>
      <w:r>
        <w:t>10 实施计划与验收移交</w:t>
      </w:r>
    </w:p>
    <w:p>
      <w:pPr>
        <w:pStyle w:val="Heading2"/>
      </w:pPr>
      <w:r>
        <w:t>10.1 实施批次与前置条件</w:t>
      </w:r>
    </w:p>
    <w:p>
      <w:pPr>
        <w:jc w:val="both"/>
      </w:pPr>
      <w:r>
        <w:t>我方按范围确认、规划批准、基础配置、分批实施、联调验证、试运行和正式移交组织建设。每批次明确业务域、来源系统、对象、规则、模型、指标、服务和使用方，建立任务依赖和完成条件。优先覆盖四大数据集生产、关键场景验证及高影响治理问题所需对象，再按批准范围滚动扩展，最终覆盖全部九个业务域和九项实施内容。</w:t>
      </w:r>
    </w:p>
    <w:p>
      <w:pPr>
        <w:jc w:val="both"/>
      </w:pPr>
      <w:r>
        <w:t>前置条件包括业务责任落实、来源授权、网络与环境、源结构和样本、基础标准、对象映射及必要安全要求。准备清单逐项登记责任和状态，尚未完成的事项明确补足路径，能够并行开展的设计和验证准备持续推进。关键授权、定义或来源事实未确认时，不通过临时猜测进入正式生产。</w:t>
      </w:r>
    </w:p>
    <w:p>
      <w:pPr>
        <w:jc w:val="both"/>
      </w:pPr>
      <w:r>
        <w:t>批次之间共享标准、主数据、元数据和安全策略，新增对象复用已有规则并核对适用性。试点形成的配置、操作和问题经验经过验证后推广，不能把单一业务域的成功演示直接作为其他业务域完成依据。每个业务域保持实际实施对象、运行记录和验收证据。</w:t>
      </w:r>
    </w:p>
    <w:p>
      <w:pPr>
        <w:pStyle w:val="Caption"/>
        <w:keepNext/>
      </w:pPr>
      <w:r>
        <w:t>表10-1 实施阶段与完成条件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阶段</w:t>
            </w:r>
          </w:p>
        </w:tc>
        <w:tc>
          <w:tcPr>
            <w:tcW w:type="dxa" w:w="3855"/>
            <w:vAlign w:val="center"/>
            <w:shd w:fill="EDF1F3"/>
          </w:tcPr>
          <w:p>
            <w:pPr>
              <w:keepNext/>
              <w:spacing w:line="320" w:lineRule="exact" w:after="0" w:before="0"/>
              <w:ind w:firstLine="0"/>
              <w:jc w:val="center"/>
            </w:pPr>
            <w:r>
              <w:rPr>
                <w:b/>
                <w:sz w:val="21"/>
              </w:rPr>
              <w:t>主要工作</w:t>
            </w:r>
          </w:p>
        </w:tc>
        <w:tc>
          <w:tcPr>
            <w:tcW w:type="dxa" w:w="3277"/>
            <w:vAlign w:val="center"/>
            <w:shd w:fill="EDF1F3"/>
          </w:tcPr>
          <w:p>
            <w:pPr>
              <w:keepNext/>
              <w:spacing w:line="320" w:lineRule="exact" w:after="0" w:before="0"/>
              <w:ind w:firstLine="0"/>
              <w:jc w:val="center"/>
            </w:pPr>
            <w:r>
              <w:rPr>
                <w:b/>
                <w:sz w:val="21"/>
              </w:rPr>
              <w:t>完成条件</w:t>
            </w:r>
          </w:p>
        </w:tc>
      </w:tr>
      <w:tr>
        <w:trPr>
          <w:cantSplit/>
        </w:trPr>
        <w:tc>
          <w:tcPr>
            <w:tcW w:type="dxa" w:w="2506"/>
            <w:vAlign w:val="center"/>
          </w:tcPr>
          <w:p>
            <w:pPr>
              <w:keepNext w:val="0"/>
              <w:spacing w:line="320" w:lineRule="exact" w:after="0" w:before="0"/>
              <w:ind w:firstLine="0"/>
              <w:jc w:val="left"/>
            </w:pPr>
            <w:r>
              <w:rPr>
                <w:b w:val="0"/>
                <w:sz w:val="21"/>
              </w:rPr>
              <w:t>范围确认</w:t>
            </w:r>
          </w:p>
        </w:tc>
        <w:tc>
          <w:tcPr>
            <w:tcW w:type="dxa" w:w="3855"/>
            <w:vAlign w:val="center"/>
          </w:tcPr>
          <w:p>
            <w:pPr>
              <w:keepNext w:val="0"/>
              <w:spacing w:line="320" w:lineRule="exact" w:after="0" w:before="0"/>
              <w:ind w:firstLine="0"/>
              <w:jc w:val="left"/>
            </w:pPr>
            <w:r>
              <w:rPr>
                <w:b w:val="0"/>
                <w:sz w:val="21"/>
              </w:rPr>
              <w:t>诊断复核、对象、责任和前置条件</w:t>
            </w:r>
          </w:p>
        </w:tc>
        <w:tc>
          <w:tcPr>
            <w:tcW w:type="dxa" w:w="3277"/>
            <w:vAlign w:val="center"/>
          </w:tcPr>
          <w:p>
            <w:pPr>
              <w:keepNext w:val="0"/>
              <w:spacing w:line="320" w:lineRule="exact" w:after="0" w:before="0"/>
              <w:ind w:firstLine="0"/>
              <w:jc w:val="left"/>
            </w:pPr>
            <w:r>
              <w:rPr>
                <w:b w:val="0"/>
                <w:sz w:val="21"/>
              </w:rPr>
              <w:t>范围与来源清楚，任务和责任落实</w:t>
            </w:r>
          </w:p>
        </w:tc>
      </w:tr>
      <w:tr>
        <w:trPr>
          <w:cantSplit/>
        </w:trPr>
        <w:tc>
          <w:tcPr>
            <w:tcW w:type="dxa" w:w="2506"/>
            <w:vAlign w:val="center"/>
          </w:tcPr>
          <w:p>
            <w:pPr>
              <w:keepNext w:val="0"/>
              <w:spacing w:line="320" w:lineRule="exact" w:after="0" w:before="0"/>
              <w:ind w:firstLine="0"/>
              <w:jc w:val="left"/>
            </w:pPr>
            <w:r>
              <w:rPr>
                <w:b w:val="0"/>
                <w:sz w:val="21"/>
              </w:rPr>
              <w:t>规划批准</w:t>
            </w:r>
          </w:p>
        </w:tc>
        <w:tc>
          <w:tcPr>
            <w:tcW w:type="dxa" w:w="3855"/>
            <w:vAlign w:val="center"/>
          </w:tcPr>
          <w:p>
            <w:pPr>
              <w:keepNext w:val="0"/>
              <w:spacing w:line="320" w:lineRule="exact" w:after="0" w:before="0"/>
              <w:ind w:firstLine="0"/>
              <w:jc w:val="left"/>
            </w:pPr>
            <w:r>
              <w:rPr>
                <w:b w:val="0"/>
                <w:sz w:val="21"/>
              </w:rPr>
              <w:t>五域规划、完整成果清单及实施设计</w:t>
            </w:r>
          </w:p>
        </w:tc>
        <w:tc>
          <w:tcPr>
            <w:tcW w:type="dxa" w:w="3277"/>
            <w:vAlign w:val="center"/>
          </w:tcPr>
          <w:p>
            <w:pPr>
              <w:keepNext w:val="0"/>
              <w:spacing w:line="320" w:lineRule="exact" w:after="0" w:before="0"/>
              <w:ind w:firstLine="0"/>
              <w:jc w:val="left"/>
            </w:pPr>
            <w:r>
              <w:rPr>
                <w:b w:val="0"/>
                <w:sz w:val="21"/>
              </w:rPr>
              <w:t>规则可执行，关联口径一致</w:t>
            </w:r>
          </w:p>
        </w:tc>
      </w:tr>
      <w:tr>
        <w:trPr>
          <w:cantSplit/>
        </w:trPr>
        <w:tc>
          <w:tcPr>
            <w:tcW w:type="dxa" w:w="2506"/>
            <w:vAlign w:val="center"/>
          </w:tcPr>
          <w:p>
            <w:pPr>
              <w:keepNext w:val="0"/>
              <w:spacing w:line="320" w:lineRule="exact" w:after="0" w:before="0"/>
              <w:ind w:firstLine="0"/>
              <w:jc w:val="left"/>
            </w:pPr>
            <w:r>
              <w:rPr>
                <w:b w:val="0"/>
                <w:sz w:val="21"/>
              </w:rPr>
              <w:t>基础配置</w:t>
            </w:r>
          </w:p>
        </w:tc>
        <w:tc>
          <w:tcPr>
            <w:tcW w:type="dxa" w:w="3855"/>
            <w:vAlign w:val="center"/>
          </w:tcPr>
          <w:p>
            <w:pPr>
              <w:keepNext w:val="0"/>
              <w:spacing w:line="320" w:lineRule="exact" w:after="0" w:before="0"/>
              <w:ind w:firstLine="0"/>
              <w:jc w:val="left"/>
            </w:pPr>
            <w:r>
              <w:rPr>
                <w:b w:val="0"/>
                <w:sz w:val="21"/>
              </w:rPr>
              <w:t>身份、连接、目录、标准和模型</w:t>
            </w:r>
          </w:p>
        </w:tc>
        <w:tc>
          <w:tcPr>
            <w:tcW w:type="dxa" w:w="3277"/>
            <w:vAlign w:val="center"/>
          </w:tcPr>
          <w:p>
            <w:pPr>
              <w:keepNext w:val="0"/>
              <w:spacing w:line="320" w:lineRule="exact" w:after="0" w:before="0"/>
              <w:ind w:firstLine="0"/>
              <w:jc w:val="left"/>
            </w:pPr>
            <w:r>
              <w:rPr>
                <w:b w:val="0"/>
                <w:sz w:val="21"/>
              </w:rPr>
              <w:t>基础能力可用，配置通过检查</w:t>
            </w:r>
          </w:p>
        </w:tc>
      </w:tr>
      <w:tr>
        <w:trPr>
          <w:cantSplit/>
        </w:trPr>
        <w:tc>
          <w:tcPr>
            <w:tcW w:type="dxa" w:w="2506"/>
            <w:vAlign w:val="center"/>
          </w:tcPr>
          <w:p>
            <w:pPr>
              <w:keepNext w:val="0"/>
              <w:spacing w:line="320" w:lineRule="exact" w:after="0" w:before="0"/>
              <w:ind w:firstLine="0"/>
              <w:jc w:val="left"/>
            </w:pPr>
            <w:r>
              <w:rPr>
                <w:b w:val="0"/>
                <w:sz w:val="21"/>
              </w:rPr>
              <w:t>分批实施</w:t>
            </w:r>
          </w:p>
        </w:tc>
        <w:tc>
          <w:tcPr>
            <w:tcW w:type="dxa" w:w="3855"/>
            <w:vAlign w:val="center"/>
          </w:tcPr>
          <w:p>
            <w:pPr>
              <w:keepNext w:val="0"/>
              <w:spacing w:line="320" w:lineRule="exact" w:after="0" w:before="0"/>
              <w:ind w:firstLine="0"/>
              <w:jc w:val="left"/>
            </w:pPr>
            <w:r>
              <w:rPr>
                <w:b w:val="0"/>
                <w:sz w:val="21"/>
              </w:rPr>
              <w:t>九域对象和九项治理能力落地</w:t>
            </w:r>
          </w:p>
        </w:tc>
        <w:tc>
          <w:tcPr>
            <w:tcW w:type="dxa" w:w="3277"/>
            <w:vAlign w:val="center"/>
          </w:tcPr>
          <w:p>
            <w:pPr>
              <w:keepNext w:val="0"/>
              <w:spacing w:line="320" w:lineRule="exact" w:after="0" w:before="0"/>
              <w:ind w:firstLine="0"/>
              <w:jc w:val="left"/>
            </w:pPr>
            <w:r>
              <w:rPr>
                <w:b w:val="0"/>
                <w:sz w:val="21"/>
              </w:rPr>
              <w:t>批次运行、对账及问题处理完成</w:t>
            </w:r>
          </w:p>
        </w:tc>
      </w:tr>
      <w:tr>
        <w:trPr>
          <w:cantSplit/>
        </w:trPr>
        <w:tc>
          <w:tcPr>
            <w:tcW w:type="dxa" w:w="2506"/>
            <w:vAlign w:val="center"/>
          </w:tcPr>
          <w:p>
            <w:pPr>
              <w:keepNext w:val="0"/>
              <w:spacing w:line="320" w:lineRule="exact" w:after="0" w:before="0"/>
              <w:ind w:firstLine="0"/>
              <w:jc w:val="left"/>
            </w:pPr>
            <w:r>
              <w:rPr>
                <w:b w:val="0"/>
                <w:sz w:val="21"/>
              </w:rPr>
              <w:t>联调试运行</w:t>
            </w:r>
          </w:p>
        </w:tc>
        <w:tc>
          <w:tcPr>
            <w:tcW w:type="dxa" w:w="3855"/>
            <w:vAlign w:val="center"/>
          </w:tcPr>
          <w:p>
            <w:pPr>
              <w:keepNext w:val="0"/>
              <w:spacing w:line="320" w:lineRule="exact" w:after="0" w:before="0"/>
              <w:ind w:firstLine="0"/>
              <w:jc w:val="left"/>
            </w:pPr>
            <w:r>
              <w:rPr>
                <w:b w:val="0"/>
                <w:sz w:val="21"/>
              </w:rPr>
              <w:t>跨域链路、异常恢复和实际使用</w:t>
            </w:r>
          </w:p>
        </w:tc>
        <w:tc>
          <w:tcPr>
            <w:tcW w:type="dxa" w:w="3277"/>
            <w:vAlign w:val="center"/>
          </w:tcPr>
          <w:p>
            <w:pPr>
              <w:keepNext w:val="0"/>
              <w:spacing w:line="320" w:lineRule="exact" w:after="0" w:before="0"/>
              <w:ind w:firstLine="0"/>
              <w:jc w:val="left"/>
            </w:pPr>
            <w:r>
              <w:rPr>
                <w:b w:val="0"/>
                <w:sz w:val="21"/>
              </w:rPr>
              <w:t>关键流程通过验证，问题整改复核</w:t>
            </w:r>
          </w:p>
        </w:tc>
      </w:tr>
      <w:tr>
        <w:trPr>
          <w:cantSplit/>
        </w:trPr>
        <w:tc>
          <w:tcPr>
            <w:tcW w:type="dxa" w:w="2506"/>
            <w:vAlign w:val="center"/>
          </w:tcPr>
          <w:p>
            <w:pPr>
              <w:keepNext w:val="0"/>
              <w:spacing w:line="320" w:lineRule="exact" w:after="0" w:before="0"/>
              <w:ind w:firstLine="0"/>
              <w:jc w:val="left"/>
            </w:pPr>
            <w:r>
              <w:rPr>
                <w:b w:val="0"/>
                <w:sz w:val="21"/>
              </w:rPr>
              <w:t>正式移交</w:t>
            </w:r>
          </w:p>
        </w:tc>
        <w:tc>
          <w:tcPr>
            <w:tcW w:type="dxa" w:w="3855"/>
            <w:vAlign w:val="center"/>
          </w:tcPr>
          <w:p>
            <w:pPr>
              <w:keepNext w:val="0"/>
              <w:spacing w:line="320" w:lineRule="exact" w:after="0" w:before="0"/>
              <w:ind w:firstLine="0"/>
              <w:jc w:val="left"/>
            </w:pPr>
            <w:r>
              <w:rPr>
                <w:b w:val="0"/>
                <w:sz w:val="21"/>
              </w:rPr>
              <w:t>成果、配置、证据、培训及接管</w:t>
            </w:r>
          </w:p>
        </w:tc>
        <w:tc>
          <w:tcPr>
            <w:tcW w:type="dxa" w:w="3277"/>
            <w:vAlign w:val="center"/>
          </w:tcPr>
          <w:p>
            <w:pPr>
              <w:keepNext w:val="0"/>
              <w:spacing w:line="320" w:lineRule="exact" w:after="0" w:before="0"/>
              <w:ind w:firstLine="0"/>
              <w:jc w:val="left"/>
            </w:pPr>
            <w:r>
              <w:rPr>
                <w:b w:val="0"/>
                <w:sz w:val="21"/>
              </w:rPr>
              <w:t>清单完整，实际运行和岗位接管通过</w:t>
            </w:r>
          </w:p>
        </w:tc>
      </w:tr>
    </w:tbl>
    <w:p>
      <w:pPr>
        <w:spacing w:after="40" w:line="240" w:lineRule="auto"/>
        <w:ind w:firstLine="0"/>
      </w:pPr>
      <w:r>
        <w:rPr>
          <w:sz w:val="4"/>
        </w:rPr>
      </w:r>
    </w:p>
    <w:p>
      <w:pPr>
        <w:pStyle w:val="Heading2"/>
      </w:pPr>
      <w:r>
        <w:t>10.2 环境准备与配置管理</w:t>
      </w:r>
    </w:p>
    <w:p>
      <w:pPr>
        <w:jc w:val="both"/>
      </w:pPr>
      <w:r>
        <w:t>实施环境根据项目总体部署设计准备，核对计算、存储、网络、身份、数据库、文件服务及必要安全组件。开发、测试和生产环境明确访问及数据使用边界，环境间迁移经过批准，敏感生产内容进入测试环境前执行必要保护。环境台账记录配置、责任、版本和依赖。</w:t>
      </w:r>
    </w:p>
    <w:p>
      <w:pPr>
        <w:jc w:val="both"/>
      </w:pPr>
      <w:r>
        <w:t>平台安装和配置与采购服务器、接入连接器、密码设备及网络适配工作衔接，治理功能、加工生产和运营服务之间的接口逐项验证。软件许可、使用节点和功能范围按招标及合同执行，不能因部署拆分或组件方式减少已承诺能力。基础设施变化纳入统一变更管理，避免运行环境与设计长期不一致。</w:t>
      </w:r>
    </w:p>
    <w:p>
      <w:pPr>
        <w:jc w:val="both"/>
      </w:pPr>
      <w:r>
        <w:t>配置包括连接、字典、模型、映射、规则、任务、权限、指标和服务，各类配置使用可追溯版本和发布记录。凭据及密钥采用受控管理，不写入普通文档、脚本或日志。配置备份和恢复验证覆盖实际依赖，迁移后核对对象身份、权限及任务位置。</w:t>
      </w:r>
    </w:p>
    <w:p>
      <w:pPr>
        <w:jc w:val="both"/>
      </w:pPr>
      <w:r>
        <w:t>准备验收通过连接、授权、日志、时间同步、资源和恢复检查确认环境可用，发现问题在正式汇聚前处理。环境与数据就绪分别判断，平台可登录不意味着来源授权或数据准备已经完成。后续变更保持同样检查和记录要求。</w:t>
      </w:r>
    </w:p>
    <w:p>
      <w:pPr>
        <w:pStyle w:val="Heading2"/>
      </w:pPr>
      <w:r>
        <w:t>10.3 业务范围与能力覆盖检查</w:t>
      </w:r>
    </w:p>
    <w:p>
      <w:pPr>
        <w:jc w:val="both"/>
      </w:pPr>
      <w:r>
        <w:t>建立九个业务域与九项治理实施内容的覆盖台账，每个组合登记实际对象、配置、责任、状态和证据。某业务域不需要某一种具体技术方式时说明适用性，但该域的汇聚、处理、元数据、资产、标准、质量、安全、指标和服务管理责任仍逐项落实，不能用一个总体截图代替全部实施证明。</w:t>
      </w:r>
    </w:p>
    <w:p>
      <w:pPr>
        <w:jc w:val="both"/>
      </w:pPr>
      <w:r>
        <w:t>覆盖检查按来源对象、治理规则、业务流程和使用结果进行。来源核对十七套外围系统的适用范围及实际接入状态；规则核对已确认标准、质量、安全和生命周期要求；流程核对审批、执行、异常及退出；结果核对供给、指标和场景使用。存在范围调整时保留批准依据和原新对应。</w:t>
      </w:r>
    </w:p>
    <w:p>
      <w:pPr>
        <w:jc w:val="both"/>
      </w:pPr>
      <w:r>
        <w:t>每个业务域至少选取具有代表性的实际对象贯通检查，同时对全部已确认实施对象完成清单核验和必要自动检查。代表性验证用于检验流程和方法，不用于豁免其他对象的实现。尚未执行、执行失败、受限和不适用分别记录，完成状态必须有对应证据。</w:t>
      </w:r>
    </w:p>
    <w:p>
      <w:pPr>
        <w:pStyle w:val="Caption"/>
        <w:keepNext/>
      </w:pPr>
      <w:r>
        <w:t>表10-2 业务域实施证据组织</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业务域</w:t>
            </w:r>
          </w:p>
        </w:tc>
        <w:tc>
          <w:tcPr>
            <w:tcW w:type="dxa" w:w="3855"/>
            <w:vAlign w:val="center"/>
            <w:shd w:fill="EDF1F3"/>
          </w:tcPr>
          <w:p>
            <w:pPr>
              <w:keepNext/>
              <w:spacing w:line="320" w:lineRule="exact" w:after="0" w:before="0"/>
              <w:ind w:firstLine="0"/>
              <w:jc w:val="center"/>
            </w:pPr>
            <w:r>
              <w:rPr>
                <w:b/>
                <w:sz w:val="21"/>
              </w:rPr>
              <w:t>主要贯通对象</w:t>
            </w:r>
          </w:p>
        </w:tc>
        <w:tc>
          <w:tcPr>
            <w:tcW w:type="dxa" w:w="3277"/>
            <w:vAlign w:val="center"/>
            <w:shd w:fill="EDF1F3"/>
          </w:tcPr>
          <w:p>
            <w:pPr>
              <w:keepNext/>
              <w:spacing w:line="320" w:lineRule="exact" w:after="0" w:before="0"/>
              <w:ind w:firstLine="0"/>
              <w:jc w:val="center"/>
            </w:pPr>
            <w:r>
              <w:rPr>
                <w:b/>
                <w:sz w:val="21"/>
              </w:rPr>
              <w:t>实施证据重点</w:t>
            </w:r>
          </w:p>
        </w:tc>
      </w:tr>
      <w:tr>
        <w:trPr>
          <w:cantSplit/>
        </w:trPr>
        <w:tc>
          <w:tcPr>
            <w:tcW w:type="dxa" w:w="2506"/>
            <w:vAlign w:val="center"/>
          </w:tcPr>
          <w:p>
            <w:pPr>
              <w:keepNext w:val="0"/>
              <w:spacing w:line="320" w:lineRule="exact" w:after="0" w:before="0"/>
              <w:ind w:firstLine="0"/>
              <w:jc w:val="left"/>
            </w:pPr>
            <w:r>
              <w:rPr>
                <w:b w:val="0"/>
                <w:sz w:val="21"/>
              </w:rPr>
              <w:t>人力资源</w:t>
            </w:r>
          </w:p>
        </w:tc>
        <w:tc>
          <w:tcPr>
            <w:tcW w:type="dxa" w:w="3855"/>
            <w:vAlign w:val="center"/>
          </w:tcPr>
          <w:p>
            <w:pPr>
              <w:keepNext w:val="0"/>
              <w:spacing w:line="320" w:lineRule="exact" w:after="0" w:before="0"/>
              <w:ind w:firstLine="0"/>
              <w:jc w:val="left"/>
            </w:pPr>
            <w:r>
              <w:rPr>
                <w:b w:val="0"/>
                <w:sz w:val="21"/>
              </w:rPr>
              <w:t>组织、岗位、任职及权限</w:t>
            </w:r>
          </w:p>
        </w:tc>
        <w:tc>
          <w:tcPr>
            <w:tcW w:type="dxa" w:w="3277"/>
            <w:vAlign w:val="center"/>
          </w:tcPr>
          <w:p>
            <w:pPr>
              <w:keepNext w:val="0"/>
              <w:spacing w:line="320" w:lineRule="exact" w:after="0" w:before="0"/>
              <w:ind w:firstLine="0"/>
              <w:jc w:val="left"/>
            </w:pPr>
            <w:r>
              <w:rPr>
                <w:b w:val="0"/>
                <w:sz w:val="21"/>
              </w:rPr>
              <w:t>有效历史、审批和权限变动</w:t>
            </w:r>
          </w:p>
        </w:tc>
      </w:tr>
      <w:tr>
        <w:trPr>
          <w:cantSplit/>
        </w:trPr>
        <w:tc>
          <w:tcPr>
            <w:tcW w:type="dxa" w:w="2506"/>
            <w:vAlign w:val="center"/>
          </w:tcPr>
          <w:p>
            <w:pPr>
              <w:keepNext w:val="0"/>
              <w:spacing w:line="320" w:lineRule="exact" w:after="0" w:before="0"/>
              <w:ind w:firstLine="0"/>
              <w:jc w:val="left"/>
            </w:pPr>
            <w:r>
              <w:rPr>
                <w:b w:val="0"/>
                <w:sz w:val="21"/>
              </w:rPr>
              <w:t>研发设计</w:t>
            </w:r>
          </w:p>
        </w:tc>
        <w:tc>
          <w:tcPr>
            <w:tcW w:type="dxa" w:w="3855"/>
            <w:vAlign w:val="center"/>
          </w:tcPr>
          <w:p>
            <w:pPr>
              <w:keepNext w:val="0"/>
              <w:spacing w:line="320" w:lineRule="exact" w:after="0" w:before="0"/>
              <w:ind w:firstLine="0"/>
              <w:jc w:val="left"/>
            </w:pPr>
            <w:r>
              <w:rPr>
                <w:b w:val="0"/>
                <w:sz w:val="21"/>
              </w:rPr>
              <w:t>产品、图纸、工艺及标准</w:t>
            </w:r>
          </w:p>
        </w:tc>
        <w:tc>
          <w:tcPr>
            <w:tcW w:type="dxa" w:w="3277"/>
            <w:vAlign w:val="center"/>
          </w:tcPr>
          <w:p>
            <w:pPr>
              <w:keepNext w:val="0"/>
              <w:spacing w:line="320" w:lineRule="exact" w:after="0" w:before="0"/>
              <w:ind w:firstLine="0"/>
              <w:jc w:val="left"/>
            </w:pPr>
            <w:r>
              <w:rPr>
                <w:b w:val="0"/>
                <w:sz w:val="21"/>
              </w:rPr>
              <w:t>版本、匹配、来源和变更</w:t>
            </w:r>
          </w:p>
        </w:tc>
      </w:tr>
      <w:tr>
        <w:trPr>
          <w:cantSplit/>
        </w:trPr>
        <w:tc>
          <w:tcPr>
            <w:tcW w:type="dxa" w:w="2506"/>
            <w:vAlign w:val="center"/>
          </w:tcPr>
          <w:p>
            <w:pPr>
              <w:keepNext w:val="0"/>
              <w:spacing w:line="320" w:lineRule="exact" w:after="0" w:before="0"/>
              <w:ind w:firstLine="0"/>
              <w:jc w:val="left"/>
            </w:pPr>
            <w:r>
              <w:rPr>
                <w:b w:val="0"/>
                <w:sz w:val="21"/>
              </w:rPr>
              <w:t>生产制造</w:t>
            </w:r>
          </w:p>
        </w:tc>
        <w:tc>
          <w:tcPr>
            <w:tcW w:type="dxa" w:w="3855"/>
            <w:vAlign w:val="center"/>
          </w:tcPr>
          <w:p>
            <w:pPr>
              <w:keepNext w:val="0"/>
              <w:spacing w:line="320" w:lineRule="exact" w:after="0" w:before="0"/>
              <w:ind w:firstLine="0"/>
              <w:jc w:val="left"/>
            </w:pPr>
            <w:r>
              <w:rPr>
                <w:b w:val="0"/>
                <w:sz w:val="21"/>
              </w:rPr>
              <w:t>工单、工件、设备及过程</w:t>
            </w:r>
          </w:p>
        </w:tc>
        <w:tc>
          <w:tcPr>
            <w:tcW w:type="dxa" w:w="3277"/>
            <w:vAlign w:val="center"/>
          </w:tcPr>
          <w:p>
            <w:pPr>
              <w:keepNext w:val="0"/>
              <w:spacing w:line="320" w:lineRule="exact" w:after="0" w:before="0"/>
              <w:ind w:firstLine="0"/>
              <w:jc w:val="left"/>
            </w:pPr>
            <w:r>
              <w:rPr>
                <w:b w:val="0"/>
                <w:sz w:val="21"/>
              </w:rPr>
              <w:t>执行、时序、多模态及检验关系</w:t>
            </w:r>
          </w:p>
        </w:tc>
      </w:tr>
      <w:tr>
        <w:trPr>
          <w:cantSplit/>
        </w:trPr>
        <w:tc>
          <w:tcPr>
            <w:tcW w:type="dxa" w:w="2506"/>
            <w:vAlign w:val="center"/>
          </w:tcPr>
          <w:p>
            <w:pPr>
              <w:keepNext w:val="0"/>
              <w:spacing w:line="320" w:lineRule="exact" w:after="0" w:before="0"/>
              <w:ind w:firstLine="0"/>
              <w:jc w:val="left"/>
            </w:pPr>
            <w:r>
              <w:rPr>
                <w:b w:val="0"/>
                <w:sz w:val="21"/>
              </w:rPr>
              <w:t>仓储物流</w:t>
            </w:r>
          </w:p>
        </w:tc>
        <w:tc>
          <w:tcPr>
            <w:tcW w:type="dxa" w:w="3855"/>
            <w:vAlign w:val="center"/>
          </w:tcPr>
          <w:p>
            <w:pPr>
              <w:keepNext w:val="0"/>
              <w:spacing w:line="320" w:lineRule="exact" w:after="0" w:before="0"/>
              <w:ind w:firstLine="0"/>
              <w:jc w:val="left"/>
            </w:pPr>
            <w:r>
              <w:rPr>
                <w:b w:val="0"/>
                <w:sz w:val="21"/>
              </w:rPr>
              <w:t>物料、批次、库存及物流</w:t>
            </w:r>
          </w:p>
        </w:tc>
        <w:tc>
          <w:tcPr>
            <w:tcW w:type="dxa" w:w="3277"/>
            <w:vAlign w:val="center"/>
          </w:tcPr>
          <w:p>
            <w:pPr>
              <w:keepNext w:val="0"/>
              <w:spacing w:line="320" w:lineRule="exact" w:after="0" w:before="0"/>
              <w:ind w:firstLine="0"/>
              <w:jc w:val="left"/>
            </w:pPr>
            <w:r>
              <w:rPr>
                <w:b w:val="0"/>
                <w:sz w:val="21"/>
              </w:rPr>
              <w:t>交易对账、状态及实际时间</w:t>
            </w:r>
          </w:p>
        </w:tc>
      </w:tr>
      <w:tr>
        <w:trPr>
          <w:cantSplit/>
        </w:trPr>
        <w:tc>
          <w:tcPr>
            <w:tcW w:type="dxa" w:w="2506"/>
            <w:vAlign w:val="center"/>
          </w:tcPr>
          <w:p>
            <w:pPr>
              <w:keepNext w:val="0"/>
              <w:spacing w:line="320" w:lineRule="exact" w:after="0" w:before="0"/>
              <w:ind w:firstLine="0"/>
              <w:jc w:val="left"/>
            </w:pPr>
            <w:r>
              <w:rPr>
                <w:b w:val="0"/>
                <w:sz w:val="21"/>
              </w:rPr>
              <w:t>财务管理</w:t>
            </w:r>
          </w:p>
        </w:tc>
        <w:tc>
          <w:tcPr>
            <w:tcW w:type="dxa" w:w="3855"/>
            <w:vAlign w:val="center"/>
          </w:tcPr>
          <w:p>
            <w:pPr>
              <w:keepNext w:val="0"/>
              <w:spacing w:line="320" w:lineRule="exact" w:after="0" w:before="0"/>
              <w:ind w:firstLine="0"/>
              <w:jc w:val="left"/>
            </w:pPr>
            <w:r>
              <w:rPr>
                <w:b w:val="0"/>
                <w:sz w:val="21"/>
              </w:rPr>
              <w:t>期间、维度、交易及指标</w:t>
            </w:r>
          </w:p>
        </w:tc>
        <w:tc>
          <w:tcPr>
            <w:tcW w:type="dxa" w:w="3277"/>
            <w:vAlign w:val="center"/>
          </w:tcPr>
          <w:p>
            <w:pPr>
              <w:keepNext w:val="0"/>
              <w:spacing w:line="320" w:lineRule="exact" w:after="0" w:before="0"/>
              <w:ind w:firstLine="0"/>
              <w:jc w:val="left"/>
            </w:pPr>
            <w:r>
              <w:rPr>
                <w:b w:val="0"/>
                <w:sz w:val="21"/>
              </w:rPr>
              <w:t>口径、关联、复算和权限</w:t>
            </w:r>
          </w:p>
        </w:tc>
      </w:tr>
      <w:tr>
        <w:trPr>
          <w:cantSplit/>
        </w:trPr>
        <w:tc>
          <w:tcPr>
            <w:tcW w:type="dxa" w:w="2506"/>
            <w:vAlign w:val="center"/>
          </w:tcPr>
          <w:p>
            <w:pPr>
              <w:keepNext w:val="0"/>
              <w:spacing w:line="320" w:lineRule="exact" w:after="0" w:before="0"/>
              <w:ind w:firstLine="0"/>
              <w:jc w:val="left"/>
            </w:pPr>
            <w:r>
              <w:rPr>
                <w:b w:val="0"/>
                <w:sz w:val="21"/>
              </w:rPr>
              <w:t>设备管理</w:t>
            </w:r>
          </w:p>
        </w:tc>
        <w:tc>
          <w:tcPr>
            <w:tcW w:type="dxa" w:w="3855"/>
            <w:vAlign w:val="center"/>
          </w:tcPr>
          <w:p>
            <w:pPr>
              <w:keepNext w:val="0"/>
              <w:spacing w:line="320" w:lineRule="exact" w:after="0" w:before="0"/>
              <w:ind w:firstLine="0"/>
              <w:jc w:val="left"/>
            </w:pPr>
            <w:r>
              <w:rPr>
                <w:b w:val="0"/>
                <w:sz w:val="21"/>
              </w:rPr>
              <w:t>设备、测点、故障及维修</w:t>
            </w:r>
          </w:p>
        </w:tc>
        <w:tc>
          <w:tcPr>
            <w:tcW w:type="dxa" w:w="3277"/>
            <w:vAlign w:val="center"/>
          </w:tcPr>
          <w:p>
            <w:pPr>
              <w:keepNext w:val="0"/>
              <w:spacing w:line="320" w:lineRule="exact" w:after="0" w:before="0"/>
              <w:ind w:firstLine="0"/>
              <w:jc w:val="left"/>
            </w:pPr>
            <w:r>
              <w:rPr>
                <w:b w:val="0"/>
                <w:sz w:val="21"/>
              </w:rPr>
              <w:t>配置历史、事件和恢复</w:t>
            </w:r>
          </w:p>
        </w:tc>
      </w:tr>
      <w:tr>
        <w:trPr>
          <w:cantSplit/>
        </w:trPr>
        <w:tc>
          <w:tcPr>
            <w:tcW w:type="dxa" w:w="2506"/>
            <w:vAlign w:val="center"/>
          </w:tcPr>
          <w:p>
            <w:pPr>
              <w:keepNext w:val="0"/>
              <w:spacing w:line="320" w:lineRule="exact" w:after="0" w:before="0"/>
              <w:ind w:firstLine="0"/>
              <w:jc w:val="left"/>
            </w:pPr>
            <w:r>
              <w:rPr>
                <w:b w:val="0"/>
                <w:sz w:val="21"/>
              </w:rPr>
              <w:t>采购管理</w:t>
            </w:r>
          </w:p>
        </w:tc>
        <w:tc>
          <w:tcPr>
            <w:tcW w:type="dxa" w:w="3855"/>
            <w:vAlign w:val="center"/>
          </w:tcPr>
          <w:p>
            <w:pPr>
              <w:keepNext w:val="0"/>
              <w:spacing w:line="320" w:lineRule="exact" w:after="0" w:before="0"/>
              <w:ind w:firstLine="0"/>
              <w:jc w:val="left"/>
            </w:pPr>
            <w:r>
              <w:rPr>
                <w:b w:val="0"/>
                <w:sz w:val="21"/>
              </w:rPr>
              <w:t>需求、订单、收货及检验</w:t>
            </w:r>
          </w:p>
        </w:tc>
        <w:tc>
          <w:tcPr>
            <w:tcW w:type="dxa" w:w="3277"/>
            <w:vAlign w:val="center"/>
          </w:tcPr>
          <w:p>
            <w:pPr>
              <w:keepNext w:val="0"/>
              <w:spacing w:line="320" w:lineRule="exact" w:after="0" w:before="0"/>
              <w:ind w:firstLine="0"/>
              <w:jc w:val="left"/>
            </w:pPr>
            <w:r>
              <w:rPr>
                <w:b w:val="0"/>
                <w:sz w:val="21"/>
              </w:rPr>
              <w:t>履行关系、数量和版本</w:t>
            </w:r>
          </w:p>
        </w:tc>
      </w:tr>
      <w:tr>
        <w:trPr>
          <w:cantSplit/>
        </w:trPr>
        <w:tc>
          <w:tcPr>
            <w:tcW w:type="dxa" w:w="2506"/>
            <w:vAlign w:val="center"/>
          </w:tcPr>
          <w:p>
            <w:pPr>
              <w:keepNext w:val="0"/>
              <w:spacing w:line="320" w:lineRule="exact" w:after="0" w:before="0"/>
              <w:ind w:firstLine="0"/>
              <w:jc w:val="left"/>
            </w:pPr>
            <w:r>
              <w:rPr>
                <w:b w:val="0"/>
                <w:sz w:val="21"/>
              </w:rPr>
              <w:t>营销管理</w:t>
            </w:r>
          </w:p>
        </w:tc>
        <w:tc>
          <w:tcPr>
            <w:tcW w:type="dxa" w:w="3855"/>
            <w:vAlign w:val="center"/>
          </w:tcPr>
          <w:p>
            <w:pPr>
              <w:keepNext w:val="0"/>
              <w:spacing w:line="320" w:lineRule="exact" w:after="0" w:before="0"/>
              <w:ind w:firstLine="0"/>
              <w:jc w:val="left"/>
            </w:pPr>
            <w:r>
              <w:rPr>
                <w:b w:val="0"/>
                <w:sz w:val="21"/>
              </w:rPr>
              <w:t>客户、需求、合同及订单</w:t>
            </w:r>
          </w:p>
        </w:tc>
        <w:tc>
          <w:tcPr>
            <w:tcW w:type="dxa" w:w="3277"/>
            <w:vAlign w:val="center"/>
          </w:tcPr>
          <w:p>
            <w:pPr>
              <w:keepNext w:val="0"/>
              <w:spacing w:line="320" w:lineRule="exact" w:after="0" w:before="0"/>
              <w:ind w:firstLine="0"/>
              <w:jc w:val="left"/>
            </w:pPr>
            <w:r>
              <w:rPr>
                <w:b w:val="0"/>
                <w:sz w:val="21"/>
              </w:rPr>
              <w:t>主体、有效文档和交付反馈</w:t>
            </w:r>
          </w:p>
        </w:tc>
      </w:tr>
      <w:tr>
        <w:trPr>
          <w:cantSplit/>
        </w:trPr>
        <w:tc>
          <w:tcPr>
            <w:tcW w:type="dxa" w:w="2506"/>
            <w:vAlign w:val="center"/>
          </w:tcPr>
          <w:p>
            <w:pPr>
              <w:keepNext w:val="0"/>
              <w:spacing w:line="320" w:lineRule="exact" w:after="0" w:before="0"/>
              <w:ind w:firstLine="0"/>
              <w:jc w:val="left"/>
            </w:pPr>
            <w:r>
              <w:rPr>
                <w:b w:val="0"/>
                <w:sz w:val="21"/>
              </w:rPr>
              <w:t>质量管理</w:t>
            </w:r>
          </w:p>
        </w:tc>
        <w:tc>
          <w:tcPr>
            <w:tcW w:type="dxa" w:w="3855"/>
            <w:vAlign w:val="center"/>
          </w:tcPr>
          <w:p>
            <w:pPr>
              <w:keepNext w:val="0"/>
              <w:spacing w:line="320" w:lineRule="exact" w:after="0" w:before="0"/>
              <w:ind w:firstLine="0"/>
              <w:jc w:val="left"/>
            </w:pPr>
            <w:r>
              <w:rPr>
                <w:b w:val="0"/>
                <w:sz w:val="21"/>
              </w:rPr>
              <w:t>检验、缺陷、处置及复检</w:t>
            </w:r>
          </w:p>
        </w:tc>
        <w:tc>
          <w:tcPr>
            <w:tcW w:type="dxa" w:w="3277"/>
            <w:vAlign w:val="center"/>
          </w:tcPr>
          <w:p>
            <w:pPr>
              <w:keepNext w:val="0"/>
              <w:spacing w:line="320" w:lineRule="exact" w:after="0" w:before="0"/>
              <w:ind w:firstLine="0"/>
              <w:jc w:val="left"/>
            </w:pPr>
            <w:r>
              <w:rPr>
                <w:b w:val="0"/>
                <w:sz w:val="21"/>
              </w:rPr>
              <w:t>原始结果、判定和修复过程</w:t>
            </w:r>
          </w:p>
        </w:tc>
      </w:tr>
    </w:tbl>
    <w:p>
      <w:pPr>
        <w:spacing w:after="40" w:line="240" w:lineRule="auto"/>
        <w:ind w:firstLine="0"/>
      </w:pPr>
      <w:r>
        <w:rPr>
          <w:sz w:val="4"/>
        </w:rPr>
      </w:r>
    </w:p>
    <w:p>
      <w:pPr>
        <w:pStyle w:val="Heading2"/>
      </w:pPr>
      <w:r>
        <w:t>10.4 数据集生产衔接与数量控制</w:t>
      </w:r>
    </w:p>
    <w:p>
      <w:pPr>
        <w:jc w:val="both"/>
      </w:pPr>
      <w:r>
        <w:t>治理供给按供需计划、产品工艺设计、制造过程、产品质量四个领域及预训练、指令微调、偏好学习、基准评测四种用途建立需求与批次关系。交付规模按质检和验证后的有效净量分别核算，来源总量、接收量、解析量和最终有效量分别登记，处理损耗通过补采或其他合规生产安排补足，不能冲抵招标交付规模。</w:t>
      </w:r>
    </w:p>
    <w:p>
      <w:pPr>
        <w:pStyle w:val="Caption"/>
        <w:keepNext/>
      </w:pPr>
      <w:r>
        <w:t>表10-3 四大数据集规模衔接</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1735"/>
        <w:gridCol w:w="2120"/>
        <w:gridCol w:w="1928"/>
        <w:gridCol w:w="1928"/>
        <w:gridCol w:w="1928"/>
      </w:tblGrid>
      <w:tr>
        <w:trPr>
          <w:cantSplit/>
          <w:tblHeader/>
        </w:trPr>
        <w:tc>
          <w:tcPr>
            <w:tcW w:type="dxa" w:w="1735"/>
            <w:vAlign w:val="center"/>
            <w:shd w:fill="EDF1F3"/>
          </w:tcPr>
          <w:p>
            <w:pPr>
              <w:keepNext/>
              <w:spacing w:line="320" w:lineRule="exact" w:after="0" w:before="0"/>
              <w:ind w:firstLine="0"/>
              <w:jc w:val="center"/>
            </w:pPr>
            <w:r>
              <w:rPr>
                <w:b/>
                <w:sz w:val="21"/>
              </w:rPr>
              <w:t>领域</w:t>
            </w:r>
          </w:p>
        </w:tc>
        <w:tc>
          <w:tcPr>
            <w:tcW w:type="dxa" w:w="2120"/>
            <w:vAlign w:val="center"/>
            <w:shd w:fill="EDF1F3"/>
          </w:tcPr>
          <w:p>
            <w:pPr>
              <w:keepNext/>
              <w:spacing w:line="320" w:lineRule="exact" w:after="0" w:before="0"/>
              <w:ind w:firstLine="0"/>
              <w:jc w:val="center"/>
            </w:pPr>
            <w:r>
              <w:rPr>
                <w:b/>
                <w:sz w:val="21"/>
              </w:rPr>
              <w:t>预训练数据</w:t>
            </w:r>
          </w:p>
        </w:tc>
        <w:tc>
          <w:tcPr>
            <w:tcW w:type="dxa" w:w="1928"/>
            <w:vAlign w:val="center"/>
            <w:shd w:fill="EDF1F3"/>
          </w:tcPr>
          <w:p>
            <w:pPr>
              <w:keepNext/>
              <w:spacing w:line="320" w:lineRule="exact" w:after="0" w:before="0"/>
              <w:ind w:firstLine="0"/>
              <w:jc w:val="center"/>
            </w:pPr>
            <w:r>
              <w:rPr>
                <w:b/>
                <w:sz w:val="21"/>
              </w:rPr>
              <w:t>指令微调数据</w:t>
            </w:r>
          </w:p>
        </w:tc>
        <w:tc>
          <w:tcPr>
            <w:tcW w:type="dxa" w:w="1928"/>
            <w:vAlign w:val="center"/>
            <w:shd w:fill="EDF1F3"/>
          </w:tcPr>
          <w:p>
            <w:pPr>
              <w:keepNext/>
              <w:spacing w:line="320" w:lineRule="exact" w:after="0" w:before="0"/>
              <w:ind w:firstLine="0"/>
              <w:jc w:val="center"/>
            </w:pPr>
            <w:r>
              <w:rPr>
                <w:b/>
                <w:sz w:val="21"/>
              </w:rPr>
              <w:t>偏好学习数据</w:t>
            </w:r>
          </w:p>
        </w:tc>
        <w:tc>
          <w:tcPr>
            <w:tcW w:type="dxa" w:w="1928"/>
            <w:vAlign w:val="center"/>
            <w:shd w:fill="EDF1F3"/>
          </w:tcPr>
          <w:p>
            <w:pPr>
              <w:keepNext/>
              <w:spacing w:line="320" w:lineRule="exact" w:after="0" w:before="0"/>
              <w:ind w:firstLine="0"/>
              <w:jc w:val="center"/>
            </w:pPr>
            <w:r>
              <w:rPr>
                <w:b/>
                <w:sz w:val="21"/>
              </w:rPr>
              <w:t>基准评测数据</w:t>
            </w:r>
          </w:p>
        </w:tc>
      </w:tr>
      <w:tr>
        <w:trPr>
          <w:cantSplit/>
        </w:trPr>
        <w:tc>
          <w:tcPr>
            <w:tcW w:type="dxa" w:w="1735"/>
            <w:vAlign w:val="center"/>
          </w:tcPr>
          <w:p>
            <w:pPr>
              <w:keepNext w:val="0"/>
              <w:spacing w:line="320" w:lineRule="exact" w:after="0" w:before="0"/>
              <w:ind w:firstLine="0"/>
              <w:jc w:val="left"/>
            </w:pPr>
            <w:r>
              <w:rPr>
                <w:b w:val="0"/>
                <w:sz w:val="21"/>
              </w:rPr>
              <w:t>供需计划</w:t>
            </w:r>
          </w:p>
        </w:tc>
        <w:tc>
          <w:tcPr>
            <w:tcW w:type="dxa" w:w="2120"/>
            <w:vAlign w:val="center"/>
          </w:tcPr>
          <w:p>
            <w:pPr>
              <w:keepNext w:val="0"/>
              <w:spacing w:line="320" w:lineRule="exact" w:after="0" w:before="0"/>
              <w:ind w:firstLine="0"/>
              <w:jc w:val="left"/>
            </w:pPr>
            <w:r>
              <w:rPr>
                <w:b w:val="0"/>
                <w:sz w:val="21"/>
              </w:rPr>
              <w:t>276亿Token</w:t>
            </w:r>
          </w:p>
        </w:tc>
        <w:tc>
          <w:tcPr>
            <w:tcW w:type="dxa" w:w="1928"/>
            <w:vAlign w:val="center"/>
          </w:tcPr>
          <w:p>
            <w:pPr>
              <w:keepNext w:val="0"/>
              <w:spacing w:line="320" w:lineRule="exact" w:after="0" w:before="0"/>
              <w:ind w:firstLine="0"/>
              <w:jc w:val="left"/>
            </w:pPr>
            <w:r>
              <w:rPr>
                <w:b w:val="0"/>
                <w:sz w:val="21"/>
              </w:rPr>
              <w:t>40万条</w:t>
            </w:r>
          </w:p>
        </w:tc>
        <w:tc>
          <w:tcPr>
            <w:tcW w:type="dxa" w:w="1928"/>
            <w:vAlign w:val="center"/>
          </w:tcPr>
          <w:p>
            <w:pPr>
              <w:keepNext w:val="0"/>
              <w:spacing w:line="320" w:lineRule="exact" w:after="0" w:before="0"/>
              <w:ind w:firstLine="0"/>
              <w:jc w:val="left"/>
            </w:pPr>
            <w:r>
              <w:rPr>
                <w:b w:val="0"/>
                <w:sz w:val="21"/>
              </w:rPr>
              <w:t>3.2万组</w:t>
            </w:r>
          </w:p>
        </w:tc>
        <w:tc>
          <w:tcPr>
            <w:tcW w:type="dxa" w:w="1928"/>
            <w:vAlign w:val="center"/>
          </w:tcPr>
          <w:p>
            <w:pPr>
              <w:keepNext w:val="0"/>
              <w:spacing w:line="320" w:lineRule="exact" w:after="0" w:before="0"/>
              <w:ind w:firstLine="0"/>
              <w:jc w:val="left"/>
            </w:pPr>
            <w:r>
              <w:rPr>
                <w:b w:val="0"/>
                <w:sz w:val="21"/>
              </w:rPr>
              <w:t>0.4万条</w:t>
            </w:r>
          </w:p>
        </w:tc>
      </w:tr>
      <w:tr>
        <w:trPr>
          <w:cantSplit/>
        </w:trPr>
        <w:tc>
          <w:tcPr>
            <w:tcW w:type="dxa" w:w="1735"/>
            <w:vAlign w:val="center"/>
          </w:tcPr>
          <w:p>
            <w:pPr>
              <w:keepNext w:val="0"/>
              <w:spacing w:line="320" w:lineRule="exact" w:after="0" w:before="0"/>
              <w:ind w:firstLine="0"/>
              <w:jc w:val="left"/>
            </w:pPr>
            <w:r>
              <w:rPr>
                <w:b w:val="0"/>
                <w:sz w:val="21"/>
              </w:rPr>
              <w:t>产品工艺设计</w:t>
            </w:r>
          </w:p>
        </w:tc>
        <w:tc>
          <w:tcPr>
            <w:tcW w:type="dxa" w:w="2120"/>
            <w:vAlign w:val="center"/>
          </w:tcPr>
          <w:p>
            <w:pPr>
              <w:keepNext w:val="0"/>
              <w:spacing w:line="320" w:lineRule="exact" w:after="0" w:before="0"/>
              <w:ind w:firstLine="0"/>
              <w:jc w:val="left"/>
            </w:pPr>
            <w:r>
              <w:rPr>
                <w:b w:val="0"/>
                <w:sz w:val="21"/>
              </w:rPr>
              <w:t>70亿Token</w:t>
            </w:r>
          </w:p>
        </w:tc>
        <w:tc>
          <w:tcPr>
            <w:tcW w:type="dxa" w:w="1928"/>
            <w:vAlign w:val="center"/>
          </w:tcPr>
          <w:p>
            <w:pPr>
              <w:keepNext w:val="0"/>
              <w:spacing w:line="320" w:lineRule="exact" w:after="0" w:before="0"/>
              <w:ind w:firstLine="0"/>
              <w:jc w:val="left"/>
            </w:pPr>
            <w:r>
              <w:rPr>
                <w:b w:val="0"/>
                <w:sz w:val="21"/>
              </w:rPr>
              <w:t>10万条</w:t>
            </w:r>
          </w:p>
        </w:tc>
        <w:tc>
          <w:tcPr>
            <w:tcW w:type="dxa" w:w="1928"/>
            <w:vAlign w:val="center"/>
          </w:tcPr>
          <w:p>
            <w:pPr>
              <w:keepNext w:val="0"/>
              <w:spacing w:line="320" w:lineRule="exact" w:after="0" w:before="0"/>
              <w:ind w:firstLine="0"/>
              <w:jc w:val="left"/>
            </w:pPr>
            <w:r>
              <w:rPr>
                <w:b w:val="0"/>
                <w:sz w:val="21"/>
              </w:rPr>
              <w:t>0.8万组</w:t>
            </w:r>
          </w:p>
        </w:tc>
        <w:tc>
          <w:tcPr>
            <w:tcW w:type="dxa" w:w="1928"/>
            <w:vAlign w:val="center"/>
          </w:tcPr>
          <w:p>
            <w:pPr>
              <w:keepNext w:val="0"/>
              <w:spacing w:line="320" w:lineRule="exact" w:after="0" w:before="0"/>
              <w:ind w:firstLine="0"/>
              <w:jc w:val="left"/>
            </w:pPr>
            <w:r>
              <w:rPr>
                <w:b w:val="0"/>
                <w:sz w:val="21"/>
              </w:rPr>
              <w:t>0.1万条</w:t>
            </w:r>
          </w:p>
        </w:tc>
      </w:tr>
      <w:tr>
        <w:trPr>
          <w:cantSplit/>
        </w:trPr>
        <w:tc>
          <w:tcPr>
            <w:tcW w:type="dxa" w:w="1735"/>
            <w:vAlign w:val="center"/>
          </w:tcPr>
          <w:p>
            <w:pPr>
              <w:keepNext w:val="0"/>
              <w:spacing w:line="320" w:lineRule="exact" w:after="0" w:before="0"/>
              <w:ind w:firstLine="0"/>
              <w:jc w:val="left"/>
            </w:pPr>
            <w:r>
              <w:rPr>
                <w:b w:val="0"/>
                <w:sz w:val="21"/>
              </w:rPr>
              <w:t>制造过程</w:t>
            </w:r>
          </w:p>
        </w:tc>
        <w:tc>
          <w:tcPr>
            <w:tcW w:type="dxa" w:w="2120"/>
            <w:vAlign w:val="center"/>
          </w:tcPr>
          <w:p>
            <w:pPr>
              <w:keepNext w:val="0"/>
              <w:spacing w:line="320" w:lineRule="exact" w:after="0" w:before="0"/>
              <w:ind w:firstLine="0"/>
              <w:jc w:val="left"/>
            </w:pPr>
            <w:r>
              <w:rPr>
                <w:b w:val="0"/>
                <w:sz w:val="21"/>
              </w:rPr>
              <w:t>105亿Token</w:t>
            </w:r>
          </w:p>
        </w:tc>
        <w:tc>
          <w:tcPr>
            <w:tcW w:type="dxa" w:w="1928"/>
            <w:vAlign w:val="center"/>
          </w:tcPr>
          <w:p>
            <w:pPr>
              <w:keepNext w:val="0"/>
              <w:spacing w:line="320" w:lineRule="exact" w:after="0" w:before="0"/>
              <w:ind w:firstLine="0"/>
              <w:jc w:val="left"/>
            </w:pPr>
            <w:r>
              <w:rPr>
                <w:b w:val="0"/>
                <w:sz w:val="21"/>
              </w:rPr>
              <w:t>15万条</w:t>
            </w:r>
          </w:p>
        </w:tc>
        <w:tc>
          <w:tcPr>
            <w:tcW w:type="dxa" w:w="1928"/>
            <w:vAlign w:val="center"/>
          </w:tcPr>
          <w:p>
            <w:pPr>
              <w:keepNext w:val="0"/>
              <w:spacing w:line="320" w:lineRule="exact" w:after="0" w:before="0"/>
              <w:ind w:firstLine="0"/>
              <w:jc w:val="left"/>
            </w:pPr>
            <w:r>
              <w:rPr>
                <w:b w:val="0"/>
                <w:sz w:val="21"/>
              </w:rPr>
              <w:t>1万组</w:t>
            </w:r>
          </w:p>
        </w:tc>
        <w:tc>
          <w:tcPr>
            <w:tcW w:type="dxa" w:w="1928"/>
            <w:vAlign w:val="center"/>
          </w:tcPr>
          <w:p>
            <w:pPr>
              <w:keepNext w:val="0"/>
              <w:spacing w:line="320" w:lineRule="exact" w:after="0" w:before="0"/>
              <w:ind w:firstLine="0"/>
              <w:jc w:val="left"/>
            </w:pPr>
            <w:r>
              <w:rPr>
                <w:b w:val="0"/>
                <w:sz w:val="21"/>
              </w:rPr>
              <w:t>0.2万条</w:t>
            </w:r>
          </w:p>
        </w:tc>
      </w:tr>
      <w:tr>
        <w:trPr>
          <w:cantSplit/>
        </w:trPr>
        <w:tc>
          <w:tcPr>
            <w:tcW w:type="dxa" w:w="1735"/>
            <w:vAlign w:val="center"/>
          </w:tcPr>
          <w:p>
            <w:pPr>
              <w:keepNext w:val="0"/>
              <w:spacing w:line="320" w:lineRule="exact" w:after="0" w:before="0"/>
              <w:ind w:firstLine="0"/>
              <w:jc w:val="left"/>
            </w:pPr>
            <w:r>
              <w:rPr>
                <w:b w:val="0"/>
                <w:sz w:val="21"/>
              </w:rPr>
              <w:t>产品质量</w:t>
            </w:r>
          </w:p>
        </w:tc>
        <w:tc>
          <w:tcPr>
            <w:tcW w:type="dxa" w:w="2120"/>
            <w:vAlign w:val="center"/>
          </w:tcPr>
          <w:p>
            <w:pPr>
              <w:keepNext w:val="0"/>
              <w:spacing w:line="320" w:lineRule="exact" w:after="0" w:before="0"/>
              <w:ind w:firstLine="0"/>
              <w:jc w:val="left"/>
            </w:pPr>
            <w:r>
              <w:rPr>
                <w:b w:val="0"/>
                <w:sz w:val="21"/>
              </w:rPr>
              <w:t>164亿Token</w:t>
            </w:r>
          </w:p>
        </w:tc>
        <w:tc>
          <w:tcPr>
            <w:tcW w:type="dxa" w:w="1928"/>
            <w:vAlign w:val="center"/>
          </w:tcPr>
          <w:p>
            <w:pPr>
              <w:keepNext w:val="0"/>
              <w:spacing w:line="320" w:lineRule="exact" w:after="0" w:before="0"/>
              <w:ind w:firstLine="0"/>
              <w:jc w:val="left"/>
            </w:pPr>
            <w:r>
              <w:rPr>
                <w:b w:val="0"/>
                <w:sz w:val="21"/>
              </w:rPr>
              <w:t>24万条</w:t>
            </w:r>
          </w:p>
        </w:tc>
        <w:tc>
          <w:tcPr>
            <w:tcW w:type="dxa" w:w="1928"/>
            <w:vAlign w:val="center"/>
          </w:tcPr>
          <w:p>
            <w:pPr>
              <w:keepNext w:val="0"/>
              <w:spacing w:line="320" w:lineRule="exact" w:after="0" w:before="0"/>
              <w:ind w:firstLine="0"/>
              <w:jc w:val="left"/>
            </w:pPr>
            <w:r>
              <w:rPr>
                <w:b w:val="0"/>
                <w:sz w:val="21"/>
              </w:rPr>
              <w:t>1.6万组</w:t>
            </w:r>
          </w:p>
        </w:tc>
        <w:tc>
          <w:tcPr>
            <w:tcW w:type="dxa" w:w="1928"/>
            <w:vAlign w:val="center"/>
          </w:tcPr>
          <w:p>
            <w:pPr>
              <w:keepNext w:val="0"/>
              <w:spacing w:line="320" w:lineRule="exact" w:after="0" w:before="0"/>
              <w:ind w:firstLine="0"/>
              <w:jc w:val="left"/>
            </w:pPr>
            <w:r>
              <w:rPr>
                <w:b w:val="0"/>
                <w:sz w:val="21"/>
              </w:rPr>
              <w:t>0.25万条</w:t>
            </w:r>
          </w:p>
        </w:tc>
      </w:tr>
      <w:tr>
        <w:trPr>
          <w:cantSplit/>
        </w:trPr>
        <w:tc>
          <w:tcPr>
            <w:tcW w:type="dxa" w:w="1735"/>
            <w:vAlign w:val="center"/>
          </w:tcPr>
          <w:p>
            <w:pPr>
              <w:keepNext w:val="0"/>
              <w:spacing w:line="320" w:lineRule="exact" w:after="0" w:before="0"/>
              <w:ind w:firstLine="0"/>
              <w:jc w:val="left"/>
            </w:pPr>
            <w:r>
              <w:rPr>
                <w:b w:val="0"/>
                <w:sz w:val="21"/>
              </w:rPr>
              <w:t>合计</w:t>
            </w:r>
          </w:p>
        </w:tc>
        <w:tc>
          <w:tcPr>
            <w:tcW w:type="dxa" w:w="2120"/>
            <w:vAlign w:val="center"/>
          </w:tcPr>
          <w:p>
            <w:pPr>
              <w:keepNext w:val="0"/>
              <w:spacing w:line="320" w:lineRule="exact" w:after="0" w:before="0"/>
              <w:ind w:firstLine="0"/>
              <w:jc w:val="left"/>
            </w:pPr>
            <w:r>
              <w:rPr>
                <w:b w:val="0"/>
                <w:sz w:val="21"/>
              </w:rPr>
              <w:t>615亿Token</w:t>
            </w:r>
          </w:p>
        </w:tc>
        <w:tc>
          <w:tcPr>
            <w:tcW w:type="dxa" w:w="1928"/>
            <w:vAlign w:val="center"/>
          </w:tcPr>
          <w:p>
            <w:pPr>
              <w:keepNext w:val="0"/>
              <w:spacing w:line="320" w:lineRule="exact" w:after="0" w:before="0"/>
              <w:ind w:firstLine="0"/>
              <w:jc w:val="left"/>
            </w:pPr>
            <w:r>
              <w:rPr>
                <w:b w:val="0"/>
                <w:sz w:val="21"/>
              </w:rPr>
              <w:t>89万条</w:t>
            </w:r>
          </w:p>
        </w:tc>
        <w:tc>
          <w:tcPr>
            <w:tcW w:type="dxa" w:w="1928"/>
            <w:vAlign w:val="center"/>
          </w:tcPr>
          <w:p>
            <w:pPr>
              <w:keepNext w:val="0"/>
              <w:spacing w:line="320" w:lineRule="exact" w:after="0" w:before="0"/>
              <w:ind w:firstLine="0"/>
              <w:jc w:val="left"/>
            </w:pPr>
            <w:r>
              <w:rPr>
                <w:b w:val="0"/>
                <w:sz w:val="21"/>
              </w:rPr>
              <w:t>6.6万组</w:t>
            </w:r>
          </w:p>
        </w:tc>
        <w:tc>
          <w:tcPr>
            <w:tcW w:type="dxa" w:w="1928"/>
            <w:vAlign w:val="center"/>
          </w:tcPr>
          <w:p>
            <w:pPr>
              <w:keepNext w:val="0"/>
              <w:spacing w:line="320" w:lineRule="exact" w:after="0" w:before="0"/>
              <w:ind w:firstLine="0"/>
              <w:jc w:val="left"/>
            </w:pPr>
            <w:r>
              <w:rPr>
                <w:b w:val="0"/>
                <w:sz w:val="21"/>
              </w:rPr>
              <w:t>0.95万条</w:t>
            </w:r>
          </w:p>
        </w:tc>
      </w:tr>
    </w:tbl>
    <w:p>
      <w:pPr>
        <w:spacing w:after="40" w:line="240" w:lineRule="auto"/>
        <w:ind w:firstLine="0"/>
      </w:pPr>
      <w:r>
        <w:rPr>
          <w:sz w:val="4"/>
        </w:rPr>
      </w:r>
    </w:p>
    <w:p>
      <w:pPr>
        <w:jc w:val="both"/>
      </w:pPr>
      <w:r>
        <w:t>项目数据覆盖文本、图像、时序和视频四种模态，每个领域数据集不少于三种有效模态，多模态数据条数占比和近三年数据条数占比均不低于40%。治理侧保存实际模态、业务形成时间、来源关系和有效记录标识，为生产侧核算提供依据。文件扩展名、同一内容的不同格式或无实际内容的占位不增加有效模态。</w:t>
      </w:r>
    </w:p>
    <w:p>
      <w:pPr>
        <w:jc w:val="both"/>
      </w:pPr>
      <w:r>
        <w:t>比例核算使用明确记录单位，预训练按有效语义记录，指令微调按完整任务，偏好学习按完整组，基准评测按完整题目。近三年按实际发布日期倒推36个自然月，使用实际业务或资料形成时间，上传和迁移时间不替代形成时间；时间未知记录保留在有效总记录分母中，不能计入近三年分子。模态组合按互斥类别统计，避免重复计量。</w:t>
      </w:r>
    </w:p>
    <w:p>
      <w:pPr>
        <w:jc w:val="both"/>
      </w:pPr>
      <w:r>
        <w:t>治理侧保留真实、合成及增强方式的分别标识，支撑生产环节配比控制。预训练合成及增强来源内容合计不超过有效Token的20%；指令微调整体合成来源不超过45%，真实数据充足任务不超过30%，推理及长尾任务不超过60%且服从整体上限；偏好学习合成来源组不超过50%；基准评测合成占比为零，不用人为增强扩充题量。来源性质与增强方式分别登记，不能通过改名或重复加工规避比例核算。</w:t>
      </w:r>
    </w:p>
    <w:p>
      <w:pPr>
        <w:jc w:val="both"/>
      </w:pPr>
      <w:r>
        <w:t>数据供给与样本生产接口传递来源、对象、授权、分级、标准、质量、版本和来源家族，支持先隔离再加工及全程追溯。治理修复导致下游变化时明确受影响用途和版本，安排重新处理、质检和验证，交付卡片及报告同步更新。内容、元数据、规则和报告使用同一正式版本关系。</w:t>
      </w:r>
    </w:p>
    <w:p>
      <w:pPr>
        <w:pStyle w:val="Heading2"/>
      </w:pPr>
      <w:r>
        <w:t>10.5 联调验证与测试组织</w:t>
      </w:r>
    </w:p>
    <w:p>
      <w:pPr>
        <w:jc w:val="both"/>
      </w:pPr>
      <w:r>
        <w:t>联调以真实业务链路和批准测试条件开展，覆盖来源接入、标准映射、数据处理、质量检查、资产登记、权限、指标及服务。每条用例明确目的、前置条件、输入、执行步骤、预期结果、实际结果和证据，业务与技术人员共同核对。测试数据使用遵守来源及安全条件，测试环境与正式环境差异记录并评估。</w:t>
      </w:r>
    </w:p>
    <w:p>
      <w:pPr>
        <w:jc w:val="both"/>
      </w:pPr>
      <w:r>
        <w:t>正常路径验证数据和流程能够按要求完成，异常路径验证缺失、重复、冲突、权限拒绝、来源变化、失败重试和恢复。跨域测试检查对象、时间、粒度和口径，跨平台测试检查身份、版本、状态和日志。关键控制既测试允许情况，也测试应拒绝或应隔离的情况。</w:t>
      </w:r>
    </w:p>
    <w:p>
      <w:pPr>
        <w:jc w:val="both"/>
      </w:pPr>
      <w:r>
        <w:t>验证结果与正式配置对应，测试过程中修改规则或参数后重新检查受影响范围，不能直接沿用修改前通过结论。问题记录严重程度、责任和复测要求，修复后核验原问题及可能副作用。最终报告说明实际范围、版本、结果和限制，结论由对应证据支撑。</w:t>
      </w:r>
    </w:p>
    <w:p>
      <w:pPr>
        <w:pStyle w:val="Caption"/>
        <w:keepNext/>
      </w:pPr>
      <w:r>
        <w:t>表10-4 联调验证场景</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验证类别</w:t>
            </w:r>
          </w:p>
        </w:tc>
        <w:tc>
          <w:tcPr>
            <w:tcW w:type="dxa" w:w="3855"/>
            <w:vAlign w:val="center"/>
            <w:shd w:fill="EDF1F3"/>
          </w:tcPr>
          <w:p>
            <w:pPr>
              <w:keepNext/>
              <w:spacing w:line="320" w:lineRule="exact" w:after="0" w:before="0"/>
              <w:ind w:firstLine="0"/>
              <w:jc w:val="center"/>
            </w:pPr>
            <w:r>
              <w:rPr>
                <w:b/>
                <w:sz w:val="21"/>
              </w:rPr>
              <w:t>主要情形</w:t>
            </w:r>
          </w:p>
        </w:tc>
        <w:tc>
          <w:tcPr>
            <w:tcW w:type="dxa" w:w="3277"/>
            <w:vAlign w:val="center"/>
            <w:shd w:fill="EDF1F3"/>
          </w:tcPr>
          <w:p>
            <w:pPr>
              <w:keepNext/>
              <w:spacing w:line="320" w:lineRule="exact" w:after="0" w:before="0"/>
              <w:ind w:firstLine="0"/>
              <w:jc w:val="center"/>
            </w:pPr>
            <w:r>
              <w:rPr>
                <w:b/>
                <w:sz w:val="21"/>
              </w:rPr>
              <w:t>通过判断</w:t>
            </w:r>
          </w:p>
        </w:tc>
      </w:tr>
      <w:tr>
        <w:trPr>
          <w:cantSplit/>
        </w:trPr>
        <w:tc>
          <w:tcPr>
            <w:tcW w:type="dxa" w:w="2506"/>
            <w:vAlign w:val="center"/>
          </w:tcPr>
          <w:p>
            <w:pPr>
              <w:keepNext w:val="0"/>
              <w:spacing w:line="320" w:lineRule="exact" w:after="0" w:before="0"/>
              <w:ind w:firstLine="0"/>
              <w:jc w:val="left"/>
            </w:pPr>
            <w:r>
              <w:rPr>
                <w:b w:val="0"/>
                <w:sz w:val="21"/>
              </w:rPr>
              <w:t>数据连续性</w:t>
            </w:r>
          </w:p>
        </w:tc>
        <w:tc>
          <w:tcPr>
            <w:tcW w:type="dxa" w:w="3855"/>
            <w:vAlign w:val="center"/>
          </w:tcPr>
          <w:p>
            <w:pPr>
              <w:keepNext w:val="0"/>
              <w:spacing w:line="320" w:lineRule="exact" w:after="0" w:before="0"/>
              <w:ind w:firstLine="0"/>
              <w:jc w:val="left"/>
            </w:pPr>
            <w:r>
              <w:rPr>
                <w:b w:val="0"/>
                <w:sz w:val="21"/>
              </w:rPr>
              <w:t>初始接入、增量、补录和删除</w:t>
            </w:r>
          </w:p>
        </w:tc>
        <w:tc>
          <w:tcPr>
            <w:tcW w:type="dxa" w:w="3277"/>
            <w:vAlign w:val="center"/>
          </w:tcPr>
          <w:p>
            <w:pPr>
              <w:keepNext w:val="0"/>
              <w:spacing w:line="320" w:lineRule="exact" w:after="0" w:before="0"/>
              <w:ind w:firstLine="0"/>
              <w:jc w:val="left"/>
            </w:pPr>
            <w:r>
              <w:rPr>
                <w:b w:val="0"/>
                <w:sz w:val="21"/>
              </w:rPr>
              <w:t>范围完整、变化正确、差额可解释</w:t>
            </w:r>
          </w:p>
        </w:tc>
      </w:tr>
      <w:tr>
        <w:trPr>
          <w:cantSplit/>
        </w:trPr>
        <w:tc>
          <w:tcPr>
            <w:tcW w:type="dxa" w:w="2506"/>
            <w:vAlign w:val="center"/>
          </w:tcPr>
          <w:p>
            <w:pPr>
              <w:keepNext w:val="0"/>
              <w:spacing w:line="320" w:lineRule="exact" w:after="0" w:before="0"/>
              <w:ind w:firstLine="0"/>
              <w:jc w:val="left"/>
            </w:pPr>
            <w:r>
              <w:rPr>
                <w:b w:val="0"/>
                <w:sz w:val="21"/>
              </w:rPr>
              <w:t>规则正确性</w:t>
            </w:r>
          </w:p>
        </w:tc>
        <w:tc>
          <w:tcPr>
            <w:tcW w:type="dxa" w:w="3855"/>
            <w:vAlign w:val="center"/>
          </w:tcPr>
          <w:p>
            <w:pPr>
              <w:keepNext w:val="0"/>
              <w:spacing w:line="320" w:lineRule="exact" w:after="0" w:before="0"/>
              <w:ind w:firstLine="0"/>
              <w:jc w:val="left"/>
            </w:pPr>
            <w:r>
              <w:rPr>
                <w:b w:val="0"/>
                <w:sz w:val="21"/>
              </w:rPr>
              <w:t>单位、状态、关联和质量异常</w:t>
            </w:r>
          </w:p>
        </w:tc>
        <w:tc>
          <w:tcPr>
            <w:tcW w:type="dxa" w:w="3277"/>
            <w:vAlign w:val="center"/>
          </w:tcPr>
          <w:p>
            <w:pPr>
              <w:keepNext w:val="0"/>
              <w:spacing w:line="320" w:lineRule="exact" w:after="0" w:before="0"/>
              <w:ind w:firstLine="0"/>
              <w:jc w:val="left"/>
            </w:pPr>
            <w:r>
              <w:rPr>
                <w:b w:val="0"/>
                <w:sz w:val="21"/>
              </w:rPr>
              <w:t>符合业务定义，异常定位准确</w:t>
            </w:r>
          </w:p>
        </w:tc>
      </w:tr>
      <w:tr>
        <w:trPr>
          <w:cantSplit/>
        </w:trPr>
        <w:tc>
          <w:tcPr>
            <w:tcW w:type="dxa" w:w="2506"/>
            <w:vAlign w:val="center"/>
          </w:tcPr>
          <w:p>
            <w:pPr>
              <w:keepNext w:val="0"/>
              <w:spacing w:line="320" w:lineRule="exact" w:after="0" w:before="0"/>
              <w:ind w:firstLine="0"/>
              <w:jc w:val="left"/>
            </w:pPr>
            <w:r>
              <w:rPr>
                <w:b w:val="0"/>
                <w:sz w:val="21"/>
              </w:rPr>
              <w:t>权限有效性</w:t>
            </w:r>
          </w:p>
        </w:tc>
        <w:tc>
          <w:tcPr>
            <w:tcW w:type="dxa" w:w="3855"/>
            <w:vAlign w:val="center"/>
          </w:tcPr>
          <w:p>
            <w:pPr>
              <w:keepNext w:val="0"/>
              <w:spacing w:line="320" w:lineRule="exact" w:after="0" w:before="0"/>
              <w:ind w:firstLine="0"/>
              <w:jc w:val="left"/>
            </w:pPr>
            <w:r>
              <w:rPr>
                <w:b w:val="0"/>
                <w:sz w:val="21"/>
              </w:rPr>
              <w:t>正常、越权、到期及撤销</w:t>
            </w:r>
          </w:p>
        </w:tc>
        <w:tc>
          <w:tcPr>
            <w:tcW w:type="dxa" w:w="3277"/>
            <w:vAlign w:val="center"/>
          </w:tcPr>
          <w:p>
            <w:pPr>
              <w:keepNext w:val="0"/>
              <w:spacing w:line="320" w:lineRule="exact" w:after="0" w:before="0"/>
              <w:ind w:firstLine="0"/>
              <w:jc w:val="left"/>
            </w:pPr>
            <w:r>
              <w:rPr>
                <w:b w:val="0"/>
                <w:sz w:val="21"/>
              </w:rPr>
              <w:t>批准内可用，范围外被拒绝</w:t>
            </w:r>
          </w:p>
        </w:tc>
      </w:tr>
      <w:tr>
        <w:trPr>
          <w:cantSplit/>
        </w:trPr>
        <w:tc>
          <w:tcPr>
            <w:tcW w:type="dxa" w:w="2506"/>
            <w:vAlign w:val="center"/>
          </w:tcPr>
          <w:p>
            <w:pPr>
              <w:keepNext w:val="0"/>
              <w:spacing w:line="320" w:lineRule="exact" w:after="0" w:before="0"/>
              <w:ind w:firstLine="0"/>
              <w:jc w:val="left"/>
            </w:pPr>
            <w:r>
              <w:rPr>
                <w:b w:val="0"/>
                <w:sz w:val="21"/>
              </w:rPr>
              <w:t>运行可靠性</w:t>
            </w:r>
          </w:p>
        </w:tc>
        <w:tc>
          <w:tcPr>
            <w:tcW w:type="dxa" w:w="3855"/>
            <w:vAlign w:val="center"/>
          </w:tcPr>
          <w:p>
            <w:pPr>
              <w:keepNext w:val="0"/>
              <w:spacing w:line="320" w:lineRule="exact" w:after="0" w:before="0"/>
              <w:ind w:firstLine="0"/>
              <w:jc w:val="left"/>
            </w:pPr>
            <w:r>
              <w:rPr>
                <w:b w:val="0"/>
                <w:sz w:val="21"/>
              </w:rPr>
              <w:t>失败、重试、补数和回退</w:t>
            </w:r>
          </w:p>
        </w:tc>
        <w:tc>
          <w:tcPr>
            <w:tcW w:type="dxa" w:w="3277"/>
            <w:vAlign w:val="center"/>
          </w:tcPr>
          <w:p>
            <w:pPr>
              <w:keepNext w:val="0"/>
              <w:spacing w:line="320" w:lineRule="exact" w:after="0" w:before="0"/>
              <w:ind w:firstLine="0"/>
              <w:jc w:val="left"/>
            </w:pPr>
            <w:r>
              <w:rPr>
                <w:b w:val="0"/>
                <w:sz w:val="21"/>
              </w:rPr>
              <w:t>无重计或丢失，状态可恢复</w:t>
            </w:r>
          </w:p>
        </w:tc>
      </w:tr>
      <w:tr>
        <w:trPr>
          <w:cantSplit/>
        </w:trPr>
        <w:tc>
          <w:tcPr>
            <w:tcW w:type="dxa" w:w="2506"/>
            <w:vAlign w:val="center"/>
          </w:tcPr>
          <w:p>
            <w:pPr>
              <w:keepNext w:val="0"/>
              <w:spacing w:line="320" w:lineRule="exact" w:after="0" w:before="0"/>
              <w:ind w:firstLine="0"/>
              <w:jc w:val="left"/>
            </w:pPr>
            <w:r>
              <w:rPr>
                <w:b w:val="0"/>
                <w:sz w:val="21"/>
              </w:rPr>
              <w:t>版本一致性</w:t>
            </w:r>
          </w:p>
        </w:tc>
        <w:tc>
          <w:tcPr>
            <w:tcW w:type="dxa" w:w="3855"/>
            <w:vAlign w:val="center"/>
          </w:tcPr>
          <w:p>
            <w:pPr>
              <w:keepNext w:val="0"/>
              <w:spacing w:line="320" w:lineRule="exact" w:after="0" w:before="0"/>
              <w:ind w:firstLine="0"/>
              <w:jc w:val="left"/>
            </w:pPr>
            <w:r>
              <w:rPr>
                <w:b w:val="0"/>
                <w:sz w:val="21"/>
              </w:rPr>
              <w:t>标准、模型、指标和服务变更</w:t>
            </w:r>
          </w:p>
        </w:tc>
        <w:tc>
          <w:tcPr>
            <w:tcW w:type="dxa" w:w="3277"/>
            <w:vAlign w:val="center"/>
          </w:tcPr>
          <w:p>
            <w:pPr>
              <w:keepNext w:val="0"/>
              <w:spacing w:line="320" w:lineRule="exact" w:after="0" w:before="0"/>
              <w:ind w:firstLine="0"/>
              <w:jc w:val="left"/>
            </w:pPr>
            <w:r>
              <w:rPr>
                <w:b w:val="0"/>
                <w:sz w:val="21"/>
              </w:rPr>
              <w:t>生效关系明确，历史可追溯</w:t>
            </w:r>
          </w:p>
        </w:tc>
      </w:tr>
      <w:tr>
        <w:trPr>
          <w:cantSplit/>
        </w:trPr>
        <w:tc>
          <w:tcPr>
            <w:tcW w:type="dxa" w:w="2506"/>
            <w:vAlign w:val="center"/>
          </w:tcPr>
          <w:p>
            <w:pPr>
              <w:keepNext w:val="0"/>
              <w:spacing w:line="320" w:lineRule="exact" w:after="0" w:before="0"/>
              <w:ind w:firstLine="0"/>
              <w:jc w:val="left"/>
            </w:pPr>
            <w:r>
              <w:rPr>
                <w:b w:val="0"/>
                <w:sz w:val="21"/>
              </w:rPr>
              <w:t>使用适用性</w:t>
            </w:r>
          </w:p>
        </w:tc>
        <w:tc>
          <w:tcPr>
            <w:tcW w:type="dxa" w:w="3855"/>
            <w:vAlign w:val="center"/>
          </w:tcPr>
          <w:p>
            <w:pPr>
              <w:keepNext w:val="0"/>
              <w:spacing w:line="320" w:lineRule="exact" w:after="0" w:before="0"/>
              <w:ind w:firstLine="0"/>
              <w:jc w:val="left"/>
            </w:pPr>
            <w:r>
              <w:rPr>
                <w:b w:val="0"/>
                <w:sz w:val="21"/>
              </w:rPr>
              <w:t>数据集、指标及场景任务</w:t>
            </w:r>
          </w:p>
        </w:tc>
        <w:tc>
          <w:tcPr>
            <w:tcW w:type="dxa" w:w="3277"/>
            <w:vAlign w:val="center"/>
          </w:tcPr>
          <w:p>
            <w:pPr>
              <w:keepNext w:val="0"/>
              <w:spacing w:line="320" w:lineRule="exact" w:after="0" w:before="0"/>
              <w:ind w:firstLine="0"/>
              <w:jc w:val="left"/>
            </w:pPr>
            <w:r>
              <w:rPr>
                <w:b w:val="0"/>
                <w:sz w:val="21"/>
              </w:rPr>
              <w:t>满足对应用途并保留必要证据</w:t>
            </w:r>
          </w:p>
        </w:tc>
      </w:tr>
    </w:tbl>
    <w:p>
      <w:pPr>
        <w:spacing w:after="40" w:line="240" w:lineRule="auto"/>
        <w:ind w:firstLine="0"/>
      </w:pPr>
      <w:r>
        <w:rPr>
          <w:sz w:val="4"/>
        </w:rPr>
      </w:r>
    </w:p>
    <w:p>
      <w:pPr>
        <w:pStyle w:val="Heading2"/>
      </w:pPr>
      <w:r>
        <w:t>10.6 试运行与运行观察</w:t>
      </w:r>
    </w:p>
    <w:p>
      <w:pPr>
        <w:jc w:val="both"/>
      </w:pPr>
      <w:r>
        <w:t>试运行在已通过必要联调的范围内开展，实际执行采集、处理、规则检查、审批、供给和问题闭环。运行观察覆盖不同业务时段、数据变化及典型异常，具体安排依据项目计划和业务周期确定。保留真实运行记录，不预先制作尚未发生的审批或使用结果。</w:t>
      </w:r>
    </w:p>
    <w:p>
      <w:pPr>
        <w:jc w:val="both"/>
      </w:pPr>
      <w:r>
        <w:t>每日运行检查关注失败、延迟、异常数据、权限和服务状态，周期复核关注趋势、重复问题、责任执行及使用反馈。发现关键问题时限制受影响范围并整改，修复后重新观察相关流程。试运行中新增需求纳入变更，不直接无限扩大范围而失去版本和验收依据。</w:t>
      </w:r>
    </w:p>
    <w:p>
      <w:pPr>
        <w:jc w:val="both"/>
      </w:pPr>
      <w:r>
        <w:t>运行数据用于核验配置是否可持续维护、告警是否准确、岗位是否能够处置以及服务是否满足实际需求。重复人工干预事项分析是否需要完善规则或自动化，无法自动化的步骤形成明确操作规范和责任。接管人员逐步承担操作，我方旁站核对并补充培训。</w:t>
      </w:r>
    </w:p>
    <w:p>
      <w:pPr>
        <w:jc w:val="both"/>
      </w:pPr>
      <w:r>
        <w:t>试运行结束形成实际范围、版本、执行情况、问题及整改、业务确认和接管准备记录。重要问题完成整改与复核后进入正式交付，持续改进事项有明确影响、责任和计划。运行结果与正式文档和平台配置再次核对，保证最终状态一致。</w:t>
      </w:r>
    </w:p>
    <w:p>
      <w:pPr>
        <w:pStyle w:val="Heading2"/>
      </w:pPr>
      <w:r>
        <w:t>10.7 验收方法与成果核查</w:t>
      </w:r>
    </w:p>
    <w:p>
      <w:pPr>
        <w:jc w:val="both"/>
      </w:pPr>
      <w:r>
        <w:t>验收采用文件审查、配置核对、实际操作、数据检查、独立复算和运行记录复核相结合的方法。文件审查核对三十七项规划成果及配套内容，配置核对九项治理能力，实际操作核对业务流程与权限，数据检查核对来源、标准、质量及关联，复算核对指标与数量，运行记录核对持续执行及异常处理。</w:t>
      </w:r>
    </w:p>
    <w:p>
      <w:pPr>
        <w:jc w:val="both"/>
      </w:pPr>
      <w:r>
        <w:t>验收范围覆盖九个业务域及确认实施对象，检查平台能力与实际数据供给是否一致。对关键对象、关键规则和重要权限执行必要专项检查，对大规模内容结合全量自动检查与分层抽查。抽查范围和方法记录清楚，发现问题时评估同类对象影响并扩大必要检查，不能仅修复抽中的记录。</w:t>
      </w:r>
    </w:p>
    <w:p>
      <w:pPr>
        <w:jc w:val="both"/>
      </w:pPr>
      <w:r>
        <w:t>质量验收保持三类要求分别判断。业务治理按六维需求及批准规则核验，数据集生产按六项质量要求执行，正式质量评测三个维度分别达到最低合格标准且综合总分不低于85分。高风险问题为零，中低风险问题整改率达到100%，正式评测与复测按项目要求组织，相关报告和版本一致。</w:t>
      </w:r>
    </w:p>
    <w:p>
      <w:pPr>
        <w:jc w:val="both"/>
      </w:pPr>
      <w:r>
        <w:t>验收问题进入统一台账，明确责任、期限、复测和关闭条件。整改涉及文档、配置、数据或服务时同步核对关联内容，避免只修改报告。验收结论基于实际满足情况形成，尚未通过的关键事项不以承诺后补代替完成证据。</w:t>
      </w:r>
    </w:p>
    <w:p>
      <w:pPr>
        <w:keepNext/>
        <w:spacing w:line="240" w:lineRule="auto" w:before="160" w:after="80"/>
        <w:ind w:firstLine="0"/>
        <w:jc w:val="center"/>
      </w:pPr>
      <w:r>
        <w:drawing>
          <wp:inline xmlns:a="http://schemas.openxmlformats.org/drawingml/2006/main" xmlns:pic="http://schemas.openxmlformats.org/drawingml/2006/picture">
            <wp:extent cx="6048000" cy="1942338"/>
            <wp:docPr id="15" name="Picture 15"/>
            <wp:cNvGraphicFramePr>
              <a:graphicFrameLocks noChangeAspect="1"/>
            </wp:cNvGraphicFramePr>
            <a:graphic>
              <a:graphicData uri="http://schemas.openxmlformats.org/drawingml/2006/picture">
                <pic:pic>
                  <pic:nvPicPr>
                    <pic:cNvPr id="0" name="图15_验收移交.png"/>
                    <pic:cNvPicPr/>
                  </pic:nvPicPr>
                  <pic:blipFill>
                    <a:blip r:embed="rId25"/>
                    <a:stretch>
                      <a:fillRect/>
                    </a:stretch>
                  </pic:blipFill>
                  <pic:spPr>
                    <a:xfrm>
                      <a:off x="0" y="0"/>
                      <a:ext cx="6048000" cy="1942338"/>
                    </a:xfrm>
                    <a:prstGeom prst="rect"/>
                  </pic:spPr>
                </pic:pic>
              </a:graphicData>
            </a:graphic>
          </wp:inline>
        </w:drawing>
      </w:r>
    </w:p>
    <w:p>
      <w:pPr>
        <w:pStyle w:val="Caption"/>
        <w:jc w:val="center"/>
      </w:pPr>
      <w:r>
        <w:t>图10-1 验收整改与运行移交</w:t>
      </w:r>
    </w:p>
    <w:p>
      <w:pPr>
        <w:pStyle w:val="Heading2"/>
      </w:pPr>
      <w:r>
        <w:t>10.8 培训与岗位接管</w:t>
      </w:r>
    </w:p>
    <w:p>
      <w:pPr>
        <w:jc w:val="both"/>
      </w:pPr>
      <w:r>
        <w:t>培训面向治理管理、业务责任、标准维护、质量管理、安全、开发和运维岗位分层组织。管理岗位学习职责、审批、考核和变更，业务岗位学习定义、数据维护及问题反馈，技术岗位学习配置、任务、接口和恢复，安全岗位学习分级、权限和审计。课程围绕实际对象和已上线流程，避免仅介绍产品菜单。</w:t>
      </w:r>
    </w:p>
    <w:p>
      <w:pPr>
        <w:jc w:val="both"/>
      </w:pPr>
      <w:r>
        <w:t>培训材料包括正式制度、操作指南、常见异常、配置维护及实际练习，使用与交付一致的版本。岗位实践要求能够完成新增标准、处理质量问题、批准共享、查询血缘、处理失败任务及执行到期回收等对应职责。考核记录实际操作结果，存在能力缺口时补训并再次验证。</w:t>
      </w:r>
    </w:p>
    <w:p>
      <w:pPr>
        <w:jc w:val="both"/>
      </w:pPr>
      <w:r>
        <w:t>接管按照岗位逐项移交权限、资料、任务和责任，明确日常检查、问题升级和维护边界。项目人员临时账号及权限在交接完成后按批准安排回收，必要支持通过正式授权开展。未完成事项明确当前状态和后续责任，接管双方能够持续跟踪。</w:t>
      </w:r>
    </w:p>
    <w:p>
      <w:pPr>
        <w:pStyle w:val="Heading2"/>
      </w:pPr>
      <w:r>
        <w:t>10.9 风险管理与处理安排</w:t>
      </w:r>
    </w:p>
    <w:p>
      <w:pPr>
        <w:jc w:val="both"/>
      </w:pPr>
      <w:r>
        <w:t>来源接入风险通过提前核验授权、网络、结构和采集方式控制，来源条件变化时及时调整任务与补足计划。定义和口径风险通过业务确认、标准映射及版本管理控制，关键争议由相应决策权限裁定。质量风险通过接入检查、常态规则和整改复核控制，不能将问题推迟到最终验收才集中发现。</w:t>
      </w:r>
    </w:p>
    <w:p>
      <w:pPr>
        <w:jc w:val="both"/>
      </w:pPr>
      <w:r>
        <w:t>安全风险通过分级、最小权限、受控环境和审计控制，来源许可变化或敏感信息遗漏时及时限制用途并检查下游。进度风险通过依赖和批次管理识别，关键前置条件设责任和期限，资源调整经过批准。配置和人员变化风险通过版本、交接和岗位实践控制，避免关键知识仅保存在个人经验中。</w:t>
      </w:r>
    </w:p>
    <w:p>
      <w:pPr>
        <w:jc w:val="both"/>
      </w:pPr>
      <w:r>
        <w:t>风险台账记录触发条件、影响、措施、责任、状态和复查，实际问题与风险记录相互关联。措施执行后检查效果，无效时调整方案并升级协调。风险沟通说明事实和实际影响，不用笼统“加强管理”替代具体行动。重大风险对数据集交付、场景验证或终验时间产生影响时及时组织联合处理。</w:t>
      </w:r>
    </w:p>
    <w:p>
      <w:pPr>
        <w:pStyle w:val="Caption"/>
        <w:keepNext/>
      </w:pPr>
      <w:r>
        <w:t>表10-5 主要风险与处理安排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95" w:type="dxa"/>
          <w:right w:w="95" w:type="dxa"/>
        </w:tblCellMar>
      </w:tblPr>
      <w:tblGrid>
        <w:gridCol w:w="2506"/>
        <w:gridCol w:w="3855"/>
        <w:gridCol w:w="3277"/>
      </w:tblGrid>
      <w:tr>
        <w:trPr>
          <w:cantSplit/>
          <w:tblHeader/>
        </w:trPr>
        <w:tc>
          <w:tcPr>
            <w:tcW w:type="dxa" w:w="2506"/>
            <w:vAlign w:val="center"/>
            <w:shd w:fill="EDF1F3"/>
          </w:tcPr>
          <w:p>
            <w:pPr>
              <w:keepNext/>
              <w:spacing w:line="320" w:lineRule="exact" w:after="0" w:before="0"/>
              <w:ind w:firstLine="0"/>
              <w:jc w:val="center"/>
            </w:pPr>
            <w:r>
              <w:rPr>
                <w:b/>
                <w:sz w:val="21"/>
              </w:rPr>
              <w:t>风险事项</w:t>
            </w:r>
          </w:p>
        </w:tc>
        <w:tc>
          <w:tcPr>
            <w:tcW w:type="dxa" w:w="3855"/>
            <w:vAlign w:val="center"/>
            <w:shd w:fill="EDF1F3"/>
          </w:tcPr>
          <w:p>
            <w:pPr>
              <w:keepNext/>
              <w:spacing w:line="320" w:lineRule="exact" w:after="0" w:before="0"/>
              <w:ind w:firstLine="0"/>
              <w:jc w:val="center"/>
            </w:pPr>
            <w:r>
              <w:rPr>
                <w:b/>
                <w:sz w:val="21"/>
              </w:rPr>
              <w:t>预防与发现</w:t>
            </w:r>
          </w:p>
        </w:tc>
        <w:tc>
          <w:tcPr>
            <w:tcW w:type="dxa" w:w="3277"/>
            <w:vAlign w:val="center"/>
            <w:shd w:fill="EDF1F3"/>
          </w:tcPr>
          <w:p>
            <w:pPr>
              <w:keepNext/>
              <w:spacing w:line="320" w:lineRule="exact" w:after="0" w:before="0"/>
              <w:ind w:firstLine="0"/>
              <w:jc w:val="center"/>
            </w:pPr>
            <w:r>
              <w:rPr>
                <w:b/>
                <w:sz w:val="21"/>
              </w:rPr>
              <w:t>处理及复核</w:t>
            </w:r>
          </w:p>
        </w:tc>
      </w:tr>
      <w:tr>
        <w:trPr>
          <w:cantSplit/>
        </w:trPr>
        <w:tc>
          <w:tcPr>
            <w:tcW w:type="dxa" w:w="2506"/>
            <w:vAlign w:val="center"/>
          </w:tcPr>
          <w:p>
            <w:pPr>
              <w:keepNext w:val="0"/>
              <w:spacing w:line="320" w:lineRule="exact" w:after="0" w:before="0"/>
              <w:ind w:firstLine="0"/>
              <w:jc w:val="left"/>
            </w:pPr>
            <w:r>
              <w:rPr>
                <w:b w:val="0"/>
                <w:sz w:val="21"/>
              </w:rPr>
              <w:t>来源与接入变化</w:t>
            </w:r>
          </w:p>
        </w:tc>
        <w:tc>
          <w:tcPr>
            <w:tcW w:type="dxa" w:w="3855"/>
            <w:vAlign w:val="center"/>
          </w:tcPr>
          <w:p>
            <w:pPr>
              <w:keepNext w:val="0"/>
              <w:spacing w:line="320" w:lineRule="exact" w:after="0" w:before="0"/>
              <w:ind w:firstLine="0"/>
              <w:jc w:val="left"/>
            </w:pPr>
            <w:r>
              <w:rPr>
                <w:b w:val="0"/>
                <w:sz w:val="21"/>
              </w:rPr>
              <w:t>授权、结构、批次及延迟监测</w:t>
            </w:r>
          </w:p>
        </w:tc>
        <w:tc>
          <w:tcPr>
            <w:tcW w:type="dxa" w:w="3277"/>
            <w:vAlign w:val="center"/>
          </w:tcPr>
          <w:p>
            <w:pPr>
              <w:keepNext w:val="0"/>
              <w:spacing w:line="320" w:lineRule="exact" w:after="0" w:before="0"/>
              <w:ind w:firstLine="0"/>
              <w:jc w:val="left"/>
            </w:pPr>
            <w:r>
              <w:rPr>
                <w:b w:val="0"/>
                <w:sz w:val="21"/>
              </w:rPr>
              <w:t>调整接入、补采、对账和范围确认</w:t>
            </w:r>
          </w:p>
        </w:tc>
      </w:tr>
      <w:tr>
        <w:trPr>
          <w:cantSplit/>
        </w:trPr>
        <w:tc>
          <w:tcPr>
            <w:tcW w:type="dxa" w:w="2506"/>
            <w:vAlign w:val="center"/>
          </w:tcPr>
          <w:p>
            <w:pPr>
              <w:keepNext w:val="0"/>
              <w:spacing w:line="320" w:lineRule="exact" w:after="0" w:before="0"/>
              <w:ind w:firstLine="0"/>
              <w:jc w:val="left"/>
            </w:pPr>
            <w:r>
              <w:rPr>
                <w:b w:val="0"/>
                <w:sz w:val="21"/>
              </w:rPr>
              <w:t>标准与口径冲突</w:t>
            </w:r>
          </w:p>
        </w:tc>
        <w:tc>
          <w:tcPr>
            <w:tcW w:type="dxa" w:w="3855"/>
            <w:vAlign w:val="center"/>
          </w:tcPr>
          <w:p>
            <w:pPr>
              <w:keepNext w:val="0"/>
              <w:spacing w:line="320" w:lineRule="exact" w:after="0" w:before="0"/>
              <w:ind w:firstLine="0"/>
              <w:jc w:val="left"/>
            </w:pPr>
            <w:r>
              <w:rPr>
                <w:b w:val="0"/>
                <w:sz w:val="21"/>
              </w:rPr>
              <w:t>业务评审、映射及独立复算</w:t>
            </w:r>
          </w:p>
        </w:tc>
        <w:tc>
          <w:tcPr>
            <w:tcW w:type="dxa" w:w="3277"/>
            <w:vAlign w:val="center"/>
          </w:tcPr>
          <w:p>
            <w:pPr>
              <w:keepNext w:val="0"/>
              <w:spacing w:line="320" w:lineRule="exact" w:after="0" w:before="0"/>
              <w:ind w:firstLine="0"/>
              <w:jc w:val="left"/>
            </w:pPr>
            <w:r>
              <w:rPr>
                <w:b w:val="0"/>
                <w:sz w:val="21"/>
              </w:rPr>
              <w:t>裁决、版本更新和下游验证</w:t>
            </w:r>
          </w:p>
        </w:tc>
      </w:tr>
      <w:tr>
        <w:trPr>
          <w:cantSplit/>
        </w:trPr>
        <w:tc>
          <w:tcPr>
            <w:tcW w:type="dxa" w:w="2506"/>
            <w:vAlign w:val="center"/>
          </w:tcPr>
          <w:p>
            <w:pPr>
              <w:keepNext w:val="0"/>
              <w:spacing w:line="320" w:lineRule="exact" w:after="0" w:before="0"/>
              <w:ind w:firstLine="0"/>
              <w:jc w:val="left"/>
            </w:pPr>
            <w:r>
              <w:rPr>
                <w:b w:val="0"/>
                <w:sz w:val="21"/>
              </w:rPr>
              <w:t>质量问题扩散</w:t>
            </w:r>
          </w:p>
        </w:tc>
        <w:tc>
          <w:tcPr>
            <w:tcW w:type="dxa" w:w="3855"/>
            <w:vAlign w:val="center"/>
          </w:tcPr>
          <w:p>
            <w:pPr>
              <w:keepNext w:val="0"/>
              <w:spacing w:line="320" w:lineRule="exact" w:after="0" w:before="0"/>
              <w:ind w:firstLine="0"/>
              <w:jc w:val="left"/>
            </w:pPr>
            <w:r>
              <w:rPr>
                <w:b w:val="0"/>
                <w:sz w:val="21"/>
              </w:rPr>
              <w:t>关键规则、血缘和使用反馈</w:t>
            </w:r>
          </w:p>
        </w:tc>
        <w:tc>
          <w:tcPr>
            <w:tcW w:type="dxa" w:w="3277"/>
            <w:vAlign w:val="center"/>
          </w:tcPr>
          <w:p>
            <w:pPr>
              <w:keepNext w:val="0"/>
              <w:spacing w:line="320" w:lineRule="exact" w:after="0" w:before="0"/>
              <w:ind w:firstLine="0"/>
              <w:jc w:val="left"/>
            </w:pPr>
            <w:r>
              <w:rPr>
                <w:b w:val="0"/>
                <w:sz w:val="21"/>
              </w:rPr>
              <w:t>限制、修复、重算及复检</w:t>
            </w:r>
          </w:p>
        </w:tc>
      </w:tr>
      <w:tr>
        <w:trPr>
          <w:cantSplit/>
        </w:trPr>
        <w:tc>
          <w:tcPr>
            <w:tcW w:type="dxa" w:w="2506"/>
            <w:vAlign w:val="center"/>
          </w:tcPr>
          <w:p>
            <w:pPr>
              <w:keepNext w:val="0"/>
              <w:spacing w:line="320" w:lineRule="exact" w:after="0" w:before="0"/>
              <w:ind w:firstLine="0"/>
              <w:jc w:val="left"/>
            </w:pPr>
            <w:r>
              <w:rPr>
                <w:b w:val="0"/>
                <w:sz w:val="21"/>
              </w:rPr>
              <w:t>权限或许可失效</w:t>
            </w:r>
          </w:p>
        </w:tc>
        <w:tc>
          <w:tcPr>
            <w:tcW w:type="dxa" w:w="3855"/>
            <w:vAlign w:val="center"/>
          </w:tcPr>
          <w:p>
            <w:pPr>
              <w:keepNext w:val="0"/>
              <w:spacing w:line="320" w:lineRule="exact" w:after="0" w:before="0"/>
              <w:ind w:firstLine="0"/>
              <w:jc w:val="left"/>
            </w:pPr>
            <w:r>
              <w:rPr>
                <w:b w:val="0"/>
                <w:sz w:val="21"/>
              </w:rPr>
              <w:t>到期检查、访问审计及来源复查</w:t>
            </w:r>
          </w:p>
        </w:tc>
        <w:tc>
          <w:tcPr>
            <w:tcW w:type="dxa" w:w="3277"/>
            <w:vAlign w:val="center"/>
          </w:tcPr>
          <w:p>
            <w:pPr>
              <w:keepNext w:val="0"/>
              <w:spacing w:line="320" w:lineRule="exact" w:after="0" w:before="0"/>
              <w:ind w:firstLine="0"/>
              <w:jc w:val="left"/>
            </w:pPr>
            <w:r>
              <w:rPr>
                <w:b w:val="0"/>
                <w:sz w:val="21"/>
              </w:rPr>
              <w:t>回收、停止用途和副本处置</w:t>
            </w:r>
          </w:p>
        </w:tc>
      </w:tr>
      <w:tr>
        <w:trPr>
          <w:cantSplit/>
        </w:trPr>
        <w:tc>
          <w:tcPr>
            <w:tcW w:type="dxa" w:w="2506"/>
            <w:vAlign w:val="center"/>
          </w:tcPr>
          <w:p>
            <w:pPr>
              <w:keepNext w:val="0"/>
              <w:spacing w:line="320" w:lineRule="exact" w:after="0" w:before="0"/>
              <w:ind w:firstLine="0"/>
              <w:jc w:val="left"/>
            </w:pPr>
            <w:r>
              <w:rPr>
                <w:b w:val="0"/>
                <w:sz w:val="21"/>
              </w:rPr>
              <w:t>运行与接管不足</w:t>
            </w:r>
          </w:p>
        </w:tc>
        <w:tc>
          <w:tcPr>
            <w:tcW w:type="dxa" w:w="3855"/>
            <w:vAlign w:val="center"/>
          </w:tcPr>
          <w:p>
            <w:pPr>
              <w:keepNext w:val="0"/>
              <w:spacing w:line="320" w:lineRule="exact" w:after="0" w:before="0"/>
              <w:ind w:firstLine="0"/>
              <w:jc w:val="left"/>
            </w:pPr>
            <w:r>
              <w:rPr>
                <w:b w:val="0"/>
                <w:sz w:val="21"/>
              </w:rPr>
              <w:t>演练、岗位实践及异常分析</w:t>
            </w:r>
          </w:p>
        </w:tc>
        <w:tc>
          <w:tcPr>
            <w:tcW w:type="dxa" w:w="3277"/>
            <w:vAlign w:val="center"/>
          </w:tcPr>
          <w:p>
            <w:pPr>
              <w:keepNext w:val="0"/>
              <w:spacing w:line="320" w:lineRule="exact" w:after="0" w:before="0"/>
              <w:ind w:firstLine="0"/>
              <w:jc w:val="left"/>
            </w:pPr>
            <w:r>
              <w:rPr>
                <w:b w:val="0"/>
                <w:sz w:val="21"/>
              </w:rPr>
              <w:t>补训、配置改进和重新验证</w:t>
            </w:r>
          </w:p>
        </w:tc>
      </w:tr>
    </w:tbl>
    <w:p>
      <w:pPr>
        <w:spacing w:after="40" w:line="240" w:lineRule="auto"/>
        <w:ind w:firstLine="0"/>
      </w:pPr>
      <w:r>
        <w:rPr>
          <w:sz w:val="4"/>
        </w:rPr>
      </w:r>
    </w:p>
    <w:p>
      <w:pPr>
        <w:pStyle w:val="Heading2"/>
      </w:pPr>
      <w:r>
        <w:t>10.10 终验与持续服务</w:t>
      </w:r>
    </w:p>
    <w:p>
      <w:pPr>
        <w:jc w:val="both"/>
      </w:pPr>
      <w:r>
        <w:t>我方按照总体进度在2028年5月前完成终验收所需工作，核对规划文件、平台实施、数据供给、评测支撑、运行证据和岗位移交。交付清单记录实际名称、版本、数量、格式、校验信息及接收状态，正式成果与验收范围一致。数据、配置、字典、脚本及必要文档按甲方要求归集，保证后续能够维护、复用和追溯。</w:t>
      </w:r>
    </w:p>
    <w:p>
      <w:pPr>
        <w:jc w:val="both"/>
      </w:pPr>
      <w:r>
        <w:t>终验前复核全部关键问题、授权及环境状态，确认已批准实施范围完成，必要整改和复测通过。实际运行与文档存在差异时先修正并验证，不能以最终文件已经签发替代平台状态检查。重要历史限制如实登记并落实已批准控制，后续持续改进与正式交付状态明确区分。</w:t>
      </w:r>
    </w:p>
    <w:p>
      <w:pPr>
        <w:jc w:val="both"/>
      </w:pPr>
      <w:r>
        <w:t>自甲方终验收合格之日起，我方提供不少于12个月的质保维护支持，质保期满后按招标要求提供24个月免费技术服务。服务围绕本项目交付内容开展故障处理、规则及配置问题修复、使用支持和必要完善，维护过程中保持版本、审批、测试和记录要求。</w:t>
      </w:r>
    </w:p>
    <w:p>
      <w:pPr>
        <w:jc w:val="both"/>
      </w:pPr>
      <w:r>
        <w:t>持续服务与甲方治理运行机制衔接，新增需求、来源变化、质量问题及安全事项按正式流程处理。修复影响已发布数据、指标或服务时保留范围及后继版本，必要时重新核验和通知使用方。服务记录、变更及实际处理结果归档，保证治理体系、平台配置和业务使用持续一致。</w:t>
      </w:r>
    </w:p>
    <w:sectPr w:rsidR="00FC693F" w:rsidRPr="0006063C" w:rsidSect="00034616">
      <w:headerReference w:type="default" r:id="rId9"/>
      <w:footerReference w:type="default" r:id="rId10"/>
      <w:pgSz w:w="11906" w:h="16838"/>
      <w:pgMar w:top="1247"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t xml:space="preserve">数据治理专项规划与落地实施方案　｜　第 </w:t>
    </w:r>
    <w:r/>
    <w:fldSimple w:instr="PAGE"/>
    <w:r>
      <w:t xml:space="preserve"> 页　共 </w:t>
    </w:r>
    <w:r/>
    <w:fldSimple w:instr="NUMPAGES"/>
    <w: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ind w:firstLine="0"/>
      <w:jc w:val="center"/>
    </w:pPr>
    <w:r>
      <w:t>矿山装备制造领域高质量数据集建设及场景应用项目配套设施</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40" w:lineRule="exact" w:after="60"/>
      <w:ind w:firstLine="480"/>
    </w:pPr>
    <w:rPr>
      <w:rFonts w:ascii="Times New Roman" w:hAnsi="Times New Roman" w:eastAsia="Songti SC"/>
      <w:b w:val="0"/>
      <w:color w:val="000000"/>
      <w:sz w:val="24"/>
      <w:lang w:eastAsia="zh-CN"/>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b w:val="0"/>
      <w:color w:val="000000"/>
      <w:sz w:val="18"/>
      <w:lang w:eastAsia="zh-CN"/>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460" w:lineRule="exact"/>
      <w:ind w:firstLine="0"/>
      <w:outlineLvl w:val="0"/>
    </w:pPr>
    <w:rPr>
      <w:rFonts w:ascii="Times New Roman" w:hAnsi="Times New Roman" w:eastAsia="Songti SC"/>
      <w:b/>
      <w:bCs/>
      <w:color w:val="000000"/>
      <w:sz w:val="32"/>
      <w:szCs w:val="28"/>
      <w:lang w:eastAsia="zh-CN"/>
    </w:rPr>
  </w:style>
  <w:style w:type="paragraph" w:styleId="Heading2">
    <w:name w:val="heading 2"/>
    <w:basedOn w:val="Normal"/>
    <w:next w:val="Normal"/>
    <w:link w:val="Heading2Char"/>
    <w:uiPriority w:val="9"/>
    <w:unhideWhenUsed/>
    <w:qFormat/>
    <w:rsid w:val="00FC693F"/>
    <w:pPr>
      <w:keepNext/>
      <w:keepLines/>
      <w:spacing w:before="160" w:after="120" w:line="400" w:lineRule="exact"/>
      <w:ind w:firstLine="0"/>
      <w:outlineLvl w:val="1"/>
    </w:pPr>
    <w:rPr>
      <w:rFonts w:ascii="Times New Roman" w:hAnsi="Times New Roman" w:eastAsia="Songti SC"/>
      <w:b/>
      <w:bCs/>
      <w:color w:val="000000"/>
      <w:sz w:val="26"/>
      <w:szCs w:val="26"/>
      <w:lang w:eastAsia="zh-CN"/>
    </w:rPr>
  </w:style>
  <w:style w:type="paragraph" w:styleId="Heading3">
    <w:name w:val="heading 3"/>
    <w:basedOn w:val="Normal"/>
    <w:next w:val="Normal"/>
    <w:link w:val="Heading3Char"/>
    <w:uiPriority w:val="9"/>
    <w:unhideWhenUsed/>
    <w:qFormat/>
    <w:rsid w:val="00FC693F"/>
    <w:pPr>
      <w:keepNext/>
      <w:keepLines/>
      <w:spacing w:before="160" w:after="120" w:line="400" w:lineRule="exact"/>
      <w:ind w:firstLine="0"/>
      <w:outlineLvl w:val="2"/>
    </w:pPr>
    <w:rPr>
      <w:rFonts w:ascii="Times New Roman" w:hAnsi="Times New Roman" w:eastAsia="Songti SC"/>
      <w:b/>
      <w:bCs/>
      <w:color w:val="000000"/>
      <w:sz w:val="24"/>
      <w:lang w:eastAsia="zh-CN"/>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Songti SC"/>
      <w:b/>
      <w:color w:val="000000"/>
      <w:spacing w:val="5"/>
      <w:kern w:val="28"/>
      <w:sz w:val="42"/>
      <w:szCs w:val="52"/>
      <w:lang w:eastAsia="zh-CN"/>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76" w:lineRule="auto" w:after="120"/>
      <w:ind w:firstLine="0"/>
    </w:pPr>
    <w:rPr>
      <w:rFonts w:ascii="Times New Roman" w:hAnsi="Times New Roman" w:eastAsia="Songti SC"/>
      <w:b w:val="0"/>
      <w:bCs/>
      <w:color w:val="000000"/>
      <w:sz w:val="21"/>
      <w:szCs w:val="18"/>
      <w:lang w:eastAsia="zh-CN"/>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数据治理专项规划与落地实施方案</dc:title>
  <dc:subject>矿山装备制造领域高质量数据集建设及场景应用项目配套设施 数据加工生产服务</dc:subject>
  <dc:creator/>
  <cp:keywords/>
  <dc:description/>
  <cp:lastModifiedBy/>
  <cp:revision>1</cp:revision>
  <dcterms:created xsi:type="dcterms:W3CDTF">2013-12-23T23:15:00Z</dcterms:created>
  <dcterms:modified xsi:type="dcterms:W3CDTF">2013-12-23T23:15:00Z</dcterms:modified>
  <cp:category/>
</cp:coreProperties>
</file>