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数据治理现状评估与四域规划</w:t>
      </w:r>
    </w:p>
    <w:p>
      <w:pPr>
        <w:spacing w:line="324" w:lineRule="auto"/>
        <w:ind w:firstLine="0"/>
        <w:jc w:val="center"/>
      </w:pPr>
      <w:r>
        <w:t>矿山装备制造领域高质量数据集建设及场景应用项目配套设施</w:t>
        <w:br/>
        <w:t>数据加工生产服务</w:t>
      </w:r>
    </w:p>
    <w:p>
      <w:pPr>
        <w:spacing w:after="200"/>
      </w:pPr>
      <w:r>
        <w:t>我方开展九个能力域的现状评估和全域数据资产盘点，完成数据战略、数据治理、数据架构、数据资产四域规划，形成十八项成果，并落实组织职责、制度流程、平台配置和运行管理，支撑四大数据集建设与十一个场景验证。</w:t>
      </w:r>
    </w:p>
    <w:p>
      <w:pPr>
        <w:spacing w:line="264" w:lineRule="auto"/>
        <w:ind w:firstLine="0"/>
      </w:pPr>
      <w:r>
        <w:rPr>
          <w:b/>
        </w:rPr>
        <w:t>目录</w:t>
      </w:r>
    </w:p>
    <w:p>
      <w:pPr>
        <w:tabs>
          <w:tab w:pos="9411" w:val="right" w:leader="dot"/>
        </w:tabs>
        <w:spacing w:line="300" w:lineRule="exact" w:after="40"/>
        <w:ind w:firstLine="0"/>
      </w:pPr>
      <w:r>
        <w:rPr>
          <w:sz w:val="21"/>
        </w:rPr>
        <w:t>1 建设目标与实施安排</w:t>
        <w:tab/>
        <w:t>2</w:t>
      </w:r>
    </w:p>
    <w:p>
      <w:pPr>
        <w:tabs>
          <w:tab w:pos="9411" w:val="right" w:leader="dot"/>
        </w:tabs>
        <w:spacing w:line="300" w:lineRule="exact" w:after="40"/>
        <w:ind w:firstLine="0"/>
      </w:pPr>
      <w:r>
        <w:rPr>
          <w:sz w:val="21"/>
        </w:rPr>
        <w:t>2 数据治理现状评估</w:t>
        <w:tab/>
        <w:t>5</w:t>
      </w:r>
    </w:p>
    <w:p>
      <w:pPr>
        <w:tabs>
          <w:tab w:pos="9411" w:val="right" w:leader="dot"/>
        </w:tabs>
        <w:spacing w:line="300" w:lineRule="exact" w:after="40"/>
        <w:ind w:firstLine="0"/>
      </w:pPr>
      <w:r>
        <w:rPr>
          <w:sz w:val="21"/>
        </w:rPr>
        <w:t>3 全域资产盘点与场景供给评估</w:t>
        <w:tab/>
        <w:t>11</w:t>
      </w:r>
    </w:p>
    <w:p>
      <w:pPr>
        <w:tabs>
          <w:tab w:pos="9411" w:val="right" w:leader="dot"/>
        </w:tabs>
        <w:spacing w:line="300" w:lineRule="exact" w:after="40"/>
        <w:ind w:firstLine="0"/>
      </w:pPr>
      <w:r>
        <w:rPr>
          <w:sz w:val="21"/>
        </w:rPr>
        <w:t>4 数据战略规划</w:t>
        <w:tab/>
        <w:t>20</w:t>
      </w:r>
    </w:p>
    <w:p>
      <w:pPr>
        <w:tabs>
          <w:tab w:pos="9411" w:val="right" w:leader="dot"/>
        </w:tabs>
        <w:spacing w:line="300" w:lineRule="exact" w:after="40"/>
        <w:ind w:firstLine="0"/>
      </w:pPr>
      <w:r>
        <w:rPr>
          <w:sz w:val="21"/>
        </w:rPr>
        <w:t>5 数据治理组织与制度建设</w:t>
        <w:tab/>
        <w:t>26</w:t>
      </w:r>
    </w:p>
    <w:p>
      <w:pPr>
        <w:tabs>
          <w:tab w:pos="9411" w:val="right" w:leader="dot"/>
        </w:tabs>
        <w:spacing w:line="300" w:lineRule="exact" w:after="40"/>
        <w:ind w:firstLine="0"/>
      </w:pPr>
      <w:r>
        <w:rPr>
          <w:sz w:val="21"/>
        </w:rPr>
        <w:t>6 数据架构与数仓模型规划</w:t>
        <w:tab/>
        <w:t>33</w:t>
      </w:r>
    </w:p>
    <w:p>
      <w:pPr>
        <w:tabs>
          <w:tab w:pos="9411" w:val="right" w:leader="dot"/>
        </w:tabs>
        <w:spacing w:line="300" w:lineRule="exact" w:after="40"/>
        <w:ind w:firstLine="0"/>
      </w:pPr>
      <w:r>
        <w:rPr>
          <w:sz w:val="21"/>
        </w:rPr>
        <w:t>7 数据集成共享与元数据管理</w:t>
        <w:tab/>
        <w:t>39</w:t>
      </w:r>
    </w:p>
    <w:p>
      <w:pPr>
        <w:tabs>
          <w:tab w:pos="9411" w:val="right" w:leader="dot"/>
        </w:tabs>
        <w:spacing w:line="300" w:lineRule="exact" w:after="40"/>
        <w:ind w:firstLine="0"/>
      </w:pPr>
      <w:r>
        <w:rPr>
          <w:sz w:val="21"/>
        </w:rPr>
        <w:t>8 数据资产规划与内部运营</w:t>
        <w:tab/>
        <w:t>45</w:t>
      </w:r>
    </w:p>
    <w:p>
      <w:pPr>
        <w:tabs>
          <w:tab w:pos="9411" w:val="right" w:leader="dot"/>
        </w:tabs>
        <w:spacing w:line="300" w:lineRule="exact" w:after="40"/>
        <w:ind w:firstLine="0"/>
      </w:pPr>
      <w:r>
        <w:rPr>
          <w:sz w:val="21"/>
        </w:rPr>
        <w:t>9 规划落地与成果交付</w:t>
        <w:tab/>
        <w:t>52</w:t>
      </w:r>
    </w:p>
    <w:p>
      <w:r>
        <w:br w:type="page"/>
      </w:r>
    </w:p>
    <w:p>
      <w:pPr>
        <w:pStyle w:val="Heading1"/>
      </w:pPr>
      <w:r>
        <w:t>1 建设目标与实施安排</w:t>
      </w:r>
    </w:p>
    <w:p>
      <w:pPr>
        <w:pStyle w:val="Heading2"/>
      </w:pPr>
      <w:r>
        <w:t>1.1 建设目标</w:t>
      </w:r>
    </w:p>
    <w:p>
      <w:pPr>
        <w:jc w:val="both"/>
      </w:pPr>
      <w:r>
        <w:t>我方围绕宁夏天地奔牛实业集团有限公司矿山装备制造业务，开展数据治理现状评估，完成数据战略、数据治理、数据架构、数据资产四个规划域的建设。以通过数据管理能力成熟度三级认证为目标，将管理要求落实到岗位职责、制度流程、平台配置、业务运行和检查改进，支撑高质量数据集持续生产、十一个应用场景验证和企业经营管理决策。</w:t>
      </w:r>
    </w:p>
    <w:p>
      <w:pPr>
        <w:jc w:val="both"/>
      </w:pPr>
      <w:r>
        <w:t>现状评估覆盖数据战略、数据治理、数据架构、数据资产、数据标准、数据质量、数据安全、数据生存周期、数据应用流通九个能力域，逐项核查组织、制度、流程、工具的实际状况。调研同步覆盖人力资源、研发设计、生产制造、仓储物流、财务管理、设备管理、采购管理、营销管理、质量管理九个业务域，建立业务对象、来源系统、存储位置、责任岗位、使用需求之间的对应关系。能力评估、资产盘点和场景需求调查采用同一套对象标识和证据编号，形成可以交叉核实的诊断结论。</w:t>
      </w:r>
    </w:p>
    <w:p>
      <w:pPr>
        <w:jc w:val="both"/>
      </w:pPr>
      <w:r>
        <w:t>四域规划根据现状证据、招标要求和业务发展需求制定。数据战略明确建设方向、重点任务、资源投入与实施路线；数据治理明确决策、管理、执行各层职责及制度、协同、培训和考核安排；数据架构明确数仓分层、数据分布、集成共享与元数据管理；数据资产明确来源、所有权、使用权、价值评估与目录运营。规划形成后，我方同步落实平台配置、实施任务和运行记录，使规划内容进入日常业务处理过程。</w:t>
      </w:r>
    </w:p>
    <w:p>
      <w:pPr>
        <w:jc w:val="both"/>
      </w:pPr>
      <w:r>
        <w:t>建设成果包括数据治理现状诊断报告、高质量数据集验证场景数据需求清单，以及四个规划域分别形成的四项成果，共十八项成果。各项成果采用统一的范围、对象标识、术语定义、版本规则、责任口径和验收依据。配套调研记录、模型清单、审批表单、检查记录、培训材料和平台配置记录归入对应成果，随主体成果一并移交。</w:t>
      </w:r>
    </w:p>
    <w:p>
      <w:pPr>
        <w:pStyle w:val="Heading2"/>
      </w:pPr>
      <w:r>
        <w:t>1.2 范围与建设关系</w:t>
      </w:r>
    </w:p>
    <w:p>
      <w:pPr>
        <w:jc w:val="both"/>
      </w:pPr>
      <w:r>
        <w:t>数据治理贯穿源数据接入、治理处理、数据集加工生产、质量评测、场景验证及数据资产运营。现状评估核清资源条件和能力差距，四域规划明确后续实施的责任、规则及架构条件；数据标准、数据质量、数据安全、数据生存周期和数据应用流通规划接续落实相应制度与实施要求。治理平台承担数据汇聚、数据处理、元数据、资产、标准、质量、安全、指标、服务等实施能力，规划任务与平台功能逐项对应。</w:t>
      </w:r>
    </w:p>
    <w:p>
      <w:pPr>
        <w:jc w:val="both"/>
      </w:pPr>
      <w:r>
        <w:t>数据集加工生产按照统一的数据定义、主数据映射、来源标识、授权范围和质量规则执行。知识本体中的实体、属性、关系及业务约束与治理术语和数据元保持一致；知识库条目保存来源、版本和生效区间；生产批次关联处理规则、标注记录、质量检查和数据集版本。数据集运营平台按资产目录、权属登记和授权流程提供服务，神兽 OS 统一关联任务、数据、模型、工具及运行状态。</w:t>
      </w:r>
    </w:p>
    <w:p>
      <w:pPr>
        <w:jc w:val="both"/>
      </w:pPr>
      <w:r>
        <w:t>项目形成的治理模型、基础明细和共享维度供多个业务用途复用。业务统计与训练样本分别管理粒度、版本和检查规则，避免样本扩增影响经营统计，或经营数据汇总损失训练所需的原始上下文。场景验证发现的来源错误、口径歧义、时间错配和权限问题返回对应责任环节整改，更新治理规则后重新验证受影响的数据产品。</w:t>
      </w:r>
    </w:p>
    <w:p>
      <w:pPr>
        <w:pStyle w:val="Caption"/>
        <w:keepNext/>
      </w:pPr>
      <w:r>
        <w:t>表1-1 范围与建设关系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建设对象</w:t>
            </w:r>
          </w:p>
        </w:tc>
        <w:tc>
          <w:tcPr>
            <w:tcW w:type="dxa" w:w="3855"/>
            <w:vAlign w:val="center"/>
            <w:shd w:fill="EDF1F3"/>
          </w:tcPr>
          <w:p>
            <w:pPr>
              <w:keepNext/>
              <w:spacing w:line="320" w:lineRule="exact" w:after="0" w:before="0"/>
              <w:ind w:firstLine="0"/>
              <w:jc w:val="center"/>
            </w:pPr>
            <w:r>
              <w:rPr>
                <w:b/>
                <w:sz w:val="21"/>
              </w:rPr>
              <w:t>统一管理内容</w:t>
            </w:r>
          </w:p>
        </w:tc>
        <w:tc>
          <w:tcPr>
            <w:tcW w:type="dxa" w:w="3277"/>
            <w:vAlign w:val="center"/>
            <w:shd w:fill="EDF1F3"/>
          </w:tcPr>
          <w:p>
            <w:pPr>
              <w:keepNext/>
              <w:spacing w:line="320" w:lineRule="exact" w:after="0" w:before="0"/>
              <w:ind w:firstLine="0"/>
              <w:jc w:val="center"/>
            </w:pPr>
            <w:r>
              <w:rPr>
                <w:b/>
                <w:sz w:val="21"/>
              </w:rPr>
              <w:t>落实成果</w:t>
            </w:r>
          </w:p>
        </w:tc>
      </w:tr>
      <w:tr>
        <w:trPr>
          <w:cantSplit/>
        </w:trPr>
        <w:tc>
          <w:tcPr>
            <w:tcW w:type="dxa" w:w="2506"/>
            <w:vAlign w:val="center"/>
          </w:tcPr>
          <w:p>
            <w:pPr>
              <w:keepNext w:val="0"/>
              <w:spacing w:line="320" w:lineRule="exact" w:after="0" w:before="0"/>
              <w:ind w:firstLine="0"/>
              <w:jc w:val="left"/>
            </w:pPr>
            <w:r>
              <w:rPr>
                <w:b w:val="0"/>
                <w:sz w:val="21"/>
              </w:rPr>
              <w:t>业务对象与源系统</w:t>
            </w:r>
          </w:p>
        </w:tc>
        <w:tc>
          <w:tcPr>
            <w:tcW w:type="dxa" w:w="3855"/>
            <w:vAlign w:val="center"/>
          </w:tcPr>
          <w:p>
            <w:pPr>
              <w:keepNext w:val="0"/>
              <w:spacing w:line="320" w:lineRule="exact" w:after="0" w:before="0"/>
              <w:ind w:firstLine="0"/>
              <w:jc w:val="left"/>
            </w:pPr>
            <w:r>
              <w:rPr>
                <w:b w:val="0"/>
                <w:sz w:val="21"/>
              </w:rPr>
              <w:t>对象标识、业务定义、来源责任和有效时间</w:t>
            </w:r>
          </w:p>
        </w:tc>
        <w:tc>
          <w:tcPr>
            <w:tcW w:type="dxa" w:w="3277"/>
            <w:vAlign w:val="center"/>
          </w:tcPr>
          <w:p>
            <w:pPr>
              <w:keepNext w:val="0"/>
              <w:spacing w:line="320" w:lineRule="exact" w:after="0" w:before="0"/>
              <w:ind w:firstLine="0"/>
              <w:jc w:val="left"/>
            </w:pPr>
            <w:r>
              <w:rPr>
                <w:b w:val="0"/>
                <w:sz w:val="21"/>
              </w:rPr>
              <w:t>对象目录、来源台账、差距清单</w:t>
            </w:r>
          </w:p>
        </w:tc>
      </w:tr>
      <w:tr>
        <w:trPr>
          <w:cantSplit/>
        </w:trPr>
        <w:tc>
          <w:tcPr>
            <w:tcW w:type="dxa" w:w="2506"/>
            <w:vAlign w:val="center"/>
          </w:tcPr>
          <w:p>
            <w:pPr>
              <w:keepNext w:val="0"/>
              <w:spacing w:line="320" w:lineRule="exact" w:after="0" w:before="0"/>
              <w:ind w:firstLine="0"/>
              <w:jc w:val="left"/>
            </w:pPr>
            <w:r>
              <w:rPr>
                <w:b w:val="0"/>
                <w:sz w:val="21"/>
              </w:rPr>
              <w:t>制度与组织</w:t>
            </w:r>
          </w:p>
        </w:tc>
        <w:tc>
          <w:tcPr>
            <w:tcW w:type="dxa" w:w="3855"/>
            <w:vAlign w:val="center"/>
          </w:tcPr>
          <w:p>
            <w:pPr>
              <w:keepNext w:val="0"/>
              <w:spacing w:line="320" w:lineRule="exact" w:after="0" w:before="0"/>
              <w:ind w:firstLine="0"/>
              <w:jc w:val="left"/>
            </w:pPr>
            <w:r>
              <w:rPr>
                <w:b w:val="0"/>
                <w:sz w:val="21"/>
              </w:rPr>
              <w:t>决策权限、归口职责、执行岗位和审批流程</w:t>
            </w:r>
          </w:p>
        </w:tc>
        <w:tc>
          <w:tcPr>
            <w:tcW w:type="dxa" w:w="3277"/>
            <w:vAlign w:val="center"/>
          </w:tcPr>
          <w:p>
            <w:pPr>
              <w:keepNext w:val="0"/>
              <w:spacing w:line="320" w:lineRule="exact" w:after="0" w:before="0"/>
              <w:ind w:firstLine="0"/>
              <w:jc w:val="left"/>
            </w:pPr>
            <w:r>
              <w:rPr>
                <w:b w:val="0"/>
                <w:sz w:val="21"/>
              </w:rPr>
              <w:t>治理组织、制度体系、岗位工作记录</w:t>
            </w:r>
          </w:p>
        </w:tc>
      </w:tr>
      <w:tr>
        <w:trPr>
          <w:cantSplit/>
        </w:trPr>
        <w:tc>
          <w:tcPr>
            <w:tcW w:type="dxa" w:w="2506"/>
            <w:vAlign w:val="center"/>
          </w:tcPr>
          <w:p>
            <w:pPr>
              <w:keepNext w:val="0"/>
              <w:spacing w:line="320" w:lineRule="exact" w:after="0" w:before="0"/>
              <w:ind w:firstLine="0"/>
              <w:jc w:val="left"/>
            </w:pPr>
            <w:r>
              <w:rPr>
                <w:b w:val="0"/>
                <w:sz w:val="21"/>
              </w:rPr>
              <w:t>数据架构与加工</w:t>
            </w:r>
          </w:p>
        </w:tc>
        <w:tc>
          <w:tcPr>
            <w:tcW w:type="dxa" w:w="3855"/>
            <w:vAlign w:val="center"/>
          </w:tcPr>
          <w:p>
            <w:pPr>
              <w:keepNext w:val="0"/>
              <w:spacing w:line="320" w:lineRule="exact" w:after="0" w:before="0"/>
              <w:ind w:firstLine="0"/>
              <w:jc w:val="left"/>
            </w:pPr>
            <w:r>
              <w:rPr>
                <w:b w:val="0"/>
                <w:sz w:val="21"/>
              </w:rPr>
              <w:t>分层模型、字段映射、作业依赖和质量控制</w:t>
            </w:r>
          </w:p>
        </w:tc>
        <w:tc>
          <w:tcPr>
            <w:tcW w:type="dxa" w:w="3277"/>
            <w:vAlign w:val="center"/>
          </w:tcPr>
          <w:p>
            <w:pPr>
              <w:keepNext w:val="0"/>
              <w:spacing w:line="320" w:lineRule="exact" w:after="0" w:before="0"/>
              <w:ind w:firstLine="0"/>
              <w:jc w:val="left"/>
            </w:pPr>
            <w:r>
              <w:rPr>
                <w:b w:val="0"/>
                <w:sz w:val="21"/>
              </w:rPr>
              <w:t>模型版本、集成任务、元数据血缘</w:t>
            </w:r>
          </w:p>
        </w:tc>
      </w:tr>
      <w:tr>
        <w:trPr>
          <w:cantSplit/>
        </w:trPr>
        <w:tc>
          <w:tcPr>
            <w:tcW w:type="dxa" w:w="2506"/>
            <w:vAlign w:val="center"/>
          </w:tcPr>
          <w:p>
            <w:pPr>
              <w:keepNext w:val="0"/>
              <w:spacing w:line="320" w:lineRule="exact" w:after="0" w:before="0"/>
              <w:ind w:firstLine="0"/>
              <w:jc w:val="left"/>
            </w:pPr>
            <w:r>
              <w:rPr>
                <w:b w:val="0"/>
                <w:sz w:val="21"/>
              </w:rPr>
              <w:t>数据集与验证</w:t>
            </w:r>
          </w:p>
        </w:tc>
        <w:tc>
          <w:tcPr>
            <w:tcW w:type="dxa" w:w="3855"/>
            <w:vAlign w:val="center"/>
          </w:tcPr>
          <w:p>
            <w:pPr>
              <w:keepNext w:val="0"/>
              <w:spacing w:line="320" w:lineRule="exact" w:after="0" w:before="0"/>
              <w:ind w:firstLine="0"/>
              <w:jc w:val="left"/>
            </w:pPr>
            <w:r>
              <w:rPr>
                <w:b w:val="0"/>
                <w:sz w:val="21"/>
              </w:rPr>
              <w:t>需求、来源族、用途、批次、版本及评测结果</w:t>
            </w:r>
          </w:p>
        </w:tc>
        <w:tc>
          <w:tcPr>
            <w:tcW w:type="dxa" w:w="3277"/>
            <w:vAlign w:val="center"/>
          </w:tcPr>
          <w:p>
            <w:pPr>
              <w:keepNext w:val="0"/>
              <w:spacing w:line="320" w:lineRule="exact" w:after="0" w:before="0"/>
              <w:ind w:firstLine="0"/>
              <w:jc w:val="left"/>
            </w:pPr>
            <w:r>
              <w:rPr>
                <w:b w:val="0"/>
                <w:sz w:val="21"/>
              </w:rPr>
              <w:t>数据需求清单、供给计划、验证反馈</w:t>
            </w:r>
          </w:p>
        </w:tc>
      </w:tr>
      <w:tr>
        <w:trPr>
          <w:cantSplit/>
        </w:trPr>
        <w:tc>
          <w:tcPr>
            <w:tcW w:type="dxa" w:w="2506"/>
            <w:vAlign w:val="center"/>
          </w:tcPr>
          <w:p>
            <w:pPr>
              <w:keepNext w:val="0"/>
              <w:spacing w:line="320" w:lineRule="exact" w:after="0" w:before="0"/>
              <w:ind w:firstLine="0"/>
              <w:jc w:val="left"/>
            </w:pPr>
            <w:r>
              <w:rPr>
                <w:b w:val="0"/>
                <w:sz w:val="21"/>
              </w:rPr>
              <w:t>资产与共享服务</w:t>
            </w:r>
          </w:p>
        </w:tc>
        <w:tc>
          <w:tcPr>
            <w:tcW w:type="dxa" w:w="3855"/>
            <w:vAlign w:val="center"/>
          </w:tcPr>
          <w:p>
            <w:pPr>
              <w:keepNext w:val="0"/>
              <w:spacing w:line="320" w:lineRule="exact" w:after="0" w:before="0"/>
              <w:ind w:firstLine="0"/>
              <w:jc w:val="left"/>
            </w:pPr>
            <w:r>
              <w:rPr>
                <w:b w:val="0"/>
                <w:sz w:val="21"/>
              </w:rPr>
              <w:t>权属、目录、价值、授权和使用记录</w:t>
            </w:r>
          </w:p>
        </w:tc>
        <w:tc>
          <w:tcPr>
            <w:tcW w:type="dxa" w:w="3277"/>
            <w:vAlign w:val="center"/>
          </w:tcPr>
          <w:p>
            <w:pPr>
              <w:keepNext w:val="0"/>
              <w:spacing w:line="320" w:lineRule="exact" w:after="0" w:before="0"/>
              <w:ind w:firstLine="0"/>
              <w:jc w:val="left"/>
            </w:pPr>
            <w:r>
              <w:rPr>
                <w:b w:val="0"/>
                <w:sz w:val="21"/>
              </w:rPr>
              <w:t>资产登记、价值评估、内部运营流程</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总体实施.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图1-1 现状评估与四域规划实施关系</w:t>
      </w:r>
    </w:p>
    <w:p>
      <w:pPr>
        <w:pStyle w:val="Heading2"/>
      </w:pPr>
      <w:r>
        <w:t>1.3 实施主线与阶段控制</w:t>
      </w:r>
    </w:p>
    <w:p>
      <w:pPr>
        <w:jc w:val="both"/>
      </w:pPr>
      <w:r>
        <w:t>我方按照启动准备、联合调研、事实核验、诊断评审、四域规划、配置实施、运行评价、成果移交组织工作。启动阶段建立人员对接、资料目录、授权清单和工作计划；调研阶段开展访谈、文档审阅、系统取证、样本核对；诊断阶段形成差距分类、整改优先级和供给能力结论；规划阶段完成目标、职责、架构、资产制度与实施任务设计；实施阶段配置平台、运行流程、验证规则；移交阶段核查成果、运行证据及责任交接。</w:t>
      </w:r>
    </w:p>
    <w:p>
      <w:pPr>
        <w:jc w:val="both"/>
      </w:pPr>
      <w:r>
        <w:t>各阶段设置明确的进入条件和完成条件。进入系统取证前，确认访问范围、账号权限、取证窗口和数据保存位置；进入诊断评审前，完成证据与结论的双向关联，对事实冲突组织补充核验；进入规划批准前，核对整改任务、责任部门、资源需求及建设依赖；进入平台正式运行前，完成规则测试、审批验证、权限检查和异常恢复验证。未完成事项进入问题台账，明确影响、处置措施和复核责任，不以口头约定替代可执行记录。</w:t>
      </w:r>
    </w:p>
    <w:p>
      <w:pPr>
        <w:jc w:val="both"/>
      </w:pPr>
      <w:r>
        <w:t>建设安排纳入项目总计划，建设周期至2028年5月，按招标要求在2028年5月前完成终验收，质保期自甲方终验收合格之日起不少于12个月。我方在项目启动后编制详细日历计划，将合同生效、接口联通、基础治理、数据集生产、场景验证、正式评估和终验等节点进行关联，按关键依赖倒排任务。实施过程中采用阶段滚动计划和周度任务跟踪，发生依赖变化时调整作业顺序、并行任务和资源安排，保持项目目标及交付要求完整。</w:t>
      </w:r>
    </w:p>
    <w:p>
      <w:pPr>
        <w:pStyle w:val="Heading2"/>
      </w:pPr>
      <w:r>
        <w:t>1.4 统一基线与变更管理</w:t>
      </w:r>
    </w:p>
    <w:p>
      <w:pPr>
        <w:jc w:val="both"/>
      </w:pPr>
      <w:r>
        <w:t>项目建立招标要求基线、业务范围基线、现状证据基线、数据定义基线、规划成果基线和实施配置基线。招标要求作为建设范围、成果内容及验收的依据；现状证据记录取证时间和适用范围；数据定义明确业务含义、单位、值域、时间口径及责任；规划成果记录审批版本；实施配置与批准的规则版本绑定。上述基线通过唯一标识关联，任何一项变更均可查询其影响的业务域、接口、模型、数据集、指标和服务。</w:t>
      </w:r>
    </w:p>
    <w:p>
      <w:pPr>
        <w:jc w:val="both"/>
      </w:pPr>
      <w:r>
        <w:t>评估准备阶段核验 GB/T 36073 的有效版本、适用要求及正式评估机构的要求，建立受控标准清单。招标文件要求的九个能力域分别建账，具体核查条目与适用标准建立对应关系，保留条款、证据、判断、整改和复核的映射。标准版本发生变化时，由评估负责人组织差异分析，调整核查表、取证范围与实施计划，并保留批准记录。成熟度结论依据实际证据及适用评估规则形成，正式评估由相应机构实施。</w:t>
      </w:r>
    </w:p>
    <w:p>
      <w:pPr>
        <w:jc w:val="both"/>
      </w:pPr>
      <w:r>
        <w:t>变更申请记录原内容、新内容、业务原因、影响对象、实施窗口、验证方法和回退安排。业务定义由业务归口部门确认，技术实现由架构及实施岗位审核，安全与权属事项由相关职能审核，跨域重大事项提交决策层。变更批准后同步更新文件、平台配置和培训材料；对已交付数据集、已发布服务及已形成的统计结果逐项判断是否需要更正、重算或重新发布。</w:t>
      </w:r>
    </w:p>
    <w:p>
      <w:pPr>
        <w:pStyle w:val="Heading1"/>
      </w:pPr>
      <w:r>
        <w:t>2 数据治理现状评估</w:t>
      </w:r>
    </w:p>
    <w:p>
      <w:pPr>
        <w:pStyle w:val="Heading2"/>
      </w:pPr>
      <w:r>
        <w:t>2.1 评估准备与证据管理</w:t>
      </w:r>
    </w:p>
    <w:p>
      <w:pPr>
        <w:jc w:val="both"/>
      </w:pPr>
      <w:r>
        <w:t>我方在启动阶段建立九域评估清单，逐项明确核查目的、适用要求、访谈岗位、所需资料、系统证据、样本对象及判定方法。各业务域设置业务对接人，信息化部门协调系统和技术资料，制度归口部门提供现行文件及审批记录，安全管理岗位审核数据访问条件。我方负责组织调研、实施核验、整理证据、编制诊断和推动问题复核，甲方相关岗位确认业务事实及责任归属。</w:t>
      </w:r>
    </w:p>
    <w:p>
      <w:pPr>
        <w:jc w:val="both"/>
      </w:pPr>
      <w:r>
        <w:t>资料收集覆盖组织架构、岗位职责、制度流程、数据标准、系统目录、数据字典、接口文档、模型设计、质量记录、权限审批、运维日志、培训考核和数据使用记录。每份资料登记名称、编号、形成部门、版本、发布日期、生效状态和适用范围。存在多个版本时，核查发布与废止关系；无法确认有效版本的文件进入核实清单，保留原始资料及取得时间。</w:t>
      </w:r>
    </w:p>
    <w:p>
      <w:pPr>
        <w:jc w:val="both"/>
      </w:pPr>
      <w:r>
        <w:t>证据库按来源文件、访谈记录、系统记录、数据样本和现场核验分类管理。证据编号与取证人、取证时间、授权事项、来源位置、摘要、关联核查条目、敏感级别及保存期限绑定。电子文件保存完整性校验值，系统截图保留页面名称、查询条件和截取时间，统计结果同时保存计算逻辑、输入范围和执行记录。用于报告展示的资料经过必要的脱敏处理，受限原始证据由授权岗位按规定保管。</w:t>
      </w:r>
    </w:p>
    <w:p>
      <w:pPr>
        <w:pStyle w:val="Caption"/>
        <w:keepNext/>
      </w:pPr>
      <w:r>
        <w:t>表2-1 评估准备与证据管理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证据类别</w:t>
            </w:r>
          </w:p>
        </w:tc>
        <w:tc>
          <w:tcPr>
            <w:tcW w:type="dxa" w:w="3855"/>
            <w:vAlign w:val="center"/>
            <w:shd w:fill="EDF1F3"/>
          </w:tcPr>
          <w:p>
            <w:pPr>
              <w:keepNext/>
              <w:spacing w:line="320" w:lineRule="exact" w:after="0" w:before="0"/>
              <w:ind w:firstLine="0"/>
              <w:jc w:val="center"/>
            </w:pPr>
            <w:r>
              <w:rPr>
                <w:b/>
                <w:sz w:val="21"/>
              </w:rPr>
              <w:t>主要核查内容</w:t>
            </w:r>
          </w:p>
        </w:tc>
        <w:tc>
          <w:tcPr>
            <w:tcW w:type="dxa" w:w="3277"/>
            <w:vAlign w:val="center"/>
            <w:shd w:fill="EDF1F3"/>
          </w:tcPr>
          <w:p>
            <w:pPr>
              <w:keepNext/>
              <w:spacing w:line="320" w:lineRule="exact" w:after="0" w:before="0"/>
              <w:ind w:firstLine="0"/>
              <w:jc w:val="center"/>
            </w:pPr>
            <w:r>
              <w:rPr>
                <w:b/>
                <w:sz w:val="21"/>
              </w:rPr>
              <w:t>有效性检查</w:t>
            </w:r>
          </w:p>
        </w:tc>
      </w:tr>
      <w:tr>
        <w:trPr>
          <w:cantSplit/>
        </w:trPr>
        <w:tc>
          <w:tcPr>
            <w:tcW w:type="dxa" w:w="2506"/>
            <w:vAlign w:val="center"/>
          </w:tcPr>
          <w:p>
            <w:pPr>
              <w:keepNext w:val="0"/>
              <w:spacing w:line="320" w:lineRule="exact" w:after="0" w:before="0"/>
              <w:ind w:firstLine="0"/>
              <w:jc w:val="left"/>
            </w:pPr>
            <w:r>
              <w:rPr>
                <w:b w:val="0"/>
                <w:sz w:val="21"/>
              </w:rPr>
              <w:t>组织与岗位文件</w:t>
            </w:r>
          </w:p>
        </w:tc>
        <w:tc>
          <w:tcPr>
            <w:tcW w:type="dxa" w:w="3855"/>
            <w:vAlign w:val="center"/>
          </w:tcPr>
          <w:p>
            <w:pPr>
              <w:keepNext w:val="0"/>
              <w:spacing w:line="320" w:lineRule="exact" w:after="0" w:before="0"/>
              <w:ind w:firstLine="0"/>
              <w:jc w:val="left"/>
            </w:pPr>
            <w:r>
              <w:rPr>
                <w:b w:val="0"/>
                <w:sz w:val="21"/>
              </w:rPr>
              <w:t>职责、授权、岗位设置及责任分工</w:t>
            </w:r>
          </w:p>
        </w:tc>
        <w:tc>
          <w:tcPr>
            <w:tcW w:type="dxa" w:w="3277"/>
            <w:vAlign w:val="center"/>
          </w:tcPr>
          <w:p>
            <w:pPr>
              <w:keepNext w:val="0"/>
              <w:spacing w:line="320" w:lineRule="exact" w:after="0" w:before="0"/>
              <w:ind w:firstLine="0"/>
              <w:jc w:val="left"/>
            </w:pPr>
            <w:r>
              <w:rPr>
                <w:b w:val="0"/>
                <w:sz w:val="21"/>
              </w:rPr>
              <w:t>审批有效、岗位可对应、实际承担人明确</w:t>
            </w:r>
          </w:p>
        </w:tc>
      </w:tr>
      <w:tr>
        <w:trPr>
          <w:cantSplit/>
        </w:trPr>
        <w:tc>
          <w:tcPr>
            <w:tcW w:type="dxa" w:w="2506"/>
            <w:vAlign w:val="center"/>
          </w:tcPr>
          <w:p>
            <w:pPr>
              <w:keepNext w:val="0"/>
              <w:spacing w:line="320" w:lineRule="exact" w:after="0" w:before="0"/>
              <w:ind w:firstLine="0"/>
              <w:jc w:val="left"/>
            </w:pPr>
            <w:r>
              <w:rPr>
                <w:b w:val="0"/>
                <w:sz w:val="21"/>
              </w:rPr>
              <w:t>制度与流程文件</w:t>
            </w:r>
          </w:p>
        </w:tc>
        <w:tc>
          <w:tcPr>
            <w:tcW w:type="dxa" w:w="3855"/>
            <w:vAlign w:val="center"/>
          </w:tcPr>
          <w:p>
            <w:pPr>
              <w:keepNext w:val="0"/>
              <w:spacing w:line="320" w:lineRule="exact" w:after="0" w:before="0"/>
              <w:ind w:firstLine="0"/>
              <w:jc w:val="left"/>
            </w:pPr>
            <w:r>
              <w:rPr>
                <w:b w:val="0"/>
                <w:sz w:val="21"/>
              </w:rPr>
              <w:t>规则、输入输出、审批与例外处置</w:t>
            </w:r>
          </w:p>
        </w:tc>
        <w:tc>
          <w:tcPr>
            <w:tcW w:type="dxa" w:w="3277"/>
            <w:vAlign w:val="center"/>
          </w:tcPr>
          <w:p>
            <w:pPr>
              <w:keepNext w:val="0"/>
              <w:spacing w:line="320" w:lineRule="exact" w:after="0" w:before="0"/>
              <w:ind w:firstLine="0"/>
              <w:jc w:val="left"/>
            </w:pPr>
            <w:r>
              <w:rPr>
                <w:b w:val="0"/>
                <w:sz w:val="21"/>
              </w:rPr>
              <w:t>现行版本、适用范围、执行记录能够关联</w:t>
            </w:r>
          </w:p>
        </w:tc>
      </w:tr>
      <w:tr>
        <w:trPr>
          <w:cantSplit/>
        </w:trPr>
        <w:tc>
          <w:tcPr>
            <w:tcW w:type="dxa" w:w="2506"/>
            <w:vAlign w:val="center"/>
          </w:tcPr>
          <w:p>
            <w:pPr>
              <w:keepNext w:val="0"/>
              <w:spacing w:line="320" w:lineRule="exact" w:after="0" w:before="0"/>
              <w:ind w:firstLine="0"/>
              <w:jc w:val="left"/>
            </w:pPr>
            <w:r>
              <w:rPr>
                <w:b w:val="0"/>
                <w:sz w:val="21"/>
              </w:rPr>
              <w:t>系统与运行记录</w:t>
            </w:r>
          </w:p>
        </w:tc>
        <w:tc>
          <w:tcPr>
            <w:tcW w:type="dxa" w:w="3855"/>
            <w:vAlign w:val="center"/>
          </w:tcPr>
          <w:p>
            <w:pPr>
              <w:keepNext w:val="0"/>
              <w:spacing w:line="320" w:lineRule="exact" w:after="0" w:before="0"/>
              <w:ind w:firstLine="0"/>
              <w:jc w:val="left"/>
            </w:pPr>
            <w:r>
              <w:rPr>
                <w:b w:val="0"/>
                <w:sz w:val="21"/>
              </w:rPr>
              <w:t>配置、任务、审批、访问及异常处置</w:t>
            </w:r>
          </w:p>
        </w:tc>
        <w:tc>
          <w:tcPr>
            <w:tcW w:type="dxa" w:w="3277"/>
            <w:vAlign w:val="center"/>
          </w:tcPr>
          <w:p>
            <w:pPr>
              <w:keepNext w:val="0"/>
              <w:spacing w:line="320" w:lineRule="exact" w:after="0" w:before="0"/>
              <w:ind w:firstLine="0"/>
              <w:jc w:val="left"/>
            </w:pPr>
            <w:r>
              <w:rPr>
                <w:b w:val="0"/>
                <w:sz w:val="21"/>
              </w:rPr>
              <w:t>来源可查、时间完整、记录未被人工改写</w:t>
            </w:r>
          </w:p>
        </w:tc>
      </w:tr>
      <w:tr>
        <w:trPr>
          <w:cantSplit/>
        </w:trPr>
        <w:tc>
          <w:tcPr>
            <w:tcW w:type="dxa" w:w="2506"/>
            <w:vAlign w:val="center"/>
          </w:tcPr>
          <w:p>
            <w:pPr>
              <w:keepNext w:val="0"/>
              <w:spacing w:line="320" w:lineRule="exact" w:after="0" w:before="0"/>
              <w:ind w:firstLine="0"/>
              <w:jc w:val="left"/>
            </w:pPr>
            <w:r>
              <w:rPr>
                <w:b w:val="0"/>
                <w:sz w:val="21"/>
              </w:rPr>
              <w:t>数据与样本</w:t>
            </w:r>
          </w:p>
        </w:tc>
        <w:tc>
          <w:tcPr>
            <w:tcW w:type="dxa" w:w="3855"/>
            <w:vAlign w:val="center"/>
          </w:tcPr>
          <w:p>
            <w:pPr>
              <w:keepNext w:val="0"/>
              <w:spacing w:line="320" w:lineRule="exact" w:after="0" w:before="0"/>
              <w:ind w:firstLine="0"/>
              <w:jc w:val="left"/>
            </w:pPr>
            <w:r>
              <w:rPr>
                <w:b w:val="0"/>
                <w:sz w:val="21"/>
              </w:rPr>
              <w:t>标识、字段、质量、关联和时间分布</w:t>
            </w:r>
          </w:p>
        </w:tc>
        <w:tc>
          <w:tcPr>
            <w:tcW w:type="dxa" w:w="3277"/>
            <w:vAlign w:val="center"/>
          </w:tcPr>
          <w:p>
            <w:pPr>
              <w:keepNext w:val="0"/>
              <w:spacing w:line="320" w:lineRule="exact" w:after="0" w:before="0"/>
              <w:ind w:firstLine="0"/>
              <w:jc w:val="left"/>
            </w:pPr>
            <w:r>
              <w:rPr>
                <w:b w:val="0"/>
                <w:sz w:val="21"/>
              </w:rPr>
              <w:t>取样边界明确、方法可复现、分母可核对</w:t>
            </w:r>
          </w:p>
        </w:tc>
      </w:tr>
      <w:tr>
        <w:trPr>
          <w:cantSplit/>
        </w:trPr>
        <w:tc>
          <w:tcPr>
            <w:tcW w:type="dxa" w:w="2506"/>
            <w:vAlign w:val="center"/>
          </w:tcPr>
          <w:p>
            <w:pPr>
              <w:keepNext w:val="0"/>
              <w:spacing w:line="320" w:lineRule="exact" w:after="0" w:before="0"/>
              <w:ind w:firstLine="0"/>
              <w:jc w:val="left"/>
            </w:pPr>
            <w:r>
              <w:rPr>
                <w:b w:val="0"/>
                <w:sz w:val="21"/>
              </w:rPr>
              <w:t>访谈与现场核验</w:t>
            </w:r>
          </w:p>
        </w:tc>
        <w:tc>
          <w:tcPr>
            <w:tcW w:type="dxa" w:w="3855"/>
            <w:vAlign w:val="center"/>
          </w:tcPr>
          <w:p>
            <w:pPr>
              <w:keepNext w:val="0"/>
              <w:spacing w:line="320" w:lineRule="exact" w:after="0" w:before="0"/>
              <w:ind w:firstLine="0"/>
              <w:jc w:val="left"/>
            </w:pPr>
            <w:r>
              <w:rPr>
                <w:b w:val="0"/>
                <w:sz w:val="21"/>
              </w:rPr>
              <w:t>操作过程、实际困难及责任衔接</w:t>
            </w:r>
          </w:p>
        </w:tc>
        <w:tc>
          <w:tcPr>
            <w:tcW w:type="dxa" w:w="3277"/>
            <w:vAlign w:val="center"/>
          </w:tcPr>
          <w:p>
            <w:pPr>
              <w:keepNext w:val="0"/>
              <w:spacing w:line="320" w:lineRule="exact" w:after="0" w:before="0"/>
              <w:ind w:firstLine="0"/>
              <w:jc w:val="left"/>
            </w:pPr>
            <w:r>
              <w:rPr>
                <w:b w:val="0"/>
                <w:sz w:val="21"/>
              </w:rPr>
              <w:t>受访岗位确认、与文件和系统证据相互核对</w:t>
            </w:r>
          </w:p>
        </w:tc>
      </w:tr>
    </w:tbl>
    <w:p>
      <w:pPr>
        <w:spacing w:after="40" w:line="240" w:lineRule="auto"/>
        <w:ind w:firstLine="0"/>
      </w:pPr>
      <w:r>
        <w:rPr>
          <w:sz w:val="4"/>
        </w:rPr>
      </w:r>
    </w:p>
    <w:p>
      <w:pPr>
        <w:pStyle w:val="Heading2"/>
      </w:pPr>
      <w:r>
        <w:t>2.2 联合调研与访谈实施</w:t>
      </w:r>
    </w:p>
    <w:p>
      <w:pPr>
        <w:jc w:val="both"/>
      </w:pPr>
      <w:r>
        <w:t>访谈按决策、管理、执行三个层级组织。决策层重点确认业务发展目标、治理责任、资源安排和跨部门决策方式；管理层重点核对制度制定、任务分解、绩效评价及异常升级；执行层重点核对数据录入、审核、变更、取用、交接和问题处置。相同事项分别访问规则制定岗位、实际操作岗位和下游使用岗位，核实各方对职责、口径和处理结果的理解是否一致。</w:t>
      </w:r>
    </w:p>
    <w:p>
      <w:pPr>
        <w:jc w:val="both"/>
      </w:pPr>
      <w:r>
        <w:t>访谈前发送主题和资料目录，受访岗位结合真实业务准备近期案例。访谈围绕一项业务的发起、处理、审批、形成数据、下游使用和归档过程展开，逐步核对每个环节的数据对象、系统操作、责任人和记录。对“通常如此”“系统自动处理”等回答继续核查触发条件、配置位置、失败处理和例外路径，取得实际操作记录后形成结论。</w:t>
      </w:r>
    </w:p>
    <w:p>
      <w:pPr>
        <w:jc w:val="both"/>
      </w:pPr>
      <w:r>
        <w:t>访谈记录区分已核实事实、岗位陈述、待核查事项和改进需求。已核实事实附证据编号，岗位陈述保留受访角色及原始含义，待核查事项明确补充资料和核验责任。访谈要点由受访岗位确认后归档；存在分歧时分别记录各方口径，通过源数据、制度、审批记录和业务结果进行复核。事实未完成核验前，相关结论保留为待核实状态，不据此预先确定企业成熟度等级或认定责任。</w:t>
      </w:r>
    </w:p>
    <w:p>
      <w:pPr>
        <w:pStyle w:val="Caption"/>
        <w:keepNext/>
      </w:pPr>
      <w:r>
        <w:t>表2-2 联合调研与访谈实施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访谈范围</w:t>
            </w:r>
          </w:p>
        </w:tc>
        <w:tc>
          <w:tcPr>
            <w:tcW w:type="dxa" w:w="3855"/>
            <w:vAlign w:val="center"/>
            <w:shd w:fill="EDF1F3"/>
          </w:tcPr>
          <w:p>
            <w:pPr>
              <w:keepNext/>
              <w:spacing w:line="320" w:lineRule="exact" w:after="0" w:before="0"/>
              <w:ind w:firstLine="0"/>
              <w:jc w:val="center"/>
            </w:pPr>
            <w:r>
              <w:rPr>
                <w:b/>
                <w:sz w:val="21"/>
              </w:rPr>
              <w:t>重点业务问题</w:t>
            </w:r>
          </w:p>
        </w:tc>
        <w:tc>
          <w:tcPr>
            <w:tcW w:type="dxa" w:w="3277"/>
            <w:vAlign w:val="center"/>
            <w:shd w:fill="EDF1F3"/>
          </w:tcPr>
          <w:p>
            <w:pPr>
              <w:keepNext/>
              <w:spacing w:line="320" w:lineRule="exact" w:after="0" w:before="0"/>
              <w:ind w:firstLine="0"/>
              <w:jc w:val="center"/>
            </w:pPr>
            <w:r>
              <w:rPr>
                <w:b/>
                <w:sz w:val="21"/>
              </w:rPr>
              <w:t>配套核验对象</w:t>
            </w:r>
          </w:p>
        </w:tc>
      </w:tr>
      <w:tr>
        <w:trPr>
          <w:cantSplit/>
        </w:trPr>
        <w:tc>
          <w:tcPr>
            <w:tcW w:type="dxa" w:w="2506"/>
            <w:vAlign w:val="center"/>
          </w:tcPr>
          <w:p>
            <w:pPr>
              <w:keepNext w:val="0"/>
              <w:spacing w:line="320" w:lineRule="exact" w:after="0" w:before="0"/>
              <w:ind w:firstLine="0"/>
              <w:jc w:val="left"/>
            </w:pPr>
            <w:r>
              <w:rPr>
                <w:b w:val="0"/>
                <w:sz w:val="21"/>
              </w:rPr>
              <w:t>经营与管理层</w:t>
            </w:r>
          </w:p>
        </w:tc>
        <w:tc>
          <w:tcPr>
            <w:tcW w:type="dxa" w:w="3855"/>
            <w:vAlign w:val="center"/>
          </w:tcPr>
          <w:p>
            <w:pPr>
              <w:keepNext w:val="0"/>
              <w:spacing w:line="320" w:lineRule="exact" w:after="0" w:before="0"/>
              <w:ind w:firstLine="0"/>
              <w:jc w:val="left"/>
            </w:pPr>
            <w:r>
              <w:rPr>
                <w:b w:val="0"/>
                <w:sz w:val="21"/>
              </w:rPr>
              <w:t>数据建设目标、投入、责任、跨域争议</w:t>
            </w:r>
          </w:p>
        </w:tc>
        <w:tc>
          <w:tcPr>
            <w:tcW w:type="dxa" w:w="3277"/>
            <w:vAlign w:val="center"/>
          </w:tcPr>
          <w:p>
            <w:pPr>
              <w:keepNext w:val="0"/>
              <w:spacing w:line="320" w:lineRule="exact" w:after="0" w:before="0"/>
              <w:ind w:firstLine="0"/>
              <w:jc w:val="left"/>
            </w:pPr>
            <w:r>
              <w:rPr>
                <w:b w:val="0"/>
                <w:sz w:val="21"/>
              </w:rPr>
              <w:t>战略任务、会议决策、资源审批</w:t>
            </w:r>
          </w:p>
        </w:tc>
      </w:tr>
      <w:tr>
        <w:trPr>
          <w:cantSplit/>
        </w:trPr>
        <w:tc>
          <w:tcPr>
            <w:tcW w:type="dxa" w:w="2506"/>
            <w:vAlign w:val="center"/>
          </w:tcPr>
          <w:p>
            <w:pPr>
              <w:keepNext w:val="0"/>
              <w:spacing w:line="320" w:lineRule="exact" w:after="0" w:before="0"/>
              <w:ind w:firstLine="0"/>
              <w:jc w:val="left"/>
            </w:pPr>
            <w:r>
              <w:rPr>
                <w:b w:val="0"/>
                <w:sz w:val="21"/>
              </w:rPr>
              <w:t>研发与工艺岗位</w:t>
            </w:r>
          </w:p>
        </w:tc>
        <w:tc>
          <w:tcPr>
            <w:tcW w:type="dxa" w:w="3855"/>
            <w:vAlign w:val="center"/>
          </w:tcPr>
          <w:p>
            <w:pPr>
              <w:keepNext w:val="0"/>
              <w:spacing w:line="320" w:lineRule="exact" w:after="0" w:before="0"/>
              <w:ind w:firstLine="0"/>
              <w:jc w:val="left"/>
            </w:pPr>
            <w:r>
              <w:rPr>
                <w:b w:val="0"/>
                <w:sz w:val="21"/>
              </w:rPr>
              <w:t>产品结构、图纸、工艺及版本关系</w:t>
            </w:r>
          </w:p>
        </w:tc>
        <w:tc>
          <w:tcPr>
            <w:tcW w:type="dxa" w:w="3277"/>
            <w:vAlign w:val="center"/>
          </w:tcPr>
          <w:p>
            <w:pPr>
              <w:keepNext w:val="0"/>
              <w:spacing w:line="320" w:lineRule="exact" w:after="0" w:before="0"/>
              <w:ind w:firstLine="0"/>
              <w:jc w:val="left"/>
            </w:pPr>
            <w:r>
              <w:rPr>
                <w:b w:val="0"/>
                <w:sz w:val="21"/>
              </w:rPr>
              <w:t>发布记录、变更单、对象关联</w:t>
            </w:r>
          </w:p>
        </w:tc>
      </w:tr>
      <w:tr>
        <w:trPr>
          <w:cantSplit/>
        </w:trPr>
        <w:tc>
          <w:tcPr>
            <w:tcW w:type="dxa" w:w="2506"/>
            <w:vAlign w:val="center"/>
          </w:tcPr>
          <w:p>
            <w:pPr>
              <w:keepNext w:val="0"/>
              <w:spacing w:line="320" w:lineRule="exact" w:after="0" w:before="0"/>
              <w:ind w:firstLine="0"/>
              <w:jc w:val="left"/>
            </w:pPr>
            <w:r>
              <w:rPr>
                <w:b w:val="0"/>
                <w:sz w:val="21"/>
              </w:rPr>
              <w:t>制造与设备岗位</w:t>
            </w:r>
          </w:p>
        </w:tc>
        <w:tc>
          <w:tcPr>
            <w:tcW w:type="dxa" w:w="3855"/>
            <w:vAlign w:val="center"/>
          </w:tcPr>
          <w:p>
            <w:pPr>
              <w:keepNext w:val="0"/>
              <w:spacing w:line="320" w:lineRule="exact" w:after="0" w:before="0"/>
              <w:ind w:firstLine="0"/>
              <w:jc w:val="left"/>
            </w:pPr>
            <w:r>
              <w:rPr>
                <w:b w:val="0"/>
                <w:sz w:val="21"/>
              </w:rPr>
              <w:t>工单、工序、设备、测点及过程事件</w:t>
            </w:r>
          </w:p>
        </w:tc>
        <w:tc>
          <w:tcPr>
            <w:tcW w:type="dxa" w:w="3277"/>
            <w:vAlign w:val="center"/>
          </w:tcPr>
          <w:p>
            <w:pPr>
              <w:keepNext w:val="0"/>
              <w:spacing w:line="320" w:lineRule="exact" w:after="0" w:before="0"/>
              <w:ind w:firstLine="0"/>
              <w:jc w:val="left"/>
            </w:pPr>
            <w:r>
              <w:rPr>
                <w:b w:val="0"/>
                <w:sz w:val="21"/>
              </w:rPr>
              <w:t>执行记录、时序片段、异常工单</w:t>
            </w:r>
          </w:p>
        </w:tc>
      </w:tr>
      <w:tr>
        <w:trPr>
          <w:cantSplit/>
        </w:trPr>
        <w:tc>
          <w:tcPr>
            <w:tcW w:type="dxa" w:w="2506"/>
            <w:vAlign w:val="center"/>
          </w:tcPr>
          <w:p>
            <w:pPr>
              <w:keepNext w:val="0"/>
              <w:spacing w:line="320" w:lineRule="exact" w:after="0" w:before="0"/>
              <w:ind w:firstLine="0"/>
              <w:jc w:val="left"/>
            </w:pPr>
            <w:r>
              <w:rPr>
                <w:b w:val="0"/>
                <w:sz w:val="21"/>
              </w:rPr>
              <w:t>仓储采购营销岗位</w:t>
            </w:r>
          </w:p>
        </w:tc>
        <w:tc>
          <w:tcPr>
            <w:tcW w:type="dxa" w:w="3855"/>
            <w:vAlign w:val="center"/>
          </w:tcPr>
          <w:p>
            <w:pPr>
              <w:keepNext w:val="0"/>
              <w:spacing w:line="320" w:lineRule="exact" w:after="0" w:before="0"/>
              <w:ind w:firstLine="0"/>
              <w:jc w:val="left"/>
            </w:pPr>
            <w:r>
              <w:rPr>
                <w:b w:val="0"/>
                <w:sz w:val="21"/>
              </w:rPr>
              <w:t>物料、订单、库存、交付及客户信息</w:t>
            </w:r>
          </w:p>
        </w:tc>
        <w:tc>
          <w:tcPr>
            <w:tcW w:type="dxa" w:w="3277"/>
            <w:vAlign w:val="center"/>
          </w:tcPr>
          <w:p>
            <w:pPr>
              <w:keepNext w:val="0"/>
              <w:spacing w:line="320" w:lineRule="exact" w:after="0" w:before="0"/>
              <w:ind w:firstLine="0"/>
              <w:jc w:val="left"/>
            </w:pPr>
            <w:r>
              <w:rPr>
                <w:b w:val="0"/>
                <w:sz w:val="21"/>
              </w:rPr>
              <w:t>单据状态、数量口径、对账记录</w:t>
            </w:r>
          </w:p>
        </w:tc>
      </w:tr>
      <w:tr>
        <w:trPr>
          <w:cantSplit/>
        </w:trPr>
        <w:tc>
          <w:tcPr>
            <w:tcW w:type="dxa" w:w="2506"/>
            <w:vAlign w:val="center"/>
          </w:tcPr>
          <w:p>
            <w:pPr>
              <w:keepNext w:val="0"/>
              <w:spacing w:line="320" w:lineRule="exact" w:after="0" w:before="0"/>
              <w:ind w:firstLine="0"/>
              <w:jc w:val="left"/>
            </w:pPr>
            <w:r>
              <w:rPr>
                <w:b w:val="0"/>
                <w:sz w:val="21"/>
              </w:rPr>
              <w:t>质量与安全岗位</w:t>
            </w:r>
          </w:p>
        </w:tc>
        <w:tc>
          <w:tcPr>
            <w:tcW w:type="dxa" w:w="3855"/>
            <w:vAlign w:val="center"/>
          </w:tcPr>
          <w:p>
            <w:pPr>
              <w:keepNext w:val="0"/>
              <w:spacing w:line="320" w:lineRule="exact" w:after="0" w:before="0"/>
              <w:ind w:firstLine="0"/>
              <w:jc w:val="left"/>
            </w:pPr>
            <w:r>
              <w:rPr>
                <w:b w:val="0"/>
                <w:sz w:val="21"/>
              </w:rPr>
              <w:t>判定依据、质量问题、数据权限</w:t>
            </w:r>
          </w:p>
        </w:tc>
        <w:tc>
          <w:tcPr>
            <w:tcW w:type="dxa" w:w="3277"/>
            <w:vAlign w:val="center"/>
          </w:tcPr>
          <w:p>
            <w:pPr>
              <w:keepNext w:val="0"/>
              <w:spacing w:line="320" w:lineRule="exact" w:after="0" w:before="0"/>
              <w:ind w:firstLine="0"/>
              <w:jc w:val="left"/>
            </w:pPr>
            <w:r>
              <w:rPr>
                <w:b w:val="0"/>
                <w:sz w:val="21"/>
              </w:rPr>
              <w:t>检验记录、整改单、权限审批</w:t>
            </w:r>
          </w:p>
        </w:tc>
      </w:tr>
      <w:tr>
        <w:trPr>
          <w:cantSplit/>
        </w:trPr>
        <w:tc>
          <w:tcPr>
            <w:tcW w:type="dxa" w:w="2506"/>
            <w:vAlign w:val="center"/>
          </w:tcPr>
          <w:p>
            <w:pPr>
              <w:keepNext w:val="0"/>
              <w:spacing w:line="320" w:lineRule="exact" w:after="0" w:before="0"/>
              <w:ind w:firstLine="0"/>
              <w:jc w:val="left"/>
            </w:pPr>
            <w:r>
              <w:rPr>
                <w:b w:val="0"/>
                <w:sz w:val="21"/>
              </w:rPr>
              <w:t>财务人力及信息化岗位</w:t>
            </w:r>
          </w:p>
        </w:tc>
        <w:tc>
          <w:tcPr>
            <w:tcW w:type="dxa" w:w="3855"/>
            <w:vAlign w:val="center"/>
          </w:tcPr>
          <w:p>
            <w:pPr>
              <w:keepNext w:val="0"/>
              <w:spacing w:line="320" w:lineRule="exact" w:after="0" w:before="0"/>
              <w:ind w:firstLine="0"/>
              <w:jc w:val="left"/>
            </w:pPr>
            <w:r>
              <w:rPr>
                <w:b w:val="0"/>
                <w:sz w:val="21"/>
              </w:rPr>
              <w:t>经营口径、组织责任、系统与接口</w:t>
            </w:r>
          </w:p>
        </w:tc>
        <w:tc>
          <w:tcPr>
            <w:tcW w:type="dxa" w:w="3277"/>
            <w:vAlign w:val="center"/>
          </w:tcPr>
          <w:p>
            <w:pPr>
              <w:keepNext w:val="0"/>
              <w:spacing w:line="320" w:lineRule="exact" w:after="0" w:before="0"/>
              <w:ind w:firstLine="0"/>
              <w:jc w:val="left"/>
            </w:pPr>
            <w:r>
              <w:rPr>
                <w:b w:val="0"/>
                <w:sz w:val="21"/>
              </w:rPr>
              <w:t>统计底表、岗位目录、系统日志</w:t>
            </w:r>
          </w:p>
        </w:tc>
      </w:tr>
    </w:tbl>
    <w:p>
      <w:pPr>
        <w:spacing w:after="40" w:line="240" w:lineRule="auto"/>
        <w:ind w:firstLine="0"/>
      </w:pPr>
      <w:r>
        <w:rPr>
          <w:sz w:val="4"/>
        </w:rPr>
      </w:r>
    </w:p>
    <w:p>
      <w:pPr>
        <w:pStyle w:val="Heading2"/>
      </w:pPr>
      <w:r>
        <w:t>2.3 文档审阅与系统核验</w:t>
      </w:r>
    </w:p>
    <w:p>
      <w:pPr>
        <w:jc w:val="both"/>
      </w:pPr>
      <w:r>
        <w:t>文档审阅先核查制度覆盖范围，再核查条款是否具备执行条件。对每项要求检查责任岗位、触发条件、操作步骤、输入输出、审批权限、记录保存和例外处置是否明确。制度引用其他文件时继续核查被引用文件的有效性和适用范围；规定由系统自动控制的条款同时检查系统配置；要求人工审核的条款抽查实际审核记录。</w:t>
      </w:r>
    </w:p>
    <w:p>
      <w:pPr>
        <w:jc w:val="both"/>
      </w:pPr>
      <w:r>
        <w:t>系统核验在甲方授权范围内开展，优先使用只读接口、只读账号、数据副本或经批准的离线样本。取证前评估查询负载，限定查询窗口、记录范围和并发，避免影响业务系统运行。数据质量统计尽可能在源侧执行聚合，将结果、查询条件和必要样本纳入证据库。确需导出明细时，登记字段范围、用途、接收位置和删除或归档安排。</w:t>
      </w:r>
    </w:p>
    <w:p>
      <w:pPr>
        <w:jc w:val="both"/>
      </w:pPr>
      <w:r>
        <w:t>系统控制核查包括账号与职责是否对应、审批是否能够被绕过、关键配置是否受控、作业是否有监控、异常是否有责任人、变更是否留痕。核对主数据新增与审批流水时，按业务主键、创建时间、来源批次和业务类型逐项匹配，排除依法批准的批量导入、迁移和历史补录等情况，再判断未匹配记录的性质。对系统功能存在但无实际使用记录的情况，分别记录功能可用性和流程执行情况。</w:t>
      </w:r>
    </w:p>
    <w:p>
      <w:pPr>
        <w:jc w:val="both"/>
      </w:pPr>
      <w:r>
        <w:t>技术核验结果与业务确认结合使用。字段非空仅证明有值，还需验证值域、单位、业务状态和可解释性；标识唯一还需核对是否代表同一个业务对象；接口成功还需核对是否完整返回预期数据；任务运行成功还需核对输出质量和下游实际消费。对系统时钟、时区、设备时间和日志时间进行比对，防止时间误差影响取证判断。</w:t>
      </w:r>
    </w:p>
    <w:p>
      <w:pPr>
        <w:pStyle w:val="Heading2"/>
      </w:pPr>
      <w:r>
        <w:t>2.4 九个能力域核查</w:t>
      </w:r>
    </w:p>
    <w:p>
      <w:pPr>
        <w:jc w:val="both"/>
      </w:pPr>
      <w:r>
        <w:t>数据战略核查业务发展目标与数据建设目标是否一致，战略任务是否分解到业务部门，资源是否落实，执行偏差是否进入评估。重点核对战略文件、年度计划、预算安排、任务跟踪和决策记录之间的对应关系，对缺乏责任、缺乏时点或无法度量的任务逐项登记。</w:t>
      </w:r>
    </w:p>
    <w:p>
      <w:pPr>
        <w:jc w:val="both"/>
      </w:pPr>
      <w:r>
        <w:t>数据治理核查决策层、管理层、执行层是否形成职责分工，跨部门问题是否有固定的受理和裁决路径，制度是否包含管理办法、实施细则与操作规范，岗位是否具备实际执行能力。核对会议决议与后续任务是否对应、制度发布与培训是否衔接、考核结果与问题改进是否关联。</w:t>
      </w:r>
    </w:p>
    <w:p>
      <w:pPr>
        <w:jc w:val="both"/>
      </w:pPr>
      <w:r>
        <w:t>数据架构核查模型粒度、分层职责、对象关联、数据分布、集成共享、元数据和血缘管理。抽取同一业务对象沿来源、加工、汇总和服务链路逐级检查，核实字段含义、单位转换、状态筛选和时间区间是否一致。对缺失的模型定义、依赖关系、接口责任和变更通知机制形成明确差距。</w:t>
      </w:r>
    </w:p>
    <w:p>
      <w:pPr>
        <w:jc w:val="both"/>
      </w:pPr>
      <w:r>
        <w:t>数据资产核查来源登记、权属依据、目录维护、价值评估和使用授权。选取不同来源、不同数据形态和不同敏感级别的资源，检查原始数据与加工成果之间的关系，确认资产登记是否能够追溯到来源、版本、合同或授权文件，核实目录状态与实际可用性是否相符。</w:t>
      </w:r>
    </w:p>
    <w:p>
      <w:pPr>
        <w:jc w:val="both"/>
      </w:pPr>
      <w:r>
        <w:t>数据标准核查业务术语、数据元、参考数据、主数据及指标口径的制定、发布、落标和变更。对同名异义、异名同义、单位不同、编码重复和版本混用进行分类记录。质量核查覆盖完整性、准确性、一致性、唯一性、及时性、有效性，核对规则、检查、分析、整改和复核能否连成完整处理过程。</w:t>
      </w:r>
    </w:p>
    <w:p>
      <w:pPr>
        <w:jc w:val="both"/>
      </w:pPr>
      <w:r>
        <w:t>数据安全核查分类分级、身份权限、访问审计、数据脱敏、使用限制及事件处置。数据生存周期核查需求、设计、采集、处理、存储、共享、归档和退役过程。数据应用流通核查使用需求、共享服务、接口发布、调用计量、用户反馈及退出机制。各域核查同时检查文件、配置、记录和实际结果，形成管理能力与实施能力相互印证的结论。</w:t>
      </w:r>
    </w:p>
    <w:p>
      <w:pPr>
        <w:pStyle w:val="Caption"/>
        <w:keepNext/>
      </w:pPr>
      <w:r>
        <w:t>表2-3 九个能力域核查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能力域</w:t>
            </w:r>
          </w:p>
        </w:tc>
        <w:tc>
          <w:tcPr>
            <w:tcW w:type="dxa" w:w="3855"/>
            <w:vAlign w:val="center"/>
            <w:shd w:fill="EDF1F3"/>
          </w:tcPr>
          <w:p>
            <w:pPr>
              <w:keepNext/>
              <w:spacing w:line="320" w:lineRule="exact" w:after="0" w:before="0"/>
              <w:ind w:firstLine="0"/>
              <w:jc w:val="center"/>
            </w:pPr>
            <w:r>
              <w:rPr>
                <w:b/>
                <w:sz w:val="21"/>
              </w:rPr>
              <w:t>组织与制度核查</w:t>
            </w:r>
          </w:p>
        </w:tc>
        <w:tc>
          <w:tcPr>
            <w:tcW w:type="dxa" w:w="3277"/>
            <w:vAlign w:val="center"/>
            <w:shd w:fill="EDF1F3"/>
          </w:tcPr>
          <w:p>
            <w:pPr>
              <w:keepNext/>
              <w:spacing w:line="320" w:lineRule="exact" w:after="0" w:before="0"/>
              <w:ind w:firstLine="0"/>
              <w:jc w:val="center"/>
            </w:pPr>
            <w:r>
              <w:rPr>
                <w:b/>
                <w:sz w:val="21"/>
              </w:rPr>
              <w:t>流程与工具核查</w:t>
            </w:r>
          </w:p>
        </w:tc>
      </w:tr>
      <w:tr>
        <w:trPr>
          <w:cantSplit/>
        </w:trPr>
        <w:tc>
          <w:tcPr>
            <w:tcW w:type="dxa" w:w="2506"/>
            <w:vAlign w:val="center"/>
          </w:tcPr>
          <w:p>
            <w:pPr>
              <w:keepNext w:val="0"/>
              <w:spacing w:line="320" w:lineRule="exact" w:after="0" w:before="0"/>
              <w:ind w:firstLine="0"/>
              <w:jc w:val="left"/>
            </w:pPr>
            <w:r>
              <w:rPr>
                <w:b w:val="0"/>
                <w:sz w:val="21"/>
              </w:rPr>
              <w:t>数据战略</w:t>
            </w:r>
          </w:p>
        </w:tc>
        <w:tc>
          <w:tcPr>
            <w:tcW w:type="dxa" w:w="3855"/>
            <w:vAlign w:val="center"/>
          </w:tcPr>
          <w:p>
            <w:pPr>
              <w:keepNext w:val="0"/>
              <w:spacing w:line="320" w:lineRule="exact" w:after="0" w:before="0"/>
              <w:ind w:firstLine="0"/>
              <w:jc w:val="left"/>
            </w:pPr>
            <w:r>
              <w:rPr>
                <w:b w:val="0"/>
                <w:sz w:val="21"/>
              </w:rPr>
              <w:t>目标归口、任务责任、资源与管理办法</w:t>
            </w:r>
          </w:p>
        </w:tc>
        <w:tc>
          <w:tcPr>
            <w:tcW w:type="dxa" w:w="3277"/>
            <w:vAlign w:val="center"/>
          </w:tcPr>
          <w:p>
            <w:pPr>
              <w:keepNext w:val="0"/>
              <w:spacing w:line="320" w:lineRule="exact" w:after="0" w:before="0"/>
              <w:ind w:firstLine="0"/>
              <w:jc w:val="left"/>
            </w:pPr>
            <w:r>
              <w:rPr>
                <w:b w:val="0"/>
                <w:sz w:val="21"/>
              </w:rPr>
              <w:t>计划跟踪、执行评估、偏差处理及迭代</w:t>
            </w:r>
          </w:p>
        </w:tc>
      </w:tr>
      <w:tr>
        <w:trPr>
          <w:cantSplit/>
        </w:trPr>
        <w:tc>
          <w:tcPr>
            <w:tcW w:type="dxa" w:w="2506"/>
            <w:vAlign w:val="center"/>
          </w:tcPr>
          <w:p>
            <w:pPr>
              <w:keepNext w:val="0"/>
              <w:spacing w:line="320" w:lineRule="exact" w:after="0" w:before="0"/>
              <w:ind w:firstLine="0"/>
              <w:jc w:val="left"/>
            </w:pPr>
            <w:r>
              <w:rPr>
                <w:b w:val="0"/>
                <w:sz w:val="21"/>
              </w:rPr>
              <w:t>数据治理</w:t>
            </w:r>
          </w:p>
        </w:tc>
        <w:tc>
          <w:tcPr>
            <w:tcW w:type="dxa" w:w="3855"/>
            <w:vAlign w:val="center"/>
          </w:tcPr>
          <w:p>
            <w:pPr>
              <w:keepNext w:val="0"/>
              <w:spacing w:line="320" w:lineRule="exact" w:after="0" w:before="0"/>
              <w:ind w:firstLine="0"/>
              <w:jc w:val="left"/>
            </w:pPr>
            <w:r>
              <w:rPr>
                <w:b w:val="0"/>
                <w:sz w:val="21"/>
              </w:rPr>
              <w:t>三层组织、职责、制度及文化建设</w:t>
            </w:r>
          </w:p>
        </w:tc>
        <w:tc>
          <w:tcPr>
            <w:tcW w:type="dxa" w:w="3277"/>
            <w:vAlign w:val="center"/>
          </w:tcPr>
          <w:p>
            <w:pPr>
              <w:keepNext w:val="0"/>
              <w:spacing w:line="320" w:lineRule="exact" w:after="0" w:before="0"/>
              <w:ind w:firstLine="0"/>
              <w:jc w:val="left"/>
            </w:pPr>
            <w:r>
              <w:rPr>
                <w:b w:val="0"/>
                <w:sz w:val="21"/>
              </w:rPr>
              <w:t>协同审批、议事决策、培训和考核记录</w:t>
            </w:r>
          </w:p>
        </w:tc>
      </w:tr>
      <w:tr>
        <w:trPr>
          <w:cantSplit/>
        </w:trPr>
        <w:tc>
          <w:tcPr>
            <w:tcW w:type="dxa" w:w="2506"/>
            <w:vAlign w:val="center"/>
          </w:tcPr>
          <w:p>
            <w:pPr>
              <w:keepNext w:val="0"/>
              <w:spacing w:line="320" w:lineRule="exact" w:after="0" w:before="0"/>
              <w:ind w:firstLine="0"/>
              <w:jc w:val="left"/>
            </w:pPr>
            <w:r>
              <w:rPr>
                <w:b w:val="0"/>
                <w:sz w:val="21"/>
              </w:rPr>
              <w:t>数据架构</w:t>
            </w:r>
          </w:p>
        </w:tc>
        <w:tc>
          <w:tcPr>
            <w:tcW w:type="dxa" w:w="3855"/>
            <w:vAlign w:val="center"/>
          </w:tcPr>
          <w:p>
            <w:pPr>
              <w:keepNext w:val="0"/>
              <w:spacing w:line="320" w:lineRule="exact" w:after="0" w:before="0"/>
              <w:ind w:firstLine="0"/>
              <w:jc w:val="left"/>
            </w:pPr>
            <w:r>
              <w:rPr>
                <w:b w:val="0"/>
                <w:sz w:val="21"/>
              </w:rPr>
              <w:t>建模职责、集成规范、元数据办法</w:t>
            </w:r>
          </w:p>
        </w:tc>
        <w:tc>
          <w:tcPr>
            <w:tcW w:type="dxa" w:w="3277"/>
            <w:vAlign w:val="center"/>
          </w:tcPr>
          <w:p>
            <w:pPr>
              <w:keepNext w:val="0"/>
              <w:spacing w:line="320" w:lineRule="exact" w:after="0" w:before="0"/>
              <w:ind w:firstLine="0"/>
              <w:jc w:val="left"/>
            </w:pPr>
            <w:r>
              <w:rPr>
                <w:b w:val="0"/>
                <w:sz w:val="21"/>
              </w:rPr>
              <w:t>分层模型、分布流图、共享及血缘维护</w:t>
            </w:r>
          </w:p>
        </w:tc>
      </w:tr>
      <w:tr>
        <w:trPr>
          <w:cantSplit/>
        </w:trPr>
        <w:tc>
          <w:tcPr>
            <w:tcW w:type="dxa" w:w="2506"/>
            <w:vAlign w:val="center"/>
          </w:tcPr>
          <w:p>
            <w:pPr>
              <w:keepNext w:val="0"/>
              <w:spacing w:line="320" w:lineRule="exact" w:after="0" w:before="0"/>
              <w:ind w:firstLine="0"/>
              <w:jc w:val="left"/>
            </w:pPr>
            <w:r>
              <w:rPr>
                <w:b w:val="0"/>
                <w:sz w:val="21"/>
              </w:rPr>
              <w:t>数据资产</w:t>
            </w:r>
          </w:p>
        </w:tc>
        <w:tc>
          <w:tcPr>
            <w:tcW w:type="dxa" w:w="3855"/>
            <w:vAlign w:val="center"/>
          </w:tcPr>
          <w:p>
            <w:pPr>
              <w:keepNext w:val="0"/>
              <w:spacing w:line="320" w:lineRule="exact" w:after="0" w:before="0"/>
              <w:ind w:firstLine="0"/>
              <w:jc w:val="left"/>
            </w:pPr>
            <w:r>
              <w:rPr>
                <w:b w:val="0"/>
                <w:sz w:val="21"/>
              </w:rPr>
              <w:t>权属责任、价值办法、目录运营制度</w:t>
            </w:r>
          </w:p>
        </w:tc>
        <w:tc>
          <w:tcPr>
            <w:tcW w:type="dxa" w:w="3277"/>
            <w:vAlign w:val="center"/>
          </w:tcPr>
          <w:p>
            <w:pPr>
              <w:keepNext w:val="0"/>
              <w:spacing w:line="320" w:lineRule="exact" w:after="0" w:before="0"/>
              <w:ind w:firstLine="0"/>
              <w:jc w:val="left"/>
            </w:pPr>
            <w:r>
              <w:rPr>
                <w:b w:val="0"/>
                <w:sz w:val="21"/>
              </w:rPr>
              <w:t>来源核验、资产登记、授权与使用回收</w:t>
            </w:r>
          </w:p>
        </w:tc>
      </w:tr>
      <w:tr>
        <w:trPr>
          <w:cantSplit/>
        </w:trPr>
        <w:tc>
          <w:tcPr>
            <w:tcW w:type="dxa" w:w="2506"/>
            <w:vAlign w:val="center"/>
          </w:tcPr>
          <w:p>
            <w:pPr>
              <w:keepNext w:val="0"/>
              <w:spacing w:line="320" w:lineRule="exact" w:after="0" w:before="0"/>
              <w:ind w:firstLine="0"/>
              <w:jc w:val="left"/>
            </w:pPr>
            <w:r>
              <w:rPr>
                <w:b w:val="0"/>
                <w:sz w:val="21"/>
              </w:rPr>
              <w:t>数据标准</w:t>
            </w:r>
          </w:p>
        </w:tc>
        <w:tc>
          <w:tcPr>
            <w:tcW w:type="dxa" w:w="3855"/>
            <w:vAlign w:val="center"/>
          </w:tcPr>
          <w:p>
            <w:pPr>
              <w:keepNext w:val="0"/>
              <w:spacing w:line="320" w:lineRule="exact" w:after="0" w:before="0"/>
              <w:ind w:firstLine="0"/>
              <w:jc w:val="left"/>
            </w:pPr>
            <w:r>
              <w:rPr>
                <w:b w:val="0"/>
                <w:sz w:val="21"/>
              </w:rPr>
              <w:t>术语数据元、主数据和指标归口</w:t>
            </w:r>
          </w:p>
        </w:tc>
        <w:tc>
          <w:tcPr>
            <w:tcW w:type="dxa" w:w="3277"/>
            <w:vAlign w:val="center"/>
          </w:tcPr>
          <w:p>
            <w:pPr>
              <w:keepNext w:val="0"/>
              <w:spacing w:line="320" w:lineRule="exact" w:after="0" w:before="0"/>
              <w:ind w:firstLine="0"/>
              <w:jc w:val="left"/>
            </w:pPr>
            <w:r>
              <w:rPr>
                <w:b w:val="0"/>
                <w:sz w:val="21"/>
              </w:rPr>
              <w:t>标准发布、映射落标、变更和冲突处理</w:t>
            </w:r>
          </w:p>
        </w:tc>
      </w:tr>
      <w:tr>
        <w:trPr>
          <w:cantSplit/>
        </w:trPr>
        <w:tc>
          <w:tcPr>
            <w:tcW w:type="dxa" w:w="2506"/>
            <w:vAlign w:val="center"/>
          </w:tcPr>
          <w:p>
            <w:pPr>
              <w:keepNext w:val="0"/>
              <w:spacing w:line="320" w:lineRule="exact" w:after="0" w:before="0"/>
              <w:ind w:firstLine="0"/>
              <w:jc w:val="left"/>
            </w:pPr>
            <w:r>
              <w:rPr>
                <w:b w:val="0"/>
                <w:sz w:val="21"/>
              </w:rPr>
              <w:t>数据质量</w:t>
            </w:r>
          </w:p>
        </w:tc>
        <w:tc>
          <w:tcPr>
            <w:tcW w:type="dxa" w:w="3855"/>
            <w:vAlign w:val="center"/>
          </w:tcPr>
          <w:p>
            <w:pPr>
              <w:keepNext w:val="0"/>
              <w:spacing w:line="320" w:lineRule="exact" w:after="0" w:before="0"/>
              <w:ind w:firstLine="0"/>
              <w:jc w:val="left"/>
            </w:pPr>
            <w:r>
              <w:rPr>
                <w:b w:val="0"/>
                <w:sz w:val="21"/>
              </w:rPr>
              <w:t>质量责任、规则依据、整改分工</w:t>
            </w:r>
          </w:p>
        </w:tc>
        <w:tc>
          <w:tcPr>
            <w:tcW w:type="dxa" w:w="3277"/>
            <w:vAlign w:val="center"/>
          </w:tcPr>
          <w:p>
            <w:pPr>
              <w:keepNext w:val="0"/>
              <w:spacing w:line="320" w:lineRule="exact" w:after="0" w:before="0"/>
              <w:ind w:firstLine="0"/>
              <w:jc w:val="left"/>
            </w:pPr>
            <w:r>
              <w:rPr>
                <w:b w:val="0"/>
                <w:sz w:val="21"/>
              </w:rPr>
              <w:t>检查、归因、修复、复核及趋势分析</w:t>
            </w:r>
          </w:p>
        </w:tc>
      </w:tr>
      <w:tr>
        <w:trPr>
          <w:cantSplit/>
        </w:trPr>
        <w:tc>
          <w:tcPr>
            <w:tcW w:type="dxa" w:w="2506"/>
            <w:vAlign w:val="center"/>
          </w:tcPr>
          <w:p>
            <w:pPr>
              <w:keepNext w:val="0"/>
              <w:spacing w:line="320" w:lineRule="exact" w:after="0" w:before="0"/>
              <w:ind w:firstLine="0"/>
              <w:jc w:val="left"/>
            </w:pPr>
            <w:r>
              <w:rPr>
                <w:b w:val="0"/>
                <w:sz w:val="21"/>
              </w:rPr>
              <w:t>数据安全</w:t>
            </w:r>
          </w:p>
        </w:tc>
        <w:tc>
          <w:tcPr>
            <w:tcW w:type="dxa" w:w="3855"/>
            <w:vAlign w:val="center"/>
          </w:tcPr>
          <w:p>
            <w:pPr>
              <w:keepNext w:val="0"/>
              <w:spacing w:line="320" w:lineRule="exact" w:after="0" w:before="0"/>
              <w:ind w:firstLine="0"/>
              <w:jc w:val="left"/>
            </w:pPr>
            <w:r>
              <w:rPr>
                <w:b w:val="0"/>
                <w:sz w:val="21"/>
              </w:rPr>
              <w:t>分类分级、权限审批、事件责任</w:t>
            </w:r>
          </w:p>
        </w:tc>
        <w:tc>
          <w:tcPr>
            <w:tcW w:type="dxa" w:w="3277"/>
            <w:vAlign w:val="center"/>
          </w:tcPr>
          <w:p>
            <w:pPr>
              <w:keepNext w:val="0"/>
              <w:spacing w:line="320" w:lineRule="exact" w:after="0" w:before="0"/>
              <w:ind w:firstLine="0"/>
              <w:jc w:val="left"/>
            </w:pPr>
            <w:r>
              <w:rPr>
                <w:b w:val="0"/>
                <w:sz w:val="21"/>
              </w:rPr>
              <w:t>访问控制、脱敏、审计及权限回收</w:t>
            </w:r>
          </w:p>
        </w:tc>
      </w:tr>
      <w:tr>
        <w:trPr>
          <w:cantSplit/>
        </w:trPr>
        <w:tc>
          <w:tcPr>
            <w:tcW w:type="dxa" w:w="2506"/>
            <w:vAlign w:val="center"/>
          </w:tcPr>
          <w:p>
            <w:pPr>
              <w:keepNext w:val="0"/>
              <w:spacing w:line="320" w:lineRule="exact" w:after="0" w:before="0"/>
              <w:ind w:firstLine="0"/>
              <w:jc w:val="left"/>
            </w:pPr>
            <w:r>
              <w:rPr>
                <w:b w:val="0"/>
                <w:sz w:val="21"/>
              </w:rPr>
              <w:t>数据生存周期</w:t>
            </w:r>
          </w:p>
        </w:tc>
        <w:tc>
          <w:tcPr>
            <w:tcW w:type="dxa" w:w="3855"/>
            <w:vAlign w:val="center"/>
          </w:tcPr>
          <w:p>
            <w:pPr>
              <w:keepNext w:val="0"/>
              <w:spacing w:line="320" w:lineRule="exact" w:after="0" w:before="0"/>
              <w:ind w:firstLine="0"/>
              <w:jc w:val="left"/>
            </w:pPr>
            <w:r>
              <w:rPr>
                <w:b w:val="0"/>
                <w:sz w:val="21"/>
              </w:rPr>
              <w:t>各阶段责任、保存和退役要求</w:t>
            </w:r>
          </w:p>
        </w:tc>
        <w:tc>
          <w:tcPr>
            <w:tcW w:type="dxa" w:w="3277"/>
            <w:vAlign w:val="center"/>
          </w:tcPr>
          <w:p>
            <w:pPr>
              <w:keepNext w:val="0"/>
              <w:spacing w:line="320" w:lineRule="exact" w:after="0" w:before="0"/>
              <w:ind w:firstLine="0"/>
              <w:jc w:val="left"/>
            </w:pPr>
            <w:r>
              <w:rPr>
                <w:b w:val="0"/>
                <w:sz w:val="21"/>
              </w:rPr>
              <w:t>状态转换、备份恢复、归档及处置留痕</w:t>
            </w:r>
          </w:p>
        </w:tc>
      </w:tr>
      <w:tr>
        <w:trPr>
          <w:cantSplit/>
        </w:trPr>
        <w:tc>
          <w:tcPr>
            <w:tcW w:type="dxa" w:w="2506"/>
            <w:vAlign w:val="center"/>
          </w:tcPr>
          <w:p>
            <w:pPr>
              <w:keepNext w:val="0"/>
              <w:spacing w:line="320" w:lineRule="exact" w:after="0" w:before="0"/>
              <w:ind w:firstLine="0"/>
              <w:jc w:val="left"/>
            </w:pPr>
            <w:r>
              <w:rPr>
                <w:b w:val="0"/>
                <w:sz w:val="21"/>
              </w:rPr>
              <w:t>数据应用流通</w:t>
            </w:r>
          </w:p>
        </w:tc>
        <w:tc>
          <w:tcPr>
            <w:tcW w:type="dxa" w:w="3855"/>
            <w:vAlign w:val="center"/>
          </w:tcPr>
          <w:p>
            <w:pPr>
              <w:keepNext w:val="0"/>
              <w:spacing w:line="320" w:lineRule="exact" w:after="0" w:before="0"/>
              <w:ind w:firstLine="0"/>
              <w:jc w:val="left"/>
            </w:pPr>
            <w:r>
              <w:rPr>
                <w:b w:val="0"/>
                <w:sz w:val="21"/>
              </w:rPr>
              <w:t>服务责任、共享用途和审批要求</w:t>
            </w:r>
          </w:p>
        </w:tc>
        <w:tc>
          <w:tcPr>
            <w:tcW w:type="dxa" w:w="3277"/>
            <w:vAlign w:val="center"/>
          </w:tcPr>
          <w:p>
            <w:pPr>
              <w:keepNext w:val="0"/>
              <w:spacing w:line="320" w:lineRule="exact" w:after="0" w:before="0"/>
              <w:ind w:firstLine="0"/>
              <w:jc w:val="left"/>
            </w:pPr>
            <w:r>
              <w:rPr>
                <w:b w:val="0"/>
                <w:sz w:val="21"/>
              </w:rPr>
              <w:t>服务发布、调用监控、反馈及退出</w:t>
            </w:r>
          </w:p>
        </w:tc>
      </w:tr>
    </w:tbl>
    <w:p>
      <w:pPr>
        <w:spacing w:after="40" w:line="240" w:lineRule="auto"/>
        <w:ind w:firstLine="0"/>
      </w:pPr>
      <w:r>
        <w:rPr>
          <w:sz w:val="4"/>
        </w:rPr>
      </w:r>
    </w:p>
    <w:p>
      <w:pPr>
        <w:pStyle w:val="Heading2"/>
      </w:pPr>
      <w:r>
        <w:t>2.5 四维检查与证据判定</w:t>
      </w:r>
    </w:p>
    <w:p>
      <w:pPr>
        <w:jc w:val="both"/>
      </w:pPr>
      <w:r>
        <w:t>每个核查事项分别记录组织、制度、流程、工具四个维度。组织维度核实责任是否明确、授权是否匹配、岗位是否有人实际承担；制度维度核实要求是否成文、有效、完整并覆盖例外；流程维度核实步骤是否被实际执行、审批是否留痕、异常是否得到处理；工具维度核实配置是否符合规则、操作是否可追溯、结果是否可复核。四个维度之间建立依赖关系，但不以自行设定的加减分规则替代成熟度评估要求。</w:t>
      </w:r>
    </w:p>
    <w:p>
      <w:pPr>
        <w:jc w:val="both"/>
      </w:pPr>
      <w:r>
        <w:t>证据判定采用符合、部分符合、不符合、证据不足四类内部核查状态。符合状态要求规定事项有充分且一致的证据；部分符合状态记录已经落实的范围和未覆盖的范围；不符合状态记录与适用要求不一致的具体事实；证据不足状态明确缺失证据及补充方法。内部状态用于整改组织，正式成熟度等级按照适用标准及评估程序认定。</w:t>
      </w:r>
    </w:p>
    <w:p>
      <w:pPr>
        <w:jc w:val="both"/>
      </w:pPr>
      <w:r>
        <w:t>同一事项存在相互矛盾的证据时，先核查版本、时间、对象和适用范围。制度的生效时间可能晚于样本形成时间，系统配置可能在取证期间发生变化，不同车间或业务类型可能适用不同流程。核清这些条件后，组织业务、管理和技术岗位共同确认差异原因。对无法立即消除的分歧保留双方证据，指定复核事项和处理期限，不通过简单平均或选择较高等级消除分歧。</w:t>
      </w:r>
    </w:p>
    <w:p>
      <w:pPr>
        <w:jc w:val="both"/>
      </w:pPr>
      <w:r>
        <w:t>诊断报告的每条结论包括核查事项、事实描述、适用要求、证据清单、影响范围、问题性质和整改建议。事实描述使用可核验的对象和时间，区分样本发现与全量结论。抽查发现不得未经验证直接推算为全企业发生率；未获得资料不得直接等同于制度不存在；仅有制度文件不得直接认定流程已有效运行。</w:t>
      </w:r>
    </w:p>
    <w:p>
      <w:pPr>
        <w:pStyle w:val="Heading2"/>
      </w:pPr>
      <w:r>
        <w:t>2.6 抽样设计与质量统计</w:t>
      </w:r>
    </w:p>
    <w:p>
      <w:pPr>
        <w:jc w:val="both"/>
      </w:pPr>
      <w:r>
        <w:t>抽样对象按照业务域、系统、数据类型、形成时间、业务状态、责任部门及风险程度分层。常规记录、异常记录、历史版本、退役对象、人工补录、批量迁移和跨系统转换均纳入抽样设计。样本量依据总体规模、风险、分层覆盖和核验目的确定，明确抽样方法、随机或定向选择条件及适用限制。能够低负载全量统计的项目优先全量检查，需要人工判断的项目采用分层抽验与问题扩查结合的方式。</w:t>
      </w:r>
    </w:p>
    <w:p>
      <w:pPr>
        <w:jc w:val="both"/>
      </w:pPr>
      <w:r>
        <w:t>主键唯一性检查区分记录主键和业务对象标识；同一对象的多个版本或多次事件不能按重复对象直接删除。非空率检查明确必填条件，对特定状态不适用的字段单独处理。关联命中率以需发生关联且在约定时间窗内的对象为分母，分别统计未匹配、一对多冲突、无效版本和迟到记录。准确性由经确认的权威记录、实物或专业复核支持，不以字段格式正确替代。</w:t>
      </w:r>
    </w:p>
    <w:p>
      <w:pPr>
        <w:jc w:val="both"/>
      </w:pPr>
      <w:r>
        <w:t>统计结果同时记录总体数量、抽样数量、排除数量、有效分母、问题数量、问题比例和计算时间。对数据量不足、时间中断、访问受限等情况记录统计限制，并安排补充核验。发现问题集中于某个工序、某个来源或某次变更时，扩大相应分层的检查范围，核对同类数据及下游影响。扩查后更新结论，保留原抽样记录和扩查依据。</w:t>
      </w:r>
    </w:p>
    <w:p>
      <w:pPr>
        <w:pStyle w:val="Caption"/>
        <w:keepNext/>
      </w:pPr>
      <w:r>
        <w:t>表2-4 抽样设计与质量统计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检查项目</w:t>
            </w:r>
          </w:p>
        </w:tc>
        <w:tc>
          <w:tcPr>
            <w:tcW w:type="dxa" w:w="3855"/>
            <w:vAlign w:val="center"/>
            <w:shd w:fill="EDF1F3"/>
          </w:tcPr>
          <w:p>
            <w:pPr>
              <w:keepNext/>
              <w:spacing w:line="320" w:lineRule="exact" w:after="0" w:before="0"/>
              <w:ind w:firstLine="0"/>
              <w:jc w:val="center"/>
            </w:pPr>
            <w:r>
              <w:rPr>
                <w:b/>
                <w:sz w:val="21"/>
              </w:rPr>
              <w:t>分母与判定依据</w:t>
            </w:r>
          </w:p>
        </w:tc>
        <w:tc>
          <w:tcPr>
            <w:tcW w:type="dxa" w:w="3277"/>
            <w:vAlign w:val="center"/>
            <w:shd w:fill="EDF1F3"/>
          </w:tcPr>
          <w:p>
            <w:pPr>
              <w:keepNext/>
              <w:spacing w:line="320" w:lineRule="exact" w:after="0" w:before="0"/>
              <w:ind w:firstLine="0"/>
              <w:jc w:val="center"/>
            </w:pPr>
            <w:r>
              <w:rPr>
                <w:b/>
                <w:sz w:val="21"/>
              </w:rPr>
              <w:t>必留记录</w:t>
            </w:r>
          </w:p>
        </w:tc>
      </w:tr>
      <w:tr>
        <w:trPr>
          <w:cantSplit/>
        </w:trPr>
        <w:tc>
          <w:tcPr>
            <w:tcW w:type="dxa" w:w="2506"/>
            <w:vAlign w:val="center"/>
          </w:tcPr>
          <w:p>
            <w:pPr>
              <w:keepNext w:val="0"/>
              <w:spacing w:line="320" w:lineRule="exact" w:after="0" w:before="0"/>
              <w:ind w:firstLine="0"/>
              <w:jc w:val="left"/>
            </w:pPr>
            <w:r>
              <w:rPr>
                <w:b w:val="0"/>
                <w:sz w:val="21"/>
              </w:rPr>
              <w:t>标识唯一性</w:t>
            </w:r>
          </w:p>
        </w:tc>
        <w:tc>
          <w:tcPr>
            <w:tcW w:type="dxa" w:w="3855"/>
            <w:vAlign w:val="center"/>
          </w:tcPr>
          <w:p>
            <w:pPr>
              <w:keepNext w:val="0"/>
              <w:spacing w:line="320" w:lineRule="exact" w:after="0" w:before="0"/>
              <w:ind w:firstLine="0"/>
              <w:jc w:val="left"/>
            </w:pPr>
            <w:r>
              <w:rPr>
                <w:b w:val="0"/>
                <w:sz w:val="21"/>
              </w:rPr>
              <w:t>符合对象粒度和版本规则的记录</w:t>
            </w:r>
          </w:p>
        </w:tc>
        <w:tc>
          <w:tcPr>
            <w:tcW w:type="dxa" w:w="3277"/>
            <w:vAlign w:val="center"/>
          </w:tcPr>
          <w:p>
            <w:pPr>
              <w:keepNext w:val="0"/>
              <w:spacing w:line="320" w:lineRule="exact" w:after="0" w:before="0"/>
              <w:ind w:firstLine="0"/>
              <w:jc w:val="left"/>
            </w:pPr>
            <w:r>
              <w:rPr>
                <w:b w:val="0"/>
                <w:sz w:val="21"/>
              </w:rPr>
              <w:t>重复键、版本、状态及来源</w:t>
            </w:r>
          </w:p>
        </w:tc>
      </w:tr>
      <w:tr>
        <w:trPr>
          <w:cantSplit/>
        </w:trPr>
        <w:tc>
          <w:tcPr>
            <w:tcW w:type="dxa" w:w="2506"/>
            <w:vAlign w:val="center"/>
          </w:tcPr>
          <w:p>
            <w:pPr>
              <w:keepNext w:val="0"/>
              <w:spacing w:line="320" w:lineRule="exact" w:after="0" w:before="0"/>
              <w:ind w:firstLine="0"/>
              <w:jc w:val="left"/>
            </w:pPr>
            <w:r>
              <w:rPr>
                <w:b w:val="0"/>
                <w:sz w:val="21"/>
              </w:rPr>
              <w:t>必填完整性</w:t>
            </w:r>
          </w:p>
        </w:tc>
        <w:tc>
          <w:tcPr>
            <w:tcW w:type="dxa" w:w="3855"/>
            <w:vAlign w:val="center"/>
          </w:tcPr>
          <w:p>
            <w:pPr>
              <w:keepNext w:val="0"/>
              <w:spacing w:line="320" w:lineRule="exact" w:after="0" w:before="0"/>
              <w:ind w:firstLine="0"/>
              <w:jc w:val="left"/>
            </w:pPr>
            <w:r>
              <w:rPr>
                <w:b w:val="0"/>
                <w:sz w:val="21"/>
              </w:rPr>
              <w:t>业务条件要求填写的有效记录</w:t>
            </w:r>
          </w:p>
        </w:tc>
        <w:tc>
          <w:tcPr>
            <w:tcW w:type="dxa" w:w="3277"/>
            <w:vAlign w:val="center"/>
          </w:tcPr>
          <w:p>
            <w:pPr>
              <w:keepNext w:val="0"/>
              <w:spacing w:line="320" w:lineRule="exact" w:after="0" w:before="0"/>
              <w:ind w:firstLine="0"/>
              <w:jc w:val="left"/>
            </w:pPr>
            <w:r>
              <w:rPr>
                <w:b w:val="0"/>
                <w:sz w:val="21"/>
              </w:rPr>
              <w:t>必填条件、空值类型、排除原因</w:t>
            </w:r>
          </w:p>
        </w:tc>
      </w:tr>
      <w:tr>
        <w:trPr>
          <w:cantSplit/>
        </w:trPr>
        <w:tc>
          <w:tcPr>
            <w:tcW w:type="dxa" w:w="2506"/>
            <w:vAlign w:val="center"/>
          </w:tcPr>
          <w:p>
            <w:pPr>
              <w:keepNext w:val="0"/>
              <w:spacing w:line="320" w:lineRule="exact" w:after="0" w:before="0"/>
              <w:ind w:firstLine="0"/>
              <w:jc w:val="left"/>
            </w:pPr>
            <w:r>
              <w:rPr>
                <w:b w:val="0"/>
                <w:sz w:val="21"/>
              </w:rPr>
              <w:t>关联一致性</w:t>
            </w:r>
          </w:p>
        </w:tc>
        <w:tc>
          <w:tcPr>
            <w:tcW w:type="dxa" w:w="3855"/>
            <w:vAlign w:val="center"/>
          </w:tcPr>
          <w:p>
            <w:pPr>
              <w:keepNext w:val="0"/>
              <w:spacing w:line="320" w:lineRule="exact" w:after="0" w:before="0"/>
              <w:ind w:firstLine="0"/>
              <w:jc w:val="left"/>
            </w:pPr>
            <w:r>
              <w:rPr>
                <w:b w:val="0"/>
                <w:sz w:val="21"/>
              </w:rPr>
              <w:t>应关联对象及其有效时间范围</w:t>
            </w:r>
          </w:p>
        </w:tc>
        <w:tc>
          <w:tcPr>
            <w:tcW w:type="dxa" w:w="3277"/>
            <w:vAlign w:val="center"/>
          </w:tcPr>
          <w:p>
            <w:pPr>
              <w:keepNext w:val="0"/>
              <w:spacing w:line="320" w:lineRule="exact" w:after="0" w:before="0"/>
              <w:ind w:firstLine="0"/>
              <w:jc w:val="left"/>
            </w:pPr>
            <w:r>
              <w:rPr>
                <w:b w:val="0"/>
                <w:sz w:val="21"/>
              </w:rPr>
              <w:t>未匹配键、多重匹配、映射版本</w:t>
            </w:r>
          </w:p>
        </w:tc>
      </w:tr>
      <w:tr>
        <w:trPr>
          <w:cantSplit/>
        </w:trPr>
        <w:tc>
          <w:tcPr>
            <w:tcW w:type="dxa" w:w="2506"/>
            <w:vAlign w:val="center"/>
          </w:tcPr>
          <w:p>
            <w:pPr>
              <w:keepNext w:val="0"/>
              <w:spacing w:line="320" w:lineRule="exact" w:after="0" w:before="0"/>
              <w:ind w:firstLine="0"/>
              <w:jc w:val="left"/>
            </w:pPr>
            <w:r>
              <w:rPr>
                <w:b w:val="0"/>
                <w:sz w:val="21"/>
              </w:rPr>
              <w:t>时间及时性</w:t>
            </w:r>
          </w:p>
        </w:tc>
        <w:tc>
          <w:tcPr>
            <w:tcW w:type="dxa" w:w="3855"/>
            <w:vAlign w:val="center"/>
          </w:tcPr>
          <w:p>
            <w:pPr>
              <w:keepNext w:val="0"/>
              <w:spacing w:line="320" w:lineRule="exact" w:after="0" w:before="0"/>
              <w:ind w:firstLine="0"/>
              <w:jc w:val="left"/>
            </w:pPr>
            <w:r>
              <w:rPr>
                <w:b w:val="0"/>
                <w:sz w:val="21"/>
              </w:rPr>
              <w:t>已定义时限的业务事件或数据批次</w:t>
            </w:r>
          </w:p>
        </w:tc>
        <w:tc>
          <w:tcPr>
            <w:tcW w:type="dxa" w:w="3277"/>
            <w:vAlign w:val="center"/>
          </w:tcPr>
          <w:p>
            <w:pPr>
              <w:keepNext w:val="0"/>
              <w:spacing w:line="320" w:lineRule="exact" w:after="0" w:before="0"/>
              <w:ind w:firstLine="0"/>
              <w:jc w:val="left"/>
            </w:pPr>
            <w:r>
              <w:rPr>
                <w:b w:val="0"/>
                <w:sz w:val="21"/>
              </w:rPr>
              <w:t>事件时间、入库时间、延迟原因</w:t>
            </w:r>
          </w:p>
        </w:tc>
      </w:tr>
      <w:tr>
        <w:trPr>
          <w:cantSplit/>
        </w:trPr>
        <w:tc>
          <w:tcPr>
            <w:tcW w:type="dxa" w:w="2506"/>
            <w:vAlign w:val="center"/>
          </w:tcPr>
          <w:p>
            <w:pPr>
              <w:keepNext w:val="0"/>
              <w:spacing w:line="320" w:lineRule="exact" w:after="0" w:before="0"/>
              <w:ind w:firstLine="0"/>
              <w:jc w:val="left"/>
            </w:pPr>
            <w:r>
              <w:rPr>
                <w:b w:val="0"/>
                <w:sz w:val="21"/>
              </w:rPr>
              <w:t>业务准确性</w:t>
            </w:r>
          </w:p>
        </w:tc>
        <w:tc>
          <w:tcPr>
            <w:tcW w:type="dxa" w:w="3855"/>
            <w:vAlign w:val="center"/>
          </w:tcPr>
          <w:p>
            <w:pPr>
              <w:keepNext w:val="0"/>
              <w:spacing w:line="320" w:lineRule="exact" w:after="0" w:before="0"/>
              <w:ind w:firstLine="0"/>
              <w:jc w:val="left"/>
            </w:pPr>
            <w:r>
              <w:rPr>
                <w:b w:val="0"/>
                <w:sz w:val="21"/>
              </w:rPr>
              <w:t>经确认的核对依据和人工判定记录</w:t>
            </w:r>
          </w:p>
        </w:tc>
        <w:tc>
          <w:tcPr>
            <w:tcW w:type="dxa" w:w="3277"/>
            <w:vAlign w:val="center"/>
          </w:tcPr>
          <w:p>
            <w:pPr>
              <w:keepNext w:val="0"/>
              <w:spacing w:line="320" w:lineRule="exact" w:after="0" w:before="0"/>
              <w:ind w:firstLine="0"/>
              <w:jc w:val="left"/>
            </w:pPr>
            <w:r>
              <w:rPr>
                <w:b w:val="0"/>
                <w:sz w:val="21"/>
              </w:rPr>
              <w:t>原值、依据、复核人及判断</w:t>
            </w:r>
          </w:p>
        </w:tc>
      </w:tr>
      <w:tr>
        <w:trPr>
          <w:cantSplit/>
        </w:trPr>
        <w:tc>
          <w:tcPr>
            <w:tcW w:type="dxa" w:w="2506"/>
            <w:vAlign w:val="center"/>
          </w:tcPr>
          <w:p>
            <w:pPr>
              <w:keepNext w:val="0"/>
              <w:spacing w:line="320" w:lineRule="exact" w:after="0" w:before="0"/>
              <w:ind w:firstLine="0"/>
              <w:jc w:val="left"/>
            </w:pPr>
            <w:r>
              <w:rPr>
                <w:b w:val="0"/>
                <w:sz w:val="21"/>
              </w:rPr>
              <w:t>取数完整性</w:t>
            </w:r>
          </w:p>
        </w:tc>
        <w:tc>
          <w:tcPr>
            <w:tcW w:type="dxa" w:w="3855"/>
            <w:vAlign w:val="center"/>
          </w:tcPr>
          <w:p>
            <w:pPr>
              <w:keepNext w:val="0"/>
              <w:spacing w:line="320" w:lineRule="exact" w:after="0" w:before="0"/>
              <w:ind w:firstLine="0"/>
              <w:jc w:val="left"/>
            </w:pPr>
            <w:r>
              <w:rPr>
                <w:b w:val="0"/>
                <w:sz w:val="21"/>
              </w:rPr>
              <w:t>源端确认范围与接收结果</w:t>
            </w:r>
          </w:p>
        </w:tc>
        <w:tc>
          <w:tcPr>
            <w:tcW w:type="dxa" w:w="3277"/>
            <w:vAlign w:val="center"/>
          </w:tcPr>
          <w:p>
            <w:pPr>
              <w:keepNext w:val="0"/>
              <w:spacing w:line="320" w:lineRule="exact" w:after="0" w:before="0"/>
              <w:ind w:firstLine="0"/>
              <w:jc w:val="left"/>
            </w:pPr>
            <w:r>
              <w:rPr>
                <w:b w:val="0"/>
                <w:sz w:val="21"/>
              </w:rPr>
              <w:t>起止水位、条数、校验值及差异</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评估取证.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图2-1 评估取证与整改复核流程</w:t>
      </w:r>
    </w:p>
    <w:p>
      <w:pPr>
        <w:pStyle w:val="Heading2"/>
      </w:pPr>
      <w:r>
        <w:t>2.7 差距分类与整改优先级</w:t>
      </w:r>
    </w:p>
    <w:p>
      <w:pPr>
        <w:jc w:val="both"/>
      </w:pPr>
      <w:r>
        <w:t>我方对不足项按缺口性质、业务影响、影响范围、整改依赖和责任类型分类。缺口性质包括职责缺失、规则不完整、流程执行偏差、平台能力不足、数据内容缺陷和证据管理不足；影响范围区分单对象、单业务域、跨域和全局；整改依赖区分可直接实施、需要跨部门协调、需要源系统配合及需要外部资料核实。每项问题建立唯一编号，关联证据、场景需求、模型或数据集及对应规划任务。</w:t>
      </w:r>
    </w:p>
    <w:p>
      <w:pPr>
        <w:jc w:val="both"/>
      </w:pPr>
      <w:r>
        <w:t>优先级首先依据强制要求、数据安全、权属使用边界和对关键业务的影响确定。未经授权的使用、敏感数据暴露、关键对象错误关联及影响正式评估或验收的重大缺口列入优先处理范围，采取隔离、限制发布、暂停相关任务或其他必要控制。一般问题再结合场景紧迫性、影响数量、扩散范围和实施依赖安排顺序，复杂程度用于资源和工期估计，不降低重大问题的整改优先级。</w:t>
      </w:r>
    </w:p>
    <w:p>
      <w:pPr>
        <w:jc w:val="both"/>
      </w:pPr>
      <w:r>
        <w:t>整改任务记录责任部门、执行岗位、完成时点、资源、交付结果、验证方法和复核人。跨域问题由治理管理层组织联合处理，存在责任争议或资源冲突时提交决策层。整改过程中区分临时控制与根因修复：临时控制用于防止错误继续传播，根因修复更新源端规则、流程、配置或数据；两者分别记录完成情况，不能以临时屏蔽代替长期修复。</w:t>
      </w:r>
    </w:p>
    <w:p>
      <w:pPr>
        <w:jc w:val="both"/>
      </w:pPr>
      <w:r>
        <w:t>复核以原问题和影响范围为依据，核验新增规则是否有效、历史问题是否处理、下游结果是否重算、相关岗位是否知悉。验证通过后关闭问题；复核未通过的重新打开并记录原因。对反复出现的同类问题开展专题分析，检查规则设计、岗位能力、操作负担及系统限制，调整制度和工具。问题关闭后保留证据链和适用版本，纳入战略评估与治理考核。</w:t>
      </w:r>
    </w:p>
    <w:p>
      <w:pPr>
        <w:pStyle w:val="Caption"/>
        <w:keepNext/>
      </w:pPr>
      <w:r>
        <w:t>表2-5 差距分类与整改优先级</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优先级</w:t>
            </w:r>
          </w:p>
        </w:tc>
        <w:tc>
          <w:tcPr>
            <w:tcW w:type="dxa" w:w="3855"/>
            <w:vAlign w:val="center"/>
            <w:shd w:fill="EDF1F3"/>
          </w:tcPr>
          <w:p>
            <w:pPr>
              <w:keepNext/>
              <w:spacing w:line="320" w:lineRule="exact" w:after="0" w:before="0"/>
              <w:ind w:firstLine="0"/>
              <w:jc w:val="center"/>
            </w:pPr>
            <w:r>
              <w:rPr>
                <w:b/>
                <w:sz w:val="21"/>
              </w:rPr>
              <w:t>处理原则</w:t>
            </w:r>
          </w:p>
        </w:tc>
        <w:tc>
          <w:tcPr>
            <w:tcW w:type="dxa" w:w="3277"/>
            <w:vAlign w:val="center"/>
            <w:shd w:fill="EDF1F3"/>
          </w:tcPr>
          <w:p>
            <w:pPr>
              <w:keepNext/>
              <w:spacing w:line="320" w:lineRule="exact" w:after="0" w:before="0"/>
              <w:ind w:firstLine="0"/>
              <w:jc w:val="center"/>
            </w:pPr>
            <w:r>
              <w:rPr>
                <w:b/>
                <w:sz w:val="21"/>
              </w:rPr>
              <w:t>完成检查</w:t>
            </w:r>
          </w:p>
        </w:tc>
      </w:tr>
      <w:tr>
        <w:trPr>
          <w:cantSplit/>
        </w:trPr>
        <w:tc>
          <w:tcPr>
            <w:tcW w:type="dxa" w:w="2506"/>
            <w:vAlign w:val="center"/>
          </w:tcPr>
          <w:p>
            <w:pPr>
              <w:keepNext w:val="0"/>
              <w:spacing w:line="320" w:lineRule="exact" w:after="0" w:before="0"/>
              <w:ind w:firstLine="0"/>
              <w:jc w:val="left"/>
            </w:pPr>
            <w:r>
              <w:rPr>
                <w:b w:val="0"/>
                <w:sz w:val="21"/>
              </w:rPr>
              <w:t>紧急处置</w:t>
            </w:r>
          </w:p>
        </w:tc>
        <w:tc>
          <w:tcPr>
            <w:tcW w:type="dxa" w:w="3855"/>
            <w:vAlign w:val="center"/>
          </w:tcPr>
          <w:p>
            <w:pPr>
              <w:keepNext w:val="0"/>
              <w:spacing w:line="320" w:lineRule="exact" w:after="0" w:before="0"/>
              <w:ind w:firstLine="0"/>
              <w:jc w:val="left"/>
            </w:pPr>
            <w:r>
              <w:rPr>
                <w:b w:val="0"/>
                <w:sz w:val="21"/>
              </w:rPr>
              <w:t>先控制安全、权属或关键业务风险，组织专门处理</w:t>
            </w:r>
          </w:p>
        </w:tc>
        <w:tc>
          <w:tcPr>
            <w:tcW w:type="dxa" w:w="3277"/>
            <w:vAlign w:val="center"/>
          </w:tcPr>
          <w:p>
            <w:pPr>
              <w:keepNext w:val="0"/>
              <w:spacing w:line="320" w:lineRule="exact" w:after="0" w:before="0"/>
              <w:ind w:firstLine="0"/>
              <w:jc w:val="left"/>
            </w:pPr>
            <w:r>
              <w:rPr>
                <w:b w:val="0"/>
                <w:sz w:val="21"/>
              </w:rPr>
              <w:t>风险受控、根因修复、受影响成果复核</w:t>
            </w:r>
          </w:p>
        </w:tc>
      </w:tr>
      <w:tr>
        <w:trPr>
          <w:cantSplit/>
        </w:trPr>
        <w:tc>
          <w:tcPr>
            <w:tcW w:type="dxa" w:w="2506"/>
            <w:vAlign w:val="center"/>
          </w:tcPr>
          <w:p>
            <w:pPr>
              <w:keepNext w:val="0"/>
              <w:spacing w:line="320" w:lineRule="exact" w:after="0" w:before="0"/>
              <w:ind w:firstLine="0"/>
              <w:jc w:val="left"/>
            </w:pPr>
            <w:r>
              <w:rPr>
                <w:b w:val="0"/>
                <w:sz w:val="21"/>
              </w:rPr>
              <w:t>优先整改</w:t>
            </w:r>
          </w:p>
        </w:tc>
        <w:tc>
          <w:tcPr>
            <w:tcW w:type="dxa" w:w="3855"/>
            <w:vAlign w:val="center"/>
          </w:tcPr>
          <w:p>
            <w:pPr>
              <w:keepNext w:val="0"/>
              <w:spacing w:line="320" w:lineRule="exact" w:after="0" w:before="0"/>
              <w:ind w:firstLine="0"/>
              <w:jc w:val="left"/>
            </w:pPr>
            <w:r>
              <w:rPr>
                <w:b w:val="0"/>
                <w:sz w:val="21"/>
              </w:rPr>
              <w:t>支撑关键场景、共性基础能力或重要里程碑</w:t>
            </w:r>
          </w:p>
        </w:tc>
        <w:tc>
          <w:tcPr>
            <w:tcW w:type="dxa" w:w="3277"/>
            <w:vAlign w:val="center"/>
          </w:tcPr>
          <w:p>
            <w:pPr>
              <w:keepNext w:val="0"/>
              <w:spacing w:line="320" w:lineRule="exact" w:after="0" w:before="0"/>
              <w:ind w:firstLine="0"/>
              <w:jc w:val="left"/>
            </w:pPr>
            <w:r>
              <w:rPr>
                <w:b w:val="0"/>
                <w:sz w:val="21"/>
              </w:rPr>
              <w:t>责任落实、依赖消除、规则和结果验证</w:t>
            </w:r>
          </w:p>
        </w:tc>
      </w:tr>
      <w:tr>
        <w:trPr>
          <w:cantSplit/>
        </w:trPr>
        <w:tc>
          <w:tcPr>
            <w:tcW w:type="dxa" w:w="2506"/>
            <w:vAlign w:val="center"/>
          </w:tcPr>
          <w:p>
            <w:pPr>
              <w:keepNext w:val="0"/>
              <w:spacing w:line="320" w:lineRule="exact" w:after="0" w:before="0"/>
              <w:ind w:firstLine="0"/>
              <w:jc w:val="left"/>
            </w:pPr>
            <w:r>
              <w:rPr>
                <w:b w:val="0"/>
                <w:sz w:val="21"/>
              </w:rPr>
              <w:t>计划整改</w:t>
            </w:r>
          </w:p>
        </w:tc>
        <w:tc>
          <w:tcPr>
            <w:tcW w:type="dxa" w:w="3855"/>
            <w:vAlign w:val="center"/>
          </w:tcPr>
          <w:p>
            <w:pPr>
              <w:keepNext w:val="0"/>
              <w:spacing w:line="320" w:lineRule="exact" w:after="0" w:before="0"/>
              <w:ind w:firstLine="0"/>
              <w:jc w:val="left"/>
            </w:pPr>
            <w:r>
              <w:rPr>
                <w:b w:val="0"/>
                <w:sz w:val="21"/>
              </w:rPr>
              <w:t>纳入阶段计划，按业务影响和依赖安排</w:t>
            </w:r>
          </w:p>
        </w:tc>
        <w:tc>
          <w:tcPr>
            <w:tcW w:type="dxa" w:w="3277"/>
            <w:vAlign w:val="center"/>
          </w:tcPr>
          <w:p>
            <w:pPr>
              <w:keepNext w:val="0"/>
              <w:spacing w:line="320" w:lineRule="exact" w:after="0" w:before="0"/>
              <w:ind w:firstLine="0"/>
              <w:jc w:val="left"/>
            </w:pPr>
            <w:r>
              <w:rPr>
                <w:b w:val="0"/>
                <w:sz w:val="21"/>
              </w:rPr>
              <w:t>任务完成、使用验证、资料更新</w:t>
            </w:r>
          </w:p>
        </w:tc>
      </w:tr>
      <w:tr>
        <w:trPr>
          <w:cantSplit/>
        </w:trPr>
        <w:tc>
          <w:tcPr>
            <w:tcW w:type="dxa" w:w="2506"/>
            <w:vAlign w:val="center"/>
          </w:tcPr>
          <w:p>
            <w:pPr>
              <w:keepNext w:val="0"/>
              <w:spacing w:line="320" w:lineRule="exact" w:after="0" w:before="0"/>
              <w:ind w:firstLine="0"/>
              <w:jc w:val="left"/>
            </w:pPr>
            <w:r>
              <w:rPr>
                <w:b w:val="0"/>
                <w:sz w:val="21"/>
              </w:rPr>
              <w:t>持续优化</w:t>
            </w:r>
          </w:p>
        </w:tc>
        <w:tc>
          <w:tcPr>
            <w:tcW w:type="dxa" w:w="3855"/>
            <w:vAlign w:val="center"/>
          </w:tcPr>
          <w:p>
            <w:pPr>
              <w:keepNext w:val="0"/>
              <w:spacing w:line="320" w:lineRule="exact" w:after="0" w:before="0"/>
              <w:ind w:firstLine="0"/>
              <w:jc w:val="left"/>
            </w:pPr>
            <w:r>
              <w:rPr>
                <w:b w:val="0"/>
                <w:sz w:val="21"/>
              </w:rPr>
              <w:t>已满足基本要求的效率、体验及维护改进</w:t>
            </w:r>
          </w:p>
        </w:tc>
        <w:tc>
          <w:tcPr>
            <w:tcW w:type="dxa" w:w="3277"/>
            <w:vAlign w:val="center"/>
          </w:tcPr>
          <w:p>
            <w:pPr>
              <w:keepNext w:val="0"/>
              <w:spacing w:line="320" w:lineRule="exact" w:after="0" w:before="0"/>
              <w:ind w:firstLine="0"/>
              <w:jc w:val="left"/>
            </w:pPr>
            <w:r>
              <w:rPr>
                <w:b w:val="0"/>
                <w:sz w:val="21"/>
              </w:rPr>
              <w:t>改进效果有记录，未引入质量或权限退化</w:t>
            </w:r>
          </w:p>
        </w:tc>
      </w:tr>
    </w:tbl>
    <w:p>
      <w:pPr>
        <w:spacing w:after="40" w:line="240" w:lineRule="auto"/>
        <w:ind w:firstLine="0"/>
      </w:pPr>
      <w:r>
        <w:rPr>
          <w:sz w:val="4"/>
        </w:rPr>
      </w:r>
    </w:p>
    <w:p>
      <w:pPr>
        <w:pStyle w:val="Heading2"/>
      </w:pPr>
      <w:r>
        <w:t>2.8 诊断报告形成与评审</w:t>
      </w:r>
    </w:p>
    <w:p>
      <w:pPr>
        <w:jc w:val="both"/>
      </w:pPr>
      <w:r>
        <w:t>数据治理现状诊断报告包括评估范围、适用依据、方法与证据、组织制度现状、九域能力分析、九个业务域覆盖情况、资产与数据分布、供给能力、关键差距、整改优先级和实施建议。报告按照事实、影响、原因、措施的顺序形成诊断意见，附核查表、访谈确认记录、证据索引、质量统计、差距清单和整改任务清单。</w:t>
      </w:r>
    </w:p>
    <w:p>
      <w:pPr>
        <w:jc w:val="both"/>
      </w:pPr>
      <w:r>
        <w:t>诊断评审由我方组织，甲方相关业务、信息化、管理和安全岗位参与。先确认基础事实及范围，再核对差距与要求的对应关系，最后审议整改优先级、责任和计划。对跨部门口径争议单独列项，明确裁决依据与决策岗位；对权限受限、资料缺失等未决事项保留状态及补充计划。评审意见逐条处理，修订报告时保留变化内容、原因及证据。</w:t>
      </w:r>
    </w:p>
    <w:p>
      <w:pPr>
        <w:jc w:val="both"/>
      </w:pPr>
      <w:r>
        <w:t>报告批准后形成现状基线，并同步更新四域规划输入。后续发现新的事实或完成补充取证时，按变更流程更新相关结论，保留原基线和修订记录。整改后的复评使用同一对象范围、统计口径及可比条件；范围发生变化时单独说明变化对结果的影响，避免将统计口径变化当作能力改善。</w:t>
      </w:r>
    </w:p>
    <w:p>
      <w:pPr>
        <w:pStyle w:val="Heading1"/>
      </w:pPr>
      <w:r>
        <w:t>3 全域资产盘点与场景供给评估</w:t>
      </w:r>
    </w:p>
    <w:p>
      <w:pPr>
        <w:pStyle w:val="Heading2"/>
      </w:pPr>
      <w:r>
        <w:t>3.1 盘点对象与组织方式</w:t>
      </w:r>
    </w:p>
    <w:p>
      <w:pPr>
        <w:jc w:val="both"/>
      </w:pPr>
      <w:r>
        <w:t>全域盘点以业务对象为主线、以来源系统为取证入口、以使用需求为验证方向，覆盖结构化表、业务单据、主数据、图纸图像、工艺文件、管理制度、合同标书、技术标准、设备时序、音视频、知识条目和数据集。每项资源同时登记原始载体和治理后形态，区分正式记录、工作副本、历史版本、归档材料和派生结果。</w:t>
      </w:r>
    </w:p>
    <w:p>
      <w:pPr>
        <w:jc w:val="both"/>
      </w:pPr>
      <w:r>
        <w:t>盘点采用业务域与系统双向核对。业务部门从实际业务活动出发列出产生和使用的数据，系统岗位从数据库、接口、文件库和作业配置出发列出实际存储对象。我方将两类清单合并，核查仅存在于业务清单、仅存在于系统清单以及双方含义不一致的对象。纸质记录、共享目录和个人工作文件中与项目有关的资料，经责任确认和授权后纳入盘点，明确后续数字化、迁移和受控存储安排。</w:t>
      </w:r>
    </w:p>
    <w:p>
      <w:pPr>
        <w:jc w:val="both"/>
      </w:pPr>
      <w:r>
        <w:t>同一对象在多个系统出现时，先登记各处记录和业务用途，再核定来源关系。权威来源按字段或业务事实确认，分别考虑创建责任、审核责任、业务状态和生效时间；不因某一系统规模较大或上线较早就默认其所有字段具有权威性。多个系统承载不同事实时保留各自定义，并建立映射或对账规则。冲突未解决的对象设置待确认状态，限制其用于正式指标和数据集发布。</w:t>
      </w:r>
    </w:p>
    <w:p>
      <w:pPr>
        <w:jc w:val="both"/>
      </w:pPr>
      <w:r>
        <w:t>盘点结果与后续资源目录保持连续，资源标识在调研、治理、加工和运营过程中沿用。资源拆分、合并或退役时保存前后继关系，不能以重新编号切断来源。每轮盘点结束后由业务归口与系统管理岗位分别核对完整性，我方汇总遗漏、冲突和待核实事项，形成全域覆盖检查记录。</w:t>
      </w:r>
    </w:p>
    <w:p>
      <w:pPr>
        <w:pStyle w:val="Heading2"/>
      </w:pPr>
      <w:r>
        <w:t>3.2 九个业务域盘点内容</w:t>
      </w:r>
    </w:p>
    <w:p>
      <w:pPr>
        <w:jc w:val="both"/>
      </w:pPr>
      <w:r>
        <w:t>人力资源域围绕组织、岗位、人员及任职关系建立责任映射，核对组织变更、岗位调整与系统权限同步，涉及个人信息的资料按最小必要范围使用。研发设计域核对产品、部件、图纸、物料清单、技术条件、工艺文件和设计变更的关联，保留发布状态、适用产品和有效版本，确保后续加工能够区分设计状态与实际制造状态。</w:t>
      </w:r>
    </w:p>
    <w:p>
      <w:pPr>
        <w:jc w:val="both"/>
      </w:pPr>
      <w:r>
        <w:t>生产制造域核对生产订单、工单、工序、报工、工艺参数、班次、设备与实物对象之间的对应关系，关注一单多件、多工序、多设备和返工重制等情况。仓储物流域核对物料、批次、库位、入出库、调拨、冻结和发运记录，分别登记实物状态、业务单据状态和账务状态。财务管理域核对成本、结算及经营指标所需数据，明确核算范围、时间区间、币种单位和审核状态。</w:t>
      </w:r>
    </w:p>
    <w:p>
      <w:pPr>
        <w:jc w:val="both"/>
      </w:pPr>
      <w:r>
        <w:t>设备管理域核对设备台账、部件层级、测点配置、维护维修、报警和运行时序，保留设备更新及测点更换的历史关系。采购管理域核对供应商、采购需求、订单、到货、检验和结算的关联。营销管理域核对客户、商机、需求、合同、交付和售后服务记录，明确客户提供材料的授权边界。质量管理域核对检验方案、检测记录、质量判定、不合格处置、返修及复检，保存判断依据和适用标准版本。</w:t>
      </w:r>
    </w:p>
    <w:p>
      <w:pPr>
        <w:pStyle w:val="Caption"/>
        <w:keepNext/>
      </w:pPr>
      <w:r>
        <w:t>表3-1 九个业务域盘点内容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业务域</w:t>
            </w:r>
          </w:p>
        </w:tc>
        <w:tc>
          <w:tcPr>
            <w:tcW w:type="dxa" w:w="3855"/>
            <w:vAlign w:val="center"/>
            <w:shd w:fill="EDF1F3"/>
          </w:tcPr>
          <w:p>
            <w:pPr>
              <w:keepNext/>
              <w:spacing w:line="320" w:lineRule="exact" w:after="0" w:before="0"/>
              <w:ind w:firstLine="0"/>
              <w:jc w:val="center"/>
            </w:pPr>
            <w:r>
              <w:rPr>
                <w:b/>
                <w:sz w:val="21"/>
              </w:rPr>
              <w:t>主要对象</w:t>
            </w:r>
          </w:p>
        </w:tc>
        <w:tc>
          <w:tcPr>
            <w:tcW w:type="dxa" w:w="3277"/>
            <w:vAlign w:val="center"/>
            <w:shd w:fill="EDF1F3"/>
          </w:tcPr>
          <w:p>
            <w:pPr>
              <w:keepNext/>
              <w:spacing w:line="320" w:lineRule="exact" w:after="0" w:before="0"/>
              <w:ind w:firstLine="0"/>
              <w:jc w:val="center"/>
            </w:pPr>
            <w:r>
              <w:rPr>
                <w:b/>
                <w:sz w:val="21"/>
              </w:rPr>
              <w:t>跨域关联核查</w:t>
            </w:r>
          </w:p>
        </w:tc>
      </w:tr>
      <w:tr>
        <w:trPr>
          <w:cantSplit/>
        </w:trPr>
        <w:tc>
          <w:tcPr>
            <w:tcW w:type="dxa" w:w="2506"/>
            <w:vAlign w:val="center"/>
          </w:tcPr>
          <w:p>
            <w:pPr>
              <w:keepNext w:val="0"/>
              <w:spacing w:line="320" w:lineRule="exact" w:after="0" w:before="0"/>
              <w:ind w:firstLine="0"/>
              <w:jc w:val="left"/>
            </w:pPr>
            <w:r>
              <w:rPr>
                <w:b w:val="0"/>
                <w:sz w:val="21"/>
              </w:rPr>
              <w:t>人力资源</w:t>
            </w:r>
          </w:p>
        </w:tc>
        <w:tc>
          <w:tcPr>
            <w:tcW w:type="dxa" w:w="3855"/>
            <w:vAlign w:val="center"/>
          </w:tcPr>
          <w:p>
            <w:pPr>
              <w:keepNext w:val="0"/>
              <w:spacing w:line="320" w:lineRule="exact" w:after="0" w:before="0"/>
              <w:ind w:firstLine="0"/>
              <w:jc w:val="left"/>
            </w:pPr>
            <w:r>
              <w:rPr>
                <w:b w:val="0"/>
                <w:sz w:val="21"/>
              </w:rPr>
              <w:t>组织、岗位、任职、培训</w:t>
            </w:r>
          </w:p>
        </w:tc>
        <w:tc>
          <w:tcPr>
            <w:tcW w:type="dxa" w:w="3277"/>
            <w:vAlign w:val="center"/>
          </w:tcPr>
          <w:p>
            <w:pPr>
              <w:keepNext w:val="0"/>
              <w:spacing w:line="320" w:lineRule="exact" w:after="0" w:before="0"/>
              <w:ind w:firstLine="0"/>
              <w:jc w:val="left"/>
            </w:pPr>
            <w:r>
              <w:rPr>
                <w:b w:val="0"/>
                <w:sz w:val="21"/>
              </w:rPr>
              <w:t>责任岗位与业务审批、平台权限对应</w:t>
            </w:r>
          </w:p>
        </w:tc>
      </w:tr>
      <w:tr>
        <w:trPr>
          <w:cantSplit/>
        </w:trPr>
        <w:tc>
          <w:tcPr>
            <w:tcW w:type="dxa" w:w="2506"/>
            <w:vAlign w:val="center"/>
          </w:tcPr>
          <w:p>
            <w:pPr>
              <w:keepNext w:val="0"/>
              <w:spacing w:line="320" w:lineRule="exact" w:after="0" w:before="0"/>
              <w:ind w:firstLine="0"/>
              <w:jc w:val="left"/>
            </w:pPr>
            <w:r>
              <w:rPr>
                <w:b w:val="0"/>
                <w:sz w:val="21"/>
              </w:rPr>
              <w:t>研发设计</w:t>
            </w:r>
          </w:p>
        </w:tc>
        <w:tc>
          <w:tcPr>
            <w:tcW w:type="dxa" w:w="3855"/>
            <w:vAlign w:val="center"/>
          </w:tcPr>
          <w:p>
            <w:pPr>
              <w:keepNext w:val="0"/>
              <w:spacing w:line="320" w:lineRule="exact" w:after="0" w:before="0"/>
              <w:ind w:firstLine="0"/>
              <w:jc w:val="left"/>
            </w:pPr>
            <w:r>
              <w:rPr>
                <w:b w:val="0"/>
                <w:sz w:val="21"/>
              </w:rPr>
              <w:t>产品、图纸、部件、工艺、变更</w:t>
            </w:r>
          </w:p>
        </w:tc>
        <w:tc>
          <w:tcPr>
            <w:tcW w:type="dxa" w:w="3277"/>
            <w:vAlign w:val="center"/>
          </w:tcPr>
          <w:p>
            <w:pPr>
              <w:keepNext w:val="0"/>
              <w:spacing w:line="320" w:lineRule="exact" w:after="0" w:before="0"/>
              <w:ind w:firstLine="0"/>
              <w:jc w:val="left"/>
            </w:pPr>
            <w:r>
              <w:rPr>
                <w:b w:val="0"/>
                <w:sz w:val="21"/>
              </w:rPr>
              <w:t>产品结构与物料、制造、质量关联</w:t>
            </w:r>
          </w:p>
        </w:tc>
      </w:tr>
      <w:tr>
        <w:trPr>
          <w:cantSplit/>
        </w:trPr>
        <w:tc>
          <w:tcPr>
            <w:tcW w:type="dxa" w:w="2506"/>
            <w:vAlign w:val="center"/>
          </w:tcPr>
          <w:p>
            <w:pPr>
              <w:keepNext w:val="0"/>
              <w:spacing w:line="320" w:lineRule="exact" w:after="0" w:before="0"/>
              <w:ind w:firstLine="0"/>
              <w:jc w:val="left"/>
            </w:pPr>
            <w:r>
              <w:rPr>
                <w:b w:val="0"/>
                <w:sz w:val="21"/>
              </w:rPr>
              <w:t>生产制造</w:t>
            </w:r>
          </w:p>
        </w:tc>
        <w:tc>
          <w:tcPr>
            <w:tcW w:type="dxa" w:w="3855"/>
            <w:vAlign w:val="center"/>
          </w:tcPr>
          <w:p>
            <w:pPr>
              <w:keepNext w:val="0"/>
              <w:spacing w:line="320" w:lineRule="exact" w:after="0" w:before="0"/>
              <w:ind w:firstLine="0"/>
              <w:jc w:val="left"/>
            </w:pPr>
            <w:r>
              <w:rPr>
                <w:b w:val="0"/>
                <w:sz w:val="21"/>
              </w:rPr>
              <w:t>订单、工单、工序、参数、报工</w:t>
            </w:r>
          </w:p>
        </w:tc>
        <w:tc>
          <w:tcPr>
            <w:tcW w:type="dxa" w:w="3277"/>
            <w:vAlign w:val="center"/>
          </w:tcPr>
          <w:p>
            <w:pPr>
              <w:keepNext w:val="0"/>
              <w:spacing w:line="320" w:lineRule="exact" w:after="0" w:before="0"/>
              <w:ind w:firstLine="0"/>
              <w:jc w:val="left"/>
            </w:pPr>
            <w:r>
              <w:rPr>
                <w:b w:val="0"/>
                <w:sz w:val="21"/>
              </w:rPr>
              <w:t>工件与工艺、设备、检验和库存关联</w:t>
            </w:r>
          </w:p>
        </w:tc>
      </w:tr>
      <w:tr>
        <w:trPr>
          <w:cantSplit/>
        </w:trPr>
        <w:tc>
          <w:tcPr>
            <w:tcW w:type="dxa" w:w="2506"/>
            <w:vAlign w:val="center"/>
          </w:tcPr>
          <w:p>
            <w:pPr>
              <w:keepNext w:val="0"/>
              <w:spacing w:line="320" w:lineRule="exact" w:after="0" w:before="0"/>
              <w:ind w:firstLine="0"/>
              <w:jc w:val="left"/>
            </w:pPr>
            <w:r>
              <w:rPr>
                <w:b w:val="0"/>
                <w:sz w:val="21"/>
              </w:rPr>
              <w:t>仓储物流</w:t>
            </w:r>
          </w:p>
        </w:tc>
        <w:tc>
          <w:tcPr>
            <w:tcW w:type="dxa" w:w="3855"/>
            <w:vAlign w:val="center"/>
          </w:tcPr>
          <w:p>
            <w:pPr>
              <w:keepNext w:val="0"/>
              <w:spacing w:line="320" w:lineRule="exact" w:after="0" w:before="0"/>
              <w:ind w:firstLine="0"/>
              <w:jc w:val="left"/>
            </w:pPr>
            <w:r>
              <w:rPr>
                <w:b w:val="0"/>
                <w:sz w:val="21"/>
              </w:rPr>
              <w:t>物料、批次、库位、单据、发运</w:t>
            </w:r>
          </w:p>
        </w:tc>
        <w:tc>
          <w:tcPr>
            <w:tcW w:type="dxa" w:w="3277"/>
            <w:vAlign w:val="center"/>
          </w:tcPr>
          <w:p>
            <w:pPr>
              <w:keepNext w:val="0"/>
              <w:spacing w:line="320" w:lineRule="exact" w:after="0" w:before="0"/>
              <w:ind w:firstLine="0"/>
              <w:jc w:val="left"/>
            </w:pPr>
            <w:r>
              <w:rPr>
                <w:b w:val="0"/>
                <w:sz w:val="21"/>
              </w:rPr>
              <w:t>采购到货、生产领用、销售交付对应</w:t>
            </w:r>
          </w:p>
        </w:tc>
      </w:tr>
      <w:tr>
        <w:trPr>
          <w:cantSplit/>
        </w:trPr>
        <w:tc>
          <w:tcPr>
            <w:tcW w:type="dxa" w:w="2506"/>
            <w:vAlign w:val="center"/>
          </w:tcPr>
          <w:p>
            <w:pPr>
              <w:keepNext w:val="0"/>
              <w:spacing w:line="320" w:lineRule="exact" w:after="0" w:before="0"/>
              <w:ind w:firstLine="0"/>
              <w:jc w:val="left"/>
            </w:pPr>
            <w:r>
              <w:rPr>
                <w:b w:val="0"/>
                <w:sz w:val="21"/>
              </w:rPr>
              <w:t>财务管理</w:t>
            </w:r>
          </w:p>
        </w:tc>
        <w:tc>
          <w:tcPr>
            <w:tcW w:type="dxa" w:w="3855"/>
            <w:vAlign w:val="center"/>
          </w:tcPr>
          <w:p>
            <w:pPr>
              <w:keepNext w:val="0"/>
              <w:spacing w:line="320" w:lineRule="exact" w:after="0" w:before="0"/>
              <w:ind w:firstLine="0"/>
              <w:jc w:val="left"/>
            </w:pPr>
            <w:r>
              <w:rPr>
                <w:b w:val="0"/>
                <w:sz w:val="21"/>
              </w:rPr>
              <w:t>成本、结算、核算对象、经营数据</w:t>
            </w:r>
          </w:p>
        </w:tc>
        <w:tc>
          <w:tcPr>
            <w:tcW w:type="dxa" w:w="3277"/>
            <w:vAlign w:val="center"/>
          </w:tcPr>
          <w:p>
            <w:pPr>
              <w:keepNext w:val="0"/>
              <w:spacing w:line="320" w:lineRule="exact" w:after="0" w:before="0"/>
              <w:ind w:firstLine="0"/>
              <w:jc w:val="left"/>
            </w:pPr>
            <w:r>
              <w:rPr>
                <w:b w:val="0"/>
                <w:sz w:val="21"/>
              </w:rPr>
              <w:t>业务单据与核算期间、指标口径对应</w:t>
            </w:r>
          </w:p>
        </w:tc>
      </w:tr>
      <w:tr>
        <w:trPr>
          <w:cantSplit/>
        </w:trPr>
        <w:tc>
          <w:tcPr>
            <w:tcW w:type="dxa" w:w="2506"/>
            <w:vAlign w:val="center"/>
          </w:tcPr>
          <w:p>
            <w:pPr>
              <w:keepNext w:val="0"/>
              <w:spacing w:line="320" w:lineRule="exact" w:after="0" w:before="0"/>
              <w:ind w:firstLine="0"/>
              <w:jc w:val="left"/>
            </w:pPr>
            <w:r>
              <w:rPr>
                <w:b w:val="0"/>
                <w:sz w:val="21"/>
              </w:rPr>
              <w:t>设备管理</w:t>
            </w:r>
          </w:p>
        </w:tc>
        <w:tc>
          <w:tcPr>
            <w:tcW w:type="dxa" w:w="3855"/>
            <w:vAlign w:val="center"/>
          </w:tcPr>
          <w:p>
            <w:pPr>
              <w:keepNext w:val="0"/>
              <w:spacing w:line="320" w:lineRule="exact" w:after="0" w:before="0"/>
              <w:ind w:firstLine="0"/>
              <w:jc w:val="left"/>
            </w:pPr>
            <w:r>
              <w:rPr>
                <w:b w:val="0"/>
                <w:sz w:val="21"/>
              </w:rPr>
              <w:t>设备、部件、测点、事件、维修</w:t>
            </w:r>
          </w:p>
        </w:tc>
        <w:tc>
          <w:tcPr>
            <w:tcW w:type="dxa" w:w="3277"/>
            <w:vAlign w:val="center"/>
          </w:tcPr>
          <w:p>
            <w:pPr>
              <w:keepNext w:val="0"/>
              <w:spacing w:line="320" w:lineRule="exact" w:after="0" w:before="0"/>
              <w:ind w:firstLine="0"/>
              <w:jc w:val="left"/>
            </w:pPr>
            <w:r>
              <w:rPr>
                <w:b w:val="0"/>
                <w:sz w:val="21"/>
              </w:rPr>
              <w:t>过程参数与工序、故障和维护关联</w:t>
            </w:r>
          </w:p>
        </w:tc>
      </w:tr>
      <w:tr>
        <w:trPr>
          <w:cantSplit/>
        </w:trPr>
        <w:tc>
          <w:tcPr>
            <w:tcW w:type="dxa" w:w="2506"/>
            <w:vAlign w:val="center"/>
          </w:tcPr>
          <w:p>
            <w:pPr>
              <w:keepNext w:val="0"/>
              <w:spacing w:line="320" w:lineRule="exact" w:after="0" w:before="0"/>
              <w:ind w:firstLine="0"/>
              <w:jc w:val="left"/>
            </w:pPr>
            <w:r>
              <w:rPr>
                <w:b w:val="0"/>
                <w:sz w:val="21"/>
              </w:rPr>
              <w:t>采购管理</w:t>
            </w:r>
          </w:p>
        </w:tc>
        <w:tc>
          <w:tcPr>
            <w:tcW w:type="dxa" w:w="3855"/>
            <w:vAlign w:val="center"/>
          </w:tcPr>
          <w:p>
            <w:pPr>
              <w:keepNext w:val="0"/>
              <w:spacing w:line="320" w:lineRule="exact" w:after="0" w:before="0"/>
              <w:ind w:firstLine="0"/>
              <w:jc w:val="left"/>
            </w:pPr>
            <w:r>
              <w:rPr>
                <w:b w:val="0"/>
                <w:sz w:val="21"/>
              </w:rPr>
              <w:t>供应商、需求、订单、到货</w:t>
            </w:r>
          </w:p>
        </w:tc>
        <w:tc>
          <w:tcPr>
            <w:tcW w:type="dxa" w:w="3277"/>
            <w:vAlign w:val="center"/>
          </w:tcPr>
          <w:p>
            <w:pPr>
              <w:keepNext w:val="0"/>
              <w:spacing w:line="320" w:lineRule="exact" w:after="0" w:before="0"/>
              <w:ind w:firstLine="0"/>
              <w:jc w:val="left"/>
            </w:pPr>
            <w:r>
              <w:rPr>
                <w:b w:val="0"/>
                <w:sz w:val="21"/>
              </w:rPr>
              <w:t>物料、检验、库存和结算关联</w:t>
            </w:r>
          </w:p>
        </w:tc>
      </w:tr>
      <w:tr>
        <w:trPr>
          <w:cantSplit/>
        </w:trPr>
        <w:tc>
          <w:tcPr>
            <w:tcW w:type="dxa" w:w="2506"/>
            <w:vAlign w:val="center"/>
          </w:tcPr>
          <w:p>
            <w:pPr>
              <w:keepNext w:val="0"/>
              <w:spacing w:line="320" w:lineRule="exact" w:after="0" w:before="0"/>
              <w:ind w:firstLine="0"/>
              <w:jc w:val="left"/>
            </w:pPr>
            <w:r>
              <w:rPr>
                <w:b w:val="0"/>
                <w:sz w:val="21"/>
              </w:rPr>
              <w:t>营销管理</w:t>
            </w:r>
          </w:p>
        </w:tc>
        <w:tc>
          <w:tcPr>
            <w:tcW w:type="dxa" w:w="3855"/>
            <w:vAlign w:val="center"/>
          </w:tcPr>
          <w:p>
            <w:pPr>
              <w:keepNext w:val="0"/>
              <w:spacing w:line="320" w:lineRule="exact" w:after="0" w:before="0"/>
              <w:ind w:firstLine="0"/>
              <w:jc w:val="left"/>
            </w:pPr>
            <w:r>
              <w:rPr>
                <w:b w:val="0"/>
                <w:sz w:val="21"/>
              </w:rPr>
              <w:t>客户、商机、需求、合同、服务</w:t>
            </w:r>
          </w:p>
        </w:tc>
        <w:tc>
          <w:tcPr>
            <w:tcW w:type="dxa" w:w="3277"/>
            <w:vAlign w:val="center"/>
          </w:tcPr>
          <w:p>
            <w:pPr>
              <w:keepNext w:val="0"/>
              <w:spacing w:line="320" w:lineRule="exact" w:after="0" w:before="0"/>
              <w:ind w:firstLine="0"/>
              <w:jc w:val="left"/>
            </w:pPr>
            <w:r>
              <w:rPr>
                <w:b w:val="0"/>
                <w:sz w:val="21"/>
              </w:rPr>
              <w:t>产品选型、交付及运维反馈关联</w:t>
            </w:r>
          </w:p>
        </w:tc>
      </w:tr>
      <w:tr>
        <w:trPr>
          <w:cantSplit/>
        </w:trPr>
        <w:tc>
          <w:tcPr>
            <w:tcW w:type="dxa" w:w="2506"/>
            <w:vAlign w:val="center"/>
          </w:tcPr>
          <w:p>
            <w:pPr>
              <w:keepNext w:val="0"/>
              <w:spacing w:line="320" w:lineRule="exact" w:after="0" w:before="0"/>
              <w:ind w:firstLine="0"/>
              <w:jc w:val="left"/>
            </w:pPr>
            <w:r>
              <w:rPr>
                <w:b w:val="0"/>
                <w:sz w:val="21"/>
              </w:rPr>
              <w:t>质量管理</w:t>
            </w:r>
          </w:p>
        </w:tc>
        <w:tc>
          <w:tcPr>
            <w:tcW w:type="dxa" w:w="3855"/>
            <w:vAlign w:val="center"/>
          </w:tcPr>
          <w:p>
            <w:pPr>
              <w:keepNext w:val="0"/>
              <w:spacing w:line="320" w:lineRule="exact" w:after="0" w:before="0"/>
              <w:ind w:firstLine="0"/>
              <w:jc w:val="left"/>
            </w:pPr>
            <w:r>
              <w:rPr>
                <w:b w:val="0"/>
                <w:sz w:val="21"/>
              </w:rPr>
              <w:t>检验项、结果、缺陷、返修、复检</w:t>
            </w:r>
          </w:p>
        </w:tc>
        <w:tc>
          <w:tcPr>
            <w:tcW w:type="dxa" w:w="3277"/>
            <w:vAlign w:val="center"/>
          </w:tcPr>
          <w:p>
            <w:pPr>
              <w:keepNext w:val="0"/>
              <w:spacing w:line="320" w:lineRule="exact" w:after="0" w:before="0"/>
              <w:ind w:firstLine="0"/>
              <w:jc w:val="left"/>
            </w:pPr>
            <w:r>
              <w:rPr>
                <w:b w:val="0"/>
                <w:sz w:val="21"/>
              </w:rPr>
              <w:t>物料、工件、工艺版本和过程条件关联</w:t>
            </w:r>
          </w:p>
        </w:tc>
      </w:tr>
    </w:tbl>
    <w:p>
      <w:pPr>
        <w:spacing w:after="40" w:line="240" w:lineRule="auto"/>
        <w:ind w:firstLine="0"/>
      </w:pPr>
      <w:r>
        <w:rPr>
          <w:sz w:val="4"/>
        </w:rPr>
      </w:r>
    </w:p>
    <w:p>
      <w:pPr>
        <w:pStyle w:val="Heading2"/>
      </w:pPr>
      <w:r>
        <w:t>3.3 十七套外围系统盘点</w:t>
      </w:r>
    </w:p>
    <w:p>
      <w:pPr>
        <w:jc w:val="both"/>
      </w:pPr>
      <w:r>
        <w:t>我方对 CRM、ERP、SCM、QMS、WMS、MES、LMS、EMS、SOS、EAM、PLM、SCADA、OA、久其系统、主数据管理平台、热处理群控系统、安全监管平台逐套建立调查记录。系统清单与服务采购范围一致，逐项核定实际模块、数据对象、版本、部署位置、接口条件及归口岗位。系统简称、业务名称和正式部署实例分别登记，防止同名模块、历史系统与现行系统混淆。</w:t>
      </w:r>
    </w:p>
    <w:p>
      <w:pPr>
        <w:jc w:val="both"/>
      </w:pPr>
      <w:r>
        <w:t>系统调查记录包括数据库实例或文件服务、存储区域、数据规模、历史覆盖、更新频率、访问方式、接口限制、业务主键、时间字段、附件关系、编码规则、已知质量问题和变更责任。物理地址、连接参数和凭据纳入受控技术台账，业务目录使用资源定位标识。盘点报告展现业务分布和关系，具体访问凭据通过批准的安全方式管理。</w:t>
      </w:r>
    </w:p>
    <w:p>
      <w:pPr>
        <w:pStyle w:val="Caption"/>
        <w:keepNext/>
      </w:pPr>
      <w:r>
        <w:t>表3-2 十七套外围系统盘点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系统</w:t>
            </w:r>
          </w:p>
        </w:tc>
        <w:tc>
          <w:tcPr>
            <w:tcW w:type="dxa" w:w="3855"/>
            <w:vAlign w:val="center"/>
            <w:shd w:fill="EDF1F3"/>
          </w:tcPr>
          <w:p>
            <w:pPr>
              <w:keepNext/>
              <w:spacing w:line="320" w:lineRule="exact" w:after="0" w:before="0"/>
              <w:ind w:firstLine="0"/>
              <w:jc w:val="center"/>
            </w:pPr>
            <w:r>
              <w:rPr>
                <w:b/>
                <w:sz w:val="21"/>
              </w:rPr>
              <w:t>重点核查对象</w:t>
            </w:r>
          </w:p>
        </w:tc>
        <w:tc>
          <w:tcPr>
            <w:tcW w:type="dxa" w:w="3277"/>
            <w:vAlign w:val="center"/>
            <w:shd w:fill="EDF1F3"/>
          </w:tcPr>
          <w:p>
            <w:pPr>
              <w:keepNext/>
              <w:spacing w:line="320" w:lineRule="exact" w:after="0" w:before="0"/>
              <w:ind w:firstLine="0"/>
              <w:jc w:val="center"/>
            </w:pPr>
            <w:r>
              <w:rPr>
                <w:b/>
                <w:sz w:val="21"/>
              </w:rPr>
              <w:t>主要核验事项</w:t>
            </w:r>
          </w:p>
        </w:tc>
      </w:tr>
      <w:tr>
        <w:trPr>
          <w:cantSplit/>
        </w:trPr>
        <w:tc>
          <w:tcPr>
            <w:tcW w:type="dxa" w:w="2506"/>
            <w:vAlign w:val="center"/>
          </w:tcPr>
          <w:p>
            <w:pPr>
              <w:keepNext w:val="0"/>
              <w:spacing w:line="320" w:lineRule="exact" w:after="0" w:before="0"/>
              <w:ind w:firstLine="0"/>
              <w:jc w:val="left"/>
            </w:pPr>
            <w:r>
              <w:rPr>
                <w:b w:val="0"/>
                <w:sz w:val="21"/>
              </w:rPr>
              <w:t>CRM</w:t>
            </w:r>
          </w:p>
        </w:tc>
        <w:tc>
          <w:tcPr>
            <w:tcW w:type="dxa" w:w="3855"/>
            <w:vAlign w:val="center"/>
          </w:tcPr>
          <w:p>
            <w:pPr>
              <w:keepNext w:val="0"/>
              <w:spacing w:line="320" w:lineRule="exact" w:after="0" w:before="0"/>
              <w:ind w:firstLine="0"/>
              <w:jc w:val="left"/>
            </w:pPr>
            <w:r>
              <w:rPr>
                <w:b w:val="0"/>
                <w:sz w:val="21"/>
              </w:rPr>
              <w:t>客户、需求、商机及相关业务资料</w:t>
            </w:r>
          </w:p>
        </w:tc>
        <w:tc>
          <w:tcPr>
            <w:tcW w:type="dxa" w:w="3277"/>
            <w:vAlign w:val="center"/>
          </w:tcPr>
          <w:p>
            <w:pPr>
              <w:keepNext w:val="0"/>
              <w:spacing w:line="320" w:lineRule="exact" w:after="0" w:before="0"/>
              <w:ind w:firstLine="0"/>
              <w:jc w:val="left"/>
            </w:pPr>
            <w:r>
              <w:rPr>
                <w:b w:val="0"/>
                <w:sz w:val="21"/>
              </w:rPr>
              <w:t>客户标识、状态历史、附件和授权</w:t>
            </w:r>
          </w:p>
        </w:tc>
      </w:tr>
      <w:tr>
        <w:trPr>
          <w:cantSplit/>
        </w:trPr>
        <w:tc>
          <w:tcPr>
            <w:tcW w:type="dxa" w:w="2506"/>
            <w:vAlign w:val="center"/>
          </w:tcPr>
          <w:p>
            <w:pPr>
              <w:keepNext w:val="0"/>
              <w:spacing w:line="320" w:lineRule="exact" w:after="0" w:before="0"/>
              <w:ind w:firstLine="0"/>
              <w:jc w:val="left"/>
            </w:pPr>
            <w:r>
              <w:rPr>
                <w:b w:val="0"/>
                <w:sz w:val="21"/>
              </w:rPr>
              <w:t>ERP</w:t>
            </w:r>
          </w:p>
        </w:tc>
        <w:tc>
          <w:tcPr>
            <w:tcW w:type="dxa" w:w="3855"/>
            <w:vAlign w:val="center"/>
          </w:tcPr>
          <w:p>
            <w:pPr>
              <w:keepNext w:val="0"/>
              <w:spacing w:line="320" w:lineRule="exact" w:after="0" w:before="0"/>
              <w:ind w:firstLine="0"/>
              <w:jc w:val="left"/>
            </w:pPr>
            <w:r>
              <w:rPr>
                <w:b w:val="0"/>
                <w:sz w:val="21"/>
              </w:rPr>
              <w:t>物料、计划、业务单据及经营数据</w:t>
            </w:r>
          </w:p>
        </w:tc>
        <w:tc>
          <w:tcPr>
            <w:tcW w:type="dxa" w:w="3277"/>
            <w:vAlign w:val="center"/>
          </w:tcPr>
          <w:p>
            <w:pPr>
              <w:keepNext w:val="0"/>
              <w:spacing w:line="320" w:lineRule="exact" w:after="0" w:before="0"/>
              <w:ind w:firstLine="0"/>
              <w:jc w:val="left"/>
            </w:pPr>
            <w:r>
              <w:rPr>
                <w:b w:val="0"/>
                <w:sz w:val="21"/>
              </w:rPr>
              <w:t>单据粒度、组织范围、状态和单位</w:t>
            </w:r>
          </w:p>
        </w:tc>
      </w:tr>
      <w:tr>
        <w:trPr>
          <w:cantSplit/>
        </w:trPr>
        <w:tc>
          <w:tcPr>
            <w:tcW w:type="dxa" w:w="2506"/>
            <w:vAlign w:val="center"/>
          </w:tcPr>
          <w:p>
            <w:pPr>
              <w:keepNext w:val="0"/>
              <w:spacing w:line="320" w:lineRule="exact" w:after="0" w:before="0"/>
              <w:ind w:firstLine="0"/>
              <w:jc w:val="left"/>
            </w:pPr>
            <w:r>
              <w:rPr>
                <w:b w:val="0"/>
                <w:sz w:val="21"/>
              </w:rPr>
              <w:t>SCM</w:t>
            </w:r>
          </w:p>
        </w:tc>
        <w:tc>
          <w:tcPr>
            <w:tcW w:type="dxa" w:w="3855"/>
            <w:vAlign w:val="center"/>
          </w:tcPr>
          <w:p>
            <w:pPr>
              <w:keepNext w:val="0"/>
              <w:spacing w:line="320" w:lineRule="exact" w:after="0" w:before="0"/>
              <w:ind w:firstLine="0"/>
              <w:jc w:val="left"/>
            </w:pPr>
            <w:r>
              <w:rPr>
                <w:b w:val="0"/>
                <w:sz w:val="21"/>
              </w:rPr>
              <w:t>供应商、协同及采购相关记录</w:t>
            </w:r>
          </w:p>
        </w:tc>
        <w:tc>
          <w:tcPr>
            <w:tcW w:type="dxa" w:w="3277"/>
            <w:vAlign w:val="center"/>
          </w:tcPr>
          <w:p>
            <w:pPr>
              <w:keepNext w:val="0"/>
              <w:spacing w:line="320" w:lineRule="exact" w:after="0" w:before="0"/>
              <w:ind w:firstLine="0"/>
              <w:jc w:val="left"/>
            </w:pPr>
            <w:r>
              <w:rPr>
                <w:b w:val="0"/>
                <w:sz w:val="21"/>
              </w:rPr>
              <w:t>来源责任、协同状态、外部数据限制</w:t>
            </w:r>
          </w:p>
        </w:tc>
      </w:tr>
      <w:tr>
        <w:trPr>
          <w:cantSplit/>
        </w:trPr>
        <w:tc>
          <w:tcPr>
            <w:tcW w:type="dxa" w:w="2506"/>
            <w:vAlign w:val="center"/>
          </w:tcPr>
          <w:p>
            <w:pPr>
              <w:keepNext w:val="0"/>
              <w:spacing w:line="320" w:lineRule="exact" w:after="0" w:before="0"/>
              <w:ind w:firstLine="0"/>
              <w:jc w:val="left"/>
            </w:pPr>
            <w:r>
              <w:rPr>
                <w:b w:val="0"/>
                <w:sz w:val="21"/>
              </w:rPr>
              <w:t>QMS</w:t>
            </w:r>
          </w:p>
        </w:tc>
        <w:tc>
          <w:tcPr>
            <w:tcW w:type="dxa" w:w="3855"/>
            <w:vAlign w:val="center"/>
          </w:tcPr>
          <w:p>
            <w:pPr>
              <w:keepNext w:val="0"/>
              <w:spacing w:line="320" w:lineRule="exact" w:after="0" w:before="0"/>
              <w:ind w:firstLine="0"/>
              <w:jc w:val="left"/>
            </w:pPr>
            <w:r>
              <w:rPr>
                <w:b w:val="0"/>
                <w:sz w:val="21"/>
              </w:rPr>
              <w:t>检验、质量判定、不合格处置</w:t>
            </w:r>
          </w:p>
        </w:tc>
        <w:tc>
          <w:tcPr>
            <w:tcW w:type="dxa" w:w="3277"/>
            <w:vAlign w:val="center"/>
          </w:tcPr>
          <w:p>
            <w:pPr>
              <w:keepNext w:val="0"/>
              <w:spacing w:line="320" w:lineRule="exact" w:after="0" w:before="0"/>
              <w:ind w:firstLine="0"/>
              <w:jc w:val="left"/>
            </w:pPr>
            <w:r>
              <w:rPr>
                <w:b w:val="0"/>
                <w:sz w:val="21"/>
              </w:rPr>
              <w:t>检验依据、工件批次、复检关系</w:t>
            </w:r>
          </w:p>
        </w:tc>
      </w:tr>
      <w:tr>
        <w:trPr>
          <w:cantSplit/>
        </w:trPr>
        <w:tc>
          <w:tcPr>
            <w:tcW w:type="dxa" w:w="2506"/>
            <w:vAlign w:val="center"/>
          </w:tcPr>
          <w:p>
            <w:pPr>
              <w:keepNext w:val="0"/>
              <w:spacing w:line="320" w:lineRule="exact" w:after="0" w:before="0"/>
              <w:ind w:firstLine="0"/>
              <w:jc w:val="left"/>
            </w:pPr>
            <w:r>
              <w:rPr>
                <w:b w:val="0"/>
                <w:sz w:val="21"/>
              </w:rPr>
              <w:t>WMS</w:t>
            </w:r>
          </w:p>
        </w:tc>
        <w:tc>
          <w:tcPr>
            <w:tcW w:type="dxa" w:w="3855"/>
            <w:vAlign w:val="center"/>
          </w:tcPr>
          <w:p>
            <w:pPr>
              <w:keepNext w:val="0"/>
              <w:spacing w:line="320" w:lineRule="exact" w:after="0" w:before="0"/>
              <w:ind w:firstLine="0"/>
              <w:jc w:val="left"/>
            </w:pPr>
            <w:r>
              <w:rPr>
                <w:b w:val="0"/>
                <w:sz w:val="21"/>
              </w:rPr>
              <w:t>库存、批次、库位、入出库</w:t>
            </w:r>
          </w:p>
        </w:tc>
        <w:tc>
          <w:tcPr>
            <w:tcW w:type="dxa" w:w="3277"/>
            <w:vAlign w:val="center"/>
          </w:tcPr>
          <w:p>
            <w:pPr>
              <w:keepNext w:val="0"/>
              <w:spacing w:line="320" w:lineRule="exact" w:after="0" w:before="0"/>
              <w:ind w:firstLine="0"/>
              <w:jc w:val="left"/>
            </w:pPr>
            <w:r>
              <w:rPr>
                <w:b w:val="0"/>
                <w:sz w:val="21"/>
              </w:rPr>
              <w:t>库存时间、冻结状态、数量与对账</w:t>
            </w:r>
          </w:p>
        </w:tc>
      </w:tr>
      <w:tr>
        <w:trPr>
          <w:cantSplit/>
        </w:trPr>
        <w:tc>
          <w:tcPr>
            <w:tcW w:type="dxa" w:w="2506"/>
            <w:vAlign w:val="center"/>
          </w:tcPr>
          <w:p>
            <w:pPr>
              <w:keepNext w:val="0"/>
              <w:spacing w:line="320" w:lineRule="exact" w:after="0" w:before="0"/>
              <w:ind w:firstLine="0"/>
              <w:jc w:val="left"/>
            </w:pPr>
            <w:r>
              <w:rPr>
                <w:b w:val="0"/>
                <w:sz w:val="21"/>
              </w:rPr>
              <w:t>MES</w:t>
            </w:r>
          </w:p>
        </w:tc>
        <w:tc>
          <w:tcPr>
            <w:tcW w:type="dxa" w:w="3855"/>
            <w:vAlign w:val="center"/>
          </w:tcPr>
          <w:p>
            <w:pPr>
              <w:keepNext w:val="0"/>
              <w:spacing w:line="320" w:lineRule="exact" w:after="0" w:before="0"/>
              <w:ind w:firstLine="0"/>
              <w:jc w:val="left"/>
            </w:pPr>
            <w:r>
              <w:rPr>
                <w:b w:val="0"/>
                <w:sz w:val="21"/>
              </w:rPr>
              <w:t>工单、工序、执行和报工</w:t>
            </w:r>
          </w:p>
        </w:tc>
        <w:tc>
          <w:tcPr>
            <w:tcW w:type="dxa" w:w="3277"/>
            <w:vAlign w:val="center"/>
          </w:tcPr>
          <w:p>
            <w:pPr>
              <w:keepNext w:val="0"/>
              <w:spacing w:line="320" w:lineRule="exact" w:after="0" w:before="0"/>
              <w:ind w:firstLine="0"/>
              <w:jc w:val="left"/>
            </w:pPr>
            <w:r>
              <w:rPr>
                <w:b w:val="0"/>
                <w:sz w:val="21"/>
              </w:rPr>
              <w:t>对象粒度、执行顺序、返工与时间</w:t>
            </w:r>
          </w:p>
        </w:tc>
      </w:tr>
      <w:tr>
        <w:trPr>
          <w:cantSplit/>
        </w:trPr>
        <w:tc>
          <w:tcPr>
            <w:tcW w:type="dxa" w:w="2506"/>
            <w:vAlign w:val="center"/>
          </w:tcPr>
          <w:p>
            <w:pPr>
              <w:keepNext w:val="0"/>
              <w:spacing w:line="320" w:lineRule="exact" w:after="0" w:before="0"/>
              <w:ind w:firstLine="0"/>
              <w:jc w:val="left"/>
            </w:pPr>
            <w:r>
              <w:rPr>
                <w:b w:val="0"/>
                <w:sz w:val="21"/>
              </w:rPr>
              <w:t>LMS</w:t>
            </w:r>
          </w:p>
        </w:tc>
        <w:tc>
          <w:tcPr>
            <w:tcW w:type="dxa" w:w="3855"/>
            <w:vAlign w:val="center"/>
          </w:tcPr>
          <w:p>
            <w:pPr>
              <w:keepNext w:val="0"/>
              <w:spacing w:line="320" w:lineRule="exact" w:after="0" w:before="0"/>
              <w:ind w:firstLine="0"/>
              <w:jc w:val="left"/>
            </w:pPr>
            <w:r>
              <w:rPr>
                <w:b w:val="0"/>
                <w:sz w:val="21"/>
              </w:rPr>
              <w:t>物流相关业务数据</w:t>
            </w:r>
          </w:p>
        </w:tc>
        <w:tc>
          <w:tcPr>
            <w:tcW w:type="dxa" w:w="3277"/>
            <w:vAlign w:val="center"/>
          </w:tcPr>
          <w:p>
            <w:pPr>
              <w:keepNext w:val="0"/>
              <w:spacing w:line="320" w:lineRule="exact" w:after="0" w:before="0"/>
              <w:ind w:firstLine="0"/>
              <w:jc w:val="left"/>
            </w:pPr>
            <w:r>
              <w:rPr>
                <w:b w:val="0"/>
                <w:sz w:val="21"/>
              </w:rPr>
              <w:t>实际模块、物流对象、状态及交接</w:t>
            </w:r>
          </w:p>
        </w:tc>
      </w:tr>
      <w:tr>
        <w:trPr>
          <w:cantSplit/>
        </w:trPr>
        <w:tc>
          <w:tcPr>
            <w:tcW w:type="dxa" w:w="2506"/>
            <w:vAlign w:val="center"/>
          </w:tcPr>
          <w:p>
            <w:pPr>
              <w:keepNext w:val="0"/>
              <w:spacing w:line="320" w:lineRule="exact" w:after="0" w:before="0"/>
              <w:ind w:firstLine="0"/>
              <w:jc w:val="left"/>
            </w:pPr>
            <w:r>
              <w:rPr>
                <w:b w:val="0"/>
                <w:sz w:val="21"/>
              </w:rPr>
              <w:t>EMS</w:t>
            </w:r>
          </w:p>
        </w:tc>
        <w:tc>
          <w:tcPr>
            <w:tcW w:type="dxa" w:w="3855"/>
            <w:vAlign w:val="center"/>
          </w:tcPr>
          <w:p>
            <w:pPr>
              <w:keepNext w:val="0"/>
              <w:spacing w:line="320" w:lineRule="exact" w:after="0" w:before="0"/>
              <w:ind w:firstLine="0"/>
              <w:jc w:val="left"/>
            </w:pPr>
            <w:r>
              <w:rPr>
                <w:b w:val="0"/>
                <w:sz w:val="21"/>
              </w:rPr>
              <w:t>能源相关业务数据</w:t>
            </w:r>
          </w:p>
        </w:tc>
        <w:tc>
          <w:tcPr>
            <w:tcW w:type="dxa" w:w="3277"/>
            <w:vAlign w:val="center"/>
          </w:tcPr>
          <w:p>
            <w:pPr>
              <w:keepNext w:val="0"/>
              <w:spacing w:line="320" w:lineRule="exact" w:after="0" w:before="0"/>
              <w:ind w:firstLine="0"/>
              <w:jc w:val="left"/>
            </w:pPr>
            <w:r>
              <w:rPr>
                <w:b w:val="0"/>
                <w:sz w:val="21"/>
              </w:rPr>
              <w:t>计量对象、周期、单位及采集覆盖</w:t>
            </w:r>
          </w:p>
        </w:tc>
      </w:tr>
      <w:tr>
        <w:trPr>
          <w:cantSplit/>
        </w:trPr>
        <w:tc>
          <w:tcPr>
            <w:tcW w:type="dxa" w:w="2506"/>
            <w:vAlign w:val="center"/>
          </w:tcPr>
          <w:p>
            <w:pPr>
              <w:keepNext w:val="0"/>
              <w:spacing w:line="320" w:lineRule="exact" w:after="0" w:before="0"/>
              <w:ind w:firstLine="0"/>
              <w:jc w:val="left"/>
            </w:pPr>
            <w:r>
              <w:rPr>
                <w:b w:val="0"/>
                <w:sz w:val="21"/>
              </w:rPr>
              <w:t>SOS</w:t>
            </w:r>
          </w:p>
        </w:tc>
        <w:tc>
          <w:tcPr>
            <w:tcW w:type="dxa" w:w="3855"/>
            <w:vAlign w:val="center"/>
          </w:tcPr>
          <w:p>
            <w:pPr>
              <w:keepNext w:val="0"/>
              <w:spacing w:line="320" w:lineRule="exact" w:after="0" w:before="0"/>
              <w:ind w:firstLine="0"/>
              <w:jc w:val="left"/>
            </w:pPr>
            <w:r>
              <w:rPr>
                <w:b w:val="0"/>
                <w:sz w:val="21"/>
              </w:rPr>
              <w:t>运维服务相关业务数据</w:t>
            </w:r>
          </w:p>
        </w:tc>
        <w:tc>
          <w:tcPr>
            <w:tcW w:type="dxa" w:w="3277"/>
            <w:vAlign w:val="center"/>
          </w:tcPr>
          <w:p>
            <w:pPr>
              <w:keepNext w:val="0"/>
              <w:spacing w:line="320" w:lineRule="exact" w:after="0" w:before="0"/>
              <w:ind w:firstLine="0"/>
              <w:jc w:val="left"/>
            </w:pPr>
            <w:r>
              <w:rPr>
                <w:b w:val="0"/>
                <w:sz w:val="21"/>
              </w:rPr>
              <w:t>实际模块、服务对象、事件和处置</w:t>
            </w:r>
          </w:p>
        </w:tc>
      </w:tr>
      <w:tr>
        <w:trPr>
          <w:cantSplit/>
        </w:trPr>
        <w:tc>
          <w:tcPr>
            <w:tcW w:type="dxa" w:w="2506"/>
            <w:vAlign w:val="center"/>
          </w:tcPr>
          <w:p>
            <w:pPr>
              <w:keepNext w:val="0"/>
              <w:spacing w:line="320" w:lineRule="exact" w:after="0" w:before="0"/>
              <w:ind w:firstLine="0"/>
              <w:jc w:val="left"/>
            </w:pPr>
            <w:r>
              <w:rPr>
                <w:b w:val="0"/>
                <w:sz w:val="21"/>
              </w:rPr>
              <w:t>EAM</w:t>
            </w:r>
          </w:p>
        </w:tc>
        <w:tc>
          <w:tcPr>
            <w:tcW w:type="dxa" w:w="3855"/>
            <w:vAlign w:val="center"/>
          </w:tcPr>
          <w:p>
            <w:pPr>
              <w:keepNext w:val="0"/>
              <w:spacing w:line="320" w:lineRule="exact" w:after="0" w:before="0"/>
              <w:ind w:firstLine="0"/>
              <w:jc w:val="left"/>
            </w:pPr>
            <w:r>
              <w:rPr>
                <w:b w:val="0"/>
                <w:sz w:val="21"/>
              </w:rPr>
              <w:t>设备台账、维修维护及履历</w:t>
            </w:r>
          </w:p>
        </w:tc>
        <w:tc>
          <w:tcPr>
            <w:tcW w:type="dxa" w:w="3277"/>
            <w:vAlign w:val="center"/>
          </w:tcPr>
          <w:p>
            <w:pPr>
              <w:keepNext w:val="0"/>
              <w:spacing w:line="320" w:lineRule="exact" w:after="0" w:before="0"/>
              <w:ind w:firstLine="0"/>
              <w:jc w:val="left"/>
            </w:pPr>
            <w:r>
              <w:rPr>
                <w:b w:val="0"/>
                <w:sz w:val="21"/>
              </w:rPr>
              <w:t>设备层级、部件变更、维修事件</w:t>
            </w:r>
          </w:p>
        </w:tc>
      </w:tr>
      <w:tr>
        <w:trPr>
          <w:cantSplit/>
        </w:trPr>
        <w:tc>
          <w:tcPr>
            <w:tcW w:type="dxa" w:w="2506"/>
            <w:vAlign w:val="center"/>
          </w:tcPr>
          <w:p>
            <w:pPr>
              <w:keepNext w:val="0"/>
              <w:spacing w:line="320" w:lineRule="exact" w:after="0" w:before="0"/>
              <w:ind w:firstLine="0"/>
              <w:jc w:val="left"/>
            </w:pPr>
            <w:r>
              <w:rPr>
                <w:b w:val="0"/>
                <w:sz w:val="21"/>
              </w:rPr>
              <w:t>PLM</w:t>
            </w:r>
          </w:p>
        </w:tc>
        <w:tc>
          <w:tcPr>
            <w:tcW w:type="dxa" w:w="3855"/>
            <w:vAlign w:val="center"/>
          </w:tcPr>
          <w:p>
            <w:pPr>
              <w:keepNext w:val="0"/>
              <w:spacing w:line="320" w:lineRule="exact" w:after="0" w:before="0"/>
              <w:ind w:firstLine="0"/>
              <w:jc w:val="left"/>
            </w:pPr>
            <w:r>
              <w:rPr>
                <w:b w:val="0"/>
                <w:sz w:val="21"/>
              </w:rPr>
              <w:t>产品结构、图纸、工艺及技术资料</w:t>
            </w:r>
          </w:p>
        </w:tc>
        <w:tc>
          <w:tcPr>
            <w:tcW w:type="dxa" w:w="3277"/>
            <w:vAlign w:val="center"/>
          </w:tcPr>
          <w:p>
            <w:pPr>
              <w:keepNext w:val="0"/>
              <w:spacing w:line="320" w:lineRule="exact" w:after="0" w:before="0"/>
              <w:ind w:firstLine="0"/>
              <w:jc w:val="left"/>
            </w:pPr>
            <w:r>
              <w:rPr>
                <w:b w:val="0"/>
                <w:sz w:val="21"/>
              </w:rPr>
              <w:t>发布状态、版本、变更和引用关系</w:t>
            </w:r>
          </w:p>
        </w:tc>
      </w:tr>
      <w:tr>
        <w:trPr>
          <w:cantSplit/>
        </w:trPr>
        <w:tc>
          <w:tcPr>
            <w:tcW w:type="dxa" w:w="2506"/>
            <w:vAlign w:val="center"/>
          </w:tcPr>
          <w:p>
            <w:pPr>
              <w:keepNext w:val="0"/>
              <w:spacing w:line="320" w:lineRule="exact" w:after="0" w:before="0"/>
              <w:ind w:firstLine="0"/>
              <w:jc w:val="left"/>
            </w:pPr>
            <w:r>
              <w:rPr>
                <w:b w:val="0"/>
                <w:sz w:val="21"/>
              </w:rPr>
              <w:t>SCADA</w:t>
            </w:r>
          </w:p>
        </w:tc>
        <w:tc>
          <w:tcPr>
            <w:tcW w:type="dxa" w:w="3855"/>
            <w:vAlign w:val="center"/>
          </w:tcPr>
          <w:p>
            <w:pPr>
              <w:keepNext w:val="0"/>
              <w:spacing w:line="320" w:lineRule="exact" w:after="0" w:before="0"/>
              <w:ind w:firstLine="0"/>
              <w:jc w:val="left"/>
            </w:pPr>
            <w:r>
              <w:rPr>
                <w:b w:val="0"/>
                <w:sz w:val="21"/>
              </w:rPr>
              <w:t>设备测点、过程参数和报警</w:t>
            </w:r>
          </w:p>
        </w:tc>
        <w:tc>
          <w:tcPr>
            <w:tcW w:type="dxa" w:w="3277"/>
            <w:vAlign w:val="center"/>
          </w:tcPr>
          <w:p>
            <w:pPr>
              <w:keepNext w:val="0"/>
              <w:spacing w:line="320" w:lineRule="exact" w:after="0" w:before="0"/>
              <w:ind w:firstLine="0"/>
              <w:jc w:val="left"/>
            </w:pPr>
            <w:r>
              <w:rPr>
                <w:b w:val="0"/>
                <w:sz w:val="21"/>
              </w:rPr>
              <w:t>测点配置、采样周期、时钟与缺失</w:t>
            </w:r>
          </w:p>
        </w:tc>
      </w:tr>
      <w:tr>
        <w:trPr>
          <w:cantSplit/>
        </w:trPr>
        <w:tc>
          <w:tcPr>
            <w:tcW w:type="dxa" w:w="2506"/>
            <w:vAlign w:val="center"/>
          </w:tcPr>
          <w:p>
            <w:pPr>
              <w:keepNext w:val="0"/>
              <w:spacing w:line="320" w:lineRule="exact" w:after="0" w:before="0"/>
              <w:ind w:firstLine="0"/>
              <w:jc w:val="left"/>
            </w:pPr>
            <w:r>
              <w:rPr>
                <w:b w:val="0"/>
                <w:sz w:val="21"/>
              </w:rPr>
              <w:t>OA</w:t>
            </w:r>
          </w:p>
        </w:tc>
        <w:tc>
          <w:tcPr>
            <w:tcW w:type="dxa" w:w="3855"/>
            <w:vAlign w:val="center"/>
          </w:tcPr>
          <w:p>
            <w:pPr>
              <w:keepNext w:val="0"/>
              <w:spacing w:line="320" w:lineRule="exact" w:after="0" w:before="0"/>
              <w:ind w:firstLine="0"/>
              <w:jc w:val="left"/>
            </w:pPr>
            <w:r>
              <w:rPr>
                <w:b w:val="0"/>
                <w:sz w:val="21"/>
              </w:rPr>
              <w:t>制度、合同及业务审批材料</w:t>
            </w:r>
          </w:p>
        </w:tc>
        <w:tc>
          <w:tcPr>
            <w:tcW w:type="dxa" w:w="3277"/>
            <w:vAlign w:val="center"/>
          </w:tcPr>
          <w:p>
            <w:pPr>
              <w:keepNext w:val="0"/>
              <w:spacing w:line="320" w:lineRule="exact" w:after="0" w:before="0"/>
              <w:ind w:firstLine="0"/>
              <w:jc w:val="left"/>
            </w:pPr>
            <w:r>
              <w:rPr>
                <w:b w:val="0"/>
                <w:sz w:val="21"/>
              </w:rPr>
              <w:t>审批、发布、生效、废止及附件</w:t>
            </w:r>
          </w:p>
        </w:tc>
      </w:tr>
      <w:tr>
        <w:trPr>
          <w:cantSplit/>
        </w:trPr>
        <w:tc>
          <w:tcPr>
            <w:tcW w:type="dxa" w:w="2506"/>
            <w:vAlign w:val="center"/>
          </w:tcPr>
          <w:p>
            <w:pPr>
              <w:keepNext w:val="0"/>
              <w:spacing w:line="320" w:lineRule="exact" w:after="0" w:before="0"/>
              <w:ind w:firstLine="0"/>
              <w:jc w:val="left"/>
            </w:pPr>
            <w:r>
              <w:rPr>
                <w:b w:val="0"/>
                <w:sz w:val="21"/>
              </w:rPr>
              <w:t>久其系统</w:t>
            </w:r>
          </w:p>
        </w:tc>
        <w:tc>
          <w:tcPr>
            <w:tcW w:type="dxa" w:w="3855"/>
            <w:vAlign w:val="center"/>
          </w:tcPr>
          <w:p>
            <w:pPr>
              <w:keepNext w:val="0"/>
              <w:spacing w:line="320" w:lineRule="exact" w:after="0" w:before="0"/>
              <w:ind w:firstLine="0"/>
              <w:jc w:val="left"/>
            </w:pPr>
            <w:r>
              <w:rPr>
                <w:b w:val="0"/>
                <w:sz w:val="21"/>
              </w:rPr>
              <w:t>报表及经营管理数据</w:t>
            </w:r>
          </w:p>
        </w:tc>
        <w:tc>
          <w:tcPr>
            <w:tcW w:type="dxa" w:w="3277"/>
            <w:vAlign w:val="center"/>
          </w:tcPr>
          <w:p>
            <w:pPr>
              <w:keepNext w:val="0"/>
              <w:spacing w:line="320" w:lineRule="exact" w:after="0" w:before="0"/>
              <w:ind w:firstLine="0"/>
              <w:jc w:val="left"/>
            </w:pPr>
            <w:r>
              <w:rPr>
                <w:b w:val="0"/>
                <w:sz w:val="21"/>
              </w:rPr>
              <w:t>指标定义、报送范围、期间和修订</w:t>
            </w:r>
          </w:p>
        </w:tc>
      </w:tr>
      <w:tr>
        <w:trPr>
          <w:cantSplit/>
        </w:trPr>
        <w:tc>
          <w:tcPr>
            <w:tcW w:type="dxa" w:w="2506"/>
            <w:vAlign w:val="center"/>
          </w:tcPr>
          <w:p>
            <w:pPr>
              <w:keepNext w:val="0"/>
              <w:spacing w:line="320" w:lineRule="exact" w:after="0" w:before="0"/>
              <w:ind w:firstLine="0"/>
              <w:jc w:val="left"/>
            </w:pPr>
            <w:r>
              <w:rPr>
                <w:b w:val="0"/>
                <w:sz w:val="21"/>
              </w:rPr>
              <w:t>主数据管理平台</w:t>
            </w:r>
          </w:p>
        </w:tc>
        <w:tc>
          <w:tcPr>
            <w:tcW w:type="dxa" w:w="3855"/>
            <w:vAlign w:val="center"/>
          </w:tcPr>
          <w:p>
            <w:pPr>
              <w:keepNext w:val="0"/>
              <w:spacing w:line="320" w:lineRule="exact" w:after="0" w:before="0"/>
              <w:ind w:firstLine="0"/>
              <w:jc w:val="left"/>
            </w:pPr>
            <w:r>
              <w:rPr>
                <w:b w:val="0"/>
                <w:sz w:val="21"/>
              </w:rPr>
              <w:t>主数据、编码、组织及映射</w:t>
            </w:r>
          </w:p>
        </w:tc>
        <w:tc>
          <w:tcPr>
            <w:tcW w:type="dxa" w:w="3277"/>
            <w:vAlign w:val="center"/>
          </w:tcPr>
          <w:p>
            <w:pPr>
              <w:keepNext w:val="0"/>
              <w:spacing w:line="320" w:lineRule="exact" w:after="0" w:before="0"/>
              <w:ind w:firstLine="0"/>
              <w:jc w:val="left"/>
            </w:pPr>
            <w:r>
              <w:rPr>
                <w:b w:val="0"/>
                <w:sz w:val="21"/>
              </w:rPr>
              <w:t>权威源、分发、合并、停用与历史</w:t>
            </w:r>
          </w:p>
        </w:tc>
      </w:tr>
      <w:tr>
        <w:trPr>
          <w:cantSplit/>
        </w:trPr>
        <w:tc>
          <w:tcPr>
            <w:tcW w:type="dxa" w:w="2506"/>
            <w:vAlign w:val="center"/>
          </w:tcPr>
          <w:p>
            <w:pPr>
              <w:keepNext w:val="0"/>
              <w:spacing w:line="320" w:lineRule="exact" w:after="0" w:before="0"/>
              <w:ind w:firstLine="0"/>
              <w:jc w:val="left"/>
            </w:pPr>
            <w:r>
              <w:rPr>
                <w:b w:val="0"/>
                <w:sz w:val="21"/>
              </w:rPr>
              <w:t>热处理群控系统</w:t>
            </w:r>
          </w:p>
        </w:tc>
        <w:tc>
          <w:tcPr>
            <w:tcW w:type="dxa" w:w="3855"/>
            <w:vAlign w:val="center"/>
          </w:tcPr>
          <w:p>
            <w:pPr>
              <w:keepNext w:val="0"/>
              <w:spacing w:line="320" w:lineRule="exact" w:after="0" w:before="0"/>
              <w:ind w:firstLine="0"/>
              <w:jc w:val="left"/>
            </w:pPr>
            <w:r>
              <w:rPr>
                <w:b w:val="0"/>
                <w:sz w:val="21"/>
              </w:rPr>
              <w:t>炉次、工艺执行与过程曲线</w:t>
            </w:r>
          </w:p>
        </w:tc>
        <w:tc>
          <w:tcPr>
            <w:tcW w:type="dxa" w:w="3277"/>
            <w:vAlign w:val="center"/>
          </w:tcPr>
          <w:p>
            <w:pPr>
              <w:keepNext w:val="0"/>
              <w:spacing w:line="320" w:lineRule="exact" w:after="0" w:before="0"/>
              <w:ind w:firstLine="0"/>
              <w:jc w:val="left"/>
            </w:pPr>
            <w:r>
              <w:rPr>
                <w:b w:val="0"/>
                <w:sz w:val="21"/>
              </w:rPr>
              <w:t>装炉对象、工艺版本、曲线与检验</w:t>
            </w:r>
          </w:p>
        </w:tc>
      </w:tr>
      <w:tr>
        <w:trPr>
          <w:cantSplit/>
        </w:trPr>
        <w:tc>
          <w:tcPr>
            <w:tcW w:type="dxa" w:w="2506"/>
            <w:vAlign w:val="center"/>
          </w:tcPr>
          <w:p>
            <w:pPr>
              <w:keepNext w:val="0"/>
              <w:spacing w:line="320" w:lineRule="exact" w:after="0" w:before="0"/>
              <w:ind w:firstLine="0"/>
              <w:jc w:val="left"/>
            </w:pPr>
            <w:r>
              <w:rPr>
                <w:b w:val="0"/>
                <w:sz w:val="21"/>
              </w:rPr>
              <w:t>安全监管平台</w:t>
            </w:r>
          </w:p>
        </w:tc>
        <w:tc>
          <w:tcPr>
            <w:tcW w:type="dxa" w:w="3855"/>
            <w:vAlign w:val="center"/>
          </w:tcPr>
          <w:p>
            <w:pPr>
              <w:keepNext w:val="0"/>
              <w:spacing w:line="320" w:lineRule="exact" w:after="0" w:before="0"/>
              <w:ind w:firstLine="0"/>
              <w:jc w:val="left"/>
            </w:pPr>
            <w:r>
              <w:rPr>
                <w:b w:val="0"/>
                <w:sz w:val="21"/>
              </w:rPr>
              <w:t>安全业务资料及相关记录</w:t>
            </w:r>
          </w:p>
        </w:tc>
        <w:tc>
          <w:tcPr>
            <w:tcW w:type="dxa" w:w="3277"/>
            <w:vAlign w:val="center"/>
          </w:tcPr>
          <w:p>
            <w:pPr>
              <w:keepNext w:val="0"/>
              <w:spacing w:line="320" w:lineRule="exact" w:after="0" w:before="0"/>
              <w:ind w:firstLine="0"/>
              <w:jc w:val="left"/>
            </w:pPr>
            <w:r>
              <w:rPr>
                <w:b w:val="0"/>
                <w:sz w:val="21"/>
              </w:rPr>
              <w:t>业务用途、采集范围、敏感与授权</w:t>
            </w:r>
          </w:p>
        </w:tc>
      </w:tr>
    </w:tbl>
    <w:p>
      <w:pPr>
        <w:spacing w:after="40" w:line="240" w:lineRule="auto"/>
        <w:ind w:firstLine="0"/>
      </w:pPr>
      <w:r>
        <w:rPr>
          <w:sz w:val="4"/>
        </w:rPr>
      </w:r>
    </w:p>
    <w:p>
      <w:pPr>
        <w:jc w:val="both"/>
      </w:pPr>
      <w:r>
        <w:t>对已存在的系统间交互，登记发送方、接收方、数据内容、频率、协议、转换规则、失败处理和责任岗位，核对实际运行日志。对本项目新增接入，登记计划接收位置、目标用途、接口申请和测试条件。既有业务接口与本项目治理接入分别编号，避免将计划建设关系记为已运行关系，或遗漏同一来源的重复取数。</w:t>
      </w:r>
    </w:p>
    <w:p>
      <w:pPr>
        <w:pStyle w:val="Heading2"/>
      </w:pPr>
      <w:r>
        <w:t>3.4 来源存储与流转链路</w:t>
      </w:r>
    </w:p>
    <w:p>
      <w:pPr>
        <w:jc w:val="both"/>
      </w:pPr>
      <w:r>
        <w:t>每项资源建立来源记录，包含产生环节、产生方式、形成主体、取得方式、载体、版本、形成时间和权属依据。数据库资源定位到系统、库、表、字段或视图；文件资源定位到文件标识、受控目录、版本及校验值；设备时序定位到设备、测点、采样区间及采集任务；纸质资料定位到档案编号、保管责任和数字化记录。派生资源增加输入版本、加工任务、规则版本和输出位置。</w:t>
      </w:r>
    </w:p>
    <w:p>
      <w:pPr>
        <w:jc w:val="both"/>
      </w:pPr>
      <w:r>
        <w:t>流转调查沿对象实际业务路径核对。产品和工件链路关注客户需求、设计发布、工艺准备、生产执行、质量检验、仓储交付和售后反馈；设备链路关注台账、测点、运行、报警、维修和验证；文档链路关注编制、审核、发布、修订、废止和引用。每条链路记录节点、传递内容、业务键、时间、版本和责任，区分系统自动传递、文件交换、人工录入及人工确认。</w:t>
      </w:r>
    </w:p>
    <w:p>
      <w:pPr>
        <w:jc w:val="both"/>
      </w:pPr>
      <w:r>
        <w:t>数据分布视图、业务流转视图和技术加工视图采用共同的资源标识。分布视图表示数据存于何处、由谁维护；业务视图表示对象在何种业务活动中产生和使用；技术视图表示通过何种接口、任务及模型形成下游结果。一个节点发生变更时，根据资源标识定位三类视图中受影响的节点和连线，保持台账与图示一致。</w:t>
      </w:r>
    </w:p>
    <w:p>
      <w:pPr>
        <w:jc w:val="both"/>
      </w:pPr>
      <w:r>
        <w:t>重复存储调查区分必要副本、缓存、备份、历史快照和无管理副本。必要副本登记更新机制、一致性要求和责任；历史快照标识基准时间和适用用途；无管理副本核实保留必要性并纳入整改。原始数据、受控加工区和发布区采用清晰的状态隔离，防止工作文件未经复核进入共享目录。</w:t>
      </w:r>
    </w:p>
    <w:p>
      <w:pPr>
        <w:pStyle w:val="Heading2"/>
      </w:pPr>
      <w:r>
        <w:t>3.5 资源登记字段与质量初判</w:t>
      </w:r>
    </w:p>
    <w:p>
      <w:pPr>
        <w:jc w:val="both"/>
      </w:pPr>
      <w:r>
        <w:t>资源登记覆盖业务、技术、管理三个方面。业务信息描述对象、含义、责任和用途；技术信息描述存储、结构、格式、更新和关联；管理信息描述权属、安全、质量、生命周期及共享条件。字段字典规定数据类型、必填条件、值域、维护角色和校验规则。未知信息登记为待核实，并分配补充责任，不能使用无依据的默认值形成虚假完整记录。</w:t>
      </w:r>
    </w:p>
    <w:p>
      <w:pPr>
        <w:pStyle w:val="Caption"/>
        <w:keepNext/>
      </w:pPr>
      <w:r>
        <w:t>表3-3 资源登记字段与质量初判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登记项目</w:t>
            </w:r>
          </w:p>
        </w:tc>
        <w:tc>
          <w:tcPr>
            <w:tcW w:type="dxa" w:w="3855"/>
            <w:vAlign w:val="center"/>
            <w:shd w:fill="EDF1F3"/>
          </w:tcPr>
          <w:p>
            <w:pPr>
              <w:keepNext/>
              <w:spacing w:line="320" w:lineRule="exact" w:after="0" w:before="0"/>
              <w:ind w:firstLine="0"/>
              <w:jc w:val="center"/>
            </w:pPr>
            <w:r>
              <w:rPr>
                <w:b/>
                <w:sz w:val="21"/>
              </w:rPr>
              <w:t>具体内容</w:t>
            </w:r>
          </w:p>
        </w:tc>
        <w:tc>
          <w:tcPr>
            <w:tcW w:type="dxa" w:w="3277"/>
            <w:vAlign w:val="center"/>
            <w:shd w:fill="EDF1F3"/>
          </w:tcPr>
          <w:p>
            <w:pPr>
              <w:keepNext/>
              <w:spacing w:line="320" w:lineRule="exact" w:after="0" w:before="0"/>
              <w:ind w:firstLine="0"/>
              <w:jc w:val="center"/>
            </w:pPr>
            <w:r>
              <w:rPr>
                <w:b/>
                <w:sz w:val="21"/>
              </w:rPr>
              <w:t>核查方式</w:t>
            </w:r>
          </w:p>
        </w:tc>
      </w:tr>
      <w:tr>
        <w:trPr>
          <w:cantSplit/>
        </w:trPr>
        <w:tc>
          <w:tcPr>
            <w:tcW w:type="dxa" w:w="2506"/>
            <w:vAlign w:val="center"/>
          </w:tcPr>
          <w:p>
            <w:pPr>
              <w:keepNext w:val="0"/>
              <w:spacing w:line="320" w:lineRule="exact" w:after="0" w:before="0"/>
              <w:ind w:firstLine="0"/>
              <w:jc w:val="left"/>
            </w:pPr>
            <w:r>
              <w:rPr>
                <w:b w:val="0"/>
                <w:sz w:val="21"/>
              </w:rPr>
              <w:t>资源身份</w:t>
            </w:r>
          </w:p>
        </w:tc>
        <w:tc>
          <w:tcPr>
            <w:tcW w:type="dxa" w:w="3855"/>
            <w:vAlign w:val="center"/>
          </w:tcPr>
          <w:p>
            <w:pPr>
              <w:keepNext w:val="0"/>
              <w:spacing w:line="320" w:lineRule="exact" w:after="0" w:before="0"/>
              <w:ind w:firstLine="0"/>
              <w:jc w:val="left"/>
            </w:pPr>
            <w:r>
              <w:rPr>
                <w:b w:val="0"/>
                <w:sz w:val="21"/>
              </w:rPr>
              <w:t>资源标识、名称、业务域、对象类别</w:t>
            </w:r>
          </w:p>
        </w:tc>
        <w:tc>
          <w:tcPr>
            <w:tcW w:type="dxa" w:w="3277"/>
            <w:vAlign w:val="center"/>
          </w:tcPr>
          <w:p>
            <w:pPr>
              <w:keepNext w:val="0"/>
              <w:spacing w:line="320" w:lineRule="exact" w:after="0" w:before="0"/>
              <w:ind w:firstLine="0"/>
              <w:jc w:val="left"/>
            </w:pPr>
            <w:r>
              <w:rPr>
                <w:b w:val="0"/>
                <w:sz w:val="21"/>
              </w:rPr>
              <w:t>与业务及系统双向清单核对</w:t>
            </w:r>
          </w:p>
        </w:tc>
      </w:tr>
      <w:tr>
        <w:trPr>
          <w:cantSplit/>
        </w:trPr>
        <w:tc>
          <w:tcPr>
            <w:tcW w:type="dxa" w:w="2506"/>
            <w:vAlign w:val="center"/>
          </w:tcPr>
          <w:p>
            <w:pPr>
              <w:keepNext w:val="0"/>
              <w:spacing w:line="320" w:lineRule="exact" w:after="0" w:before="0"/>
              <w:ind w:firstLine="0"/>
              <w:jc w:val="left"/>
            </w:pPr>
            <w:r>
              <w:rPr>
                <w:b w:val="0"/>
                <w:sz w:val="21"/>
              </w:rPr>
              <w:t>来源关系</w:t>
            </w:r>
          </w:p>
        </w:tc>
        <w:tc>
          <w:tcPr>
            <w:tcW w:type="dxa" w:w="3855"/>
            <w:vAlign w:val="center"/>
          </w:tcPr>
          <w:p>
            <w:pPr>
              <w:keepNext w:val="0"/>
              <w:spacing w:line="320" w:lineRule="exact" w:after="0" w:before="0"/>
              <w:ind w:firstLine="0"/>
              <w:jc w:val="left"/>
            </w:pPr>
            <w:r>
              <w:rPr>
                <w:b w:val="0"/>
                <w:sz w:val="21"/>
              </w:rPr>
              <w:t>来源主体、系统、表字段或文件、版本</w:t>
            </w:r>
          </w:p>
        </w:tc>
        <w:tc>
          <w:tcPr>
            <w:tcW w:type="dxa" w:w="3277"/>
            <w:vAlign w:val="center"/>
          </w:tcPr>
          <w:p>
            <w:pPr>
              <w:keepNext w:val="0"/>
              <w:spacing w:line="320" w:lineRule="exact" w:after="0" w:before="0"/>
              <w:ind w:firstLine="0"/>
              <w:jc w:val="left"/>
            </w:pPr>
            <w:r>
              <w:rPr>
                <w:b w:val="0"/>
                <w:sz w:val="21"/>
              </w:rPr>
              <w:t>系统取证、文件记录与责任确认</w:t>
            </w:r>
          </w:p>
        </w:tc>
      </w:tr>
      <w:tr>
        <w:trPr>
          <w:cantSplit/>
        </w:trPr>
        <w:tc>
          <w:tcPr>
            <w:tcW w:type="dxa" w:w="2506"/>
            <w:vAlign w:val="center"/>
          </w:tcPr>
          <w:p>
            <w:pPr>
              <w:keepNext w:val="0"/>
              <w:spacing w:line="320" w:lineRule="exact" w:after="0" w:before="0"/>
              <w:ind w:firstLine="0"/>
              <w:jc w:val="left"/>
            </w:pPr>
            <w:r>
              <w:rPr>
                <w:b w:val="0"/>
                <w:sz w:val="21"/>
              </w:rPr>
              <w:t>存储分布</w:t>
            </w:r>
          </w:p>
        </w:tc>
        <w:tc>
          <w:tcPr>
            <w:tcW w:type="dxa" w:w="3855"/>
            <w:vAlign w:val="center"/>
          </w:tcPr>
          <w:p>
            <w:pPr>
              <w:keepNext w:val="0"/>
              <w:spacing w:line="320" w:lineRule="exact" w:after="0" w:before="0"/>
              <w:ind w:firstLine="0"/>
              <w:jc w:val="left"/>
            </w:pPr>
            <w:r>
              <w:rPr>
                <w:b w:val="0"/>
                <w:sz w:val="21"/>
              </w:rPr>
              <w:t>逻辑位置、物理受控台账、主副本关系</w:t>
            </w:r>
          </w:p>
        </w:tc>
        <w:tc>
          <w:tcPr>
            <w:tcW w:type="dxa" w:w="3277"/>
            <w:vAlign w:val="center"/>
          </w:tcPr>
          <w:p>
            <w:pPr>
              <w:keepNext w:val="0"/>
              <w:spacing w:line="320" w:lineRule="exact" w:after="0" w:before="0"/>
              <w:ind w:firstLine="0"/>
              <w:jc w:val="left"/>
            </w:pPr>
            <w:r>
              <w:rPr>
                <w:b w:val="0"/>
                <w:sz w:val="21"/>
              </w:rPr>
              <w:t>存储调查与实际读取验证</w:t>
            </w:r>
          </w:p>
        </w:tc>
      </w:tr>
      <w:tr>
        <w:trPr>
          <w:cantSplit/>
        </w:trPr>
        <w:tc>
          <w:tcPr>
            <w:tcW w:type="dxa" w:w="2506"/>
            <w:vAlign w:val="center"/>
          </w:tcPr>
          <w:p>
            <w:pPr>
              <w:keepNext w:val="0"/>
              <w:spacing w:line="320" w:lineRule="exact" w:after="0" w:before="0"/>
              <w:ind w:firstLine="0"/>
              <w:jc w:val="left"/>
            </w:pPr>
            <w:r>
              <w:rPr>
                <w:b w:val="0"/>
                <w:sz w:val="21"/>
              </w:rPr>
              <w:t>数据特征</w:t>
            </w:r>
          </w:p>
        </w:tc>
        <w:tc>
          <w:tcPr>
            <w:tcW w:type="dxa" w:w="3855"/>
            <w:vAlign w:val="center"/>
          </w:tcPr>
          <w:p>
            <w:pPr>
              <w:keepNext w:val="0"/>
              <w:spacing w:line="320" w:lineRule="exact" w:after="0" w:before="0"/>
              <w:ind w:firstLine="0"/>
              <w:jc w:val="left"/>
            </w:pPr>
            <w:r>
              <w:rPr>
                <w:b w:val="0"/>
                <w:sz w:val="21"/>
              </w:rPr>
              <w:t>模态、格式、粒度、规模、时间覆盖</w:t>
            </w:r>
          </w:p>
        </w:tc>
        <w:tc>
          <w:tcPr>
            <w:tcW w:type="dxa" w:w="3277"/>
            <w:vAlign w:val="center"/>
          </w:tcPr>
          <w:p>
            <w:pPr>
              <w:keepNext w:val="0"/>
              <w:spacing w:line="320" w:lineRule="exact" w:after="0" w:before="0"/>
              <w:ind w:firstLine="0"/>
              <w:jc w:val="left"/>
            </w:pPr>
            <w:r>
              <w:rPr>
                <w:b w:val="0"/>
                <w:sz w:val="21"/>
              </w:rPr>
              <w:t>自动统计与样本人工核验</w:t>
            </w:r>
          </w:p>
        </w:tc>
      </w:tr>
      <w:tr>
        <w:trPr>
          <w:cantSplit/>
        </w:trPr>
        <w:tc>
          <w:tcPr>
            <w:tcW w:type="dxa" w:w="2506"/>
            <w:vAlign w:val="center"/>
          </w:tcPr>
          <w:p>
            <w:pPr>
              <w:keepNext w:val="0"/>
              <w:spacing w:line="320" w:lineRule="exact" w:after="0" w:before="0"/>
              <w:ind w:firstLine="0"/>
              <w:jc w:val="left"/>
            </w:pPr>
            <w:r>
              <w:rPr>
                <w:b w:val="0"/>
                <w:sz w:val="21"/>
              </w:rPr>
              <w:t>关联条件</w:t>
            </w:r>
          </w:p>
        </w:tc>
        <w:tc>
          <w:tcPr>
            <w:tcW w:type="dxa" w:w="3855"/>
            <w:vAlign w:val="center"/>
          </w:tcPr>
          <w:p>
            <w:pPr>
              <w:keepNext w:val="0"/>
              <w:spacing w:line="320" w:lineRule="exact" w:after="0" w:before="0"/>
              <w:ind w:firstLine="0"/>
              <w:jc w:val="left"/>
            </w:pPr>
            <w:r>
              <w:rPr>
                <w:b w:val="0"/>
                <w:sz w:val="21"/>
              </w:rPr>
              <w:t>业务键、版本、时间、映射规则</w:t>
            </w:r>
          </w:p>
        </w:tc>
        <w:tc>
          <w:tcPr>
            <w:tcW w:type="dxa" w:w="3277"/>
            <w:vAlign w:val="center"/>
          </w:tcPr>
          <w:p>
            <w:pPr>
              <w:keepNext w:val="0"/>
              <w:spacing w:line="320" w:lineRule="exact" w:after="0" w:before="0"/>
              <w:ind w:firstLine="0"/>
              <w:jc w:val="left"/>
            </w:pPr>
            <w:r>
              <w:rPr>
                <w:b w:val="0"/>
                <w:sz w:val="21"/>
              </w:rPr>
              <w:t>跨系统匹配与冲突检查</w:t>
            </w:r>
          </w:p>
        </w:tc>
      </w:tr>
      <w:tr>
        <w:trPr>
          <w:cantSplit/>
        </w:trPr>
        <w:tc>
          <w:tcPr>
            <w:tcW w:type="dxa" w:w="2506"/>
            <w:vAlign w:val="center"/>
          </w:tcPr>
          <w:p>
            <w:pPr>
              <w:keepNext w:val="0"/>
              <w:spacing w:line="320" w:lineRule="exact" w:after="0" w:before="0"/>
              <w:ind w:firstLine="0"/>
              <w:jc w:val="left"/>
            </w:pPr>
            <w:r>
              <w:rPr>
                <w:b w:val="0"/>
                <w:sz w:val="21"/>
              </w:rPr>
              <w:t>更新条件</w:t>
            </w:r>
          </w:p>
        </w:tc>
        <w:tc>
          <w:tcPr>
            <w:tcW w:type="dxa" w:w="3855"/>
            <w:vAlign w:val="center"/>
          </w:tcPr>
          <w:p>
            <w:pPr>
              <w:keepNext w:val="0"/>
              <w:spacing w:line="320" w:lineRule="exact" w:after="0" w:before="0"/>
              <w:ind w:firstLine="0"/>
              <w:jc w:val="left"/>
            </w:pPr>
            <w:r>
              <w:rPr>
                <w:b w:val="0"/>
                <w:sz w:val="21"/>
              </w:rPr>
              <w:t>更新频率、增量方式、迟到和补录</w:t>
            </w:r>
          </w:p>
        </w:tc>
        <w:tc>
          <w:tcPr>
            <w:tcW w:type="dxa" w:w="3277"/>
            <w:vAlign w:val="center"/>
          </w:tcPr>
          <w:p>
            <w:pPr>
              <w:keepNext w:val="0"/>
              <w:spacing w:line="320" w:lineRule="exact" w:after="0" w:before="0"/>
              <w:ind w:firstLine="0"/>
              <w:jc w:val="left"/>
            </w:pPr>
            <w:r>
              <w:rPr>
                <w:b w:val="0"/>
                <w:sz w:val="21"/>
              </w:rPr>
              <w:t>任务日志及历史批次核对</w:t>
            </w:r>
          </w:p>
        </w:tc>
      </w:tr>
      <w:tr>
        <w:trPr>
          <w:cantSplit/>
        </w:trPr>
        <w:tc>
          <w:tcPr>
            <w:tcW w:type="dxa" w:w="2506"/>
            <w:vAlign w:val="center"/>
          </w:tcPr>
          <w:p>
            <w:pPr>
              <w:keepNext w:val="0"/>
              <w:spacing w:line="320" w:lineRule="exact" w:after="0" w:before="0"/>
              <w:ind w:firstLine="0"/>
              <w:jc w:val="left"/>
            </w:pPr>
            <w:r>
              <w:rPr>
                <w:b w:val="0"/>
                <w:sz w:val="21"/>
              </w:rPr>
              <w:t>质量状态</w:t>
            </w:r>
          </w:p>
        </w:tc>
        <w:tc>
          <w:tcPr>
            <w:tcW w:type="dxa" w:w="3855"/>
            <w:vAlign w:val="center"/>
          </w:tcPr>
          <w:p>
            <w:pPr>
              <w:keepNext w:val="0"/>
              <w:spacing w:line="320" w:lineRule="exact" w:after="0" w:before="0"/>
              <w:ind w:firstLine="0"/>
              <w:jc w:val="left"/>
            </w:pPr>
            <w:r>
              <w:rPr>
                <w:b w:val="0"/>
                <w:sz w:val="21"/>
              </w:rPr>
              <w:t>规则、分母、结果、样本和问题</w:t>
            </w:r>
          </w:p>
        </w:tc>
        <w:tc>
          <w:tcPr>
            <w:tcW w:type="dxa" w:w="3277"/>
            <w:vAlign w:val="center"/>
          </w:tcPr>
          <w:p>
            <w:pPr>
              <w:keepNext w:val="0"/>
              <w:spacing w:line="320" w:lineRule="exact" w:after="0" w:before="0"/>
              <w:ind w:firstLine="0"/>
              <w:jc w:val="left"/>
            </w:pPr>
            <w:r>
              <w:rPr>
                <w:b w:val="0"/>
                <w:sz w:val="21"/>
              </w:rPr>
              <w:t>质量检查记录及复核依据</w:t>
            </w:r>
          </w:p>
        </w:tc>
      </w:tr>
      <w:tr>
        <w:trPr>
          <w:cantSplit/>
        </w:trPr>
        <w:tc>
          <w:tcPr>
            <w:tcW w:type="dxa" w:w="2506"/>
            <w:vAlign w:val="center"/>
          </w:tcPr>
          <w:p>
            <w:pPr>
              <w:keepNext w:val="0"/>
              <w:spacing w:line="320" w:lineRule="exact" w:after="0" w:before="0"/>
              <w:ind w:firstLine="0"/>
              <w:jc w:val="left"/>
            </w:pPr>
            <w:r>
              <w:rPr>
                <w:b w:val="0"/>
                <w:sz w:val="21"/>
              </w:rPr>
              <w:t>权利与安全</w:t>
            </w:r>
          </w:p>
        </w:tc>
        <w:tc>
          <w:tcPr>
            <w:tcW w:type="dxa" w:w="3855"/>
            <w:vAlign w:val="center"/>
          </w:tcPr>
          <w:p>
            <w:pPr>
              <w:keepNext w:val="0"/>
              <w:spacing w:line="320" w:lineRule="exact" w:after="0" w:before="0"/>
              <w:ind w:firstLine="0"/>
              <w:jc w:val="left"/>
            </w:pPr>
            <w:r>
              <w:rPr>
                <w:b w:val="0"/>
                <w:sz w:val="21"/>
              </w:rPr>
              <w:t>所有权、使用权依据、级别及用途</w:t>
            </w:r>
          </w:p>
        </w:tc>
        <w:tc>
          <w:tcPr>
            <w:tcW w:type="dxa" w:w="3277"/>
            <w:vAlign w:val="center"/>
          </w:tcPr>
          <w:p>
            <w:pPr>
              <w:keepNext w:val="0"/>
              <w:spacing w:line="320" w:lineRule="exact" w:after="0" w:before="0"/>
              <w:ind w:firstLine="0"/>
              <w:jc w:val="left"/>
            </w:pPr>
            <w:r>
              <w:rPr>
                <w:b w:val="0"/>
                <w:sz w:val="21"/>
              </w:rPr>
              <w:t>合同授权、责任及安全核验</w:t>
            </w:r>
          </w:p>
        </w:tc>
      </w:tr>
      <w:tr>
        <w:trPr>
          <w:cantSplit/>
        </w:trPr>
        <w:tc>
          <w:tcPr>
            <w:tcW w:type="dxa" w:w="2506"/>
            <w:vAlign w:val="center"/>
          </w:tcPr>
          <w:p>
            <w:pPr>
              <w:keepNext w:val="0"/>
              <w:spacing w:line="320" w:lineRule="exact" w:after="0" w:before="0"/>
              <w:ind w:firstLine="0"/>
              <w:jc w:val="left"/>
            </w:pPr>
            <w:r>
              <w:rPr>
                <w:b w:val="0"/>
                <w:sz w:val="21"/>
              </w:rPr>
              <w:t>管理状态</w:t>
            </w:r>
          </w:p>
        </w:tc>
        <w:tc>
          <w:tcPr>
            <w:tcW w:type="dxa" w:w="3855"/>
            <w:vAlign w:val="center"/>
          </w:tcPr>
          <w:p>
            <w:pPr>
              <w:keepNext w:val="0"/>
              <w:spacing w:line="320" w:lineRule="exact" w:after="0" w:before="0"/>
              <w:ind w:firstLine="0"/>
              <w:jc w:val="left"/>
            </w:pPr>
            <w:r>
              <w:rPr>
                <w:b w:val="0"/>
                <w:sz w:val="21"/>
              </w:rPr>
              <w:t>归口、维护岗位、目录状态及保留安排</w:t>
            </w:r>
          </w:p>
        </w:tc>
        <w:tc>
          <w:tcPr>
            <w:tcW w:type="dxa" w:w="3277"/>
            <w:vAlign w:val="center"/>
          </w:tcPr>
          <w:p>
            <w:pPr>
              <w:keepNext w:val="0"/>
              <w:spacing w:line="320" w:lineRule="exact" w:after="0" w:before="0"/>
              <w:ind w:firstLine="0"/>
              <w:jc w:val="left"/>
            </w:pPr>
            <w:r>
              <w:rPr>
                <w:b w:val="0"/>
                <w:sz w:val="21"/>
              </w:rPr>
              <w:t>审批记录、操作和定期复查</w:t>
            </w:r>
          </w:p>
        </w:tc>
      </w:tr>
    </w:tbl>
    <w:p>
      <w:pPr>
        <w:spacing w:after="40" w:line="240" w:lineRule="auto"/>
        <w:ind w:firstLine="0"/>
      </w:pPr>
      <w:r>
        <w:rPr>
          <w:sz w:val="4"/>
        </w:rPr>
      </w:r>
    </w:p>
    <w:p>
      <w:pPr>
        <w:jc w:val="both"/>
      </w:pPr>
      <w:r>
        <w:t>质量初判服务于供给评估，分别检查可读取性、结构可解析性、业务可理解性、跨模态可对齐性及权利可使用性。扫描件检查清晰度、页序、缺页和识别错误；图纸检查图号、修订、关键尺寸及对象对应；时序检查采样频率、时钟、异常值、断点和工况标签；视频检查时间区间、画面内容、事件定位与使用授权。初判发现的问题进入供给改善计划，正式交付仍执行完整质量评测。</w:t>
      </w:r>
    </w:p>
    <w:p>
      <w:pPr>
        <w:pStyle w:val="Heading2"/>
      </w:pPr>
      <w:r>
        <w:t>3.6 关键数据元素识别</w:t>
      </w:r>
    </w:p>
    <w:p>
      <w:pPr>
        <w:jc w:val="both"/>
      </w:pPr>
      <w:r>
        <w:t>关键数据元素从业务判断、对象关联、质量控制、安全保护和追溯要求识别。凡用于确认对象身份、区分有效版本、判定业务结果、计算关键指标、对齐多模态、确定授权或证明来源的数据元素，纳入重点管理。每个元素登记业务定义、单位、值域、权威来源、责任部门、适用场景、质量规则和缺失后果，建立字段级映射及变更影响关系。</w:t>
      </w:r>
    </w:p>
    <w:p>
      <w:pPr>
        <w:jc w:val="both"/>
      </w:pPr>
      <w:r>
        <w:t>产品与工艺重点核查产品型号、配置条件、图号、物料编码、部件关系、工艺版本、材料牌号、尺寸、公差和工序要求；制造与质量重点核查工单、工件或批次、设备、炉次、焊接对象、工艺参数、检验项、检测值和判定结果；经营与服务重点核查客户、合同、订单、库存、价格、交付、故障和维修记录；文档问答重点核查文件名称、发布主体、版本、生效与废止时间、条款位置和权限。</w:t>
      </w:r>
    </w:p>
    <w:p>
      <w:pPr>
        <w:jc w:val="both"/>
      </w:pPr>
      <w:r>
        <w:t>元素关键程度依据错误后果和影响范围确定。同一字段在不同用途下的重要性可能不同，分别记录用途与控制要求。对跨域共同使用的元素，指定统一归口和各域维护责任；对业务同名但含义不同的字段，保留不同数据元并通过明确名称和上下文区分。关键元素清单经业务确认后进入数据标准、元数据、质量规则和知识本体，避免在加工阶段重新定义。</w:t>
      </w:r>
    </w:p>
    <w:p>
      <w:pPr>
        <w:pStyle w:val="Caption"/>
        <w:keepNext/>
      </w:pPr>
      <w:r>
        <w:t>表3-4 关键数据元素识别</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元素组</w:t>
            </w:r>
          </w:p>
        </w:tc>
        <w:tc>
          <w:tcPr>
            <w:tcW w:type="dxa" w:w="3855"/>
            <w:vAlign w:val="center"/>
            <w:shd w:fill="EDF1F3"/>
          </w:tcPr>
          <w:p>
            <w:pPr>
              <w:keepNext/>
              <w:spacing w:line="320" w:lineRule="exact" w:after="0" w:before="0"/>
              <w:ind w:firstLine="0"/>
              <w:jc w:val="center"/>
            </w:pPr>
            <w:r>
              <w:rPr>
                <w:b/>
                <w:sz w:val="21"/>
              </w:rPr>
              <w:t>重点元素</w:t>
            </w:r>
          </w:p>
        </w:tc>
        <w:tc>
          <w:tcPr>
            <w:tcW w:type="dxa" w:w="3277"/>
            <w:vAlign w:val="center"/>
            <w:shd w:fill="EDF1F3"/>
          </w:tcPr>
          <w:p>
            <w:pPr>
              <w:keepNext/>
              <w:spacing w:line="320" w:lineRule="exact" w:after="0" w:before="0"/>
              <w:ind w:firstLine="0"/>
              <w:jc w:val="center"/>
            </w:pPr>
            <w:r>
              <w:rPr>
                <w:b/>
                <w:sz w:val="21"/>
              </w:rPr>
              <w:t>主要控制要求</w:t>
            </w:r>
          </w:p>
        </w:tc>
      </w:tr>
      <w:tr>
        <w:trPr>
          <w:cantSplit/>
        </w:trPr>
        <w:tc>
          <w:tcPr>
            <w:tcW w:type="dxa" w:w="2506"/>
            <w:vAlign w:val="center"/>
          </w:tcPr>
          <w:p>
            <w:pPr>
              <w:keepNext w:val="0"/>
              <w:spacing w:line="320" w:lineRule="exact" w:after="0" w:before="0"/>
              <w:ind w:firstLine="0"/>
              <w:jc w:val="left"/>
            </w:pPr>
            <w:r>
              <w:rPr>
                <w:b w:val="0"/>
                <w:sz w:val="21"/>
              </w:rPr>
              <w:t>对象身份</w:t>
            </w:r>
          </w:p>
        </w:tc>
        <w:tc>
          <w:tcPr>
            <w:tcW w:type="dxa" w:w="3855"/>
            <w:vAlign w:val="center"/>
          </w:tcPr>
          <w:p>
            <w:pPr>
              <w:keepNext w:val="0"/>
              <w:spacing w:line="320" w:lineRule="exact" w:after="0" w:before="0"/>
              <w:ind w:firstLine="0"/>
              <w:jc w:val="left"/>
            </w:pPr>
            <w:r>
              <w:rPr>
                <w:b w:val="0"/>
                <w:sz w:val="21"/>
              </w:rPr>
              <w:t>产品、部件、物料、工件、工单、设备标识</w:t>
            </w:r>
          </w:p>
        </w:tc>
        <w:tc>
          <w:tcPr>
            <w:tcW w:type="dxa" w:w="3277"/>
            <w:vAlign w:val="center"/>
          </w:tcPr>
          <w:p>
            <w:pPr>
              <w:keepNext w:val="0"/>
              <w:spacing w:line="320" w:lineRule="exact" w:after="0" w:before="0"/>
              <w:ind w:firstLine="0"/>
              <w:jc w:val="left"/>
            </w:pPr>
            <w:r>
              <w:rPr>
                <w:b w:val="0"/>
                <w:sz w:val="21"/>
              </w:rPr>
              <w:t>唯一规则、映射、合并拆分及历史</w:t>
            </w:r>
          </w:p>
        </w:tc>
      </w:tr>
      <w:tr>
        <w:trPr>
          <w:cantSplit/>
        </w:trPr>
        <w:tc>
          <w:tcPr>
            <w:tcW w:type="dxa" w:w="2506"/>
            <w:vAlign w:val="center"/>
          </w:tcPr>
          <w:p>
            <w:pPr>
              <w:keepNext w:val="0"/>
              <w:spacing w:line="320" w:lineRule="exact" w:after="0" w:before="0"/>
              <w:ind w:firstLine="0"/>
              <w:jc w:val="left"/>
            </w:pPr>
            <w:r>
              <w:rPr>
                <w:b w:val="0"/>
                <w:sz w:val="21"/>
              </w:rPr>
              <w:t>时间版本</w:t>
            </w:r>
          </w:p>
        </w:tc>
        <w:tc>
          <w:tcPr>
            <w:tcW w:type="dxa" w:w="3855"/>
            <w:vAlign w:val="center"/>
          </w:tcPr>
          <w:p>
            <w:pPr>
              <w:keepNext w:val="0"/>
              <w:spacing w:line="320" w:lineRule="exact" w:after="0" w:before="0"/>
              <w:ind w:firstLine="0"/>
              <w:jc w:val="left"/>
            </w:pPr>
            <w:r>
              <w:rPr>
                <w:b w:val="0"/>
                <w:sz w:val="21"/>
              </w:rPr>
              <w:t>事件、采集、生效、失效时间及内容版本</w:t>
            </w:r>
          </w:p>
        </w:tc>
        <w:tc>
          <w:tcPr>
            <w:tcW w:type="dxa" w:w="3277"/>
            <w:vAlign w:val="center"/>
          </w:tcPr>
          <w:p>
            <w:pPr>
              <w:keepNext w:val="0"/>
              <w:spacing w:line="320" w:lineRule="exact" w:after="0" w:before="0"/>
              <w:ind w:firstLine="0"/>
              <w:jc w:val="left"/>
            </w:pPr>
            <w:r>
              <w:rPr>
                <w:b w:val="0"/>
                <w:sz w:val="21"/>
              </w:rPr>
              <w:t>时间含义、时区、顺序及有效区间</w:t>
            </w:r>
          </w:p>
        </w:tc>
      </w:tr>
      <w:tr>
        <w:trPr>
          <w:cantSplit/>
        </w:trPr>
        <w:tc>
          <w:tcPr>
            <w:tcW w:type="dxa" w:w="2506"/>
            <w:vAlign w:val="center"/>
          </w:tcPr>
          <w:p>
            <w:pPr>
              <w:keepNext w:val="0"/>
              <w:spacing w:line="320" w:lineRule="exact" w:after="0" w:before="0"/>
              <w:ind w:firstLine="0"/>
              <w:jc w:val="left"/>
            </w:pPr>
            <w:r>
              <w:rPr>
                <w:b w:val="0"/>
                <w:sz w:val="21"/>
              </w:rPr>
              <w:t>工艺条件</w:t>
            </w:r>
          </w:p>
        </w:tc>
        <w:tc>
          <w:tcPr>
            <w:tcW w:type="dxa" w:w="3855"/>
            <w:vAlign w:val="center"/>
          </w:tcPr>
          <w:p>
            <w:pPr>
              <w:keepNext w:val="0"/>
              <w:spacing w:line="320" w:lineRule="exact" w:after="0" w:before="0"/>
              <w:ind w:firstLine="0"/>
              <w:jc w:val="left"/>
            </w:pPr>
            <w:r>
              <w:rPr>
                <w:b w:val="0"/>
                <w:sz w:val="21"/>
              </w:rPr>
              <w:t>材料、尺寸、工序、参数、环境与工况</w:t>
            </w:r>
          </w:p>
        </w:tc>
        <w:tc>
          <w:tcPr>
            <w:tcW w:type="dxa" w:w="3277"/>
            <w:vAlign w:val="center"/>
          </w:tcPr>
          <w:p>
            <w:pPr>
              <w:keepNext w:val="0"/>
              <w:spacing w:line="320" w:lineRule="exact" w:after="0" w:before="0"/>
              <w:ind w:firstLine="0"/>
              <w:jc w:val="left"/>
            </w:pPr>
            <w:r>
              <w:rPr>
                <w:b w:val="0"/>
                <w:sz w:val="21"/>
              </w:rPr>
              <w:t>单位、条件、范围、依据及适用对象</w:t>
            </w:r>
          </w:p>
        </w:tc>
      </w:tr>
      <w:tr>
        <w:trPr>
          <w:cantSplit/>
        </w:trPr>
        <w:tc>
          <w:tcPr>
            <w:tcW w:type="dxa" w:w="2506"/>
            <w:vAlign w:val="center"/>
          </w:tcPr>
          <w:p>
            <w:pPr>
              <w:keepNext w:val="0"/>
              <w:spacing w:line="320" w:lineRule="exact" w:after="0" w:before="0"/>
              <w:ind w:firstLine="0"/>
              <w:jc w:val="left"/>
            </w:pPr>
            <w:r>
              <w:rPr>
                <w:b w:val="0"/>
                <w:sz w:val="21"/>
              </w:rPr>
              <w:t>质量结论</w:t>
            </w:r>
          </w:p>
        </w:tc>
        <w:tc>
          <w:tcPr>
            <w:tcW w:type="dxa" w:w="3855"/>
            <w:vAlign w:val="center"/>
          </w:tcPr>
          <w:p>
            <w:pPr>
              <w:keepNext w:val="0"/>
              <w:spacing w:line="320" w:lineRule="exact" w:after="0" w:before="0"/>
              <w:ind w:firstLine="0"/>
              <w:jc w:val="left"/>
            </w:pPr>
            <w:r>
              <w:rPr>
                <w:b w:val="0"/>
                <w:sz w:val="21"/>
              </w:rPr>
              <w:t>检验项、检测值、标准、判定与复检</w:t>
            </w:r>
          </w:p>
        </w:tc>
        <w:tc>
          <w:tcPr>
            <w:tcW w:type="dxa" w:w="3277"/>
            <w:vAlign w:val="center"/>
          </w:tcPr>
          <w:p>
            <w:pPr>
              <w:keepNext w:val="0"/>
              <w:spacing w:line="320" w:lineRule="exact" w:after="0" w:before="0"/>
              <w:ind w:firstLine="0"/>
              <w:jc w:val="left"/>
            </w:pPr>
            <w:r>
              <w:rPr>
                <w:b w:val="0"/>
                <w:sz w:val="21"/>
              </w:rPr>
              <w:t>原始值、依据版本、判定责任和链路</w:t>
            </w:r>
          </w:p>
        </w:tc>
      </w:tr>
      <w:tr>
        <w:trPr>
          <w:cantSplit/>
        </w:trPr>
        <w:tc>
          <w:tcPr>
            <w:tcW w:type="dxa" w:w="2506"/>
            <w:vAlign w:val="center"/>
          </w:tcPr>
          <w:p>
            <w:pPr>
              <w:keepNext w:val="0"/>
              <w:spacing w:line="320" w:lineRule="exact" w:after="0" w:before="0"/>
              <w:ind w:firstLine="0"/>
              <w:jc w:val="left"/>
            </w:pPr>
            <w:r>
              <w:rPr>
                <w:b w:val="0"/>
                <w:sz w:val="21"/>
              </w:rPr>
              <w:t>权利与追溯</w:t>
            </w:r>
          </w:p>
        </w:tc>
        <w:tc>
          <w:tcPr>
            <w:tcW w:type="dxa" w:w="3855"/>
            <w:vAlign w:val="center"/>
          </w:tcPr>
          <w:p>
            <w:pPr>
              <w:keepNext w:val="0"/>
              <w:spacing w:line="320" w:lineRule="exact" w:after="0" w:before="0"/>
              <w:ind w:firstLine="0"/>
              <w:jc w:val="left"/>
            </w:pPr>
            <w:r>
              <w:rPr>
                <w:b w:val="0"/>
                <w:sz w:val="21"/>
              </w:rPr>
              <w:t>来源、授权、用途、批次及处理版本</w:t>
            </w:r>
          </w:p>
        </w:tc>
        <w:tc>
          <w:tcPr>
            <w:tcW w:type="dxa" w:w="3277"/>
            <w:vAlign w:val="center"/>
          </w:tcPr>
          <w:p>
            <w:pPr>
              <w:keepNext w:val="0"/>
              <w:spacing w:line="320" w:lineRule="exact" w:after="0" w:before="0"/>
              <w:ind w:firstLine="0"/>
              <w:jc w:val="left"/>
            </w:pPr>
            <w:r>
              <w:rPr>
                <w:b w:val="0"/>
                <w:sz w:val="21"/>
              </w:rPr>
              <w:t>可核验依据、传播限制和下游定位</w:t>
            </w:r>
          </w:p>
        </w:tc>
      </w:tr>
    </w:tbl>
    <w:p>
      <w:pPr>
        <w:spacing w:after="40" w:line="240" w:lineRule="auto"/>
        <w:ind w:firstLine="0"/>
      </w:pPr>
      <w:r>
        <w:rPr>
          <w:sz w:val="4"/>
        </w:rPr>
      </w:r>
    </w:p>
    <w:p>
      <w:pPr>
        <w:pStyle w:val="Heading2"/>
      </w:pPr>
      <w:r>
        <w:t>3.7 四大数据集供给能力核定</w:t>
      </w:r>
    </w:p>
    <w:p>
      <w:pPr>
        <w:jc w:val="both"/>
      </w:pPr>
      <w:r>
        <w:t>供给评估按照供需计划、产品工艺设计、制造过程、产品质量四个领域，以及预训练、指令微调、偏好、评测四种用途分别建账。原始文件数、数据库条数和存储容量作为资源情况登记，正式供给数量按去重、治理、质量检查和权利核验后可纳入相应用途的有效净量统计。跨领域或跨用途复用的资源保留关系，不通过重复计算掩盖某一领域的独立缺口。</w:t>
      </w:r>
    </w:p>
    <w:p>
      <w:pPr>
        <w:pStyle w:val="Caption"/>
        <w:keepNext/>
      </w:pPr>
      <w:r>
        <w:t>表3-5 四大数据集供给能力核定</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数据领域</w:t>
            </w:r>
          </w:p>
        </w:tc>
        <w:tc>
          <w:tcPr>
            <w:tcW w:type="dxa" w:w="2120"/>
            <w:vAlign w:val="center"/>
            <w:shd w:fill="EDF1F3"/>
          </w:tcPr>
          <w:p>
            <w:pPr>
              <w:keepNext/>
              <w:spacing w:line="320" w:lineRule="exact" w:after="0" w:before="0"/>
              <w:ind w:firstLine="0"/>
              <w:jc w:val="center"/>
            </w:pPr>
            <w:r>
              <w:rPr>
                <w:b/>
                <w:sz w:val="21"/>
              </w:rPr>
              <w:t>预训练</w:t>
            </w:r>
          </w:p>
        </w:tc>
        <w:tc>
          <w:tcPr>
            <w:tcW w:type="dxa" w:w="1928"/>
            <w:vAlign w:val="center"/>
            <w:shd w:fill="EDF1F3"/>
          </w:tcPr>
          <w:p>
            <w:pPr>
              <w:keepNext/>
              <w:spacing w:line="320" w:lineRule="exact" w:after="0" w:before="0"/>
              <w:ind w:firstLine="0"/>
              <w:jc w:val="center"/>
            </w:pPr>
            <w:r>
              <w:rPr>
                <w:b/>
                <w:sz w:val="21"/>
              </w:rPr>
              <w:t>指令微调</w:t>
            </w:r>
          </w:p>
        </w:tc>
        <w:tc>
          <w:tcPr>
            <w:tcW w:type="dxa" w:w="1928"/>
            <w:vAlign w:val="center"/>
            <w:shd w:fill="EDF1F3"/>
          </w:tcPr>
          <w:p>
            <w:pPr>
              <w:keepNext/>
              <w:spacing w:line="320" w:lineRule="exact" w:after="0" w:before="0"/>
              <w:ind w:firstLine="0"/>
              <w:jc w:val="center"/>
            </w:pPr>
            <w:r>
              <w:rPr>
                <w:b/>
                <w:sz w:val="21"/>
              </w:rPr>
              <w:t>偏好</w:t>
            </w:r>
          </w:p>
        </w:tc>
        <w:tc>
          <w:tcPr>
            <w:tcW w:type="dxa" w:w="1928"/>
            <w:vAlign w:val="center"/>
            <w:shd w:fill="EDF1F3"/>
          </w:tcPr>
          <w:p>
            <w:pPr>
              <w:keepNext/>
              <w:spacing w:line="320" w:lineRule="exact" w:after="0" w:before="0"/>
              <w:ind w:firstLine="0"/>
              <w:jc w:val="center"/>
            </w:pPr>
            <w:r>
              <w:rPr>
                <w:b/>
                <w:sz w:val="21"/>
              </w:rPr>
              <w:t>评测</w:t>
            </w:r>
          </w:p>
        </w:tc>
      </w:tr>
      <w:tr>
        <w:trPr>
          <w:cantSplit/>
        </w:trPr>
        <w:tc>
          <w:tcPr>
            <w:tcW w:type="dxa" w:w="1735"/>
            <w:vAlign w:val="center"/>
          </w:tcPr>
          <w:p>
            <w:pPr>
              <w:keepNext w:val="0"/>
              <w:spacing w:line="320" w:lineRule="exact" w:after="0" w:before="0"/>
              <w:ind w:firstLine="0"/>
              <w:jc w:val="left"/>
            </w:pPr>
            <w:r>
              <w:rPr>
                <w:b w:val="0"/>
                <w:sz w:val="21"/>
              </w:rPr>
              <w:t>供需计划</w:t>
            </w:r>
          </w:p>
        </w:tc>
        <w:tc>
          <w:tcPr>
            <w:tcW w:type="dxa" w:w="2120"/>
            <w:vAlign w:val="center"/>
          </w:tcPr>
          <w:p>
            <w:pPr>
              <w:keepNext w:val="0"/>
              <w:spacing w:line="320" w:lineRule="exact" w:after="0" w:before="0"/>
              <w:ind w:firstLine="0"/>
              <w:jc w:val="left"/>
            </w:pPr>
            <w:r>
              <w:rPr>
                <w:b w:val="0"/>
                <w:sz w:val="21"/>
              </w:rPr>
              <w:t>276亿Token</w:t>
            </w:r>
          </w:p>
        </w:tc>
        <w:tc>
          <w:tcPr>
            <w:tcW w:type="dxa" w:w="1928"/>
            <w:vAlign w:val="center"/>
          </w:tcPr>
          <w:p>
            <w:pPr>
              <w:keepNext w:val="0"/>
              <w:spacing w:line="320" w:lineRule="exact" w:after="0" w:before="0"/>
              <w:ind w:firstLine="0"/>
              <w:jc w:val="left"/>
            </w:pPr>
            <w:r>
              <w:rPr>
                <w:b w:val="0"/>
                <w:sz w:val="21"/>
              </w:rPr>
              <w:t>40万条</w:t>
            </w:r>
          </w:p>
        </w:tc>
        <w:tc>
          <w:tcPr>
            <w:tcW w:type="dxa" w:w="1928"/>
            <w:vAlign w:val="center"/>
          </w:tcPr>
          <w:p>
            <w:pPr>
              <w:keepNext w:val="0"/>
              <w:spacing w:line="320" w:lineRule="exact" w:after="0" w:before="0"/>
              <w:ind w:firstLine="0"/>
              <w:jc w:val="left"/>
            </w:pPr>
            <w:r>
              <w:rPr>
                <w:b w:val="0"/>
                <w:sz w:val="21"/>
              </w:rPr>
              <w:t>3.2万组</w:t>
            </w:r>
          </w:p>
        </w:tc>
        <w:tc>
          <w:tcPr>
            <w:tcW w:type="dxa" w:w="1928"/>
            <w:vAlign w:val="center"/>
          </w:tcPr>
          <w:p>
            <w:pPr>
              <w:keepNext w:val="0"/>
              <w:spacing w:line="320" w:lineRule="exact" w:after="0" w:before="0"/>
              <w:ind w:firstLine="0"/>
              <w:jc w:val="left"/>
            </w:pPr>
            <w:r>
              <w:rPr>
                <w:b w:val="0"/>
                <w:sz w:val="21"/>
              </w:rPr>
              <w:t>0.4万题</w:t>
            </w:r>
          </w:p>
        </w:tc>
      </w:tr>
      <w:tr>
        <w:trPr>
          <w:cantSplit/>
        </w:trPr>
        <w:tc>
          <w:tcPr>
            <w:tcW w:type="dxa" w:w="1735"/>
            <w:vAlign w:val="center"/>
          </w:tcPr>
          <w:p>
            <w:pPr>
              <w:keepNext w:val="0"/>
              <w:spacing w:line="320" w:lineRule="exact" w:after="0" w:before="0"/>
              <w:ind w:firstLine="0"/>
              <w:jc w:val="left"/>
            </w:pPr>
            <w:r>
              <w:rPr>
                <w:b w:val="0"/>
                <w:sz w:val="21"/>
              </w:rPr>
              <w:t>产品工艺设计</w:t>
            </w:r>
          </w:p>
        </w:tc>
        <w:tc>
          <w:tcPr>
            <w:tcW w:type="dxa" w:w="2120"/>
            <w:vAlign w:val="center"/>
          </w:tcPr>
          <w:p>
            <w:pPr>
              <w:keepNext w:val="0"/>
              <w:spacing w:line="320" w:lineRule="exact" w:after="0" w:before="0"/>
              <w:ind w:firstLine="0"/>
              <w:jc w:val="left"/>
            </w:pPr>
            <w:r>
              <w:rPr>
                <w:b w:val="0"/>
                <w:sz w:val="21"/>
              </w:rPr>
              <w:t>70亿Token</w:t>
            </w:r>
          </w:p>
        </w:tc>
        <w:tc>
          <w:tcPr>
            <w:tcW w:type="dxa" w:w="1928"/>
            <w:vAlign w:val="center"/>
          </w:tcPr>
          <w:p>
            <w:pPr>
              <w:keepNext w:val="0"/>
              <w:spacing w:line="320" w:lineRule="exact" w:after="0" w:before="0"/>
              <w:ind w:firstLine="0"/>
              <w:jc w:val="left"/>
            </w:pPr>
            <w:r>
              <w:rPr>
                <w:b w:val="0"/>
                <w:sz w:val="21"/>
              </w:rPr>
              <w:t>10万条</w:t>
            </w:r>
          </w:p>
        </w:tc>
        <w:tc>
          <w:tcPr>
            <w:tcW w:type="dxa" w:w="1928"/>
            <w:vAlign w:val="center"/>
          </w:tcPr>
          <w:p>
            <w:pPr>
              <w:keepNext w:val="0"/>
              <w:spacing w:line="320" w:lineRule="exact" w:after="0" w:before="0"/>
              <w:ind w:firstLine="0"/>
              <w:jc w:val="left"/>
            </w:pPr>
            <w:r>
              <w:rPr>
                <w:b w:val="0"/>
                <w:sz w:val="21"/>
              </w:rPr>
              <w:t>0.8万组</w:t>
            </w:r>
          </w:p>
        </w:tc>
        <w:tc>
          <w:tcPr>
            <w:tcW w:type="dxa" w:w="1928"/>
            <w:vAlign w:val="center"/>
          </w:tcPr>
          <w:p>
            <w:pPr>
              <w:keepNext w:val="0"/>
              <w:spacing w:line="320" w:lineRule="exact" w:after="0" w:before="0"/>
              <w:ind w:firstLine="0"/>
              <w:jc w:val="left"/>
            </w:pPr>
            <w:r>
              <w:rPr>
                <w:b w:val="0"/>
                <w:sz w:val="21"/>
              </w:rPr>
              <w:t>0.1万题</w:t>
            </w:r>
          </w:p>
        </w:tc>
      </w:tr>
      <w:tr>
        <w:trPr>
          <w:cantSplit/>
        </w:trPr>
        <w:tc>
          <w:tcPr>
            <w:tcW w:type="dxa" w:w="1735"/>
            <w:vAlign w:val="center"/>
          </w:tcPr>
          <w:p>
            <w:pPr>
              <w:keepNext w:val="0"/>
              <w:spacing w:line="320" w:lineRule="exact" w:after="0" w:before="0"/>
              <w:ind w:firstLine="0"/>
              <w:jc w:val="left"/>
            </w:pPr>
            <w:r>
              <w:rPr>
                <w:b w:val="0"/>
                <w:sz w:val="21"/>
              </w:rPr>
              <w:t>制造过程</w:t>
            </w:r>
          </w:p>
        </w:tc>
        <w:tc>
          <w:tcPr>
            <w:tcW w:type="dxa" w:w="2120"/>
            <w:vAlign w:val="center"/>
          </w:tcPr>
          <w:p>
            <w:pPr>
              <w:keepNext w:val="0"/>
              <w:spacing w:line="320" w:lineRule="exact" w:after="0" w:before="0"/>
              <w:ind w:firstLine="0"/>
              <w:jc w:val="left"/>
            </w:pPr>
            <w:r>
              <w:rPr>
                <w:b w:val="0"/>
                <w:sz w:val="21"/>
              </w:rPr>
              <w:t>105亿Token</w:t>
            </w:r>
          </w:p>
        </w:tc>
        <w:tc>
          <w:tcPr>
            <w:tcW w:type="dxa" w:w="1928"/>
            <w:vAlign w:val="center"/>
          </w:tcPr>
          <w:p>
            <w:pPr>
              <w:keepNext w:val="0"/>
              <w:spacing w:line="320" w:lineRule="exact" w:after="0" w:before="0"/>
              <w:ind w:firstLine="0"/>
              <w:jc w:val="left"/>
            </w:pPr>
            <w:r>
              <w:rPr>
                <w:b w:val="0"/>
                <w:sz w:val="21"/>
              </w:rPr>
              <w:t>15万条</w:t>
            </w:r>
          </w:p>
        </w:tc>
        <w:tc>
          <w:tcPr>
            <w:tcW w:type="dxa" w:w="1928"/>
            <w:vAlign w:val="center"/>
          </w:tcPr>
          <w:p>
            <w:pPr>
              <w:keepNext w:val="0"/>
              <w:spacing w:line="320" w:lineRule="exact" w:after="0" w:before="0"/>
              <w:ind w:firstLine="0"/>
              <w:jc w:val="left"/>
            </w:pPr>
            <w:r>
              <w:rPr>
                <w:b w:val="0"/>
                <w:sz w:val="21"/>
              </w:rPr>
              <w:t>1万组</w:t>
            </w:r>
          </w:p>
        </w:tc>
        <w:tc>
          <w:tcPr>
            <w:tcW w:type="dxa" w:w="1928"/>
            <w:vAlign w:val="center"/>
          </w:tcPr>
          <w:p>
            <w:pPr>
              <w:keepNext w:val="0"/>
              <w:spacing w:line="320" w:lineRule="exact" w:after="0" w:before="0"/>
              <w:ind w:firstLine="0"/>
              <w:jc w:val="left"/>
            </w:pPr>
            <w:r>
              <w:rPr>
                <w:b w:val="0"/>
                <w:sz w:val="21"/>
              </w:rPr>
              <w:t>0.2万题</w:t>
            </w:r>
          </w:p>
        </w:tc>
      </w:tr>
      <w:tr>
        <w:trPr>
          <w:cantSplit/>
        </w:trPr>
        <w:tc>
          <w:tcPr>
            <w:tcW w:type="dxa" w:w="1735"/>
            <w:vAlign w:val="center"/>
          </w:tcPr>
          <w:p>
            <w:pPr>
              <w:keepNext w:val="0"/>
              <w:spacing w:line="320" w:lineRule="exact" w:after="0" w:before="0"/>
              <w:ind w:firstLine="0"/>
              <w:jc w:val="left"/>
            </w:pPr>
            <w:r>
              <w:rPr>
                <w:b w:val="0"/>
                <w:sz w:val="21"/>
              </w:rPr>
              <w:t>产品质量</w:t>
            </w:r>
          </w:p>
        </w:tc>
        <w:tc>
          <w:tcPr>
            <w:tcW w:type="dxa" w:w="2120"/>
            <w:vAlign w:val="center"/>
          </w:tcPr>
          <w:p>
            <w:pPr>
              <w:keepNext w:val="0"/>
              <w:spacing w:line="320" w:lineRule="exact" w:after="0" w:before="0"/>
              <w:ind w:firstLine="0"/>
              <w:jc w:val="left"/>
            </w:pPr>
            <w:r>
              <w:rPr>
                <w:b w:val="0"/>
                <w:sz w:val="21"/>
              </w:rPr>
              <w:t>164亿Token</w:t>
            </w:r>
          </w:p>
        </w:tc>
        <w:tc>
          <w:tcPr>
            <w:tcW w:type="dxa" w:w="1928"/>
            <w:vAlign w:val="center"/>
          </w:tcPr>
          <w:p>
            <w:pPr>
              <w:keepNext w:val="0"/>
              <w:spacing w:line="320" w:lineRule="exact" w:after="0" w:before="0"/>
              <w:ind w:firstLine="0"/>
              <w:jc w:val="left"/>
            </w:pPr>
            <w:r>
              <w:rPr>
                <w:b w:val="0"/>
                <w:sz w:val="21"/>
              </w:rPr>
              <w:t>24万条</w:t>
            </w:r>
          </w:p>
        </w:tc>
        <w:tc>
          <w:tcPr>
            <w:tcW w:type="dxa" w:w="1928"/>
            <w:vAlign w:val="center"/>
          </w:tcPr>
          <w:p>
            <w:pPr>
              <w:keepNext w:val="0"/>
              <w:spacing w:line="320" w:lineRule="exact" w:after="0" w:before="0"/>
              <w:ind w:firstLine="0"/>
              <w:jc w:val="left"/>
            </w:pPr>
            <w:r>
              <w:rPr>
                <w:b w:val="0"/>
                <w:sz w:val="21"/>
              </w:rPr>
              <w:t>1.6万组</w:t>
            </w:r>
          </w:p>
        </w:tc>
        <w:tc>
          <w:tcPr>
            <w:tcW w:type="dxa" w:w="1928"/>
            <w:vAlign w:val="center"/>
          </w:tcPr>
          <w:p>
            <w:pPr>
              <w:keepNext w:val="0"/>
              <w:spacing w:line="320" w:lineRule="exact" w:after="0" w:before="0"/>
              <w:ind w:firstLine="0"/>
              <w:jc w:val="left"/>
            </w:pPr>
            <w:r>
              <w:rPr>
                <w:b w:val="0"/>
                <w:sz w:val="21"/>
              </w:rPr>
              <w:t>0.25万题</w:t>
            </w:r>
          </w:p>
        </w:tc>
      </w:tr>
      <w:tr>
        <w:trPr>
          <w:cantSplit/>
        </w:trPr>
        <w:tc>
          <w:tcPr>
            <w:tcW w:type="dxa" w:w="1735"/>
            <w:vAlign w:val="center"/>
          </w:tcPr>
          <w:p>
            <w:pPr>
              <w:keepNext w:val="0"/>
              <w:spacing w:line="320" w:lineRule="exact" w:after="0" w:before="0"/>
              <w:ind w:firstLine="0"/>
              <w:jc w:val="left"/>
            </w:pPr>
            <w:r>
              <w:rPr>
                <w:b w:val="0"/>
                <w:sz w:val="21"/>
              </w:rPr>
              <w:t>合计</w:t>
            </w:r>
          </w:p>
        </w:tc>
        <w:tc>
          <w:tcPr>
            <w:tcW w:type="dxa" w:w="2120"/>
            <w:vAlign w:val="center"/>
          </w:tcPr>
          <w:p>
            <w:pPr>
              <w:keepNext w:val="0"/>
              <w:spacing w:line="320" w:lineRule="exact" w:after="0" w:before="0"/>
              <w:ind w:firstLine="0"/>
              <w:jc w:val="left"/>
            </w:pPr>
            <w:r>
              <w:rPr>
                <w:b w:val="0"/>
                <w:sz w:val="21"/>
              </w:rPr>
              <w:t>615亿Token</w:t>
            </w:r>
          </w:p>
        </w:tc>
        <w:tc>
          <w:tcPr>
            <w:tcW w:type="dxa" w:w="1928"/>
            <w:vAlign w:val="center"/>
          </w:tcPr>
          <w:p>
            <w:pPr>
              <w:keepNext w:val="0"/>
              <w:spacing w:line="320" w:lineRule="exact" w:after="0" w:before="0"/>
              <w:ind w:firstLine="0"/>
              <w:jc w:val="left"/>
            </w:pPr>
            <w:r>
              <w:rPr>
                <w:b w:val="0"/>
                <w:sz w:val="21"/>
              </w:rPr>
              <w:t>89万条</w:t>
            </w:r>
          </w:p>
        </w:tc>
        <w:tc>
          <w:tcPr>
            <w:tcW w:type="dxa" w:w="1928"/>
            <w:vAlign w:val="center"/>
          </w:tcPr>
          <w:p>
            <w:pPr>
              <w:keepNext w:val="0"/>
              <w:spacing w:line="320" w:lineRule="exact" w:after="0" w:before="0"/>
              <w:ind w:firstLine="0"/>
              <w:jc w:val="left"/>
            </w:pPr>
            <w:r>
              <w:rPr>
                <w:b w:val="0"/>
                <w:sz w:val="21"/>
              </w:rPr>
              <w:t>6.6万组</w:t>
            </w:r>
          </w:p>
        </w:tc>
        <w:tc>
          <w:tcPr>
            <w:tcW w:type="dxa" w:w="1928"/>
            <w:vAlign w:val="center"/>
          </w:tcPr>
          <w:p>
            <w:pPr>
              <w:keepNext w:val="0"/>
              <w:spacing w:line="320" w:lineRule="exact" w:after="0" w:before="0"/>
              <w:ind w:firstLine="0"/>
              <w:jc w:val="left"/>
            </w:pPr>
            <w:r>
              <w:rPr>
                <w:b w:val="0"/>
                <w:sz w:val="21"/>
              </w:rPr>
              <w:t>0.95万题</w:t>
            </w:r>
          </w:p>
        </w:tc>
      </w:tr>
    </w:tbl>
    <w:p>
      <w:pPr>
        <w:spacing w:after="40" w:line="240" w:lineRule="auto"/>
        <w:ind w:firstLine="0"/>
      </w:pPr>
      <w:r>
        <w:rPr>
          <w:sz w:val="4"/>
        </w:rPr>
      </w:r>
    </w:p>
    <w:p>
      <w:pPr>
        <w:jc w:val="both"/>
      </w:pPr>
      <w:r>
        <w:t>我方对每一领域分别核算可直接使用、治理后可用、补充采集后可用及尚未形成可靠供给四类状态。可直接使用要求来源、授权、质量、内容和格式满足对应生产要求；治理后可用应有明确的处理规则、预计损耗和验证方法；补充采集后可用应明确采集对象、方式、岗位和计划；尚未形成可靠供给应明确缺失原因、替代路径和项目内的解决安排。状态判定依据实际样本和处理结果，不能仅凭文件存在或业务人员承诺认定可交付。</w:t>
      </w:r>
    </w:p>
    <w:p>
      <w:pPr>
        <w:jc w:val="both"/>
      </w:pPr>
      <w:r>
        <w:t>供给测算先进行分层试处理，记录解析、去重、脱敏、质量筛选、标注及切分各环节的保留量和损耗原因，再以相同来源类别、时间范围和业务分布进行分层测算。测算结果保留假设、样本依据和不确定范围，随着新批次实际产出更新。Token 量采用项目统一计量规则和计量工具版本，避免通过固定平均长度把任务条数、文件容量直接换算为正式Token交付量。</w:t>
      </w:r>
    </w:p>
    <w:p>
      <w:pPr>
        <w:jc w:val="both"/>
      </w:pPr>
      <w:r>
        <w:t>多模态供给核查文本、图像、时序和视频的真实有效内容，每个数据集满足不少于三种有效模态，多模态记录占比不低于40%，近36个月数据占比不低于40%。记录粒度按相应用途明确：预训练以受控的有效语义记录，指令微调以任务记录，偏好以偏好组，评测以试题统计。时间来源不明的有效记录仍计入适用分母，不计入近36个月分子；扫描时间、上传时间和重复保存时间不得代替原始业务内容的形成时间。</w:t>
      </w:r>
    </w:p>
    <w:p>
      <w:pPr>
        <w:jc w:val="both"/>
      </w:pPr>
      <w:r>
        <w:t>合成和增强供给单列来源及计量，预训练合成与增强内容并集不超过有效Token量的20%；指令微调整体合成比例不超过45%，真实数据丰富类别不超过30%，推理及长尾类别不超过60%，同时满足整体约束；偏好数据中含合成内容的组数不超过50%；评测数据不含合成数据。训练、验证与评测按来源族隔离，隔离关系及近重复检查结果进入供给台账。供给计划以真实资源、可执行采集和受控生产共同保障各项要求。</w:t>
      </w:r>
    </w:p>
    <w:p>
      <w:pPr>
        <w:pStyle w:val="Heading2"/>
      </w:pPr>
      <w:r>
        <w:t>3.8 十一个验证场景需求分析</w:t>
      </w:r>
    </w:p>
    <w:p>
      <w:pPr>
        <w:jc w:val="both"/>
      </w:pPr>
      <w:r>
        <w:t>场景需求调查围绕实际输入、业务任务、期望输出、判断依据和验证方法展开。每个场景明确业务使用岗位、对象范围、数据时效、更新频率、错误后果和人工复核环节。专业岗位确认业务条件与正确性依据，技术岗位确认数据结构和获取条件，治理岗位确认定义、权限及质量要求，我方形成统一的数据需求清单并组织评审。</w:t>
      </w:r>
    </w:p>
    <w:p>
      <w:pPr>
        <w:jc w:val="both"/>
      </w:pPr>
      <w:r>
        <w:t>产品智能选型核查产品系列、配置约束、性能参数、工况需求、适用条件和历史选型依据，记录型号参数与版本关系。板材备料工艺智能设计核查图纸、材料、尺寸、公差、工艺规则及相关历史成果，保留图纸和工艺对应关系。库存控制智能化核查库存状态、需求、供给、交付周期和相关业务约束，明确统计时点与状态范围。</w:t>
      </w:r>
    </w:p>
    <w:p>
      <w:pPr>
        <w:jc w:val="both"/>
      </w:pPr>
      <w:r>
        <w:t>热处理过程控制智能化核查材料、工件、炉次、工艺曲线、实际时序和检验结果的对应；焊接过程控制智能化核查焊接对象、工艺、参数、图像或视频、检测及返修记录；刮板输送装备健康诊断智能化核查设备结构、工况、测点时序、报警、故障、维修和复核结果。对过程控制与诊断类场景，区分数据验证、业务建议和实际设备执行，数据供给保留适用条件和专业复核依据。</w:t>
      </w:r>
    </w:p>
    <w:p>
      <w:pPr>
        <w:jc w:val="both"/>
      </w:pPr>
      <w:r>
        <w:t>管理制度智能问答、技术标准智能问答和标书智能问答分别核查文件权威性、适用范围、版本、生效状态、条款位置和引用权限。决策数据智能问答核查指标定义、计算条件、统计周期、维度、来源和明细追溯。合同合规审查智能助手核查合同版本、条款结构、审查规则、相关依据及审核结论，保留合同上下文和专业复核条件。</w:t>
      </w:r>
    </w:p>
    <w:p>
      <w:pPr>
        <w:pStyle w:val="Caption"/>
        <w:keepNext/>
      </w:pPr>
      <w:r>
        <w:t>表3-6 十一个验证场景需求分析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验证场景</w:t>
            </w:r>
          </w:p>
        </w:tc>
        <w:tc>
          <w:tcPr>
            <w:tcW w:type="dxa" w:w="3855"/>
            <w:vAlign w:val="center"/>
            <w:shd w:fill="EDF1F3"/>
          </w:tcPr>
          <w:p>
            <w:pPr>
              <w:keepNext/>
              <w:spacing w:line="320" w:lineRule="exact" w:after="0" w:before="0"/>
              <w:ind w:firstLine="0"/>
              <w:jc w:val="center"/>
            </w:pPr>
            <w:r>
              <w:rPr>
                <w:b/>
                <w:sz w:val="21"/>
              </w:rPr>
              <w:t>核心数据组合</w:t>
            </w:r>
          </w:p>
        </w:tc>
        <w:tc>
          <w:tcPr>
            <w:tcW w:type="dxa" w:w="3277"/>
            <w:vAlign w:val="center"/>
            <w:shd w:fill="EDF1F3"/>
          </w:tcPr>
          <w:p>
            <w:pPr>
              <w:keepNext/>
              <w:spacing w:line="320" w:lineRule="exact" w:after="0" w:before="0"/>
              <w:ind w:firstLine="0"/>
              <w:jc w:val="center"/>
            </w:pPr>
            <w:r>
              <w:rPr>
                <w:b/>
                <w:sz w:val="21"/>
              </w:rPr>
              <w:t>重点缺口检查</w:t>
            </w:r>
          </w:p>
        </w:tc>
      </w:tr>
      <w:tr>
        <w:trPr>
          <w:cantSplit/>
        </w:trPr>
        <w:tc>
          <w:tcPr>
            <w:tcW w:type="dxa" w:w="2506"/>
            <w:vAlign w:val="center"/>
          </w:tcPr>
          <w:p>
            <w:pPr>
              <w:keepNext w:val="0"/>
              <w:spacing w:line="320" w:lineRule="exact" w:after="0" w:before="0"/>
              <w:ind w:firstLine="0"/>
              <w:jc w:val="left"/>
            </w:pPr>
            <w:r>
              <w:rPr>
                <w:b w:val="0"/>
                <w:sz w:val="21"/>
              </w:rPr>
              <w:t>产品智能选型</w:t>
            </w:r>
          </w:p>
        </w:tc>
        <w:tc>
          <w:tcPr>
            <w:tcW w:type="dxa" w:w="3855"/>
            <w:vAlign w:val="center"/>
          </w:tcPr>
          <w:p>
            <w:pPr>
              <w:keepNext w:val="0"/>
              <w:spacing w:line="320" w:lineRule="exact" w:after="0" w:before="0"/>
              <w:ind w:firstLine="0"/>
              <w:jc w:val="left"/>
            </w:pPr>
            <w:r>
              <w:rPr>
                <w:b w:val="0"/>
                <w:sz w:val="21"/>
              </w:rPr>
              <w:t>产品参数、配置约束、工况、需求和案例</w:t>
            </w:r>
          </w:p>
        </w:tc>
        <w:tc>
          <w:tcPr>
            <w:tcW w:type="dxa" w:w="3277"/>
            <w:vAlign w:val="center"/>
          </w:tcPr>
          <w:p>
            <w:pPr>
              <w:keepNext w:val="0"/>
              <w:spacing w:line="320" w:lineRule="exact" w:after="0" w:before="0"/>
              <w:ind w:firstLine="0"/>
              <w:jc w:val="left"/>
            </w:pPr>
            <w:r>
              <w:rPr>
                <w:b w:val="0"/>
                <w:sz w:val="21"/>
              </w:rPr>
              <w:t>参数版本、约束完整性及选型依据</w:t>
            </w:r>
          </w:p>
        </w:tc>
      </w:tr>
      <w:tr>
        <w:trPr>
          <w:cantSplit/>
        </w:trPr>
        <w:tc>
          <w:tcPr>
            <w:tcW w:type="dxa" w:w="2506"/>
            <w:vAlign w:val="center"/>
          </w:tcPr>
          <w:p>
            <w:pPr>
              <w:keepNext w:val="0"/>
              <w:spacing w:line="320" w:lineRule="exact" w:after="0" w:before="0"/>
              <w:ind w:firstLine="0"/>
              <w:jc w:val="left"/>
            </w:pPr>
            <w:r>
              <w:rPr>
                <w:b w:val="0"/>
                <w:sz w:val="21"/>
              </w:rPr>
              <w:t>板材备料工艺智能设计</w:t>
            </w:r>
          </w:p>
        </w:tc>
        <w:tc>
          <w:tcPr>
            <w:tcW w:type="dxa" w:w="3855"/>
            <w:vAlign w:val="center"/>
          </w:tcPr>
          <w:p>
            <w:pPr>
              <w:keepNext w:val="0"/>
              <w:spacing w:line="320" w:lineRule="exact" w:after="0" w:before="0"/>
              <w:ind w:firstLine="0"/>
              <w:jc w:val="left"/>
            </w:pPr>
            <w:r>
              <w:rPr>
                <w:b w:val="0"/>
                <w:sz w:val="21"/>
              </w:rPr>
              <w:t>图纸、材料、尺寸、公差、工艺与成果</w:t>
            </w:r>
          </w:p>
        </w:tc>
        <w:tc>
          <w:tcPr>
            <w:tcW w:type="dxa" w:w="3277"/>
            <w:vAlign w:val="center"/>
          </w:tcPr>
          <w:p>
            <w:pPr>
              <w:keepNext w:val="0"/>
              <w:spacing w:line="320" w:lineRule="exact" w:after="0" w:before="0"/>
              <w:ind w:firstLine="0"/>
              <w:jc w:val="left"/>
            </w:pPr>
            <w:r>
              <w:rPr>
                <w:b w:val="0"/>
                <w:sz w:val="21"/>
              </w:rPr>
              <w:t>图工对应、单位、公差与适用条件</w:t>
            </w:r>
          </w:p>
        </w:tc>
      </w:tr>
      <w:tr>
        <w:trPr>
          <w:cantSplit/>
        </w:trPr>
        <w:tc>
          <w:tcPr>
            <w:tcW w:type="dxa" w:w="2506"/>
            <w:vAlign w:val="center"/>
          </w:tcPr>
          <w:p>
            <w:pPr>
              <w:keepNext w:val="0"/>
              <w:spacing w:line="320" w:lineRule="exact" w:after="0" w:before="0"/>
              <w:ind w:firstLine="0"/>
              <w:jc w:val="left"/>
            </w:pPr>
            <w:r>
              <w:rPr>
                <w:b w:val="0"/>
                <w:sz w:val="21"/>
              </w:rPr>
              <w:t>库存控制智能化</w:t>
            </w:r>
          </w:p>
        </w:tc>
        <w:tc>
          <w:tcPr>
            <w:tcW w:type="dxa" w:w="3855"/>
            <w:vAlign w:val="center"/>
          </w:tcPr>
          <w:p>
            <w:pPr>
              <w:keepNext w:val="0"/>
              <w:spacing w:line="320" w:lineRule="exact" w:after="0" w:before="0"/>
              <w:ind w:firstLine="0"/>
              <w:jc w:val="left"/>
            </w:pPr>
            <w:r>
              <w:rPr>
                <w:b w:val="0"/>
                <w:sz w:val="21"/>
              </w:rPr>
              <w:t>库存、需求、供给、交付及业务约束</w:t>
            </w:r>
          </w:p>
        </w:tc>
        <w:tc>
          <w:tcPr>
            <w:tcW w:type="dxa" w:w="3277"/>
            <w:vAlign w:val="center"/>
          </w:tcPr>
          <w:p>
            <w:pPr>
              <w:keepNext w:val="0"/>
              <w:spacing w:line="320" w:lineRule="exact" w:after="0" w:before="0"/>
              <w:ind w:firstLine="0"/>
              <w:jc w:val="left"/>
            </w:pPr>
            <w:r>
              <w:rPr>
                <w:b w:val="0"/>
                <w:sz w:val="21"/>
              </w:rPr>
              <w:t>时点、状态、数量口径和历史连续性</w:t>
            </w:r>
          </w:p>
        </w:tc>
      </w:tr>
      <w:tr>
        <w:trPr>
          <w:cantSplit/>
        </w:trPr>
        <w:tc>
          <w:tcPr>
            <w:tcW w:type="dxa" w:w="2506"/>
            <w:vAlign w:val="center"/>
          </w:tcPr>
          <w:p>
            <w:pPr>
              <w:keepNext w:val="0"/>
              <w:spacing w:line="320" w:lineRule="exact" w:after="0" w:before="0"/>
              <w:ind w:firstLine="0"/>
              <w:jc w:val="left"/>
            </w:pPr>
            <w:r>
              <w:rPr>
                <w:b w:val="0"/>
                <w:sz w:val="21"/>
              </w:rPr>
              <w:t>热处理过程控制智能化</w:t>
            </w:r>
          </w:p>
        </w:tc>
        <w:tc>
          <w:tcPr>
            <w:tcW w:type="dxa" w:w="3855"/>
            <w:vAlign w:val="center"/>
          </w:tcPr>
          <w:p>
            <w:pPr>
              <w:keepNext w:val="0"/>
              <w:spacing w:line="320" w:lineRule="exact" w:after="0" w:before="0"/>
              <w:ind w:firstLine="0"/>
              <w:jc w:val="left"/>
            </w:pPr>
            <w:r>
              <w:rPr>
                <w:b w:val="0"/>
                <w:sz w:val="21"/>
              </w:rPr>
              <w:t>工件材料、炉次、设定与实际曲线、检验</w:t>
            </w:r>
          </w:p>
        </w:tc>
        <w:tc>
          <w:tcPr>
            <w:tcW w:type="dxa" w:w="3277"/>
            <w:vAlign w:val="center"/>
          </w:tcPr>
          <w:p>
            <w:pPr>
              <w:keepNext w:val="0"/>
              <w:spacing w:line="320" w:lineRule="exact" w:after="0" w:before="0"/>
              <w:ind w:firstLine="0"/>
              <w:jc w:val="left"/>
            </w:pPr>
            <w:r>
              <w:rPr>
                <w:b w:val="0"/>
                <w:sz w:val="21"/>
              </w:rPr>
              <w:t>装炉对应、时钟、阶段与检验关联</w:t>
            </w:r>
          </w:p>
        </w:tc>
      </w:tr>
      <w:tr>
        <w:trPr>
          <w:cantSplit/>
        </w:trPr>
        <w:tc>
          <w:tcPr>
            <w:tcW w:type="dxa" w:w="2506"/>
            <w:vAlign w:val="center"/>
          </w:tcPr>
          <w:p>
            <w:pPr>
              <w:keepNext w:val="0"/>
              <w:spacing w:line="320" w:lineRule="exact" w:after="0" w:before="0"/>
              <w:ind w:firstLine="0"/>
              <w:jc w:val="left"/>
            </w:pPr>
            <w:r>
              <w:rPr>
                <w:b w:val="0"/>
                <w:sz w:val="21"/>
              </w:rPr>
              <w:t>焊接过程控制智能化</w:t>
            </w:r>
          </w:p>
        </w:tc>
        <w:tc>
          <w:tcPr>
            <w:tcW w:type="dxa" w:w="3855"/>
            <w:vAlign w:val="center"/>
          </w:tcPr>
          <w:p>
            <w:pPr>
              <w:keepNext w:val="0"/>
              <w:spacing w:line="320" w:lineRule="exact" w:after="0" w:before="0"/>
              <w:ind w:firstLine="0"/>
              <w:jc w:val="left"/>
            </w:pPr>
            <w:r>
              <w:rPr>
                <w:b w:val="0"/>
                <w:sz w:val="21"/>
              </w:rPr>
              <w:t>焊接对象、工艺、过程参数、影像和检测</w:t>
            </w:r>
          </w:p>
        </w:tc>
        <w:tc>
          <w:tcPr>
            <w:tcW w:type="dxa" w:w="3277"/>
            <w:vAlign w:val="center"/>
          </w:tcPr>
          <w:p>
            <w:pPr>
              <w:keepNext w:val="0"/>
              <w:spacing w:line="320" w:lineRule="exact" w:after="0" w:before="0"/>
              <w:ind w:firstLine="0"/>
              <w:jc w:val="left"/>
            </w:pPr>
            <w:r>
              <w:rPr>
                <w:b w:val="0"/>
                <w:sz w:val="21"/>
              </w:rPr>
              <w:t>对象定位、过程对齐、返修与复检</w:t>
            </w:r>
          </w:p>
        </w:tc>
      </w:tr>
      <w:tr>
        <w:trPr>
          <w:cantSplit/>
        </w:trPr>
        <w:tc>
          <w:tcPr>
            <w:tcW w:type="dxa" w:w="2506"/>
            <w:vAlign w:val="center"/>
          </w:tcPr>
          <w:p>
            <w:pPr>
              <w:keepNext w:val="0"/>
              <w:spacing w:line="320" w:lineRule="exact" w:after="0" w:before="0"/>
              <w:ind w:firstLine="0"/>
              <w:jc w:val="left"/>
            </w:pPr>
            <w:r>
              <w:rPr>
                <w:b w:val="0"/>
                <w:sz w:val="21"/>
              </w:rPr>
              <w:t>刮板输送装备健康诊断智能化</w:t>
            </w:r>
          </w:p>
        </w:tc>
        <w:tc>
          <w:tcPr>
            <w:tcW w:type="dxa" w:w="3855"/>
            <w:vAlign w:val="center"/>
          </w:tcPr>
          <w:p>
            <w:pPr>
              <w:keepNext w:val="0"/>
              <w:spacing w:line="320" w:lineRule="exact" w:after="0" w:before="0"/>
              <w:ind w:firstLine="0"/>
              <w:jc w:val="left"/>
            </w:pPr>
            <w:r>
              <w:rPr>
                <w:b w:val="0"/>
                <w:sz w:val="21"/>
              </w:rPr>
              <w:t>设备部件、工况、时序、故障和维修</w:t>
            </w:r>
          </w:p>
        </w:tc>
        <w:tc>
          <w:tcPr>
            <w:tcW w:type="dxa" w:w="3277"/>
            <w:vAlign w:val="center"/>
          </w:tcPr>
          <w:p>
            <w:pPr>
              <w:keepNext w:val="0"/>
              <w:spacing w:line="320" w:lineRule="exact" w:after="0" w:before="0"/>
              <w:ind w:firstLine="0"/>
              <w:jc w:val="left"/>
            </w:pPr>
            <w:r>
              <w:rPr>
                <w:b w:val="0"/>
                <w:sz w:val="21"/>
              </w:rPr>
              <w:t>测点变更、故障标签、维修后验证</w:t>
            </w:r>
          </w:p>
        </w:tc>
      </w:tr>
      <w:tr>
        <w:trPr>
          <w:cantSplit/>
        </w:trPr>
        <w:tc>
          <w:tcPr>
            <w:tcW w:type="dxa" w:w="2506"/>
            <w:vAlign w:val="center"/>
          </w:tcPr>
          <w:p>
            <w:pPr>
              <w:keepNext w:val="0"/>
              <w:spacing w:line="320" w:lineRule="exact" w:after="0" w:before="0"/>
              <w:ind w:firstLine="0"/>
              <w:jc w:val="left"/>
            </w:pPr>
            <w:r>
              <w:rPr>
                <w:b w:val="0"/>
                <w:sz w:val="21"/>
              </w:rPr>
              <w:t>管理制度智能问答助手</w:t>
            </w:r>
          </w:p>
        </w:tc>
        <w:tc>
          <w:tcPr>
            <w:tcW w:type="dxa" w:w="3855"/>
            <w:vAlign w:val="center"/>
          </w:tcPr>
          <w:p>
            <w:pPr>
              <w:keepNext w:val="0"/>
              <w:spacing w:line="320" w:lineRule="exact" w:after="0" w:before="0"/>
              <w:ind w:firstLine="0"/>
              <w:jc w:val="left"/>
            </w:pPr>
            <w:r>
              <w:rPr>
                <w:b w:val="0"/>
                <w:sz w:val="21"/>
              </w:rPr>
              <w:t>制度、审批发布、适用范围和条款</w:t>
            </w:r>
          </w:p>
        </w:tc>
        <w:tc>
          <w:tcPr>
            <w:tcW w:type="dxa" w:w="3277"/>
            <w:vAlign w:val="center"/>
          </w:tcPr>
          <w:p>
            <w:pPr>
              <w:keepNext w:val="0"/>
              <w:spacing w:line="320" w:lineRule="exact" w:after="0" w:before="0"/>
              <w:ind w:firstLine="0"/>
              <w:jc w:val="left"/>
            </w:pPr>
            <w:r>
              <w:rPr>
                <w:b w:val="0"/>
                <w:sz w:val="21"/>
              </w:rPr>
              <w:t>生效废止、组织适用及引用位置</w:t>
            </w:r>
          </w:p>
        </w:tc>
      </w:tr>
      <w:tr>
        <w:trPr>
          <w:cantSplit/>
        </w:trPr>
        <w:tc>
          <w:tcPr>
            <w:tcW w:type="dxa" w:w="2506"/>
            <w:vAlign w:val="center"/>
          </w:tcPr>
          <w:p>
            <w:pPr>
              <w:keepNext w:val="0"/>
              <w:spacing w:line="320" w:lineRule="exact" w:after="0" w:before="0"/>
              <w:ind w:firstLine="0"/>
              <w:jc w:val="left"/>
            </w:pPr>
            <w:r>
              <w:rPr>
                <w:b w:val="0"/>
                <w:sz w:val="21"/>
              </w:rPr>
              <w:t>技术标准智能问答助手</w:t>
            </w:r>
          </w:p>
        </w:tc>
        <w:tc>
          <w:tcPr>
            <w:tcW w:type="dxa" w:w="3855"/>
            <w:vAlign w:val="center"/>
          </w:tcPr>
          <w:p>
            <w:pPr>
              <w:keepNext w:val="0"/>
              <w:spacing w:line="320" w:lineRule="exact" w:after="0" w:before="0"/>
              <w:ind w:firstLine="0"/>
              <w:jc w:val="left"/>
            </w:pPr>
            <w:r>
              <w:rPr>
                <w:b w:val="0"/>
                <w:sz w:val="21"/>
              </w:rPr>
              <w:t>标准、技术要求、版本和条款关系</w:t>
            </w:r>
          </w:p>
        </w:tc>
        <w:tc>
          <w:tcPr>
            <w:tcW w:type="dxa" w:w="3277"/>
            <w:vAlign w:val="center"/>
          </w:tcPr>
          <w:p>
            <w:pPr>
              <w:keepNext w:val="0"/>
              <w:spacing w:line="320" w:lineRule="exact" w:after="0" w:before="0"/>
              <w:ind w:firstLine="0"/>
              <w:jc w:val="left"/>
            </w:pPr>
            <w:r>
              <w:rPr>
                <w:b w:val="0"/>
                <w:sz w:val="21"/>
              </w:rPr>
              <w:t>标准有效性、适用条件和使用权限</w:t>
            </w:r>
          </w:p>
        </w:tc>
      </w:tr>
      <w:tr>
        <w:trPr>
          <w:cantSplit/>
        </w:trPr>
        <w:tc>
          <w:tcPr>
            <w:tcW w:type="dxa" w:w="2506"/>
            <w:vAlign w:val="center"/>
          </w:tcPr>
          <w:p>
            <w:pPr>
              <w:keepNext w:val="0"/>
              <w:spacing w:line="320" w:lineRule="exact" w:after="0" w:before="0"/>
              <w:ind w:firstLine="0"/>
              <w:jc w:val="left"/>
            </w:pPr>
            <w:r>
              <w:rPr>
                <w:b w:val="0"/>
                <w:sz w:val="21"/>
              </w:rPr>
              <w:t>标书智能问答助手</w:t>
            </w:r>
          </w:p>
        </w:tc>
        <w:tc>
          <w:tcPr>
            <w:tcW w:type="dxa" w:w="3855"/>
            <w:vAlign w:val="center"/>
          </w:tcPr>
          <w:p>
            <w:pPr>
              <w:keepNext w:val="0"/>
              <w:spacing w:line="320" w:lineRule="exact" w:after="0" w:before="0"/>
              <w:ind w:firstLine="0"/>
              <w:jc w:val="left"/>
            </w:pPr>
            <w:r>
              <w:rPr>
                <w:b w:val="0"/>
                <w:sz w:val="21"/>
              </w:rPr>
              <w:t>招标投标资料、附件及关联业务信息</w:t>
            </w:r>
          </w:p>
        </w:tc>
        <w:tc>
          <w:tcPr>
            <w:tcW w:type="dxa" w:w="3277"/>
            <w:vAlign w:val="center"/>
          </w:tcPr>
          <w:p>
            <w:pPr>
              <w:keepNext w:val="0"/>
              <w:spacing w:line="320" w:lineRule="exact" w:after="0" w:before="0"/>
              <w:ind w:firstLine="0"/>
              <w:jc w:val="left"/>
            </w:pPr>
            <w:r>
              <w:rPr>
                <w:b w:val="0"/>
                <w:sz w:val="21"/>
              </w:rPr>
              <w:t>文件完整性、项目区分、版本与权限</w:t>
            </w:r>
          </w:p>
        </w:tc>
      </w:tr>
      <w:tr>
        <w:trPr>
          <w:cantSplit/>
        </w:trPr>
        <w:tc>
          <w:tcPr>
            <w:tcW w:type="dxa" w:w="2506"/>
            <w:vAlign w:val="center"/>
          </w:tcPr>
          <w:p>
            <w:pPr>
              <w:keepNext w:val="0"/>
              <w:spacing w:line="320" w:lineRule="exact" w:after="0" w:before="0"/>
              <w:ind w:firstLine="0"/>
              <w:jc w:val="left"/>
            </w:pPr>
            <w:r>
              <w:rPr>
                <w:b w:val="0"/>
                <w:sz w:val="21"/>
              </w:rPr>
              <w:t>决策数据智能问答助手</w:t>
            </w:r>
          </w:p>
        </w:tc>
        <w:tc>
          <w:tcPr>
            <w:tcW w:type="dxa" w:w="3855"/>
            <w:vAlign w:val="center"/>
          </w:tcPr>
          <w:p>
            <w:pPr>
              <w:keepNext w:val="0"/>
              <w:spacing w:line="320" w:lineRule="exact" w:after="0" w:before="0"/>
              <w:ind w:firstLine="0"/>
              <w:jc w:val="left"/>
            </w:pPr>
            <w:r>
              <w:rPr>
                <w:b w:val="0"/>
                <w:sz w:val="21"/>
              </w:rPr>
              <w:t>指标卡、模型、明细、维度和计算结果</w:t>
            </w:r>
          </w:p>
        </w:tc>
        <w:tc>
          <w:tcPr>
            <w:tcW w:type="dxa" w:w="3277"/>
            <w:vAlign w:val="center"/>
          </w:tcPr>
          <w:p>
            <w:pPr>
              <w:keepNext w:val="0"/>
              <w:spacing w:line="320" w:lineRule="exact" w:after="0" w:before="0"/>
              <w:ind w:firstLine="0"/>
              <w:jc w:val="left"/>
            </w:pPr>
            <w:r>
              <w:rPr>
                <w:b w:val="0"/>
                <w:sz w:val="21"/>
              </w:rPr>
              <w:t>口径一致、来源可追溯和独立复算</w:t>
            </w:r>
          </w:p>
        </w:tc>
      </w:tr>
      <w:tr>
        <w:trPr>
          <w:cantSplit/>
        </w:trPr>
        <w:tc>
          <w:tcPr>
            <w:tcW w:type="dxa" w:w="2506"/>
            <w:vAlign w:val="center"/>
          </w:tcPr>
          <w:p>
            <w:pPr>
              <w:keepNext w:val="0"/>
              <w:spacing w:line="320" w:lineRule="exact" w:after="0" w:before="0"/>
              <w:ind w:firstLine="0"/>
              <w:jc w:val="left"/>
            </w:pPr>
            <w:r>
              <w:rPr>
                <w:b w:val="0"/>
                <w:sz w:val="21"/>
              </w:rPr>
              <w:t>合同合规审查智能助手</w:t>
            </w:r>
          </w:p>
        </w:tc>
        <w:tc>
          <w:tcPr>
            <w:tcW w:type="dxa" w:w="3855"/>
            <w:vAlign w:val="center"/>
          </w:tcPr>
          <w:p>
            <w:pPr>
              <w:keepNext w:val="0"/>
              <w:spacing w:line="320" w:lineRule="exact" w:after="0" w:before="0"/>
              <w:ind w:firstLine="0"/>
              <w:jc w:val="left"/>
            </w:pPr>
            <w:r>
              <w:rPr>
                <w:b w:val="0"/>
                <w:sz w:val="21"/>
              </w:rPr>
              <w:t>合同、条款、审查依据和审核记录</w:t>
            </w:r>
          </w:p>
        </w:tc>
        <w:tc>
          <w:tcPr>
            <w:tcW w:type="dxa" w:w="3277"/>
            <w:vAlign w:val="center"/>
          </w:tcPr>
          <w:p>
            <w:pPr>
              <w:keepNext w:val="0"/>
              <w:spacing w:line="320" w:lineRule="exact" w:after="0" w:before="0"/>
              <w:ind w:firstLine="0"/>
              <w:jc w:val="left"/>
            </w:pPr>
            <w:r>
              <w:rPr>
                <w:b w:val="0"/>
                <w:sz w:val="21"/>
              </w:rPr>
              <w:t>版本、上下文、规则适用及专业确认</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3" name="Picture 3"/>
            <wp:cNvGraphicFramePr>
              <a:graphicFrameLocks noChangeAspect="1"/>
            </wp:cNvGraphicFramePr>
            <a:graphic>
              <a:graphicData uri="http://schemas.openxmlformats.org/drawingml/2006/picture">
                <pic:pic>
                  <pic:nvPicPr>
                    <pic:cNvPr id="0" name="图3_供给评估.png"/>
                    <pic:cNvPicPr/>
                  </pic:nvPicPr>
                  <pic:blipFill>
                    <a:blip r:embed="rId13"/>
                    <a:stretch>
                      <a:fillRect/>
                    </a:stretch>
                  </pic:blipFill>
                  <pic:spPr>
                    <a:xfrm>
                      <a:off x="0" y="0"/>
                      <a:ext cx="6048000" cy="1942338"/>
                    </a:xfrm>
                    <a:prstGeom prst="rect"/>
                  </pic:spPr>
                </pic:pic>
              </a:graphicData>
            </a:graphic>
          </wp:inline>
        </w:drawing>
      </w:r>
    </w:p>
    <w:p>
      <w:pPr>
        <w:pStyle w:val="Caption"/>
        <w:jc w:val="center"/>
      </w:pPr>
      <w:r>
        <w:t>图3-1 场景需求与数据供给评估</w:t>
      </w:r>
    </w:p>
    <w:p>
      <w:pPr>
        <w:pStyle w:val="Heading2"/>
      </w:pPr>
      <w:r>
        <w:t>3.9 需求清单与供给任务闭合</w:t>
      </w:r>
    </w:p>
    <w:p>
      <w:pPr>
        <w:jc w:val="both"/>
      </w:pPr>
      <w:r>
        <w:t>高质量数据集验证场景数据需求清单以需求项为最小管理单位，记录场景、业务问题、输入对象、关键元素、来源、模态、粒度、时间范围、质量要求、规模、频率、授权、责任及验收方法。一项资源支撑多个场景时保留需求多对多关系；同一场景包含不同任务时分别定义输入和判定依据，防止采用笼统的场景名称代替可执行需求。</w:t>
      </w:r>
    </w:p>
    <w:p>
      <w:pPr>
        <w:jc w:val="both"/>
      </w:pPr>
      <w:r>
        <w:t>需求评审核对必要性、可获取性、可处理性和验证充分性。数据不足时先查明缺口属于对象缺失、字段缺失、时间覆盖不足、模态缺失、关联失败、质量不合格或授权受限，再确定补充采集、治理修复、专业标注、合法来源补充或调整处理方法。需求与招标指标存在依赖时，列入项目关键任务，不以缩小验证范围消除缺口。</w:t>
      </w:r>
    </w:p>
    <w:p>
      <w:pPr>
        <w:jc w:val="both"/>
      </w:pPr>
      <w:r>
        <w:t>供给任务保存需求编号、资源编号、输入版本、生产批次、输出版本、实际净量、质量结果和使用确认。任务完成后，使用岗位按需求验收输入、业务条件和结果可用性；验证发现问题时返回供给任务并定位到来源或规则。需求变更由业务确认，评估其对规模、模态、时效、质量、权限和工期的影响，经批准后同步更新清单、计划与平台任务。</w:t>
      </w:r>
    </w:p>
    <w:p>
      <w:pPr>
        <w:jc w:val="both"/>
      </w:pPr>
      <w:r>
        <w:t>在规划完成前收集经营指标候选需求、来源条件和现有报表口径；规划完成后组织业务部门正式确认指标定义、计算方法、维度和责任，形成正式指标体系。候选口径与正式口径设置不同状态，未批准指标不进入正式决策服务。人力资源等全部九个业务域持续纳入需求和规划，按建设依赖安排实施批次，保持全域覆盖。</w:t>
      </w:r>
    </w:p>
    <w:p>
      <w:pPr>
        <w:pStyle w:val="Heading1"/>
      </w:pPr>
      <w:r>
        <w:t>4 数据战略规划</w:t>
      </w:r>
    </w:p>
    <w:p>
      <w:pPr>
        <w:pStyle w:val="Heading2"/>
      </w:pPr>
      <w:r>
        <w:t>4.1 战略愿景与目标分解</w:t>
      </w:r>
    </w:p>
    <w:p>
      <w:pPr>
        <w:jc w:val="both"/>
      </w:pPr>
      <w:r>
        <w:t>我方将数据管理愿景落实为可持续供给、可核验质量、可追溯来源、可控制使用和可评价成效五项管理目标。围绕矿山装备制造全业务链，形成统一的数据责任体系、业务定义和共享基础，使数据能够支持专业生产、经营分析、高质量数据集建设及场景验证。各项目标明确对应业务问题、建设任务、责任部门和评价证据。</w:t>
      </w:r>
    </w:p>
    <w:p>
      <w:pPr>
        <w:jc w:val="both"/>
      </w:pPr>
      <w:r>
        <w:t>目标分解遵循企业级目标、业务域目标、专题任务和执行事项四个层次。企业级目标包括三级能力建设、全域治理、数据集供给与服务能力；业务域目标结合各域对象、质量问题和使用需求制定；专题任务包括主数据贯通、关键链路治理、元数据和资产目录建设、指标形成及共享服务；执行事项明确实际操作、交付物、时点和验收人。上级目标能够查询下级任务，下级任务能够说明其支撑的业务目标和招标要求。</w:t>
      </w:r>
    </w:p>
    <w:p>
      <w:pPr>
        <w:jc w:val="both"/>
      </w:pPr>
      <w:r>
        <w:t>目标设置同时记录现状基线、目标状态、度量方法和取数来源。尚未实测的现状不填写推测数值，先安排测量任务；能够立即明确的范围、成果和流程要求在规划中直接确定。质量、效率和使用成效的目标结合实测基线、业务需求及建设条件经评审固化，实施过程中不得为显示进展随意调整分母、范围或目标值。</w:t>
      </w:r>
    </w:p>
    <w:p>
      <w:pPr>
        <w:pStyle w:val="Heading2"/>
      </w:pPr>
      <w:r>
        <w:t>4.2 战略重点任务</w:t>
      </w:r>
    </w:p>
    <w:p>
      <w:pPr>
        <w:jc w:val="both"/>
      </w:pPr>
      <w:r>
        <w:t>第一类任务为责任和规则建设，完成组织职责、制度体系、议事机制、考核机制及培训安排。第二类任务为数据基础建设，完成全域资源盘点、关键数据元素、业务术语、主数据映射、分层模型和元数据。第三类任务为治理执行，落实数据汇聚、处理、标准、质量、安全、生存周期及服务流程，将规则配置到平台并形成运行证据。</w:t>
      </w:r>
    </w:p>
    <w:p>
      <w:pPr>
        <w:jc w:val="both"/>
      </w:pPr>
      <w:r>
        <w:t>第四类任务为数据集和应用供给，按照四大数据集及十一个场景需求安排来源治理、内容加工、专业标注、质量评测和问题反馈。第五类任务为资产与运营，建立来源和权属登记、资源目录、内部授权、价值评估和使用评价。第六类任务为能力持续提升，组织运行检查、内部核验、正式评估支撑、复评整改和岗位能力培养。</w:t>
      </w:r>
    </w:p>
    <w:p>
      <w:pPr>
        <w:jc w:val="both"/>
      </w:pPr>
      <w:r>
        <w:t>各任务明确前置依赖和并行条件。资源盘点、访谈和候选需求可并行开展；正式模型设计依赖已确认的对象粒度和核心口径；正式共享依赖权属、安全、质量及授权条件；正式经营指标体系在治理规划完成后形成；数据集发布依赖规模、来源、质量、隔离及安全检查。共性基础任务优先安排，领域任务分批实施，避免重复建立对象字典或重复开发取数链路。</w:t>
      </w:r>
    </w:p>
    <w:p>
      <w:pPr>
        <w:pStyle w:val="Caption"/>
        <w:keepNext/>
      </w:pPr>
      <w:r>
        <w:t>表4-1 战略重点任务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战略任务</w:t>
            </w:r>
          </w:p>
        </w:tc>
        <w:tc>
          <w:tcPr>
            <w:tcW w:type="dxa" w:w="3855"/>
            <w:vAlign w:val="center"/>
            <w:shd w:fill="EDF1F3"/>
          </w:tcPr>
          <w:p>
            <w:pPr>
              <w:keepNext/>
              <w:spacing w:line="320" w:lineRule="exact" w:after="0" w:before="0"/>
              <w:ind w:firstLine="0"/>
              <w:jc w:val="center"/>
            </w:pPr>
            <w:r>
              <w:rPr>
                <w:b/>
                <w:sz w:val="21"/>
              </w:rPr>
              <w:t>主要建设内容</w:t>
            </w:r>
          </w:p>
        </w:tc>
        <w:tc>
          <w:tcPr>
            <w:tcW w:type="dxa" w:w="3277"/>
            <w:vAlign w:val="center"/>
            <w:shd w:fill="EDF1F3"/>
          </w:tcPr>
          <w:p>
            <w:pPr>
              <w:keepNext/>
              <w:spacing w:line="320" w:lineRule="exact" w:after="0" w:before="0"/>
              <w:ind w:firstLine="0"/>
              <w:jc w:val="center"/>
            </w:pPr>
            <w:r>
              <w:rPr>
                <w:b/>
                <w:sz w:val="21"/>
              </w:rPr>
              <w:t>完成标志</w:t>
            </w:r>
          </w:p>
        </w:tc>
      </w:tr>
      <w:tr>
        <w:trPr>
          <w:cantSplit/>
        </w:trPr>
        <w:tc>
          <w:tcPr>
            <w:tcW w:type="dxa" w:w="2506"/>
            <w:vAlign w:val="center"/>
          </w:tcPr>
          <w:p>
            <w:pPr>
              <w:keepNext w:val="0"/>
              <w:spacing w:line="320" w:lineRule="exact" w:after="0" w:before="0"/>
              <w:ind w:firstLine="0"/>
              <w:jc w:val="left"/>
            </w:pPr>
            <w:r>
              <w:rPr>
                <w:b w:val="0"/>
                <w:sz w:val="21"/>
              </w:rPr>
              <w:t>责任制度建设</w:t>
            </w:r>
          </w:p>
        </w:tc>
        <w:tc>
          <w:tcPr>
            <w:tcW w:type="dxa" w:w="3855"/>
            <w:vAlign w:val="center"/>
          </w:tcPr>
          <w:p>
            <w:pPr>
              <w:keepNext w:val="0"/>
              <w:spacing w:line="320" w:lineRule="exact" w:after="0" w:before="0"/>
              <w:ind w:firstLine="0"/>
              <w:jc w:val="left"/>
            </w:pPr>
            <w:r>
              <w:rPr>
                <w:b w:val="0"/>
                <w:sz w:val="21"/>
              </w:rPr>
              <w:t>组织、职责、制度、协同、考核和培训</w:t>
            </w:r>
          </w:p>
        </w:tc>
        <w:tc>
          <w:tcPr>
            <w:tcW w:type="dxa" w:w="3277"/>
            <w:vAlign w:val="center"/>
          </w:tcPr>
          <w:p>
            <w:pPr>
              <w:keepNext w:val="0"/>
              <w:spacing w:line="320" w:lineRule="exact" w:after="0" w:before="0"/>
              <w:ind w:firstLine="0"/>
              <w:jc w:val="left"/>
            </w:pPr>
            <w:r>
              <w:rPr>
                <w:b w:val="0"/>
                <w:sz w:val="21"/>
              </w:rPr>
              <w:t>岗位确认、文件生效、流程运行</w:t>
            </w:r>
          </w:p>
        </w:tc>
      </w:tr>
      <w:tr>
        <w:trPr>
          <w:cantSplit/>
        </w:trPr>
        <w:tc>
          <w:tcPr>
            <w:tcW w:type="dxa" w:w="2506"/>
            <w:vAlign w:val="center"/>
          </w:tcPr>
          <w:p>
            <w:pPr>
              <w:keepNext w:val="0"/>
              <w:spacing w:line="320" w:lineRule="exact" w:after="0" w:before="0"/>
              <w:ind w:firstLine="0"/>
              <w:jc w:val="left"/>
            </w:pPr>
            <w:r>
              <w:rPr>
                <w:b w:val="0"/>
                <w:sz w:val="21"/>
              </w:rPr>
              <w:t>数据基础建设</w:t>
            </w:r>
          </w:p>
        </w:tc>
        <w:tc>
          <w:tcPr>
            <w:tcW w:type="dxa" w:w="3855"/>
            <w:vAlign w:val="center"/>
          </w:tcPr>
          <w:p>
            <w:pPr>
              <w:keepNext w:val="0"/>
              <w:spacing w:line="320" w:lineRule="exact" w:after="0" w:before="0"/>
              <w:ind w:firstLine="0"/>
              <w:jc w:val="left"/>
            </w:pPr>
            <w:r>
              <w:rPr>
                <w:b w:val="0"/>
                <w:sz w:val="21"/>
              </w:rPr>
              <w:t>盘点、术语、主数据、模型及元数据</w:t>
            </w:r>
          </w:p>
        </w:tc>
        <w:tc>
          <w:tcPr>
            <w:tcW w:type="dxa" w:w="3277"/>
            <w:vAlign w:val="center"/>
          </w:tcPr>
          <w:p>
            <w:pPr>
              <w:keepNext w:val="0"/>
              <w:spacing w:line="320" w:lineRule="exact" w:after="0" w:before="0"/>
              <w:ind w:firstLine="0"/>
              <w:jc w:val="left"/>
            </w:pPr>
            <w:r>
              <w:rPr>
                <w:b w:val="0"/>
                <w:sz w:val="21"/>
              </w:rPr>
              <w:t>对象可定位、口径可查、关系可核验</w:t>
            </w:r>
          </w:p>
        </w:tc>
      </w:tr>
      <w:tr>
        <w:trPr>
          <w:cantSplit/>
        </w:trPr>
        <w:tc>
          <w:tcPr>
            <w:tcW w:type="dxa" w:w="2506"/>
            <w:vAlign w:val="center"/>
          </w:tcPr>
          <w:p>
            <w:pPr>
              <w:keepNext w:val="0"/>
              <w:spacing w:line="320" w:lineRule="exact" w:after="0" w:before="0"/>
              <w:ind w:firstLine="0"/>
              <w:jc w:val="left"/>
            </w:pPr>
            <w:r>
              <w:rPr>
                <w:b w:val="0"/>
                <w:sz w:val="21"/>
              </w:rPr>
              <w:t>治理执行建设</w:t>
            </w:r>
          </w:p>
        </w:tc>
        <w:tc>
          <w:tcPr>
            <w:tcW w:type="dxa" w:w="3855"/>
            <w:vAlign w:val="center"/>
          </w:tcPr>
          <w:p>
            <w:pPr>
              <w:keepNext w:val="0"/>
              <w:spacing w:line="320" w:lineRule="exact" w:after="0" w:before="0"/>
              <w:ind w:firstLine="0"/>
              <w:jc w:val="left"/>
            </w:pPr>
            <w:r>
              <w:rPr>
                <w:b w:val="0"/>
                <w:sz w:val="21"/>
              </w:rPr>
              <w:t>汇聚、处理、标准、质量、安全和服务</w:t>
            </w:r>
          </w:p>
        </w:tc>
        <w:tc>
          <w:tcPr>
            <w:tcW w:type="dxa" w:w="3277"/>
            <w:vAlign w:val="center"/>
          </w:tcPr>
          <w:p>
            <w:pPr>
              <w:keepNext w:val="0"/>
              <w:spacing w:line="320" w:lineRule="exact" w:after="0" w:before="0"/>
              <w:ind w:firstLine="0"/>
              <w:jc w:val="left"/>
            </w:pPr>
            <w:r>
              <w:rPr>
                <w:b w:val="0"/>
                <w:sz w:val="21"/>
              </w:rPr>
              <w:t>规则配置有效、异常能够处理</w:t>
            </w:r>
          </w:p>
        </w:tc>
      </w:tr>
      <w:tr>
        <w:trPr>
          <w:cantSplit/>
        </w:trPr>
        <w:tc>
          <w:tcPr>
            <w:tcW w:type="dxa" w:w="2506"/>
            <w:vAlign w:val="center"/>
          </w:tcPr>
          <w:p>
            <w:pPr>
              <w:keepNext w:val="0"/>
              <w:spacing w:line="320" w:lineRule="exact" w:after="0" w:before="0"/>
              <w:ind w:firstLine="0"/>
              <w:jc w:val="left"/>
            </w:pPr>
            <w:r>
              <w:rPr>
                <w:b w:val="0"/>
                <w:sz w:val="21"/>
              </w:rPr>
              <w:t>数据供给建设</w:t>
            </w:r>
          </w:p>
        </w:tc>
        <w:tc>
          <w:tcPr>
            <w:tcW w:type="dxa" w:w="3855"/>
            <w:vAlign w:val="center"/>
          </w:tcPr>
          <w:p>
            <w:pPr>
              <w:keepNext w:val="0"/>
              <w:spacing w:line="320" w:lineRule="exact" w:after="0" w:before="0"/>
              <w:ind w:firstLine="0"/>
              <w:jc w:val="left"/>
            </w:pPr>
            <w:r>
              <w:rPr>
                <w:b w:val="0"/>
                <w:sz w:val="21"/>
              </w:rPr>
              <w:t>四领域四用途生产与十一场景需求</w:t>
            </w:r>
          </w:p>
        </w:tc>
        <w:tc>
          <w:tcPr>
            <w:tcW w:type="dxa" w:w="3277"/>
            <w:vAlign w:val="center"/>
          </w:tcPr>
          <w:p>
            <w:pPr>
              <w:keepNext w:val="0"/>
              <w:spacing w:line="320" w:lineRule="exact" w:after="0" w:before="0"/>
              <w:ind w:firstLine="0"/>
              <w:jc w:val="left"/>
            </w:pPr>
            <w:r>
              <w:rPr>
                <w:b w:val="0"/>
                <w:sz w:val="21"/>
              </w:rPr>
              <w:t>有效供给满足要求、验证结果可追溯</w:t>
            </w:r>
          </w:p>
        </w:tc>
      </w:tr>
      <w:tr>
        <w:trPr>
          <w:cantSplit/>
        </w:trPr>
        <w:tc>
          <w:tcPr>
            <w:tcW w:type="dxa" w:w="2506"/>
            <w:vAlign w:val="center"/>
          </w:tcPr>
          <w:p>
            <w:pPr>
              <w:keepNext w:val="0"/>
              <w:spacing w:line="320" w:lineRule="exact" w:after="0" w:before="0"/>
              <w:ind w:firstLine="0"/>
              <w:jc w:val="left"/>
            </w:pPr>
            <w:r>
              <w:rPr>
                <w:b w:val="0"/>
                <w:sz w:val="21"/>
              </w:rPr>
              <w:t>资产运营建设</w:t>
            </w:r>
          </w:p>
        </w:tc>
        <w:tc>
          <w:tcPr>
            <w:tcW w:type="dxa" w:w="3855"/>
            <w:vAlign w:val="center"/>
          </w:tcPr>
          <w:p>
            <w:pPr>
              <w:keepNext w:val="0"/>
              <w:spacing w:line="320" w:lineRule="exact" w:after="0" w:before="0"/>
              <w:ind w:firstLine="0"/>
              <w:jc w:val="left"/>
            </w:pPr>
            <w:r>
              <w:rPr>
                <w:b w:val="0"/>
                <w:sz w:val="21"/>
              </w:rPr>
              <w:t>来源权属、目录、价值、申请和使用</w:t>
            </w:r>
          </w:p>
        </w:tc>
        <w:tc>
          <w:tcPr>
            <w:tcW w:type="dxa" w:w="3277"/>
            <w:vAlign w:val="center"/>
          </w:tcPr>
          <w:p>
            <w:pPr>
              <w:keepNext w:val="0"/>
              <w:spacing w:line="320" w:lineRule="exact" w:after="0" w:before="0"/>
              <w:ind w:firstLine="0"/>
              <w:jc w:val="left"/>
            </w:pPr>
            <w:r>
              <w:rPr>
                <w:b w:val="0"/>
                <w:sz w:val="21"/>
              </w:rPr>
              <w:t>目录可用、授权准确、使用可审计</w:t>
            </w:r>
          </w:p>
        </w:tc>
      </w:tr>
      <w:tr>
        <w:trPr>
          <w:cantSplit/>
        </w:trPr>
        <w:tc>
          <w:tcPr>
            <w:tcW w:type="dxa" w:w="2506"/>
            <w:vAlign w:val="center"/>
          </w:tcPr>
          <w:p>
            <w:pPr>
              <w:keepNext w:val="0"/>
              <w:spacing w:line="320" w:lineRule="exact" w:after="0" w:before="0"/>
              <w:ind w:firstLine="0"/>
              <w:jc w:val="left"/>
            </w:pPr>
            <w:r>
              <w:rPr>
                <w:b w:val="0"/>
                <w:sz w:val="21"/>
              </w:rPr>
              <w:t>能力持续提升</w:t>
            </w:r>
          </w:p>
        </w:tc>
        <w:tc>
          <w:tcPr>
            <w:tcW w:type="dxa" w:w="3855"/>
            <w:vAlign w:val="center"/>
          </w:tcPr>
          <w:p>
            <w:pPr>
              <w:keepNext w:val="0"/>
              <w:spacing w:line="320" w:lineRule="exact" w:after="0" w:before="0"/>
              <w:ind w:firstLine="0"/>
              <w:jc w:val="left"/>
            </w:pPr>
            <w:r>
              <w:rPr>
                <w:b w:val="0"/>
                <w:sz w:val="21"/>
              </w:rPr>
              <w:t>内部核验、正式评估支撑和运行改进</w:t>
            </w:r>
          </w:p>
        </w:tc>
        <w:tc>
          <w:tcPr>
            <w:tcW w:type="dxa" w:w="3277"/>
            <w:vAlign w:val="center"/>
          </w:tcPr>
          <w:p>
            <w:pPr>
              <w:keepNext w:val="0"/>
              <w:spacing w:line="320" w:lineRule="exact" w:after="0" w:before="0"/>
              <w:ind w:firstLine="0"/>
              <w:jc w:val="left"/>
            </w:pPr>
            <w:r>
              <w:rPr>
                <w:b w:val="0"/>
                <w:sz w:val="21"/>
              </w:rPr>
              <w:t>真实证据完整、差距整改、岗位承接</w:t>
            </w:r>
          </w:p>
        </w:tc>
      </w:tr>
    </w:tbl>
    <w:p>
      <w:pPr>
        <w:spacing w:after="40" w:line="240" w:lineRule="auto"/>
        <w:ind w:firstLine="0"/>
      </w:pPr>
      <w:r>
        <w:rPr>
          <w:sz w:val="4"/>
        </w:rPr>
      </w:r>
    </w:p>
    <w:p>
      <w:pPr>
        <w:pStyle w:val="Heading2"/>
      </w:pPr>
      <w:r>
        <w:t>4.3 资源投入与责任安排</w:t>
      </w:r>
    </w:p>
    <w:p>
      <w:pPr>
        <w:jc w:val="both"/>
      </w:pPr>
      <w:r>
        <w:t>资源计划围绕任务负荷编制，分别核定业务专家、数据治理、数据架构、数据开发、质量安全、平台实施、资产运营和培训评估等岗位的投入。业务专家承担对象、规则和专业判断确认；治理岗位组织制度、协调与检查；架构和开发岗位完成模型、集成、元数据及作业；质量安全岗位承担检查与风险处置；运营岗位承担目录、授权和使用跟踪；培训评估岗位支撑能力转移及证据核验。</w:t>
      </w:r>
    </w:p>
    <w:p>
      <w:pPr>
        <w:jc w:val="both"/>
      </w:pPr>
      <w:r>
        <w:t>我方负责配置满足建设要求的实施人员和工具资源，甲方业务部门承担业务事实、规则和审批事项的确认职责。资源计划列明责任部门、岗位角色、工作量、投入阶段、关键时间窗和替补安排。对需要多部门共同参加的评审，提前明确议题、输入材料和决策事项；对连续生产环境下的取证和联调，采用预约窗口、离线验证与分批实施，减少对正常业务的影响。</w:t>
      </w:r>
    </w:p>
    <w:p>
      <w:pPr>
        <w:jc w:val="both"/>
      </w:pPr>
      <w:r>
        <w:t>计算、存储、网络及软件资源根据数据规模、模态、处理并发、保留策略和运行环境制定容量计划。原始区、加工区、发布区及备份所需容量分别测算，保留实际利用率和增长记录；试验任务与正式生产任务分配独立的权限和作业状态。数据集加工生产专项智能工具链按九类二十五项工具建设，数据集运营平台按十六个模块建设，使用节点数量和许可数量均不受限制，治理规划与其功能、资源和管理要求相互衔接。</w:t>
      </w:r>
    </w:p>
    <w:p>
      <w:pPr>
        <w:jc w:val="both"/>
      </w:pPr>
      <w:r>
        <w:t>资源发生冲突时，依据关键依赖、业务影响和里程碑组织调配。调整不得削减应交付范围，不得以资源不足绕过质量、安全和专业审核。新增工作由问题和变更流程核实原因、影响及落实安排；已安排的资源若未按计划到位，由任务负责人报告影响并制定可执行的补救措施。</w:t>
      </w:r>
    </w:p>
    <w:p>
      <w:pPr>
        <w:pStyle w:val="Heading2"/>
      </w:pPr>
      <w:r>
        <w:t>4.4 实施路线图与阶段任务</w:t>
      </w:r>
    </w:p>
    <w:p>
      <w:pPr>
        <w:jc w:val="both"/>
      </w:pPr>
      <w:r>
        <w:t>启动准备阶段完成项目组织、工作计划、范围清单、标准清单、授权安排和资料收集。现状评估阶段完成九域核查、九个业务域盘点、十七套系统调查、关键元素识别及场景需求评审。四域规划阶段形成数据战略、治理组织与制度、分层架构、资产管理和实施计划，组织跨域一致性审查并履行审批。</w:t>
      </w:r>
    </w:p>
    <w:p>
      <w:pPr>
        <w:jc w:val="both"/>
      </w:pPr>
      <w:r>
        <w:t>基础治理阶段优先落实共性对象、元数据、来源权属、关键接口和质量规则，建立可复用的模型与基础目录。规模实施阶段按业务域和场景需求分批扩大治理覆盖，推进数据集生产、指标开发和共享服务。运行评价阶段核验制度执行、平台运行、业务使用和数据质量，完成战略评估、整改及正式能力评估支撑。验收移交阶段汇总成果、配置、证据、培训及运维资料，完成责任交接。</w:t>
      </w:r>
    </w:p>
    <w:p>
      <w:pPr>
        <w:jc w:val="both"/>
      </w:pPr>
      <w:r>
        <w:t>各阶段实施计划列明开始和结束日期、责任部门、牵头岗位、配合岗位、前置事项、成果、检查方法及批准人。计划日期在启动时对齐项目总计划，形成至2028年5月的统一日历安排。关键节点采用里程碑审查，未满足条件的任务制定专项赶工或依赖消除措施，保留调整依据和影响分析。</w:t>
      </w:r>
    </w:p>
    <w:p>
      <w:pPr>
        <w:pStyle w:val="Caption"/>
        <w:keepNext/>
      </w:pPr>
      <w:r>
        <w:t>表4-2 实施路线图与阶段任务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阶段</w:t>
            </w:r>
          </w:p>
        </w:tc>
        <w:tc>
          <w:tcPr>
            <w:tcW w:type="dxa" w:w="2699"/>
            <w:vAlign w:val="center"/>
            <w:shd w:fill="EDF1F3"/>
          </w:tcPr>
          <w:p>
            <w:pPr>
              <w:keepNext/>
              <w:spacing w:line="320" w:lineRule="exact" w:after="0" w:before="0"/>
              <w:ind w:firstLine="0"/>
              <w:jc w:val="center"/>
            </w:pPr>
            <w:r>
              <w:rPr>
                <w:b/>
                <w:sz w:val="21"/>
              </w:rPr>
              <w:t>关键任务</w:t>
            </w:r>
          </w:p>
        </w:tc>
        <w:tc>
          <w:tcPr>
            <w:tcW w:type="dxa" w:w="2409"/>
            <w:vAlign w:val="center"/>
            <w:shd w:fill="EDF1F3"/>
          </w:tcPr>
          <w:p>
            <w:pPr>
              <w:keepNext/>
              <w:spacing w:line="320" w:lineRule="exact" w:after="0" w:before="0"/>
              <w:ind w:firstLine="0"/>
              <w:jc w:val="center"/>
            </w:pPr>
            <w:r>
              <w:rPr>
                <w:b/>
                <w:sz w:val="21"/>
              </w:rPr>
              <w:t>牵头与配合</w:t>
            </w:r>
          </w:p>
        </w:tc>
        <w:tc>
          <w:tcPr>
            <w:tcW w:type="dxa" w:w="2891"/>
            <w:vAlign w:val="center"/>
            <w:shd w:fill="EDF1F3"/>
          </w:tcPr>
          <w:p>
            <w:pPr>
              <w:keepNext/>
              <w:spacing w:line="320" w:lineRule="exact" w:after="0" w:before="0"/>
              <w:ind w:firstLine="0"/>
              <w:jc w:val="center"/>
            </w:pPr>
            <w:r>
              <w:rPr>
                <w:b/>
                <w:sz w:val="21"/>
              </w:rPr>
              <w:t>阶段检查</w:t>
            </w:r>
          </w:p>
        </w:tc>
      </w:tr>
      <w:tr>
        <w:trPr>
          <w:cantSplit/>
        </w:trPr>
        <w:tc>
          <w:tcPr>
            <w:tcW w:type="dxa" w:w="1638"/>
            <w:vAlign w:val="center"/>
          </w:tcPr>
          <w:p>
            <w:pPr>
              <w:keepNext w:val="0"/>
              <w:spacing w:line="320" w:lineRule="exact" w:after="0" w:before="0"/>
              <w:ind w:firstLine="0"/>
              <w:jc w:val="left"/>
            </w:pPr>
            <w:r>
              <w:rPr>
                <w:b w:val="0"/>
                <w:sz w:val="21"/>
              </w:rPr>
              <w:t>启动准备</w:t>
            </w:r>
          </w:p>
        </w:tc>
        <w:tc>
          <w:tcPr>
            <w:tcW w:type="dxa" w:w="2699"/>
            <w:vAlign w:val="center"/>
          </w:tcPr>
          <w:p>
            <w:pPr>
              <w:keepNext w:val="0"/>
              <w:spacing w:line="320" w:lineRule="exact" w:after="0" w:before="0"/>
              <w:ind w:firstLine="0"/>
              <w:jc w:val="left"/>
            </w:pPr>
            <w:r>
              <w:rPr>
                <w:b w:val="0"/>
                <w:sz w:val="21"/>
              </w:rPr>
              <w:t>组织、计划、授权、资料和标准</w:t>
            </w:r>
          </w:p>
        </w:tc>
        <w:tc>
          <w:tcPr>
            <w:tcW w:type="dxa" w:w="2409"/>
            <w:vAlign w:val="center"/>
          </w:tcPr>
          <w:p>
            <w:pPr>
              <w:keepNext w:val="0"/>
              <w:spacing w:line="320" w:lineRule="exact" w:after="0" w:before="0"/>
              <w:ind w:firstLine="0"/>
              <w:jc w:val="left"/>
            </w:pPr>
            <w:r>
              <w:rPr>
                <w:b w:val="0"/>
                <w:sz w:val="21"/>
              </w:rPr>
              <w:t>我方项目组牵头，甲方归口部门配合</w:t>
            </w:r>
          </w:p>
        </w:tc>
        <w:tc>
          <w:tcPr>
            <w:tcW w:type="dxa" w:w="2891"/>
            <w:vAlign w:val="center"/>
          </w:tcPr>
          <w:p>
            <w:pPr>
              <w:keepNext w:val="0"/>
              <w:spacing w:line="320" w:lineRule="exact" w:after="0" w:before="0"/>
              <w:ind w:firstLine="0"/>
              <w:jc w:val="left"/>
            </w:pPr>
            <w:r>
              <w:rPr>
                <w:b w:val="0"/>
                <w:sz w:val="21"/>
              </w:rPr>
              <w:t>范围清晰、职责落实、取证条件具备</w:t>
            </w:r>
          </w:p>
        </w:tc>
      </w:tr>
      <w:tr>
        <w:trPr>
          <w:cantSplit/>
        </w:trPr>
        <w:tc>
          <w:tcPr>
            <w:tcW w:type="dxa" w:w="1638"/>
            <w:vAlign w:val="center"/>
          </w:tcPr>
          <w:p>
            <w:pPr>
              <w:keepNext w:val="0"/>
              <w:spacing w:line="320" w:lineRule="exact" w:after="0" w:before="0"/>
              <w:ind w:firstLine="0"/>
              <w:jc w:val="left"/>
            </w:pPr>
            <w:r>
              <w:rPr>
                <w:b w:val="0"/>
                <w:sz w:val="21"/>
              </w:rPr>
              <w:t>现状评估</w:t>
            </w:r>
          </w:p>
        </w:tc>
        <w:tc>
          <w:tcPr>
            <w:tcW w:type="dxa" w:w="2699"/>
            <w:vAlign w:val="center"/>
          </w:tcPr>
          <w:p>
            <w:pPr>
              <w:keepNext w:val="0"/>
              <w:spacing w:line="320" w:lineRule="exact" w:after="0" w:before="0"/>
              <w:ind w:firstLine="0"/>
              <w:jc w:val="left"/>
            </w:pPr>
            <w:r>
              <w:rPr>
                <w:b w:val="0"/>
                <w:sz w:val="21"/>
              </w:rPr>
              <w:t>九域核查、全域盘点及场景需求</w:t>
            </w:r>
          </w:p>
        </w:tc>
        <w:tc>
          <w:tcPr>
            <w:tcW w:type="dxa" w:w="2409"/>
            <w:vAlign w:val="center"/>
          </w:tcPr>
          <w:p>
            <w:pPr>
              <w:keepNext w:val="0"/>
              <w:spacing w:line="320" w:lineRule="exact" w:after="0" w:before="0"/>
              <w:ind w:firstLine="0"/>
              <w:jc w:val="left"/>
            </w:pPr>
            <w:r>
              <w:rPr>
                <w:b w:val="0"/>
                <w:sz w:val="21"/>
              </w:rPr>
              <w:t>治理评估岗位牵头，各业务域配合</w:t>
            </w:r>
          </w:p>
        </w:tc>
        <w:tc>
          <w:tcPr>
            <w:tcW w:type="dxa" w:w="2891"/>
            <w:vAlign w:val="center"/>
          </w:tcPr>
          <w:p>
            <w:pPr>
              <w:keepNext w:val="0"/>
              <w:spacing w:line="320" w:lineRule="exact" w:after="0" w:before="0"/>
              <w:ind w:firstLine="0"/>
              <w:jc w:val="left"/>
            </w:pPr>
            <w:r>
              <w:rPr>
                <w:b w:val="0"/>
                <w:sz w:val="21"/>
              </w:rPr>
              <w:t>证据完整、差距明确、需求经确认</w:t>
            </w:r>
          </w:p>
        </w:tc>
      </w:tr>
      <w:tr>
        <w:trPr>
          <w:cantSplit/>
        </w:trPr>
        <w:tc>
          <w:tcPr>
            <w:tcW w:type="dxa" w:w="1638"/>
            <w:vAlign w:val="center"/>
          </w:tcPr>
          <w:p>
            <w:pPr>
              <w:keepNext w:val="0"/>
              <w:spacing w:line="320" w:lineRule="exact" w:after="0" w:before="0"/>
              <w:ind w:firstLine="0"/>
              <w:jc w:val="left"/>
            </w:pPr>
            <w:r>
              <w:rPr>
                <w:b w:val="0"/>
                <w:sz w:val="21"/>
              </w:rPr>
              <w:t>四域规划</w:t>
            </w:r>
          </w:p>
        </w:tc>
        <w:tc>
          <w:tcPr>
            <w:tcW w:type="dxa" w:w="2699"/>
            <w:vAlign w:val="center"/>
          </w:tcPr>
          <w:p>
            <w:pPr>
              <w:keepNext w:val="0"/>
              <w:spacing w:line="320" w:lineRule="exact" w:after="0" w:before="0"/>
              <w:ind w:firstLine="0"/>
              <w:jc w:val="left"/>
            </w:pPr>
            <w:r>
              <w:rPr>
                <w:b w:val="0"/>
                <w:sz w:val="21"/>
              </w:rPr>
              <w:t>战略、组织制度、架构和资产规则</w:t>
            </w:r>
          </w:p>
        </w:tc>
        <w:tc>
          <w:tcPr>
            <w:tcW w:type="dxa" w:w="2409"/>
            <w:vAlign w:val="center"/>
          </w:tcPr>
          <w:p>
            <w:pPr>
              <w:keepNext w:val="0"/>
              <w:spacing w:line="320" w:lineRule="exact" w:after="0" w:before="0"/>
              <w:ind w:firstLine="0"/>
              <w:jc w:val="left"/>
            </w:pPr>
            <w:r>
              <w:rPr>
                <w:b w:val="0"/>
                <w:sz w:val="21"/>
              </w:rPr>
              <w:t>各规划负责人牵头，业务与技术审核</w:t>
            </w:r>
          </w:p>
        </w:tc>
        <w:tc>
          <w:tcPr>
            <w:tcW w:type="dxa" w:w="2891"/>
            <w:vAlign w:val="center"/>
          </w:tcPr>
          <w:p>
            <w:pPr>
              <w:keepNext w:val="0"/>
              <w:spacing w:line="320" w:lineRule="exact" w:after="0" w:before="0"/>
              <w:ind w:firstLine="0"/>
              <w:jc w:val="left"/>
            </w:pPr>
            <w:r>
              <w:rPr>
                <w:b w:val="0"/>
                <w:sz w:val="21"/>
              </w:rPr>
              <w:t>十六项规划成果完整且一致</w:t>
            </w:r>
          </w:p>
        </w:tc>
      </w:tr>
      <w:tr>
        <w:trPr>
          <w:cantSplit/>
        </w:trPr>
        <w:tc>
          <w:tcPr>
            <w:tcW w:type="dxa" w:w="1638"/>
            <w:vAlign w:val="center"/>
          </w:tcPr>
          <w:p>
            <w:pPr>
              <w:keepNext w:val="0"/>
              <w:spacing w:line="320" w:lineRule="exact" w:after="0" w:before="0"/>
              <w:ind w:firstLine="0"/>
              <w:jc w:val="left"/>
            </w:pPr>
            <w:r>
              <w:rPr>
                <w:b w:val="0"/>
                <w:sz w:val="21"/>
              </w:rPr>
              <w:t>基础治理</w:t>
            </w:r>
          </w:p>
        </w:tc>
        <w:tc>
          <w:tcPr>
            <w:tcW w:type="dxa" w:w="2699"/>
            <w:vAlign w:val="center"/>
          </w:tcPr>
          <w:p>
            <w:pPr>
              <w:keepNext w:val="0"/>
              <w:spacing w:line="320" w:lineRule="exact" w:after="0" w:before="0"/>
              <w:ind w:firstLine="0"/>
              <w:jc w:val="left"/>
            </w:pPr>
            <w:r>
              <w:rPr>
                <w:b w:val="0"/>
                <w:sz w:val="21"/>
              </w:rPr>
              <w:t>关键对象、接口、元数据和质量</w:t>
            </w:r>
          </w:p>
        </w:tc>
        <w:tc>
          <w:tcPr>
            <w:tcW w:type="dxa" w:w="2409"/>
            <w:vAlign w:val="center"/>
          </w:tcPr>
          <w:p>
            <w:pPr>
              <w:keepNext w:val="0"/>
              <w:spacing w:line="320" w:lineRule="exact" w:after="0" w:before="0"/>
              <w:ind w:firstLine="0"/>
              <w:jc w:val="left"/>
            </w:pPr>
            <w:r>
              <w:rPr>
                <w:b w:val="0"/>
                <w:sz w:val="21"/>
              </w:rPr>
              <w:t>架构与实施岗位牵头，源端配合</w:t>
            </w:r>
          </w:p>
        </w:tc>
        <w:tc>
          <w:tcPr>
            <w:tcW w:type="dxa" w:w="2891"/>
            <w:vAlign w:val="center"/>
          </w:tcPr>
          <w:p>
            <w:pPr>
              <w:keepNext w:val="0"/>
              <w:spacing w:line="320" w:lineRule="exact" w:after="0" w:before="0"/>
              <w:ind w:firstLine="0"/>
              <w:jc w:val="left"/>
            </w:pPr>
            <w:r>
              <w:rPr>
                <w:b w:val="0"/>
                <w:sz w:val="21"/>
              </w:rPr>
              <w:t>规则运行、结果可核验、异常可处置</w:t>
            </w:r>
          </w:p>
        </w:tc>
      </w:tr>
      <w:tr>
        <w:trPr>
          <w:cantSplit/>
        </w:trPr>
        <w:tc>
          <w:tcPr>
            <w:tcW w:type="dxa" w:w="1638"/>
            <w:vAlign w:val="center"/>
          </w:tcPr>
          <w:p>
            <w:pPr>
              <w:keepNext w:val="0"/>
              <w:spacing w:line="320" w:lineRule="exact" w:after="0" w:before="0"/>
              <w:ind w:firstLine="0"/>
              <w:jc w:val="left"/>
            </w:pPr>
            <w:r>
              <w:rPr>
                <w:b w:val="0"/>
                <w:sz w:val="21"/>
              </w:rPr>
              <w:t>规模实施</w:t>
            </w:r>
          </w:p>
        </w:tc>
        <w:tc>
          <w:tcPr>
            <w:tcW w:type="dxa" w:w="2699"/>
            <w:vAlign w:val="center"/>
          </w:tcPr>
          <w:p>
            <w:pPr>
              <w:keepNext w:val="0"/>
              <w:spacing w:line="320" w:lineRule="exact" w:after="0" w:before="0"/>
              <w:ind w:firstLine="0"/>
              <w:jc w:val="left"/>
            </w:pPr>
            <w:r>
              <w:rPr>
                <w:b w:val="0"/>
                <w:sz w:val="21"/>
              </w:rPr>
              <w:t>全域治理、数据集供给和服务</w:t>
            </w:r>
          </w:p>
        </w:tc>
        <w:tc>
          <w:tcPr>
            <w:tcW w:type="dxa" w:w="2409"/>
            <w:vAlign w:val="center"/>
          </w:tcPr>
          <w:p>
            <w:pPr>
              <w:keepNext w:val="0"/>
              <w:spacing w:line="320" w:lineRule="exact" w:after="0" w:before="0"/>
              <w:ind w:firstLine="0"/>
              <w:jc w:val="left"/>
            </w:pPr>
            <w:r>
              <w:rPr>
                <w:b w:val="0"/>
                <w:sz w:val="21"/>
              </w:rPr>
              <w:t>实施与生产岗位牵头，业务确认</w:t>
            </w:r>
          </w:p>
        </w:tc>
        <w:tc>
          <w:tcPr>
            <w:tcW w:type="dxa" w:w="2891"/>
            <w:vAlign w:val="center"/>
          </w:tcPr>
          <w:p>
            <w:pPr>
              <w:keepNext w:val="0"/>
              <w:spacing w:line="320" w:lineRule="exact" w:after="0" w:before="0"/>
              <w:ind w:firstLine="0"/>
              <w:jc w:val="left"/>
            </w:pPr>
            <w:r>
              <w:rPr>
                <w:b w:val="0"/>
                <w:sz w:val="21"/>
              </w:rPr>
              <w:t>范围和指标满足、使用效果可追溯</w:t>
            </w:r>
          </w:p>
        </w:tc>
      </w:tr>
      <w:tr>
        <w:trPr>
          <w:cantSplit/>
        </w:trPr>
        <w:tc>
          <w:tcPr>
            <w:tcW w:type="dxa" w:w="1638"/>
            <w:vAlign w:val="center"/>
          </w:tcPr>
          <w:p>
            <w:pPr>
              <w:keepNext w:val="0"/>
              <w:spacing w:line="320" w:lineRule="exact" w:after="0" w:before="0"/>
              <w:ind w:firstLine="0"/>
              <w:jc w:val="left"/>
            </w:pPr>
            <w:r>
              <w:rPr>
                <w:b w:val="0"/>
                <w:sz w:val="21"/>
              </w:rPr>
              <w:t>运行验收</w:t>
            </w:r>
          </w:p>
        </w:tc>
        <w:tc>
          <w:tcPr>
            <w:tcW w:type="dxa" w:w="2699"/>
            <w:vAlign w:val="center"/>
          </w:tcPr>
          <w:p>
            <w:pPr>
              <w:keepNext w:val="0"/>
              <w:spacing w:line="320" w:lineRule="exact" w:after="0" w:before="0"/>
              <w:ind w:firstLine="0"/>
              <w:jc w:val="left"/>
            </w:pPr>
            <w:r>
              <w:rPr>
                <w:b w:val="0"/>
                <w:sz w:val="21"/>
              </w:rPr>
              <w:t>评估整改、能力核验、移交和培训</w:t>
            </w:r>
          </w:p>
        </w:tc>
        <w:tc>
          <w:tcPr>
            <w:tcW w:type="dxa" w:w="2409"/>
            <w:vAlign w:val="center"/>
          </w:tcPr>
          <w:p>
            <w:pPr>
              <w:keepNext w:val="0"/>
              <w:spacing w:line="320" w:lineRule="exact" w:after="0" w:before="0"/>
              <w:ind w:firstLine="0"/>
              <w:jc w:val="left"/>
            </w:pPr>
            <w:r>
              <w:rPr>
                <w:b w:val="0"/>
                <w:sz w:val="21"/>
              </w:rPr>
              <w:t>项目负责人统筹，甲方组织验收</w:t>
            </w:r>
          </w:p>
        </w:tc>
        <w:tc>
          <w:tcPr>
            <w:tcW w:type="dxa" w:w="2891"/>
            <w:vAlign w:val="center"/>
          </w:tcPr>
          <w:p>
            <w:pPr>
              <w:keepNext w:val="0"/>
              <w:spacing w:line="320" w:lineRule="exact" w:after="0" w:before="0"/>
              <w:ind w:firstLine="0"/>
              <w:jc w:val="left"/>
            </w:pPr>
            <w:r>
              <w:rPr>
                <w:b w:val="0"/>
                <w:sz w:val="21"/>
              </w:rPr>
              <w:t>成果齐备、问题处理、责任承接</w:t>
            </w:r>
          </w:p>
        </w:tc>
      </w:tr>
    </w:tbl>
    <w:p>
      <w:pPr>
        <w:spacing w:after="40" w:line="240" w:lineRule="auto"/>
        <w:ind w:firstLine="0"/>
      </w:pPr>
      <w:r>
        <w:rPr>
          <w:sz w:val="4"/>
        </w:rPr>
      </w:r>
    </w:p>
    <w:p>
      <w:pPr>
        <w:pStyle w:val="Heading2"/>
      </w:pPr>
      <w:r>
        <w:t>4.5 数据战略管理办法</w:t>
      </w:r>
    </w:p>
    <w:p>
      <w:pPr>
        <w:jc w:val="both"/>
      </w:pPr>
      <w:r>
        <w:t>数据战略管理办法明确战略制定、审议、分解、实施、评估、调整和监督的职责与流程。战略制定由治理管理层组织，汇集企业业务目标、现状诊断、场景需求和实施条件，形成目标、任务、资源与路线图。涉及多个业务域的目标在评审阶段统一口径，涉及资源投入和重大责任调整的事项提交决策层审议。</w:t>
      </w:r>
    </w:p>
    <w:p>
      <w:pPr>
        <w:jc w:val="both"/>
      </w:pPr>
      <w:r>
        <w:t>战略批准后，各任务形成责任书或任务记录，明确成果、时间、资源和验收条件。管理层维护战略任务台账，执行层报告进展、风险、问题及资源使用情况。任务状态依据实际产出和检查记录更新，不以会议召开、文件起草或系统安装单独替代建设目标完成。跨域共性任务设定统一牵头，配合部门对其承担的数据、规则和审核事项负责。</w:t>
      </w:r>
    </w:p>
    <w:p>
      <w:pPr>
        <w:jc w:val="both"/>
      </w:pPr>
      <w:r>
        <w:t>战略变更分为目标调整、任务调整、资源调整和实施顺序调整。变更申请说明触发原因、现状、备选措施、影响对象和建议安排。涉及招标承诺、总体范围、质量安全或关键里程碑的事项进行专项审查，确保持续满足项目要求。批准后同步更新战略规划、实施计划、考核口径和平台任务，保留变更前后版本。</w:t>
      </w:r>
    </w:p>
    <w:p>
      <w:pPr>
        <w:jc w:val="both"/>
      </w:pPr>
      <w:r>
        <w:t>监督检查核对任务依据、执行记录、成效数据和资源使用。对未按要求报告问题、未经批准改变口径、虚报完成状态等情况，按甲方管理制度处理并组织纠正。任务完成后，业务使用和运维责任继续保留，定期评价已建能力是否有效运行，防止项目交付后职责中断。</w:t>
      </w:r>
    </w:p>
    <w:p>
      <w:pPr>
        <w:pStyle w:val="Heading2"/>
      </w:pPr>
      <w:r>
        <w:t>4.6 战略实施计划与日常跟踪</w:t>
      </w:r>
    </w:p>
    <w:p>
      <w:pPr>
        <w:jc w:val="both"/>
      </w:pPr>
      <w:r>
        <w:t>数据战略实施计划按任务分解结构编制，每一任务至少关联一个战略目标、一个责任部门和一项可核验成果。工作包按业务对象或实施主题划分，包含输入、操作、输出、依赖、风险和检查方法。任务之间的关联覆盖数据、接口、规则、环境、人员和审批，不仅登记时间先后关系。</w:t>
      </w:r>
    </w:p>
    <w:p>
      <w:pPr>
        <w:jc w:val="both"/>
      </w:pPr>
      <w:r>
        <w:t>我方建立周度跟踪、阶段检查和重大事项专项处理机制。周度跟踪检查计划完成、实际完成、未完成原因、下周安排和新增风险；阶段检查核对里程碑成果和运行证据；重大事项根据影响立即组织责任岗位处置。进度偏差既检查单项任务，也分析其对下游数据集、场景验证和正式评估的影响，形成整体调整安排。</w:t>
      </w:r>
    </w:p>
    <w:p>
      <w:pPr>
        <w:jc w:val="both"/>
      </w:pPr>
      <w:r>
        <w:t>任务完成由执行岗位提交结果和自检记录，牵头岗位检查完整性，业务或管理责任人按验收条件确认。需要平台实现的任务提供实际配置和运行验证，需要制度执行的任务提供审批与实际执行记录，需要数据供给的任务提供实际净量和质量证据。未满足全部条件的任务保持未完成或整改状态，明确剩余工作。</w:t>
      </w:r>
    </w:p>
    <w:p>
      <w:pPr>
        <w:jc w:val="both"/>
      </w:pPr>
      <w:r>
        <w:t>跨域依赖采取共同确认机制。输出方明确提供内容、版本、质量和时间，输入方确认可接收条件并组织试用；双方发现不一致时先定位数据或口径差异，再调整任务，不以口头交接替代记录。任务交付后的后续使用问题与原任务关联，为战略评估和规划修订提供依据。</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4_战略管理.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图4-1 数据战略实施与持续迭代</w:t>
      </w:r>
    </w:p>
    <w:p>
      <w:pPr>
        <w:pStyle w:val="Heading2"/>
      </w:pPr>
      <w:r>
        <w:t>4.7 常态化战略评估</w:t>
      </w:r>
    </w:p>
    <w:p>
      <w:pPr>
        <w:jc w:val="both"/>
      </w:pPr>
      <w:r>
        <w:t>战略评估同时检查任务执行、管理能力、业务使用和资源效率。任务执行关注计划成果、里程碑和问题整改；管理能力关注职责、制度、流程及平台实际运行；业务使用关注数据供给、场景需求满足、指标服务和授权使用；资源效率关注重复作业、处理耗时、存储计算及人员投入。评估数据采用已批准的口径和来源，保留统计时间与取数记录。</w:t>
      </w:r>
    </w:p>
    <w:p>
      <w:pPr>
        <w:jc w:val="both"/>
      </w:pPr>
      <w:r>
        <w:t>常态化评估按照月度进展检查、阶段成果评价和年度综合评价组织，重大业务变化、重大数据事件或关键目标偏差发生时开展专项评价。月度检查用于及时发现阻塞事项，阶段评价用于确认能力是否达到预期，年度评价用于修订后续任务和资源安排。项目周期内的评估日历与总体里程碑合并管理，保证评价结果能够在后续建设中得到落实。</w:t>
      </w:r>
    </w:p>
    <w:p>
      <w:pPr>
        <w:pStyle w:val="Caption"/>
        <w:keepNext/>
      </w:pPr>
      <w:r>
        <w:t>表4-3 常态化战略评估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评估维度</w:t>
            </w:r>
          </w:p>
        </w:tc>
        <w:tc>
          <w:tcPr>
            <w:tcW w:type="dxa" w:w="3855"/>
            <w:vAlign w:val="center"/>
            <w:shd w:fill="EDF1F3"/>
          </w:tcPr>
          <w:p>
            <w:pPr>
              <w:keepNext/>
              <w:spacing w:line="320" w:lineRule="exact" w:after="0" w:before="0"/>
              <w:ind w:firstLine="0"/>
              <w:jc w:val="center"/>
            </w:pPr>
            <w:r>
              <w:rPr>
                <w:b/>
                <w:sz w:val="21"/>
              </w:rPr>
              <w:t>核查重点</w:t>
            </w:r>
          </w:p>
        </w:tc>
        <w:tc>
          <w:tcPr>
            <w:tcW w:type="dxa" w:w="3277"/>
            <w:vAlign w:val="center"/>
            <w:shd w:fill="EDF1F3"/>
          </w:tcPr>
          <w:p>
            <w:pPr>
              <w:keepNext/>
              <w:spacing w:line="320" w:lineRule="exact" w:after="0" w:before="0"/>
              <w:ind w:firstLine="0"/>
              <w:jc w:val="center"/>
            </w:pPr>
            <w:r>
              <w:rPr>
                <w:b/>
                <w:sz w:val="21"/>
              </w:rPr>
              <w:t>证据来源</w:t>
            </w:r>
          </w:p>
        </w:tc>
      </w:tr>
      <w:tr>
        <w:trPr>
          <w:cantSplit/>
        </w:trPr>
        <w:tc>
          <w:tcPr>
            <w:tcW w:type="dxa" w:w="2506"/>
            <w:vAlign w:val="center"/>
          </w:tcPr>
          <w:p>
            <w:pPr>
              <w:keepNext w:val="0"/>
              <w:spacing w:line="320" w:lineRule="exact" w:after="0" w:before="0"/>
              <w:ind w:firstLine="0"/>
              <w:jc w:val="left"/>
            </w:pPr>
            <w:r>
              <w:rPr>
                <w:b w:val="0"/>
                <w:sz w:val="21"/>
              </w:rPr>
              <w:t>目标任务</w:t>
            </w:r>
          </w:p>
        </w:tc>
        <w:tc>
          <w:tcPr>
            <w:tcW w:type="dxa" w:w="3855"/>
            <w:vAlign w:val="center"/>
          </w:tcPr>
          <w:p>
            <w:pPr>
              <w:keepNext w:val="0"/>
              <w:spacing w:line="320" w:lineRule="exact" w:after="0" w:before="0"/>
              <w:ind w:firstLine="0"/>
              <w:jc w:val="left"/>
            </w:pPr>
            <w:r>
              <w:rPr>
                <w:b w:val="0"/>
                <w:sz w:val="21"/>
              </w:rPr>
              <w:t>目标覆盖、任务完成及成果验收</w:t>
            </w:r>
          </w:p>
        </w:tc>
        <w:tc>
          <w:tcPr>
            <w:tcW w:type="dxa" w:w="3277"/>
            <w:vAlign w:val="center"/>
          </w:tcPr>
          <w:p>
            <w:pPr>
              <w:keepNext w:val="0"/>
              <w:spacing w:line="320" w:lineRule="exact" w:after="0" w:before="0"/>
              <w:ind w:firstLine="0"/>
              <w:jc w:val="left"/>
            </w:pPr>
            <w:r>
              <w:rPr>
                <w:b w:val="0"/>
                <w:sz w:val="21"/>
              </w:rPr>
              <w:t>战略台账、计划、成果和验收记录</w:t>
            </w:r>
          </w:p>
        </w:tc>
      </w:tr>
      <w:tr>
        <w:trPr>
          <w:cantSplit/>
        </w:trPr>
        <w:tc>
          <w:tcPr>
            <w:tcW w:type="dxa" w:w="2506"/>
            <w:vAlign w:val="center"/>
          </w:tcPr>
          <w:p>
            <w:pPr>
              <w:keepNext w:val="0"/>
              <w:spacing w:line="320" w:lineRule="exact" w:after="0" w:before="0"/>
              <w:ind w:firstLine="0"/>
              <w:jc w:val="left"/>
            </w:pPr>
            <w:r>
              <w:rPr>
                <w:b w:val="0"/>
                <w:sz w:val="21"/>
              </w:rPr>
              <w:t>管理执行</w:t>
            </w:r>
          </w:p>
        </w:tc>
        <w:tc>
          <w:tcPr>
            <w:tcW w:type="dxa" w:w="3855"/>
            <w:vAlign w:val="center"/>
          </w:tcPr>
          <w:p>
            <w:pPr>
              <w:keepNext w:val="0"/>
              <w:spacing w:line="320" w:lineRule="exact" w:after="0" w:before="0"/>
              <w:ind w:firstLine="0"/>
              <w:jc w:val="left"/>
            </w:pPr>
            <w:r>
              <w:rPr>
                <w:b w:val="0"/>
                <w:sz w:val="21"/>
              </w:rPr>
              <w:t>岗位履职、制度执行及问题处理</w:t>
            </w:r>
          </w:p>
        </w:tc>
        <w:tc>
          <w:tcPr>
            <w:tcW w:type="dxa" w:w="3277"/>
            <w:vAlign w:val="center"/>
          </w:tcPr>
          <w:p>
            <w:pPr>
              <w:keepNext w:val="0"/>
              <w:spacing w:line="320" w:lineRule="exact" w:after="0" w:before="0"/>
              <w:ind w:firstLine="0"/>
              <w:jc w:val="left"/>
            </w:pPr>
            <w:r>
              <w:rPr>
                <w:b w:val="0"/>
                <w:sz w:val="21"/>
              </w:rPr>
              <w:t>审批流水、会议决议、检查整改</w:t>
            </w:r>
          </w:p>
        </w:tc>
      </w:tr>
      <w:tr>
        <w:trPr>
          <w:cantSplit/>
        </w:trPr>
        <w:tc>
          <w:tcPr>
            <w:tcW w:type="dxa" w:w="2506"/>
            <w:vAlign w:val="center"/>
          </w:tcPr>
          <w:p>
            <w:pPr>
              <w:keepNext w:val="0"/>
              <w:spacing w:line="320" w:lineRule="exact" w:after="0" w:before="0"/>
              <w:ind w:firstLine="0"/>
              <w:jc w:val="left"/>
            </w:pPr>
            <w:r>
              <w:rPr>
                <w:b w:val="0"/>
                <w:sz w:val="21"/>
              </w:rPr>
              <w:t>数据供给</w:t>
            </w:r>
          </w:p>
        </w:tc>
        <w:tc>
          <w:tcPr>
            <w:tcW w:type="dxa" w:w="3855"/>
            <w:vAlign w:val="center"/>
          </w:tcPr>
          <w:p>
            <w:pPr>
              <w:keepNext w:val="0"/>
              <w:spacing w:line="320" w:lineRule="exact" w:after="0" w:before="0"/>
              <w:ind w:firstLine="0"/>
              <w:jc w:val="left"/>
            </w:pPr>
            <w:r>
              <w:rPr>
                <w:b w:val="0"/>
                <w:sz w:val="21"/>
              </w:rPr>
              <w:t>有效净量、质量、时效、模态和需求满足</w:t>
            </w:r>
          </w:p>
        </w:tc>
        <w:tc>
          <w:tcPr>
            <w:tcW w:type="dxa" w:w="3277"/>
            <w:vAlign w:val="center"/>
          </w:tcPr>
          <w:p>
            <w:pPr>
              <w:keepNext w:val="0"/>
              <w:spacing w:line="320" w:lineRule="exact" w:after="0" w:before="0"/>
              <w:ind w:firstLine="0"/>
              <w:jc w:val="left"/>
            </w:pPr>
            <w:r>
              <w:rPr>
                <w:b w:val="0"/>
                <w:sz w:val="21"/>
              </w:rPr>
              <w:t>生产台账、质检、数据卡及使用反馈</w:t>
            </w:r>
          </w:p>
        </w:tc>
      </w:tr>
      <w:tr>
        <w:trPr>
          <w:cantSplit/>
        </w:trPr>
        <w:tc>
          <w:tcPr>
            <w:tcW w:type="dxa" w:w="2506"/>
            <w:vAlign w:val="center"/>
          </w:tcPr>
          <w:p>
            <w:pPr>
              <w:keepNext w:val="0"/>
              <w:spacing w:line="320" w:lineRule="exact" w:after="0" w:before="0"/>
              <w:ind w:firstLine="0"/>
              <w:jc w:val="left"/>
            </w:pPr>
            <w:r>
              <w:rPr>
                <w:b w:val="0"/>
                <w:sz w:val="21"/>
              </w:rPr>
              <w:t>平台使用</w:t>
            </w:r>
          </w:p>
        </w:tc>
        <w:tc>
          <w:tcPr>
            <w:tcW w:type="dxa" w:w="3855"/>
            <w:vAlign w:val="center"/>
          </w:tcPr>
          <w:p>
            <w:pPr>
              <w:keepNext w:val="0"/>
              <w:spacing w:line="320" w:lineRule="exact" w:after="0" w:before="0"/>
              <w:ind w:firstLine="0"/>
              <w:jc w:val="left"/>
            </w:pPr>
            <w:r>
              <w:rPr>
                <w:b w:val="0"/>
                <w:sz w:val="21"/>
              </w:rPr>
              <w:t>配置有效、任务运行、服务使用和异常</w:t>
            </w:r>
          </w:p>
        </w:tc>
        <w:tc>
          <w:tcPr>
            <w:tcW w:type="dxa" w:w="3277"/>
            <w:vAlign w:val="center"/>
          </w:tcPr>
          <w:p>
            <w:pPr>
              <w:keepNext w:val="0"/>
              <w:spacing w:line="320" w:lineRule="exact" w:after="0" w:before="0"/>
              <w:ind w:firstLine="0"/>
              <w:jc w:val="left"/>
            </w:pPr>
            <w:r>
              <w:rPr>
                <w:b w:val="0"/>
                <w:sz w:val="21"/>
              </w:rPr>
              <w:t>平台日志、监控、工单和调用记录</w:t>
            </w:r>
          </w:p>
        </w:tc>
      </w:tr>
      <w:tr>
        <w:trPr>
          <w:cantSplit/>
        </w:trPr>
        <w:tc>
          <w:tcPr>
            <w:tcW w:type="dxa" w:w="2506"/>
            <w:vAlign w:val="center"/>
          </w:tcPr>
          <w:p>
            <w:pPr>
              <w:keepNext w:val="0"/>
              <w:spacing w:line="320" w:lineRule="exact" w:after="0" w:before="0"/>
              <w:ind w:firstLine="0"/>
              <w:jc w:val="left"/>
            </w:pPr>
            <w:r>
              <w:rPr>
                <w:b w:val="0"/>
                <w:sz w:val="21"/>
              </w:rPr>
              <w:t>资产运营</w:t>
            </w:r>
          </w:p>
        </w:tc>
        <w:tc>
          <w:tcPr>
            <w:tcW w:type="dxa" w:w="3855"/>
            <w:vAlign w:val="center"/>
          </w:tcPr>
          <w:p>
            <w:pPr>
              <w:keepNext w:val="0"/>
              <w:spacing w:line="320" w:lineRule="exact" w:after="0" w:before="0"/>
              <w:ind w:firstLine="0"/>
              <w:jc w:val="left"/>
            </w:pPr>
            <w:r>
              <w:rPr>
                <w:b w:val="0"/>
                <w:sz w:val="21"/>
              </w:rPr>
              <w:t>目录可用、授权准确、复用及价值变化</w:t>
            </w:r>
          </w:p>
        </w:tc>
        <w:tc>
          <w:tcPr>
            <w:tcW w:type="dxa" w:w="3277"/>
            <w:vAlign w:val="center"/>
          </w:tcPr>
          <w:p>
            <w:pPr>
              <w:keepNext w:val="0"/>
              <w:spacing w:line="320" w:lineRule="exact" w:after="0" w:before="0"/>
              <w:ind w:firstLine="0"/>
              <w:jc w:val="left"/>
            </w:pPr>
            <w:r>
              <w:rPr>
                <w:b w:val="0"/>
                <w:sz w:val="21"/>
              </w:rPr>
              <w:t>目录版本、授权、使用及评价记录</w:t>
            </w:r>
          </w:p>
        </w:tc>
      </w:tr>
      <w:tr>
        <w:trPr>
          <w:cantSplit/>
        </w:trPr>
        <w:tc>
          <w:tcPr>
            <w:tcW w:type="dxa" w:w="2506"/>
            <w:vAlign w:val="center"/>
          </w:tcPr>
          <w:p>
            <w:pPr>
              <w:keepNext w:val="0"/>
              <w:spacing w:line="320" w:lineRule="exact" w:after="0" w:before="0"/>
              <w:ind w:firstLine="0"/>
              <w:jc w:val="left"/>
            </w:pPr>
            <w:r>
              <w:rPr>
                <w:b w:val="0"/>
                <w:sz w:val="21"/>
              </w:rPr>
              <w:t>能力提升</w:t>
            </w:r>
          </w:p>
        </w:tc>
        <w:tc>
          <w:tcPr>
            <w:tcW w:type="dxa" w:w="3855"/>
            <w:vAlign w:val="center"/>
          </w:tcPr>
          <w:p>
            <w:pPr>
              <w:keepNext w:val="0"/>
              <w:spacing w:line="320" w:lineRule="exact" w:after="0" w:before="0"/>
              <w:ind w:firstLine="0"/>
              <w:jc w:val="left"/>
            </w:pPr>
            <w:r>
              <w:rPr>
                <w:b w:val="0"/>
                <w:sz w:val="21"/>
              </w:rPr>
              <w:t>培训实践、岗位承接和评估整改</w:t>
            </w:r>
          </w:p>
        </w:tc>
        <w:tc>
          <w:tcPr>
            <w:tcW w:type="dxa" w:w="3277"/>
            <w:vAlign w:val="center"/>
          </w:tcPr>
          <w:p>
            <w:pPr>
              <w:keepNext w:val="0"/>
              <w:spacing w:line="320" w:lineRule="exact" w:after="0" w:before="0"/>
              <w:ind w:firstLine="0"/>
              <w:jc w:val="left"/>
            </w:pPr>
            <w:r>
              <w:rPr>
                <w:b w:val="0"/>
                <w:sz w:val="21"/>
              </w:rPr>
              <w:t>课程考核、操作记录及复核结论</w:t>
            </w:r>
          </w:p>
        </w:tc>
      </w:tr>
    </w:tbl>
    <w:p>
      <w:pPr>
        <w:spacing w:after="40" w:line="240" w:lineRule="auto"/>
        <w:ind w:firstLine="0"/>
      </w:pPr>
      <w:r>
        <w:rPr>
          <w:sz w:val="4"/>
        </w:rPr>
      </w:r>
    </w:p>
    <w:p>
      <w:pPr>
        <w:jc w:val="both"/>
      </w:pPr>
      <w:r>
        <w:t>评估结论区分目标未达到、实施偏差、效果不佳和外部条件变化。目标未达到分析范围和投入，实施偏差分析责任、依赖和执行，效果不佳分析需求、口径及技术方法，外部条件变化核实影响并制定调整措施。不同原因对应不同处理方式，避免用增加会议或重复报表替代实际解决措施。</w:t>
      </w:r>
    </w:p>
    <w:p>
      <w:pPr>
        <w:pStyle w:val="Heading2"/>
      </w:pPr>
      <w:r>
        <w:t>4.8 战略评估报告与持续迭代</w:t>
      </w:r>
    </w:p>
    <w:p>
      <w:pPr>
        <w:jc w:val="both"/>
      </w:pPr>
      <w:r>
        <w:t>战略评估报告包含评价范围、评价时段、目标基线、任务执行、资源投入、使用成效、偏差分析、风险、整改及规划调整。每项结论提供事实、统计口径和证据，涉及对比时采用相同范围和时间条件。业务收益与技术指标分别呈现，已实现效果、预计效果和暂不可度量的影响分别记录，避免将预计收益写成实际成效。</w:t>
      </w:r>
    </w:p>
    <w:p>
      <w:pPr>
        <w:jc w:val="both"/>
      </w:pPr>
      <w:r>
        <w:t>评估报告由治理管理层组织评审，相关任务和业务责任人核对事实，决策层审议需调整的目标、资源和重大任务。我方根据批准结果形成整改和迭代清单，关联原目标及任务，明确负责人、完成时点和复核方法。下一周期评估先检查上期措施的实际落实情况，再评价本期进展。</w:t>
      </w:r>
    </w:p>
    <w:p>
      <w:pPr>
        <w:jc w:val="both"/>
      </w:pPr>
      <w:r>
        <w:t>战略迭代保持版本连续。新目标不覆盖历史目标和评价结果，原任务的完成状态、调整原因及资源变化均可查询。对长期未解决的问题组织专项复盘，检查是否存在业务规则不明确、责任边界冲突或技术路径不适合的情况，调整后通过实际使用验证效果。数据战略管理办法、数据战略规划、数据战略实施计划和战略评估报告共同构成持续运行的战略管理体系。</w:t>
      </w:r>
    </w:p>
    <w:p>
      <w:pPr>
        <w:pStyle w:val="Heading1"/>
      </w:pPr>
      <w:r>
        <w:t>5 数据治理组织与制度建设</w:t>
      </w:r>
    </w:p>
    <w:p>
      <w:pPr>
        <w:pStyle w:val="Heading2"/>
      </w:pPr>
      <w:r>
        <w:t>5.1 三层治理组织</w:t>
      </w:r>
    </w:p>
    <w:p>
      <w:pPr>
        <w:jc w:val="both"/>
      </w:pPr>
      <w:r>
        <w:t>我方设计决策层、管理层、执行层组成的数据治理组织。决策层承担战略方向、重大规则、资源投入和跨部门争议裁决；管理层承担规划统筹、制度管理、任务协调、运行监督和考核组织；执行层承担业务定义、数据维护、规则实施、质量整改、权限执行和日常服务。各层级采用岗位角色定义，结合甲方现有组织落实到具体部门和任职人员，保持与现行管理体系衔接。</w:t>
      </w:r>
    </w:p>
    <w:p>
      <w:pPr>
        <w:jc w:val="both"/>
      </w:pPr>
      <w:r>
        <w:t>决策层由甲方按管理要求确定，审议数据战略、顶层治理制度、重大架构和资产事项，处理管理层无法解决的职责冲突及资源问题。管理层设置治理统筹职责，组织业务、信息化、质量、安全、财务和相关职能共同开展工作，维护制度、计划、问题和成果台账。执行层在九个业务域设置业务责任和数据管理职责，由源系统、平台、数据开发、质量检查和运营岗位承担具体执行。</w:t>
      </w:r>
    </w:p>
    <w:p>
      <w:pPr>
        <w:jc w:val="both"/>
      </w:pPr>
      <w:r>
        <w:t>我方项目团队在建设期承担调研、规划编制、平台实现、规则验证、培训及移交，配合甲方开展职责落实、制度评审和能力评估。涉及甲方业务判断、制度发布、权限批准及资产使用的事项，由甲方相应授权岗位履行审批职责。我方以批准的规则和授权实施技术工作，保存执行记录并接受检查。</w:t>
      </w:r>
    </w:p>
    <w:p>
      <w:pPr>
        <w:jc w:val="both"/>
      </w:pPr>
      <w:r>
        <w:t>治理组织记录部门、岗位、责任范围、决策权限、汇报关系、替补岗位、联系方式及任职有效期。组织调整或人员变更时同步更新任务分配、平台角色、审批路线和通知范围，未完成事项由原岗位与接任岗位办理交接。人员离岗同时处理其权限、任务、审批待办和受控资料，确保责任连续。</w:t>
      </w:r>
    </w:p>
    <w:p>
      <w:pPr>
        <w:pStyle w:val="Caption"/>
        <w:keepNext/>
      </w:pPr>
      <w:r>
        <w:t>表5-1 三层治理组织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层级</w:t>
            </w:r>
          </w:p>
        </w:tc>
        <w:tc>
          <w:tcPr>
            <w:tcW w:type="dxa" w:w="3855"/>
            <w:vAlign w:val="center"/>
            <w:shd w:fill="EDF1F3"/>
          </w:tcPr>
          <w:p>
            <w:pPr>
              <w:keepNext/>
              <w:spacing w:line="320" w:lineRule="exact" w:after="0" w:before="0"/>
              <w:ind w:firstLine="0"/>
              <w:jc w:val="center"/>
            </w:pPr>
            <w:r>
              <w:rPr>
                <w:b/>
                <w:sz w:val="21"/>
              </w:rPr>
              <w:t>主要职责</w:t>
            </w:r>
          </w:p>
        </w:tc>
        <w:tc>
          <w:tcPr>
            <w:tcW w:type="dxa" w:w="3277"/>
            <w:vAlign w:val="center"/>
            <w:shd w:fill="EDF1F3"/>
          </w:tcPr>
          <w:p>
            <w:pPr>
              <w:keepNext/>
              <w:spacing w:line="320" w:lineRule="exact" w:after="0" w:before="0"/>
              <w:ind w:firstLine="0"/>
              <w:jc w:val="center"/>
            </w:pPr>
            <w:r>
              <w:rPr>
                <w:b/>
                <w:sz w:val="21"/>
              </w:rPr>
              <w:t>决策和执行边界</w:t>
            </w:r>
          </w:p>
        </w:tc>
      </w:tr>
      <w:tr>
        <w:trPr>
          <w:cantSplit/>
        </w:trPr>
        <w:tc>
          <w:tcPr>
            <w:tcW w:type="dxa" w:w="2506"/>
            <w:vAlign w:val="center"/>
          </w:tcPr>
          <w:p>
            <w:pPr>
              <w:keepNext w:val="0"/>
              <w:spacing w:line="320" w:lineRule="exact" w:after="0" w:before="0"/>
              <w:ind w:firstLine="0"/>
              <w:jc w:val="left"/>
            </w:pPr>
            <w:r>
              <w:rPr>
                <w:b w:val="0"/>
                <w:sz w:val="21"/>
              </w:rPr>
              <w:t>决策层</w:t>
            </w:r>
          </w:p>
        </w:tc>
        <w:tc>
          <w:tcPr>
            <w:tcW w:type="dxa" w:w="3855"/>
            <w:vAlign w:val="center"/>
          </w:tcPr>
          <w:p>
            <w:pPr>
              <w:keepNext w:val="0"/>
              <w:spacing w:line="320" w:lineRule="exact" w:after="0" w:before="0"/>
              <w:ind w:firstLine="0"/>
              <w:jc w:val="left"/>
            </w:pPr>
            <w:r>
              <w:rPr>
                <w:b w:val="0"/>
                <w:sz w:val="21"/>
              </w:rPr>
              <w:t>战略、重大制度、资源、跨域争议和重大风险</w:t>
            </w:r>
          </w:p>
        </w:tc>
        <w:tc>
          <w:tcPr>
            <w:tcW w:type="dxa" w:w="3277"/>
            <w:vAlign w:val="center"/>
          </w:tcPr>
          <w:p>
            <w:pPr>
              <w:keepNext w:val="0"/>
              <w:spacing w:line="320" w:lineRule="exact" w:after="0" w:before="0"/>
              <w:ind w:firstLine="0"/>
              <w:jc w:val="left"/>
            </w:pPr>
            <w:r>
              <w:rPr>
                <w:b w:val="0"/>
                <w:sz w:val="21"/>
              </w:rPr>
              <w:t>批准重大事项，明确责任和执行要求</w:t>
            </w:r>
          </w:p>
        </w:tc>
      </w:tr>
      <w:tr>
        <w:trPr>
          <w:cantSplit/>
        </w:trPr>
        <w:tc>
          <w:tcPr>
            <w:tcW w:type="dxa" w:w="2506"/>
            <w:vAlign w:val="center"/>
          </w:tcPr>
          <w:p>
            <w:pPr>
              <w:keepNext w:val="0"/>
              <w:spacing w:line="320" w:lineRule="exact" w:after="0" w:before="0"/>
              <w:ind w:firstLine="0"/>
              <w:jc w:val="left"/>
            </w:pPr>
            <w:r>
              <w:rPr>
                <w:b w:val="0"/>
                <w:sz w:val="21"/>
              </w:rPr>
              <w:t>管理层</w:t>
            </w:r>
          </w:p>
        </w:tc>
        <w:tc>
          <w:tcPr>
            <w:tcW w:type="dxa" w:w="3855"/>
            <w:vAlign w:val="center"/>
          </w:tcPr>
          <w:p>
            <w:pPr>
              <w:keepNext w:val="0"/>
              <w:spacing w:line="320" w:lineRule="exact" w:after="0" w:before="0"/>
              <w:ind w:firstLine="0"/>
              <w:jc w:val="left"/>
            </w:pPr>
            <w:r>
              <w:rPr>
                <w:b w:val="0"/>
                <w:sz w:val="21"/>
              </w:rPr>
              <w:t>规划、制度、协调、监督、考核与评估</w:t>
            </w:r>
          </w:p>
        </w:tc>
        <w:tc>
          <w:tcPr>
            <w:tcW w:type="dxa" w:w="3277"/>
            <w:vAlign w:val="center"/>
          </w:tcPr>
          <w:p>
            <w:pPr>
              <w:keepNext w:val="0"/>
              <w:spacing w:line="320" w:lineRule="exact" w:after="0" w:before="0"/>
              <w:ind w:firstLine="0"/>
              <w:jc w:val="left"/>
            </w:pPr>
            <w:r>
              <w:rPr>
                <w:b w:val="0"/>
                <w:sz w:val="21"/>
              </w:rPr>
              <w:t>组织实施，处理授权范围内的跨域事项</w:t>
            </w:r>
          </w:p>
        </w:tc>
      </w:tr>
      <w:tr>
        <w:trPr>
          <w:cantSplit/>
        </w:trPr>
        <w:tc>
          <w:tcPr>
            <w:tcW w:type="dxa" w:w="2506"/>
            <w:vAlign w:val="center"/>
          </w:tcPr>
          <w:p>
            <w:pPr>
              <w:keepNext w:val="0"/>
              <w:spacing w:line="320" w:lineRule="exact" w:after="0" w:before="0"/>
              <w:ind w:firstLine="0"/>
              <w:jc w:val="left"/>
            </w:pPr>
            <w:r>
              <w:rPr>
                <w:b w:val="0"/>
                <w:sz w:val="21"/>
              </w:rPr>
              <w:t>执行层</w:t>
            </w:r>
          </w:p>
        </w:tc>
        <w:tc>
          <w:tcPr>
            <w:tcW w:type="dxa" w:w="3855"/>
            <w:vAlign w:val="center"/>
          </w:tcPr>
          <w:p>
            <w:pPr>
              <w:keepNext w:val="0"/>
              <w:spacing w:line="320" w:lineRule="exact" w:after="0" w:before="0"/>
              <w:ind w:firstLine="0"/>
              <w:jc w:val="left"/>
            </w:pPr>
            <w:r>
              <w:rPr>
                <w:b w:val="0"/>
                <w:sz w:val="21"/>
              </w:rPr>
              <w:t>定义、维护、开发、检查、整改和服务</w:t>
            </w:r>
          </w:p>
        </w:tc>
        <w:tc>
          <w:tcPr>
            <w:tcW w:type="dxa" w:w="3277"/>
            <w:vAlign w:val="center"/>
          </w:tcPr>
          <w:p>
            <w:pPr>
              <w:keepNext w:val="0"/>
              <w:spacing w:line="320" w:lineRule="exact" w:after="0" w:before="0"/>
              <w:ind w:firstLine="0"/>
              <w:jc w:val="left"/>
            </w:pPr>
            <w:r>
              <w:rPr>
                <w:b w:val="0"/>
                <w:sz w:val="21"/>
              </w:rPr>
              <w:t>按制度和授权操作，提交真实结果</w:t>
            </w:r>
          </w:p>
        </w:tc>
      </w:tr>
      <w:tr>
        <w:trPr>
          <w:cantSplit/>
        </w:trPr>
        <w:tc>
          <w:tcPr>
            <w:tcW w:type="dxa" w:w="2506"/>
            <w:vAlign w:val="center"/>
          </w:tcPr>
          <w:p>
            <w:pPr>
              <w:keepNext w:val="0"/>
              <w:spacing w:line="320" w:lineRule="exact" w:after="0" w:before="0"/>
              <w:ind w:firstLine="0"/>
              <w:jc w:val="left"/>
            </w:pPr>
            <w:r>
              <w:rPr>
                <w:b w:val="0"/>
                <w:sz w:val="21"/>
              </w:rPr>
              <w:t>我方项目团队</w:t>
            </w:r>
          </w:p>
        </w:tc>
        <w:tc>
          <w:tcPr>
            <w:tcW w:type="dxa" w:w="3855"/>
            <w:vAlign w:val="center"/>
          </w:tcPr>
          <w:p>
            <w:pPr>
              <w:keepNext w:val="0"/>
              <w:spacing w:line="320" w:lineRule="exact" w:after="0" w:before="0"/>
              <w:ind w:firstLine="0"/>
              <w:jc w:val="left"/>
            </w:pPr>
            <w:r>
              <w:rPr>
                <w:b w:val="0"/>
                <w:sz w:val="21"/>
              </w:rPr>
              <w:t>评估、设计、实施、验证、培训和移交</w:t>
            </w:r>
          </w:p>
        </w:tc>
        <w:tc>
          <w:tcPr>
            <w:tcW w:type="dxa" w:w="3277"/>
            <w:vAlign w:val="center"/>
          </w:tcPr>
          <w:p>
            <w:pPr>
              <w:keepNext w:val="0"/>
              <w:spacing w:line="320" w:lineRule="exact" w:after="0" w:before="0"/>
              <w:ind w:firstLine="0"/>
              <w:jc w:val="left"/>
            </w:pPr>
            <w:r>
              <w:rPr>
                <w:b w:val="0"/>
                <w:sz w:val="21"/>
              </w:rPr>
              <w:t>落实建设责任，配合业务和管理审批</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5" name="Picture 5"/>
            <wp:cNvGraphicFramePr>
              <a:graphicFrameLocks noChangeAspect="1"/>
            </wp:cNvGraphicFramePr>
            <a:graphic>
              <a:graphicData uri="http://schemas.openxmlformats.org/drawingml/2006/picture">
                <pic:pic>
                  <pic:nvPicPr>
                    <pic:cNvPr id="0" name="图5_三层组织.png"/>
                    <pic:cNvPicPr/>
                  </pic:nvPicPr>
                  <pic:blipFill>
                    <a:blip r:embed="rId15"/>
                    <a:stretch>
                      <a:fillRect/>
                    </a:stretch>
                  </pic:blipFill>
                  <pic:spPr>
                    <a:xfrm>
                      <a:off x="0" y="0"/>
                      <a:ext cx="6048000" cy="2477354"/>
                    </a:xfrm>
                    <a:prstGeom prst="rect"/>
                  </pic:spPr>
                </pic:pic>
              </a:graphicData>
            </a:graphic>
          </wp:inline>
        </w:drawing>
      </w:r>
    </w:p>
    <w:p>
      <w:pPr>
        <w:pStyle w:val="Caption"/>
        <w:jc w:val="center"/>
      </w:pPr>
      <w:r>
        <w:t>图5-1 三层治理组织与职责关系</w:t>
      </w:r>
    </w:p>
    <w:p>
      <w:pPr>
        <w:pStyle w:val="Heading2"/>
      </w:pPr>
      <w:r>
        <w:t>5.2 关键岗位与职责边界</w:t>
      </w:r>
    </w:p>
    <w:p>
      <w:pPr>
        <w:jc w:val="both"/>
      </w:pPr>
      <w:r>
        <w:t>业务数据责任岗位对本域数据的业务定义、使用条件、质量要求及重大变更负责，组织确认权威来源和业务口径。业务数据管理岗位承担目录维护、需求受理、问题跟踪、标准落标和日常协调，能够将业务要求转化为可执行规则。业务专业审核岗位核对工艺、质量、设备及经营等专业判断，不以技术规则检查替代专业确认。</w:t>
      </w:r>
    </w:p>
    <w:p>
      <w:pPr>
        <w:jc w:val="both"/>
      </w:pPr>
      <w:r>
        <w:t>系统责任岗位对源系统结构、接口、运行和变更通知负责，提供经授权的数据及技术资料。数据架构岗位对模型分层、对象粒度、主数据关联、接口标准和技术一致性负责。数据开发岗位根据批准的规则实现采集、转换、计算和服务，记录输入输出及版本。质量岗位执行独立检查和复核，安全岗位审核分类分级、授权及保护要求，资产运营岗位维护目录、使用流程和价值评价。</w:t>
      </w:r>
    </w:p>
    <w:p>
      <w:pPr>
        <w:jc w:val="both"/>
      </w:pPr>
      <w:r>
        <w:t>制度归口岗位负责文件编号、版本、审批发布、废止和宣贯，培训岗位组织课程、实践与考核，评估岗位维护核查要求和证据。跨域事项明确一个牵头岗位和必要配合岗位，责任分工记录谁提出、谁确认、谁执行、谁复核、谁批准和谁接收结果，避免所有部门共同负责但无人推进。</w:t>
      </w:r>
    </w:p>
    <w:p>
      <w:pPr>
        <w:jc w:val="both"/>
      </w:pPr>
      <w:r>
        <w:t>关键控制落实职责分离。数据使用申请人与批准人分离，规则开发与正式发布复核分离，高风险问题修复与关闭复核分离，资产价值评估的编制与审议分离。受人员条件限制需兼任时，由甲方批准相应补偿检查措施，保留独立复核或更高层级审批记录。</w:t>
      </w:r>
    </w:p>
    <w:p>
      <w:pPr>
        <w:pStyle w:val="Heading2"/>
      </w:pPr>
      <w:r>
        <w:t>5.3 事项责任矩阵</w:t>
      </w:r>
    </w:p>
    <w:p>
      <w:pPr>
        <w:jc w:val="both"/>
      </w:pPr>
      <w:r>
        <w:t>我方将常见治理事项形成责任矩阵，作为组织架构和实施细则的组成部分。每个事项定义业务归口、管理牵头、技术执行和审核批准，平台审批路线与矩阵一致。事项进入流程时，根据业务域、资产级别、影响范围和变更类型匹配责任岗位；无法匹配时进入治理统筹受理队列，由管理层明确责任后继续处理。</w:t>
      </w:r>
    </w:p>
    <w:p>
      <w:pPr>
        <w:pStyle w:val="Caption"/>
        <w:keepNext/>
      </w:pPr>
      <w:r>
        <w:t>表5-2 事项责任矩阵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治理事项</w:t>
            </w:r>
          </w:p>
        </w:tc>
        <w:tc>
          <w:tcPr>
            <w:tcW w:type="dxa" w:w="2699"/>
            <w:vAlign w:val="center"/>
            <w:shd w:fill="EDF1F3"/>
          </w:tcPr>
          <w:p>
            <w:pPr>
              <w:keepNext/>
              <w:spacing w:line="320" w:lineRule="exact" w:after="0" w:before="0"/>
              <w:ind w:firstLine="0"/>
              <w:jc w:val="center"/>
            </w:pPr>
            <w:r>
              <w:rPr>
                <w:b/>
                <w:sz w:val="21"/>
              </w:rPr>
              <w:t>业务责任</w:t>
            </w:r>
          </w:p>
        </w:tc>
        <w:tc>
          <w:tcPr>
            <w:tcW w:type="dxa" w:w="2409"/>
            <w:vAlign w:val="center"/>
            <w:shd w:fill="EDF1F3"/>
          </w:tcPr>
          <w:p>
            <w:pPr>
              <w:keepNext/>
              <w:spacing w:line="320" w:lineRule="exact" w:after="0" w:before="0"/>
              <w:ind w:firstLine="0"/>
              <w:jc w:val="center"/>
            </w:pPr>
            <w:r>
              <w:rPr>
                <w:b/>
                <w:sz w:val="21"/>
              </w:rPr>
              <w:t>管理与技术责任</w:t>
            </w:r>
          </w:p>
        </w:tc>
        <w:tc>
          <w:tcPr>
            <w:tcW w:type="dxa" w:w="2891"/>
            <w:vAlign w:val="center"/>
            <w:shd w:fill="EDF1F3"/>
          </w:tcPr>
          <w:p>
            <w:pPr>
              <w:keepNext/>
              <w:spacing w:line="320" w:lineRule="exact" w:after="0" w:before="0"/>
              <w:ind w:firstLine="0"/>
              <w:jc w:val="center"/>
            </w:pPr>
            <w:r>
              <w:rPr>
                <w:b/>
                <w:sz w:val="21"/>
              </w:rPr>
              <w:t>审核批准</w:t>
            </w:r>
          </w:p>
        </w:tc>
      </w:tr>
      <w:tr>
        <w:trPr>
          <w:cantSplit/>
        </w:trPr>
        <w:tc>
          <w:tcPr>
            <w:tcW w:type="dxa" w:w="1638"/>
            <w:vAlign w:val="center"/>
          </w:tcPr>
          <w:p>
            <w:pPr>
              <w:keepNext w:val="0"/>
              <w:spacing w:line="320" w:lineRule="exact" w:after="0" w:before="0"/>
              <w:ind w:firstLine="0"/>
              <w:jc w:val="left"/>
            </w:pPr>
            <w:r>
              <w:rPr>
                <w:b w:val="0"/>
                <w:sz w:val="21"/>
              </w:rPr>
              <w:t>业务术语与数据元</w:t>
            </w:r>
          </w:p>
        </w:tc>
        <w:tc>
          <w:tcPr>
            <w:tcW w:type="dxa" w:w="2699"/>
            <w:vAlign w:val="center"/>
          </w:tcPr>
          <w:p>
            <w:pPr>
              <w:keepNext w:val="0"/>
              <w:spacing w:line="320" w:lineRule="exact" w:after="0" w:before="0"/>
              <w:ind w:firstLine="0"/>
              <w:jc w:val="left"/>
            </w:pPr>
            <w:r>
              <w:rPr>
                <w:b w:val="0"/>
                <w:sz w:val="21"/>
              </w:rPr>
              <w:t>归口部门确认定义和值域</w:t>
            </w:r>
          </w:p>
        </w:tc>
        <w:tc>
          <w:tcPr>
            <w:tcW w:type="dxa" w:w="2409"/>
            <w:vAlign w:val="center"/>
          </w:tcPr>
          <w:p>
            <w:pPr>
              <w:keepNext w:val="0"/>
              <w:spacing w:line="320" w:lineRule="exact" w:after="0" w:before="0"/>
              <w:ind w:firstLine="0"/>
              <w:jc w:val="left"/>
            </w:pPr>
            <w:r>
              <w:rPr>
                <w:b w:val="0"/>
                <w:sz w:val="21"/>
              </w:rPr>
              <w:t>标准管理维护，技术岗位落实</w:t>
            </w:r>
          </w:p>
        </w:tc>
        <w:tc>
          <w:tcPr>
            <w:tcW w:type="dxa" w:w="2891"/>
            <w:vAlign w:val="center"/>
          </w:tcPr>
          <w:p>
            <w:pPr>
              <w:keepNext w:val="0"/>
              <w:spacing w:line="320" w:lineRule="exact" w:after="0" w:before="0"/>
              <w:ind w:firstLine="0"/>
              <w:jc w:val="left"/>
            </w:pPr>
            <w:r>
              <w:rPr>
                <w:b w:val="0"/>
                <w:sz w:val="21"/>
              </w:rPr>
              <w:t>按标准发布权限审核</w:t>
            </w:r>
          </w:p>
        </w:tc>
      </w:tr>
      <w:tr>
        <w:trPr>
          <w:cantSplit/>
        </w:trPr>
        <w:tc>
          <w:tcPr>
            <w:tcW w:type="dxa" w:w="1638"/>
            <w:vAlign w:val="center"/>
          </w:tcPr>
          <w:p>
            <w:pPr>
              <w:keepNext w:val="0"/>
              <w:spacing w:line="320" w:lineRule="exact" w:after="0" w:before="0"/>
              <w:ind w:firstLine="0"/>
              <w:jc w:val="left"/>
            </w:pPr>
            <w:r>
              <w:rPr>
                <w:b w:val="0"/>
                <w:sz w:val="21"/>
              </w:rPr>
              <w:t>主数据新增变更</w:t>
            </w:r>
          </w:p>
        </w:tc>
        <w:tc>
          <w:tcPr>
            <w:tcW w:type="dxa" w:w="2699"/>
            <w:vAlign w:val="center"/>
          </w:tcPr>
          <w:p>
            <w:pPr>
              <w:keepNext w:val="0"/>
              <w:spacing w:line="320" w:lineRule="exact" w:after="0" w:before="0"/>
              <w:ind w:firstLine="0"/>
              <w:jc w:val="left"/>
            </w:pPr>
            <w:r>
              <w:rPr>
                <w:b w:val="0"/>
                <w:sz w:val="21"/>
              </w:rPr>
              <w:t>对象责任部门确认真实性</w:t>
            </w:r>
          </w:p>
        </w:tc>
        <w:tc>
          <w:tcPr>
            <w:tcW w:type="dxa" w:w="2409"/>
            <w:vAlign w:val="center"/>
          </w:tcPr>
          <w:p>
            <w:pPr>
              <w:keepNext w:val="0"/>
              <w:spacing w:line="320" w:lineRule="exact" w:after="0" w:before="0"/>
              <w:ind w:firstLine="0"/>
              <w:jc w:val="left"/>
            </w:pPr>
            <w:r>
              <w:rPr>
                <w:b w:val="0"/>
                <w:sz w:val="21"/>
              </w:rPr>
              <w:t>主数据岗位维护，系统岗位分发</w:t>
            </w:r>
          </w:p>
        </w:tc>
        <w:tc>
          <w:tcPr>
            <w:tcW w:type="dxa" w:w="2891"/>
            <w:vAlign w:val="center"/>
          </w:tcPr>
          <w:p>
            <w:pPr>
              <w:keepNext w:val="0"/>
              <w:spacing w:line="320" w:lineRule="exact" w:after="0" w:before="0"/>
              <w:ind w:firstLine="0"/>
              <w:jc w:val="left"/>
            </w:pPr>
            <w:r>
              <w:rPr>
                <w:b w:val="0"/>
                <w:sz w:val="21"/>
              </w:rPr>
              <w:t>归口审批并核对跨域影响</w:t>
            </w:r>
          </w:p>
        </w:tc>
      </w:tr>
      <w:tr>
        <w:trPr>
          <w:cantSplit/>
        </w:trPr>
        <w:tc>
          <w:tcPr>
            <w:tcW w:type="dxa" w:w="1638"/>
            <w:vAlign w:val="center"/>
          </w:tcPr>
          <w:p>
            <w:pPr>
              <w:keepNext w:val="0"/>
              <w:spacing w:line="320" w:lineRule="exact" w:after="0" w:before="0"/>
              <w:ind w:firstLine="0"/>
              <w:jc w:val="left"/>
            </w:pPr>
            <w:r>
              <w:rPr>
                <w:b w:val="0"/>
                <w:sz w:val="21"/>
              </w:rPr>
              <w:t>模型设计变更</w:t>
            </w:r>
          </w:p>
        </w:tc>
        <w:tc>
          <w:tcPr>
            <w:tcW w:type="dxa" w:w="2699"/>
            <w:vAlign w:val="center"/>
          </w:tcPr>
          <w:p>
            <w:pPr>
              <w:keepNext w:val="0"/>
              <w:spacing w:line="320" w:lineRule="exact" w:after="0" w:before="0"/>
              <w:ind w:firstLine="0"/>
              <w:jc w:val="left"/>
            </w:pPr>
            <w:r>
              <w:rPr>
                <w:b w:val="0"/>
                <w:sz w:val="21"/>
              </w:rPr>
              <w:t>使用部门确认粒度与口径</w:t>
            </w:r>
          </w:p>
        </w:tc>
        <w:tc>
          <w:tcPr>
            <w:tcW w:type="dxa" w:w="2409"/>
            <w:vAlign w:val="center"/>
          </w:tcPr>
          <w:p>
            <w:pPr>
              <w:keepNext w:val="0"/>
              <w:spacing w:line="320" w:lineRule="exact" w:after="0" w:before="0"/>
              <w:ind w:firstLine="0"/>
              <w:jc w:val="left"/>
            </w:pPr>
            <w:r>
              <w:rPr>
                <w:b w:val="0"/>
                <w:sz w:val="21"/>
              </w:rPr>
              <w:t>架构设计，开发实现与测试</w:t>
            </w:r>
          </w:p>
        </w:tc>
        <w:tc>
          <w:tcPr>
            <w:tcW w:type="dxa" w:w="2891"/>
            <w:vAlign w:val="center"/>
          </w:tcPr>
          <w:p>
            <w:pPr>
              <w:keepNext w:val="0"/>
              <w:spacing w:line="320" w:lineRule="exact" w:after="0" w:before="0"/>
              <w:ind w:firstLine="0"/>
              <w:jc w:val="left"/>
            </w:pPr>
            <w:r>
              <w:rPr>
                <w:b w:val="0"/>
                <w:sz w:val="21"/>
              </w:rPr>
              <w:t>架构评审及业务确认</w:t>
            </w:r>
          </w:p>
        </w:tc>
      </w:tr>
      <w:tr>
        <w:trPr>
          <w:cantSplit/>
        </w:trPr>
        <w:tc>
          <w:tcPr>
            <w:tcW w:type="dxa" w:w="1638"/>
            <w:vAlign w:val="center"/>
          </w:tcPr>
          <w:p>
            <w:pPr>
              <w:keepNext w:val="0"/>
              <w:spacing w:line="320" w:lineRule="exact" w:after="0" w:before="0"/>
              <w:ind w:firstLine="0"/>
              <w:jc w:val="left"/>
            </w:pPr>
            <w:r>
              <w:rPr>
                <w:b w:val="0"/>
                <w:sz w:val="21"/>
              </w:rPr>
              <w:t>数据质量整改</w:t>
            </w:r>
          </w:p>
        </w:tc>
        <w:tc>
          <w:tcPr>
            <w:tcW w:type="dxa" w:w="2699"/>
            <w:vAlign w:val="center"/>
          </w:tcPr>
          <w:p>
            <w:pPr>
              <w:keepNext w:val="0"/>
              <w:spacing w:line="320" w:lineRule="exact" w:after="0" w:before="0"/>
              <w:ind w:firstLine="0"/>
              <w:jc w:val="left"/>
            </w:pPr>
            <w:r>
              <w:rPr>
                <w:b w:val="0"/>
                <w:sz w:val="21"/>
              </w:rPr>
              <w:t>来源责任部门确认并纠正</w:t>
            </w:r>
          </w:p>
        </w:tc>
        <w:tc>
          <w:tcPr>
            <w:tcW w:type="dxa" w:w="2409"/>
            <w:vAlign w:val="center"/>
          </w:tcPr>
          <w:p>
            <w:pPr>
              <w:keepNext w:val="0"/>
              <w:spacing w:line="320" w:lineRule="exact" w:after="0" w:before="0"/>
              <w:ind w:firstLine="0"/>
              <w:jc w:val="left"/>
            </w:pPr>
            <w:r>
              <w:rPr>
                <w:b w:val="0"/>
                <w:sz w:val="21"/>
              </w:rPr>
              <w:t>质量分析，技术修复与回算</w:t>
            </w:r>
          </w:p>
        </w:tc>
        <w:tc>
          <w:tcPr>
            <w:tcW w:type="dxa" w:w="2891"/>
            <w:vAlign w:val="center"/>
          </w:tcPr>
          <w:p>
            <w:pPr>
              <w:keepNext w:val="0"/>
              <w:spacing w:line="320" w:lineRule="exact" w:after="0" w:before="0"/>
              <w:ind w:firstLine="0"/>
              <w:jc w:val="left"/>
            </w:pPr>
            <w:r>
              <w:rPr>
                <w:b w:val="0"/>
                <w:sz w:val="21"/>
              </w:rPr>
              <w:t>独立复核后关闭</w:t>
            </w:r>
          </w:p>
        </w:tc>
      </w:tr>
      <w:tr>
        <w:trPr>
          <w:cantSplit/>
        </w:trPr>
        <w:tc>
          <w:tcPr>
            <w:tcW w:type="dxa" w:w="1638"/>
            <w:vAlign w:val="center"/>
          </w:tcPr>
          <w:p>
            <w:pPr>
              <w:keepNext w:val="0"/>
              <w:spacing w:line="320" w:lineRule="exact" w:after="0" w:before="0"/>
              <w:ind w:firstLine="0"/>
              <w:jc w:val="left"/>
            </w:pPr>
            <w:r>
              <w:rPr>
                <w:b w:val="0"/>
                <w:sz w:val="21"/>
              </w:rPr>
              <w:t>共享与使用授权</w:t>
            </w:r>
          </w:p>
        </w:tc>
        <w:tc>
          <w:tcPr>
            <w:tcW w:type="dxa" w:w="2699"/>
            <w:vAlign w:val="center"/>
          </w:tcPr>
          <w:p>
            <w:pPr>
              <w:keepNext w:val="0"/>
              <w:spacing w:line="320" w:lineRule="exact" w:after="0" w:before="0"/>
              <w:ind w:firstLine="0"/>
              <w:jc w:val="left"/>
            </w:pPr>
            <w:r>
              <w:rPr>
                <w:b w:val="0"/>
                <w:sz w:val="21"/>
              </w:rPr>
              <w:t>使用部门提出用途和范围</w:t>
            </w:r>
          </w:p>
        </w:tc>
        <w:tc>
          <w:tcPr>
            <w:tcW w:type="dxa" w:w="2409"/>
            <w:vAlign w:val="center"/>
          </w:tcPr>
          <w:p>
            <w:pPr>
              <w:keepNext w:val="0"/>
              <w:spacing w:line="320" w:lineRule="exact" w:after="0" w:before="0"/>
              <w:ind w:firstLine="0"/>
              <w:jc w:val="left"/>
            </w:pPr>
            <w:r>
              <w:rPr>
                <w:b w:val="0"/>
                <w:sz w:val="21"/>
              </w:rPr>
              <w:t>资产运营受理，安全审核</w:t>
            </w:r>
          </w:p>
        </w:tc>
        <w:tc>
          <w:tcPr>
            <w:tcW w:type="dxa" w:w="2891"/>
            <w:vAlign w:val="center"/>
          </w:tcPr>
          <w:p>
            <w:pPr>
              <w:keepNext w:val="0"/>
              <w:spacing w:line="320" w:lineRule="exact" w:after="0" w:before="0"/>
              <w:ind w:firstLine="0"/>
              <w:jc w:val="left"/>
            </w:pPr>
            <w:r>
              <w:rPr>
                <w:b w:val="0"/>
                <w:sz w:val="21"/>
              </w:rPr>
              <w:t>资产及授权责任岗位批准</w:t>
            </w:r>
          </w:p>
        </w:tc>
      </w:tr>
      <w:tr>
        <w:trPr>
          <w:cantSplit/>
        </w:trPr>
        <w:tc>
          <w:tcPr>
            <w:tcW w:type="dxa" w:w="1638"/>
            <w:vAlign w:val="center"/>
          </w:tcPr>
          <w:p>
            <w:pPr>
              <w:keepNext w:val="0"/>
              <w:spacing w:line="320" w:lineRule="exact" w:after="0" w:before="0"/>
              <w:ind w:firstLine="0"/>
              <w:jc w:val="left"/>
            </w:pPr>
            <w:r>
              <w:rPr>
                <w:b w:val="0"/>
                <w:sz w:val="21"/>
              </w:rPr>
              <w:t>元数据变更</w:t>
            </w:r>
          </w:p>
        </w:tc>
        <w:tc>
          <w:tcPr>
            <w:tcW w:type="dxa" w:w="2699"/>
            <w:vAlign w:val="center"/>
          </w:tcPr>
          <w:p>
            <w:pPr>
              <w:keepNext w:val="0"/>
              <w:spacing w:line="320" w:lineRule="exact" w:after="0" w:before="0"/>
              <w:ind w:firstLine="0"/>
              <w:jc w:val="left"/>
            </w:pPr>
            <w:r>
              <w:rPr>
                <w:b w:val="0"/>
                <w:sz w:val="21"/>
              </w:rPr>
              <w:t>业务岗位维护含义和责任</w:t>
            </w:r>
          </w:p>
        </w:tc>
        <w:tc>
          <w:tcPr>
            <w:tcW w:type="dxa" w:w="2409"/>
            <w:vAlign w:val="center"/>
          </w:tcPr>
          <w:p>
            <w:pPr>
              <w:keepNext w:val="0"/>
              <w:spacing w:line="320" w:lineRule="exact" w:after="0" w:before="0"/>
              <w:ind w:firstLine="0"/>
              <w:jc w:val="left"/>
            </w:pPr>
            <w:r>
              <w:rPr>
                <w:b w:val="0"/>
                <w:sz w:val="21"/>
              </w:rPr>
              <w:t>技术岗位采集，管理岗位核查</w:t>
            </w:r>
          </w:p>
        </w:tc>
        <w:tc>
          <w:tcPr>
            <w:tcW w:type="dxa" w:w="2891"/>
            <w:vAlign w:val="center"/>
          </w:tcPr>
          <w:p>
            <w:pPr>
              <w:keepNext w:val="0"/>
              <w:spacing w:line="320" w:lineRule="exact" w:after="0" w:before="0"/>
              <w:ind w:firstLine="0"/>
              <w:jc w:val="left"/>
            </w:pPr>
            <w:r>
              <w:rPr>
                <w:b w:val="0"/>
                <w:sz w:val="21"/>
              </w:rPr>
              <w:t>按变更影响履行审核</w:t>
            </w:r>
          </w:p>
        </w:tc>
      </w:tr>
      <w:tr>
        <w:trPr>
          <w:cantSplit/>
        </w:trPr>
        <w:tc>
          <w:tcPr>
            <w:tcW w:type="dxa" w:w="1638"/>
            <w:vAlign w:val="center"/>
          </w:tcPr>
          <w:p>
            <w:pPr>
              <w:keepNext w:val="0"/>
              <w:spacing w:line="320" w:lineRule="exact" w:after="0" w:before="0"/>
              <w:ind w:firstLine="0"/>
              <w:jc w:val="left"/>
            </w:pPr>
            <w:r>
              <w:rPr>
                <w:b w:val="0"/>
                <w:sz w:val="21"/>
              </w:rPr>
              <w:t>资产价值评估</w:t>
            </w:r>
          </w:p>
        </w:tc>
        <w:tc>
          <w:tcPr>
            <w:tcW w:type="dxa" w:w="2699"/>
            <w:vAlign w:val="center"/>
          </w:tcPr>
          <w:p>
            <w:pPr>
              <w:keepNext w:val="0"/>
              <w:spacing w:line="320" w:lineRule="exact" w:after="0" w:before="0"/>
              <w:ind w:firstLine="0"/>
              <w:jc w:val="left"/>
            </w:pPr>
            <w:r>
              <w:rPr>
                <w:b w:val="0"/>
                <w:sz w:val="21"/>
              </w:rPr>
              <w:t>使用部门提供业务效果</w:t>
            </w:r>
          </w:p>
        </w:tc>
        <w:tc>
          <w:tcPr>
            <w:tcW w:type="dxa" w:w="2409"/>
            <w:vAlign w:val="center"/>
          </w:tcPr>
          <w:p>
            <w:pPr>
              <w:keepNext w:val="0"/>
              <w:spacing w:line="320" w:lineRule="exact" w:after="0" w:before="0"/>
              <w:ind w:firstLine="0"/>
              <w:jc w:val="left"/>
            </w:pPr>
            <w:r>
              <w:rPr>
                <w:b w:val="0"/>
                <w:sz w:val="21"/>
              </w:rPr>
              <w:t>运营组织，财务等职能参与</w:t>
            </w:r>
          </w:p>
        </w:tc>
        <w:tc>
          <w:tcPr>
            <w:tcW w:type="dxa" w:w="2891"/>
            <w:vAlign w:val="center"/>
          </w:tcPr>
          <w:p>
            <w:pPr>
              <w:keepNext w:val="0"/>
              <w:spacing w:line="320" w:lineRule="exact" w:after="0" w:before="0"/>
              <w:ind w:firstLine="0"/>
              <w:jc w:val="left"/>
            </w:pPr>
            <w:r>
              <w:rPr>
                <w:b w:val="0"/>
                <w:sz w:val="21"/>
              </w:rPr>
              <w:t>管理层审核，重大事项决策</w:t>
            </w:r>
          </w:p>
        </w:tc>
      </w:tr>
      <w:tr>
        <w:trPr>
          <w:cantSplit/>
        </w:trPr>
        <w:tc>
          <w:tcPr>
            <w:tcW w:type="dxa" w:w="1638"/>
            <w:vAlign w:val="center"/>
          </w:tcPr>
          <w:p>
            <w:pPr>
              <w:keepNext w:val="0"/>
              <w:spacing w:line="320" w:lineRule="exact" w:after="0" w:before="0"/>
              <w:ind w:firstLine="0"/>
              <w:jc w:val="left"/>
            </w:pPr>
            <w:r>
              <w:rPr>
                <w:b w:val="0"/>
                <w:sz w:val="21"/>
              </w:rPr>
              <w:t>战略计划调整</w:t>
            </w:r>
          </w:p>
        </w:tc>
        <w:tc>
          <w:tcPr>
            <w:tcW w:type="dxa" w:w="2699"/>
            <w:vAlign w:val="center"/>
          </w:tcPr>
          <w:p>
            <w:pPr>
              <w:keepNext w:val="0"/>
              <w:spacing w:line="320" w:lineRule="exact" w:after="0" w:before="0"/>
              <w:ind w:firstLine="0"/>
              <w:jc w:val="left"/>
            </w:pPr>
            <w:r>
              <w:rPr>
                <w:b w:val="0"/>
                <w:sz w:val="21"/>
              </w:rPr>
              <w:t>责任部门提出影响和建议</w:t>
            </w:r>
          </w:p>
        </w:tc>
        <w:tc>
          <w:tcPr>
            <w:tcW w:type="dxa" w:w="2409"/>
            <w:vAlign w:val="center"/>
          </w:tcPr>
          <w:p>
            <w:pPr>
              <w:keepNext w:val="0"/>
              <w:spacing w:line="320" w:lineRule="exact" w:after="0" w:before="0"/>
              <w:ind w:firstLine="0"/>
              <w:jc w:val="left"/>
            </w:pPr>
            <w:r>
              <w:rPr>
                <w:b w:val="0"/>
                <w:sz w:val="21"/>
              </w:rPr>
              <w:t>治理统筹分析资源与依赖</w:t>
            </w:r>
          </w:p>
        </w:tc>
        <w:tc>
          <w:tcPr>
            <w:tcW w:type="dxa" w:w="2891"/>
            <w:vAlign w:val="center"/>
          </w:tcPr>
          <w:p>
            <w:pPr>
              <w:keepNext w:val="0"/>
              <w:spacing w:line="320" w:lineRule="exact" w:after="0" w:before="0"/>
              <w:ind w:firstLine="0"/>
              <w:jc w:val="left"/>
            </w:pPr>
            <w:r>
              <w:rPr>
                <w:b w:val="0"/>
                <w:sz w:val="21"/>
              </w:rPr>
              <w:t>按调整范围报相应层级</w:t>
            </w:r>
          </w:p>
        </w:tc>
      </w:tr>
    </w:tbl>
    <w:p>
      <w:pPr>
        <w:spacing w:after="40" w:line="240" w:lineRule="auto"/>
        <w:ind w:firstLine="0"/>
      </w:pPr>
      <w:r>
        <w:rPr>
          <w:sz w:val="4"/>
        </w:rPr>
      </w:r>
    </w:p>
    <w:p>
      <w:pPr>
        <w:jc w:val="both"/>
      </w:pPr>
      <w:r>
        <w:t>矩阵随组织和制度变化维护。新增事项采用现行原则确定临时责任，并在正式运行前补充入矩阵；争议事项记录分歧、依据和裁决结果，后续同类事项引用已批准规则。审批委托应明确委托事项、权限范围和有效期限，平台记录实际办理岗位与被委托关系。</w:t>
      </w:r>
    </w:p>
    <w:p>
      <w:pPr>
        <w:pStyle w:val="Heading2"/>
      </w:pPr>
      <w:r>
        <w:t>5.4 常态化工作与议事机制</w:t>
      </w:r>
    </w:p>
    <w:p>
      <w:pPr>
        <w:jc w:val="both"/>
      </w:pPr>
      <w:r>
        <w:t>日常治理通过需求、问题、变更和服务四类事项受理。事项统一登记来源、对象、业务影响、期望时点、责任和附件，根据类型进入相应处理流程。治理统筹岗位定期检查未分派、逾期、退回和重复事项，对长期未解决的问题组织专题协调，避免业务岗位在多个部门之间重复报送。</w:t>
      </w:r>
    </w:p>
    <w:p>
      <w:pPr>
        <w:jc w:val="both"/>
      </w:pPr>
      <w:r>
        <w:t>执行层按周核对任务和问题，重点处理来源变化、质量异常、权限到期及作业失败。管理层按月检查治理运行、计划偏差、跨域问题、培训和考核，形成明确决议及责任事项。决策层按阶段审议战略和重大问题，对紧急风险或重要争议及时组织专题决策。会议安排围绕待解决事项，会议记录包括事实、备选处理、决定、责任、期限和复核方式。</w:t>
      </w:r>
    </w:p>
    <w:p>
      <w:pPr>
        <w:jc w:val="both"/>
      </w:pPr>
      <w:r>
        <w:t>议题提交前完成材料准备，涉及口径的附定义及差异数据，涉及资源的附任务与负荷，涉及安全的附影响和控制措施，涉及架构的附模型和依赖分析。参会岗位在授权范围内作出决定，超出权限的事项转入更高层级。会后由牵头岗位将决议转化为任务或制度变更，跟踪实际完成并在后续检查中核验。</w:t>
      </w:r>
    </w:p>
    <w:p>
      <w:pPr>
        <w:jc w:val="both"/>
      </w:pPr>
      <w:r>
        <w:t>对跨部门数量、状态和时间口径争议，先分别建立各方定义及数据来源，再根据具体使用目的确定正式口径。确属不同业务事实的，保留多个指标或数据元并明确名称和适用场景；确属同一事实的，确认权威来源、同步与纠错规则。争议解决后更新术语、模型、接口和业务培训材料，避免相同问题反复出现。</w:t>
      </w:r>
    </w:p>
    <w:p>
      <w:pPr>
        <w:pStyle w:val="Heading2"/>
      </w:pPr>
      <w:r>
        <w:t>5.5 顶层制度体系</w:t>
      </w:r>
    </w:p>
    <w:p>
      <w:pPr>
        <w:jc w:val="both"/>
      </w:pPr>
      <w:r>
        <w:t>我方形成管理办法、实施细则、操作规范三个层次的顶层制度体系。管理办法规定管理目标、适用范围、组织职责、基本要求、审批权限和监督责任；实施细则规定具体业务事项的流程、条件、输入输出、时限管理和例外处理；操作规范规定平台或岗位的操作步骤、字段、检查点、失败处置及记录保存。三个层次通过制度条款和流程编号建立引用关系。</w:t>
      </w:r>
    </w:p>
    <w:p>
      <w:pPr>
        <w:jc w:val="both"/>
      </w:pPr>
      <w:r>
        <w:t>制度范围覆盖数据战略、数据治理、数据架构、数据资产、数据标准、数据质量、数据安全、数据生存周期和数据应用流通。数据治理管理办法作为组织和协同的统领文件，战略、集成共享、元数据、资产、价值评估和运营等专门办法分别承接相应要求；各项规则与质量、安全、标准及生命周期制度保持一致。制度包同时包含配套表单、记录字段及平台配置要求，形成完整可执行体系。</w:t>
      </w:r>
    </w:p>
    <w:p>
      <w:pPr>
        <w:jc w:val="both"/>
      </w:pPr>
      <w:r>
        <w:t>制度设计逐条明确触发条件。新增数据对象、字段变更、接口新增、数据发布、权限申请、资产退役等不同事件触发不同流程；每个流程明确正常路径、驳回路径、补充材料、超期升级和紧急处理。流程结束条件与实际控制结果对应，例如授权结束需完成权限回收并核查副本处置，不能仅将申请单状态改为已完成。</w:t>
      </w:r>
    </w:p>
    <w:p>
      <w:pPr>
        <w:pStyle w:val="Caption"/>
        <w:keepNext/>
      </w:pPr>
      <w:r>
        <w:t>表5-3 顶层制度体系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制度层次</w:t>
            </w:r>
          </w:p>
        </w:tc>
        <w:tc>
          <w:tcPr>
            <w:tcW w:type="dxa" w:w="3855"/>
            <w:vAlign w:val="center"/>
            <w:shd w:fill="EDF1F3"/>
          </w:tcPr>
          <w:p>
            <w:pPr>
              <w:keepNext/>
              <w:spacing w:line="320" w:lineRule="exact" w:after="0" w:before="0"/>
              <w:ind w:firstLine="0"/>
              <w:jc w:val="center"/>
            </w:pPr>
            <w:r>
              <w:rPr>
                <w:b/>
                <w:sz w:val="21"/>
              </w:rPr>
              <w:t>必备内容</w:t>
            </w:r>
          </w:p>
        </w:tc>
        <w:tc>
          <w:tcPr>
            <w:tcW w:type="dxa" w:w="3277"/>
            <w:vAlign w:val="center"/>
            <w:shd w:fill="EDF1F3"/>
          </w:tcPr>
          <w:p>
            <w:pPr>
              <w:keepNext/>
              <w:spacing w:line="320" w:lineRule="exact" w:after="0" w:before="0"/>
              <w:ind w:firstLine="0"/>
              <w:jc w:val="center"/>
            </w:pPr>
            <w:r>
              <w:rPr>
                <w:b/>
                <w:sz w:val="21"/>
              </w:rPr>
              <w:t>实施落点</w:t>
            </w:r>
          </w:p>
        </w:tc>
      </w:tr>
      <w:tr>
        <w:trPr>
          <w:cantSplit/>
        </w:trPr>
        <w:tc>
          <w:tcPr>
            <w:tcW w:type="dxa" w:w="2506"/>
            <w:vAlign w:val="center"/>
          </w:tcPr>
          <w:p>
            <w:pPr>
              <w:keepNext w:val="0"/>
              <w:spacing w:line="320" w:lineRule="exact" w:after="0" w:before="0"/>
              <w:ind w:firstLine="0"/>
              <w:jc w:val="left"/>
            </w:pPr>
            <w:r>
              <w:rPr>
                <w:b w:val="0"/>
                <w:sz w:val="21"/>
              </w:rPr>
              <w:t>管理办法</w:t>
            </w:r>
          </w:p>
        </w:tc>
        <w:tc>
          <w:tcPr>
            <w:tcW w:type="dxa" w:w="3855"/>
            <w:vAlign w:val="center"/>
          </w:tcPr>
          <w:p>
            <w:pPr>
              <w:keepNext w:val="0"/>
              <w:spacing w:line="320" w:lineRule="exact" w:after="0" w:before="0"/>
              <w:ind w:firstLine="0"/>
              <w:jc w:val="left"/>
            </w:pPr>
            <w:r>
              <w:rPr>
                <w:b w:val="0"/>
                <w:sz w:val="21"/>
              </w:rPr>
              <w:t>目标、范围、职责、原则、权限、监督</w:t>
            </w:r>
          </w:p>
        </w:tc>
        <w:tc>
          <w:tcPr>
            <w:tcW w:type="dxa" w:w="3277"/>
            <w:vAlign w:val="center"/>
          </w:tcPr>
          <w:p>
            <w:pPr>
              <w:keepNext w:val="0"/>
              <w:spacing w:line="320" w:lineRule="exact" w:after="0" w:before="0"/>
              <w:ind w:firstLine="0"/>
              <w:jc w:val="left"/>
            </w:pPr>
            <w:r>
              <w:rPr>
                <w:b w:val="0"/>
                <w:sz w:val="21"/>
              </w:rPr>
              <w:t>组织授权、制度发布和管理检查</w:t>
            </w:r>
          </w:p>
        </w:tc>
      </w:tr>
      <w:tr>
        <w:trPr>
          <w:cantSplit/>
        </w:trPr>
        <w:tc>
          <w:tcPr>
            <w:tcW w:type="dxa" w:w="2506"/>
            <w:vAlign w:val="center"/>
          </w:tcPr>
          <w:p>
            <w:pPr>
              <w:keepNext w:val="0"/>
              <w:spacing w:line="320" w:lineRule="exact" w:after="0" w:before="0"/>
              <w:ind w:firstLine="0"/>
              <w:jc w:val="left"/>
            </w:pPr>
            <w:r>
              <w:rPr>
                <w:b w:val="0"/>
                <w:sz w:val="21"/>
              </w:rPr>
              <w:t>实施细则</w:t>
            </w:r>
          </w:p>
        </w:tc>
        <w:tc>
          <w:tcPr>
            <w:tcW w:type="dxa" w:w="3855"/>
            <w:vAlign w:val="center"/>
          </w:tcPr>
          <w:p>
            <w:pPr>
              <w:keepNext w:val="0"/>
              <w:spacing w:line="320" w:lineRule="exact" w:after="0" w:before="0"/>
              <w:ind w:firstLine="0"/>
              <w:jc w:val="left"/>
            </w:pPr>
            <w:r>
              <w:rPr>
                <w:b w:val="0"/>
                <w:sz w:val="21"/>
              </w:rPr>
              <w:t>条件、步骤、输入输出、例外和记录</w:t>
            </w:r>
          </w:p>
        </w:tc>
        <w:tc>
          <w:tcPr>
            <w:tcW w:type="dxa" w:w="3277"/>
            <w:vAlign w:val="center"/>
          </w:tcPr>
          <w:p>
            <w:pPr>
              <w:keepNext w:val="0"/>
              <w:spacing w:line="320" w:lineRule="exact" w:after="0" w:before="0"/>
              <w:ind w:firstLine="0"/>
              <w:jc w:val="left"/>
            </w:pPr>
            <w:r>
              <w:rPr>
                <w:b w:val="0"/>
                <w:sz w:val="21"/>
              </w:rPr>
              <w:t>审批流程、任务分派和状态转换</w:t>
            </w:r>
          </w:p>
        </w:tc>
      </w:tr>
      <w:tr>
        <w:trPr>
          <w:cantSplit/>
        </w:trPr>
        <w:tc>
          <w:tcPr>
            <w:tcW w:type="dxa" w:w="2506"/>
            <w:vAlign w:val="center"/>
          </w:tcPr>
          <w:p>
            <w:pPr>
              <w:keepNext w:val="0"/>
              <w:spacing w:line="320" w:lineRule="exact" w:after="0" w:before="0"/>
              <w:ind w:firstLine="0"/>
              <w:jc w:val="left"/>
            </w:pPr>
            <w:r>
              <w:rPr>
                <w:b w:val="0"/>
                <w:sz w:val="21"/>
              </w:rPr>
              <w:t>操作规范</w:t>
            </w:r>
          </w:p>
        </w:tc>
        <w:tc>
          <w:tcPr>
            <w:tcW w:type="dxa" w:w="3855"/>
            <w:vAlign w:val="center"/>
          </w:tcPr>
          <w:p>
            <w:pPr>
              <w:keepNext w:val="0"/>
              <w:spacing w:line="320" w:lineRule="exact" w:after="0" w:before="0"/>
              <w:ind w:firstLine="0"/>
              <w:jc w:val="left"/>
            </w:pPr>
            <w:r>
              <w:rPr>
                <w:b w:val="0"/>
                <w:sz w:val="21"/>
              </w:rPr>
              <w:t>操作、字段、校验、失败处理及留痕</w:t>
            </w:r>
          </w:p>
        </w:tc>
        <w:tc>
          <w:tcPr>
            <w:tcW w:type="dxa" w:w="3277"/>
            <w:vAlign w:val="center"/>
          </w:tcPr>
          <w:p>
            <w:pPr>
              <w:keepNext w:val="0"/>
              <w:spacing w:line="320" w:lineRule="exact" w:after="0" w:before="0"/>
              <w:ind w:firstLine="0"/>
              <w:jc w:val="left"/>
            </w:pPr>
            <w:r>
              <w:rPr>
                <w:b w:val="0"/>
                <w:sz w:val="21"/>
              </w:rPr>
              <w:t>平台表单、规则配置和岗位作业</w:t>
            </w:r>
          </w:p>
        </w:tc>
      </w:tr>
      <w:tr>
        <w:trPr>
          <w:cantSplit/>
        </w:trPr>
        <w:tc>
          <w:tcPr>
            <w:tcW w:type="dxa" w:w="2506"/>
            <w:vAlign w:val="center"/>
          </w:tcPr>
          <w:p>
            <w:pPr>
              <w:keepNext w:val="0"/>
              <w:spacing w:line="320" w:lineRule="exact" w:after="0" w:before="0"/>
              <w:ind w:firstLine="0"/>
              <w:jc w:val="left"/>
            </w:pPr>
            <w:r>
              <w:rPr>
                <w:b w:val="0"/>
                <w:sz w:val="21"/>
              </w:rPr>
              <w:t>配套记录</w:t>
            </w:r>
          </w:p>
        </w:tc>
        <w:tc>
          <w:tcPr>
            <w:tcW w:type="dxa" w:w="3855"/>
            <w:vAlign w:val="center"/>
          </w:tcPr>
          <w:p>
            <w:pPr>
              <w:keepNext w:val="0"/>
              <w:spacing w:line="320" w:lineRule="exact" w:after="0" w:before="0"/>
              <w:ind w:firstLine="0"/>
              <w:jc w:val="left"/>
            </w:pPr>
            <w:r>
              <w:rPr>
                <w:b w:val="0"/>
                <w:sz w:val="21"/>
              </w:rPr>
              <w:t>编号、版本、关联对象、经办及复核</w:t>
            </w:r>
          </w:p>
        </w:tc>
        <w:tc>
          <w:tcPr>
            <w:tcW w:type="dxa" w:w="3277"/>
            <w:vAlign w:val="center"/>
          </w:tcPr>
          <w:p>
            <w:pPr>
              <w:keepNext w:val="0"/>
              <w:spacing w:line="320" w:lineRule="exact" w:after="0" w:before="0"/>
              <w:ind w:firstLine="0"/>
              <w:jc w:val="left"/>
            </w:pPr>
            <w:r>
              <w:rPr>
                <w:b w:val="0"/>
                <w:sz w:val="21"/>
              </w:rPr>
              <w:t>证据保存、追溯和考核统计</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6_制度落实.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图5-2 制度体系与实施维护流程</w:t>
      </w:r>
    </w:p>
    <w:p>
      <w:pPr>
        <w:pStyle w:val="Heading2"/>
      </w:pPr>
      <w:r>
        <w:t>5.6 制度制定发布与维护</w:t>
      </w:r>
    </w:p>
    <w:p>
      <w:pPr>
        <w:jc w:val="both"/>
      </w:pPr>
      <w:r>
        <w:t>制度制定从诊断问题和业务流程出发，逐条核对招标要求、甲方现行制度和平台执行条件。对可以直接沿用的现行规定明确引用，对职责、流程或控制存在缺口的部分进行补充，对相互矛盾的条款组织归口部门审议。制度编制同时设计实际表单和处理场景，通过流程演练验证责任、输入输出与例外处置是否完整。</w:t>
      </w:r>
    </w:p>
    <w:p>
      <w:pPr>
        <w:jc w:val="both"/>
      </w:pPr>
      <w:r>
        <w:t>评审采用业务、管理、技术和安全联合审查。业务岗位检查定义与操作可行性，管理岗位检查职责和审批权限，技术岗位检查配置实现及日志能力，安全岗位检查数据访问和保护要求。涉及价值评估和权利事项的制度，增加财务、合同及相关职能审核。评审意见逐条处理，形成采纳情况、修改内容和复核记录。</w:t>
      </w:r>
    </w:p>
    <w:p>
      <w:pPr>
        <w:jc w:val="both"/>
      </w:pPr>
      <w:r>
        <w:t>制度发布明确编号、名称、版本、发布日期、生效时间、适用范围、归口部门和替代关系。新旧制度交替期间明确在办事项适用规则，避免同一业务流程途中无记录地切换。发布前完成相关平台配置和培训，发布后检查实际执行；确需分阶段实施的条款明确阶段、对象和过渡控制，并纳入跟踪。</w:t>
      </w:r>
    </w:p>
    <w:p>
      <w:pPr>
        <w:jc w:val="both"/>
      </w:pPr>
      <w:r>
        <w:t>制度定期复查，组织变化、法规标准更新、系统升级、重大问题和业务调整触发专项修订。废止文件保留归档和引用关系，业务系统和知识库同步更新有效状态。制度知识库仅向有权限的岗位提供相应内容，问答结果引用有效条款及适用条件，历史查询明确其历史时点和版本。</w:t>
      </w:r>
    </w:p>
    <w:p>
      <w:pPr>
        <w:pStyle w:val="Heading2"/>
      </w:pPr>
      <w:r>
        <w:t>5.7 治理考核与运行度量</w:t>
      </w:r>
    </w:p>
    <w:p>
      <w:pPr>
        <w:jc w:val="both"/>
      </w:pPr>
      <w:r>
        <w:t>治理考核围绕岗位履职、规则执行、问题整改、数据使用和能力提升开展。指标设置明确对象、公式、分母、统计周期、取数位置和责任，优先使用平台自动记录和已批准的业务记录。制度数量、会议次数和培训签到作为过程记录，考核同时检查实际执行和结果，避免只考核形式性工作量。</w:t>
      </w:r>
    </w:p>
    <w:p>
      <w:pPr>
        <w:jc w:val="both"/>
      </w:pPr>
      <w:r>
        <w:t>岗位考核区分来源责任、管理责任和技术责任。来源岗位关注数据真实性、及时维护和问题纠正；管理岗位关注规则完整、协调效率和复核；技术岗位关注实施正确、运行稳定和变更受控；使用岗位关注授权遵守和反馈；运营岗位关注目录准确、授权处理及服务可用。跨域问题按根因和承担事项评价，防止将所有问题统一归责给数据管理岗位。</w:t>
      </w:r>
    </w:p>
    <w:p>
      <w:pPr>
        <w:pStyle w:val="Caption"/>
        <w:keepNext/>
      </w:pPr>
      <w:r>
        <w:t>表5-4 治理考核与运行度量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考核主题</w:t>
            </w:r>
          </w:p>
        </w:tc>
        <w:tc>
          <w:tcPr>
            <w:tcW w:type="dxa" w:w="3855"/>
            <w:vAlign w:val="center"/>
            <w:shd w:fill="EDF1F3"/>
          </w:tcPr>
          <w:p>
            <w:pPr>
              <w:keepNext/>
              <w:spacing w:line="320" w:lineRule="exact" w:after="0" w:before="0"/>
              <w:ind w:firstLine="0"/>
              <w:jc w:val="center"/>
            </w:pPr>
            <w:r>
              <w:rPr>
                <w:b/>
                <w:sz w:val="21"/>
              </w:rPr>
              <w:t>计算或检查口径</w:t>
            </w:r>
          </w:p>
        </w:tc>
        <w:tc>
          <w:tcPr>
            <w:tcW w:type="dxa" w:w="3277"/>
            <w:vAlign w:val="center"/>
            <w:shd w:fill="EDF1F3"/>
          </w:tcPr>
          <w:p>
            <w:pPr>
              <w:keepNext/>
              <w:spacing w:line="320" w:lineRule="exact" w:after="0" w:before="0"/>
              <w:ind w:firstLine="0"/>
              <w:jc w:val="center"/>
            </w:pPr>
            <w:r>
              <w:rPr>
                <w:b/>
                <w:sz w:val="21"/>
              </w:rPr>
              <w:t>异常处理</w:t>
            </w:r>
          </w:p>
        </w:tc>
      </w:tr>
      <w:tr>
        <w:trPr>
          <w:cantSplit/>
        </w:trPr>
        <w:tc>
          <w:tcPr>
            <w:tcW w:type="dxa" w:w="2506"/>
            <w:vAlign w:val="center"/>
          </w:tcPr>
          <w:p>
            <w:pPr>
              <w:keepNext w:val="0"/>
              <w:spacing w:line="320" w:lineRule="exact" w:after="0" w:before="0"/>
              <w:ind w:firstLine="0"/>
              <w:jc w:val="left"/>
            </w:pPr>
            <w:r>
              <w:rPr>
                <w:b w:val="0"/>
                <w:sz w:val="21"/>
              </w:rPr>
              <w:t>职责履行</w:t>
            </w:r>
          </w:p>
        </w:tc>
        <w:tc>
          <w:tcPr>
            <w:tcW w:type="dxa" w:w="3855"/>
            <w:vAlign w:val="center"/>
          </w:tcPr>
          <w:p>
            <w:pPr>
              <w:keepNext w:val="0"/>
              <w:spacing w:line="320" w:lineRule="exact" w:after="0" w:before="0"/>
              <w:ind w:firstLine="0"/>
              <w:jc w:val="left"/>
            </w:pPr>
            <w:r>
              <w:rPr>
                <w:b w:val="0"/>
                <w:sz w:val="21"/>
              </w:rPr>
              <w:t>已到期责任事项的实际完成与复核情况</w:t>
            </w:r>
          </w:p>
        </w:tc>
        <w:tc>
          <w:tcPr>
            <w:tcW w:type="dxa" w:w="3277"/>
            <w:vAlign w:val="center"/>
          </w:tcPr>
          <w:p>
            <w:pPr>
              <w:keepNext w:val="0"/>
              <w:spacing w:line="320" w:lineRule="exact" w:after="0" w:before="0"/>
              <w:ind w:firstLine="0"/>
              <w:jc w:val="left"/>
            </w:pPr>
            <w:r>
              <w:rPr>
                <w:b w:val="0"/>
                <w:sz w:val="21"/>
              </w:rPr>
              <w:t>核查依赖、资源及未履职原因</w:t>
            </w:r>
          </w:p>
        </w:tc>
      </w:tr>
      <w:tr>
        <w:trPr>
          <w:cantSplit/>
        </w:trPr>
        <w:tc>
          <w:tcPr>
            <w:tcW w:type="dxa" w:w="2506"/>
            <w:vAlign w:val="center"/>
          </w:tcPr>
          <w:p>
            <w:pPr>
              <w:keepNext w:val="0"/>
              <w:spacing w:line="320" w:lineRule="exact" w:after="0" w:before="0"/>
              <w:ind w:firstLine="0"/>
              <w:jc w:val="left"/>
            </w:pPr>
            <w:r>
              <w:rPr>
                <w:b w:val="0"/>
                <w:sz w:val="21"/>
              </w:rPr>
              <w:t>标准落标</w:t>
            </w:r>
          </w:p>
        </w:tc>
        <w:tc>
          <w:tcPr>
            <w:tcW w:type="dxa" w:w="3855"/>
            <w:vAlign w:val="center"/>
          </w:tcPr>
          <w:p>
            <w:pPr>
              <w:keepNext w:val="0"/>
              <w:spacing w:line="320" w:lineRule="exact" w:after="0" w:before="0"/>
              <w:ind w:firstLine="0"/>
              <w:jc w:val="left"/>
            </w:pPr>
            <w:r>
              <w:rPr>
                <w:b w:val="0"/>
                <w:sz w:val="21"/>
              </w:rPr>
              <w:t>纳入实施范围对象的映射和校验结果</w:t>
            </w:r>
          </w:p>
        </w:tc>
        <w:tc>
          <w:tcPr>
            <w:tcW w:type="dxa" w:w="3277"/>
            <w:vAlign w:val="center"/>
          </w:tcPr>
          <w:p>
            <w:pPr>
              <w:keepNext w:val="0"/>
              <w:spacing w:line="320" w:lineRule="exact" w:after="0" w:before="0"/>
              <w:ind w:firstLine="0"/>
              <w:jc w:val="left"/>
            </w:pPr>
            <w:r>
              <w:rPr>
                <w:b w:val="0"/>
                <w:sz w:val="21"/>
              </w:rPr>
              <w:t>定位未覆盖对象及规则冲突</w:t>
            </w:r>
          </w:p>
        </w:tc>
      </w:tr>
      <w:tr>
        <w:trPr>
          <w:cantSplit/>
        </w:trPr>
        <w:tc>
          <w:tcPr>
            <w:tcW w:type="dxa" w:w="2506"/>
            <w:vAlign w:val="center"/>
          </w:tcPr>
          <w:p>
            <w:pPr>
              <w:keepNext w:val="0"/>
              <w:spacing w:line="320" w:lineRule="exact" w:after="0" w:before="0"/>
              <w:ind w:firstLine="0"/>
              <w:jc w:val="left"/>
            </w:pPr>
            <w:r>
              <w:rPr>
                <w:b w:val="0"/>
                <w:sz w:val="21"/>
              </w:rPr>
              <w:t>问题整改</w:t>
            </w:r>
          </w:p>
        </w:tc>
        <w:tc>
          <w:tcPr>
            <w:tcW w:type="dxa" w:w="3855"/>
            <w:vAlign w:val="center"/>
          </w:tcPr>
          <w:p>
            <w:pPr>
              <w:keepNext w:val="0"/>
              <w:spacing w:line="320" w:lineRule="exact" w:after="0" w:before="0"/>
              <w:ind w:firstLine="0"/>
              <w:jc w:val="left"/>
            </w:pPr>
            <w:r>
              <w:rPr>
                <w:b w:val="0"/>
                <w:sz w:val="21"/>
              </w:rPr>
              <w:t>按期完成且复核通过的问题情况</w:t>
            </w:r>
          </w:p>
        </w:tc>
        <w:tc>
          <w:tcPr>
            <w:tcW w:type="dxa" w:w="3277"/>
            <w:vAlign w:val="center"/>
          </w:tcPr>
          <w:p>
            <w:pPr>
              <w:keepNext w:val="0"/>
              <w:spacing w:line="320" w:lineRule="exact" w:after="0" w:before="0"/>
              <w:ind w:firstLine="0"/>
              <w:jc w:val="left"/>
            </w:pPr>
            <w:r>
              <w:rPr>
                <w:b w:val="0"/>
                <w:sz w:val="21"/>
              </w:rPr>
              <w:t>区分临时控制、根因修复和复发</w:t>
            </w:r>
          </w:p>
        </w:tc>
      </w:tr>
      <w:tr>
        <w:trPr>
          <w:cantSplit/>
        </w:trPr>
        <w:tc>
          <w:tcPr>
            <w:tcW w:type="dxa" w:w="2506"/>
            <w:vAlign w:val="center"/>
          </w:tcPr>
          <w:p>
            <w:pPr>
              <w:keepNext w:val="0"/>
              <w:spacing w:line="320" w:lineRule="exact" w:after="0" w:before="0"/>
              <w:ind w:firstLine="0"/>
              <w:jc w:val="left"/>
            </w:pPr>
            <w:r>
              <w:rPr>
                <w:b w:val="0"/>
                <w:sz w:val="21"/>
              </w:rPr>
              <w:t>元数据维护</w:t>
            </w:r>
          </w:p>
        </w:tc>
        <w:tc>
          <w:tcPr>
            <w:tcW w:type="dxa" w:w="3855"/>
            <w:vAlign w:val="center"/>
          </w:tcPr>
          <w:p>
            <w:pPr>
              <w:keepNext w:val="0"/>
              <w:spacing w:line="320" w:lineRule="exact" w:after="0" w:before="0"/>
              <w:ind w:firstLine="0"/>
              <w:jc w:val="left"/>
            </w:pPr>
            <w:r>
              <w:rPr>
                <w:b w:val="0"/>
                <w:sz w:val="21"/>
              </w:rPr>
              <w:t>已纳管对象的必需元数据及准确性</w:t>
            </w:r>
          </w:p>
        </w:tc>
        <w:tc>
          <w:tcPr>
            <w:tcW w:type="dxa" w:w="3277"/>
            <w:vAlign w:val="center"/>
          </w:tcPr>
          <w:p>
            <w:pPr>
              <w:keepNext w:val="0"/>
              <w:spacing w:line="320" w:lineRule="exact" w:after="0" w:before="0"/>
              <w:ind w:firstLine="0"/>
              <w:jc w:val="left"/>
            </w:pPr>
            <w:r>
              <w:rPr>
                <w:b w:val="0"/>
                <w:sz w:val="21"/>
              </w:rPr>
              <w:t>缺失补录、责任纠正及采集修复</w:t>
            </w:r>
          </w:p>
        </w:tc>
      </w:tr>
      <w:tr>
        <w:trPr>
          <w:cantSplit/>
        </w:trPr>
        <w:tc>
          <w:tcPr>
            <w:tcW w:type="dxa" w:w="2506"/>
            <w:vAlign w:val="center"/>
          </w:tcPr>
          <w:p>
            <w:pPr>
              <w:keepNext w:val="0"/>
              <w:spacing w:line="320" w:lineRule="exact" w:after="0" w:before="0"/>
              <w:ind w:firstLine="0"/>
              <w:jc w:val="left"/>
            </w:pPr>
            <w:r>
              <w:rPr>
                <w:b w:val="0"/>
                <w:sz w:val="21"/>
              </w:rPr>
              <w:t>目录服务</w:t>
            </w:r>
          </w:p>
        </w:tc>
        <w:tc>
          <w:tcPr>
            <w:tcW w:type="dxa" w:w="3855"/>
            <w:vAlign w:val="center"/>
          </w:tcPr>
          <w:p>
            <w:pPr>
              <w:keepNext w:val="0"/>
              <w:spacing w:line="320" w:lineRule="exact" w:after="0" w:before="0"/>
              <w:ind w:firstLine="0"/>
              <w:jc w:val="left"/>
            </w:pPr>
            <w:r>
              <w:rPr>
                <w:b w:val="0"/>
                <w:sz w:val="21"/>
              </w:rPr>
              <w:t>可发布资源的目录一致与授权使用</w:t>
            </w:r>
          </w:p>
        </w:tc>
        <w:tc>
          <w:tcPr>
            <w:tcW w:type="dxa" w:w="3277"/>
            <w:vAlign w:val="center"/>
          </w:tcPr>
          <w:p>
            <w:pPr>
              <w:keepNext w:val="0"/>
              <w:spacing w:line="320" w:lineRule="exact" w:after="0" w:before="0"/>
              <w:ind w:firstLine="0"/>
              <w:jc w:val="left"/>
            </w:pPr>
            <w:r>
              <w:rPr>
                <w:b w:val="0"/>
                <w:sz w:val="21"/>
              </w:rPr>
              <w:t>状态修订、权限收回及服务恢复</w:t>
            </w:r>
          </w:p>
        </w:tc>
      </w:tr>
      <w:tr>
        <w:trPr>
          <w:cantSplit/>
        </w:trPr>
        <w:tc>
          <w:tcPr>
            <w:tcW w:type="dxa" w:w="2506"/>
            <w:vAlign w:val="center"/>
          </w:tcPr>
          <w:p>
            <w:pPr>
              <w:keepNext w:val="0"/>
              <w:spacing w:line="320" w:lineRule="exact" w:after="0" w:before="0"/>
              <w:ind w:firstLine="0"/>
              <w:jc w:val="left"/>
            </w:pPr>
            <w:r>
              <w:rPr>
                <w:b w:val="0"/>
                <w:sz w:val="21"/>
              </w:rPr>
              <w:t>能力提升</w:t>
            </w:r>
          </w:p>
        </w:tc>
        <w:tc>
          <w:tcPr>
            <w:tcW w:type="dxa" w:w="3855"/>
            <w:vAlign w:val="center"/>
          </w:tcPr>
          <w:p>
            <w:pPr>
              <w:keepNext w:val="0"/>
              <w:spacing w:line="320" w:lineRule="exact" w:after="0" w:before="0"/>
              <w:ind w:firstLine="0"/>
              <w:jc w:val="left"/>
            </w:pPr>
            <w:r>
              <w:rPr>
                <w:b w:val="0"/>
                <w:sz w:val="21"/>
              </w:rPr>
              <w:t>岗位实际操作、案例处理及考核结果</w:t>
            </w:r>
          </w:p>
        </w:tc>
        <w:tc>
          <w:tcPr>
            <w:tcW w:type="dxa" w:w="3277"/>
            <w:vAlign w:val="center"/>
          </w:tcPr>
          <w:p>
            <w:pPr>
              <w:keepNext w:val="0"/>
              <w:spacing w:line="320" w:lineRule="exact" w:after="0" w:before="0"/>
              <w:ind w:firstLine="0"/>
              <w:jc w:val="left"/>
            </w:pPr>
            <w:r>
              <w:rPr>
                <w:b w:val="0"/>
                <w:sz w:val="21"/>
              </w:rPr>
              <w:t>补训、辅导和重新验证</w:t>
            </w:r>
          </w:p>
        </w:tc>
      </w:tr>
    </w:tbl>
    <w:p>
      <w:pPr>
        <w:spacing w:after="40" w:line="240" w:lineRule="auto"/>
        <w:ind w:firstLine="0"/>
      </w:pPr>
      <w:r>
        <w:rPr>
          <w:sz w:val="4"/>
        </w:rPr>
      </w:r>
    </w:p>
    <w:p>
      <w:pPr>
        <w:jc w:val="both"/>
      </w:pPr>
      <w:r>
        <w:t>考核结果由责任岗位核对，存在数据错误或责任争议时走复核流程。因新增对象导致分母变化、因系统调整导致取数中断等情况记录变化，采用可比口径评价。考核发现的共性困难进入制度和工具改进，评价结果与培训、资源安排、任务调整相衔接。</w:t>
      </w:r>
    </w:p>
    <w:p>
      <w:pPr>
        <w:pStyle w:val="Heading2"/>
      </w:pPr>
      <w:r>
        <w:t>5.8 数据文化建设</w:t>
      </w:r>
    </w:p>
    <w:p>
      <w:pPr>
        <w:jc w:val="both"/>
      </w:pPr>
      <w:r>
        <w:t>数据文化建设围绕真实记录、统一口径、明确责任、依规使用和主动改进开展。面向管理层强调将数据要求纳入业务决策和资源安排；面向业务岗位强调数据形成环节的责任、定义、质量与下游影响；面向技术岗位强调按批准规则实施、保留过程和主动报告异常；面向使用岗位强调授权用途、适用条件和问题反馈。</w:t>
      </w:r>
    </w:p>
    <w:p>
      <w:pPr>
        <w:jc w:val="both"/>
      </w:pPr>
      <w:r>
        <w:t>宣贯材料采用本项目的业务对象和实际流程，围绕物料编码、图纸版本、工件关联、炉次曲线、检验结果、指标口径和目录授权组织案例。案例使用经批准的数据并进行必要脱敏，展示错误如何发生、影响哪些结果、如何定位和纠正。问题案例聚焦流程和控制改进，不公开不必要的个人信息。</w:t>
      </w:r>
    </w:p>
    <w:p>
      <w:pPr>
        <w:jc w:val="both"/>
      </w:pPr>
      <w:r>
        <w:t>我方协助建立岗位知识库，收录制度、操作规范、常见问题、已批准口径、典型处理和培训材料。条目设置责任人、有效版本、适用岗位和复查时间。业务人员提出问题后形成受理、解答、确认和更新记录；经验证的共性问题转化为规范或培训内容，减少反复询问和个人经验依赖。</w:t>
      </w:r>
    </w:p>
    <w:p>
      <w:pPr>
        <w:jc w:val="both"/>
      </w:pPr>
      <w:r>
        <w:t>文化建设效果通过规则理解、实际操作、问题主动报告和跨部门协作情况评价。将优秀实践整理为可复用作业方法，纳入岗位培训和新员工接续培训。对制度难以执行、表单负担过重或平台提示不清的反馈，组织业务和技术岗位共同优化，保持制度要求与日常工作相适应。</w:t>
      </w:r>
    </w:p>
    <w:p>
      <w:pPr>
        <w:pStyle w:val="Heading2"/>
      </w:pPr>
      <w:r>
        <w:t>5.9 培训计划与数据管理师能力提升</w:t>
      </w:r>
    </w:p>
    <w:p>
      <w:pPr>
        <w:jc w:val="both"/>
      </w:pPr>
      <w:r>
        <w:t>培训按照管理认知、业务规则、技术实施、运营实践和评估取证设置课程。管理认知覆盖战略、组织、制度和评价；业务规则覆盖术语、主数据、质量及场景需求；技术实施覆盖模型、集成、元数据、血缘和变更；运营实践覆盖资产、目录、授权、使用与价值；评估取证覆盖真实运行记录、核查方法和问题整改。每门课程明确对象、前置知识、学习目标、材料和考核方式。</w:t>
      </w:r>
    </w:p>
    <w:p>
      <w:pPr>
        <w:jc w:val="both"/>
      </w:pPr>
      <w:r>
        <w:t>培训实施分为集中讲授、岗位演示、受控实操、独立作业和结果反馈。实操采用甲方实际流程和经授权的样本，由学员完成资源登记、字段映射、质量分析、变更评估或授权处理；讲师依据结果检查理解和操作能力。培训签到、课程完成、考试结果和实操评价分别记录，不能以签到代替能力考核。</w:t>
      </w:r>
    </w:p>
    <w:p>
      <w:pPr>
        <w:pStyle w:val="Caption"/>
        <w:keepNext/>
      </w:pPr>
      <w:r>
        <w:t>表5-5 培训计划与数据管理师能力提升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培训对象</w:t>
            </w:r>
          </w:p>
        </w:tc>
        <w:tc>
          <w:tcPr>
            <w:tcW w:type="dxa" w:w="3855"/>
            <w:vAlign w:val="center"/>
            <w:shd w:fill="EDF1F3"/>
          </w:tcPr>
          <w:p>
            <w:pPr>
              <w:keepNext/>
              <w:spacing w:line="320" w:lineRule="exact" w:after="0" w:before="0"/>
              <w:ind w:firstLine="0"/>
              <w:jc w:val="center"/>
            </w:pPr>
            <w:r>
              <w:rPr>
                <w:b/>
                <w:sz w:val="21"/>
              </w:rPr>
              <w:t>重点课程</w:t>
            </w:r>
          </w:p>
        </w:tc>
        <w:tc>
          <w:tcPr>
            <w:tcW w:type="dxa" w:w="3277"/>
            <w:vAlign w:val="center"/>
            <w:shd w:fill="EDF1F3"/>
          </w:tcPr>
          <w:p>
            <w:pPr>
              <w:keepNext/>
              <w:spacing w:line="320" w:lineRule="exact" w:after="0" w:before="0"/>
              <w:ind w:firstLine="0"/>
              <w:jc w:val="center"/>
            </w:pPr>
            <w:r>
              <w:rPr>
                <w:b/>
                <w:sz w:val="21"/>
              </w:rPr>
              <w:t>实践任务</w:t>
            </w:r>
          </w:p>
        </w:tc>
      </w:tr>
      <w:tr>
        <w:trPr>
          <w:cantSplit/>
        </w:trPr>
        <w:tc>
          <w:tcPr>
            <w:tcW w:type="dxa" w:w="2506"/>
            <w:vAlign w:val="center"/>
          </w:tcPr>
          <w:p>
            <w:pPr>
              <w:keepNext w:val="0"/>
              <w:spacing w:line="320" w:lineRule="exact" w:after="0" w:before="0"/>
              <w:ind w:firstLine="0"/>
              <w:jc w:val="left"/>
            </w:pPr>
            <w:r>
              <w:rPr>
                <w:b w:val="0"/>
                <w:sz w:val="21"/>
              </w:rPr>
              <w:t>决策与管理岗位</w:t>
            </w:r>
          </w:p>
        </w:tc>
        <w:tc>
          <w:tcPr>
            <w:tcW w:type="dxa" w:w="3855"/>
            <w:vAlign w:val="center"/>
          </w:tcPr>
          <w:p>
            <w:pPr>
              <w:keepNext w:val="0"/>
              <w:spacing w:line="320" w:lineRule="exact" w:after="0" w:before="0"/>
              <w:ind w:firstLine="0"/>
              <w:jc w:val="left"/>
            </w:pPr>
            <w:r>
              <w:rPr>
                <w:b w:val="0"/>
                <w:sz w:val="21"/>
              </w:rPr>
              <w:t>数据战略、治理责任、评价与风险</w:t>
            </w:r>
          </w:p>
        </w:tc>
        <w:tc>
          <w:tcPr>
            <w:tcW w:type="dxa" w:w="3277"/>
            <w:vAlign w:val="center"/>
          </w:tcPr>
          <w:p>
            <w:pPr>
              <w:keepNext w:val="0"/>
              <w:spacing w:line="320" w:lineRule="exact" w:after="0" w:before="0"/>
              <w:ind w:firstLine="0"/>
              <w:jc w:val="left"/>
            </w:pPr>
            <w:r>
              <w:rPr>
                <w:b w:val="0"/>
                <w:sz w:val="21"/>
              </w:rPr>
              <w:t>审议一项跨域问题及资源安排</w:t>
            </w:r>
          </w:p>
        </w:tc>
      </w:tr>
      <w:tr>
        <w:trPr>
          <w:cantSplit/>
        </w:trPr>
        <w:tc>
          <w:tcPr>
            <w:tcW w:type="dxa" w:w="2506"/>
            <w:vAlign w:val="center"/>
          </w:tcPr>
          <w:p>
            <w:pPr>
              <w:keepNext w:val="0"/>
              <w:spacing w:line="320" w:lineRule="exact" w:after="0" w:before="0"/>
              <w:ind w:firstLine="0"/>
              <w:jc w:val="left"/>
            </w:pPr>
            <w:r>
              <w:rPr>
                <w:b w:val="0"/>
                <w:sz w:val="21"/>
              </w:rPr>
              <w:t>业务数据管理岗位</w:t>
            </w:r>
          </w:p>
        </w:tc>
        <w:tc>
          <w:tcPr>
            <w:tcW w:type="dxa" w:w="3855"/>
            <w:vAlign w:val="center"/>
          </w:tcPr>
          <w:p>
            <w:pPr>
              <w:keepNext w:val="0"/>
              <w:spacing w:line="320" w:lineRule="exact" w:after="0" w:before="0"/>
              <w:ind w:firstLine="0"/>
              <w:jc w:val="left"/>
            </w:pPr>
            <w:r>
              <w:rPr>
                <w:b w:val="0"/>
                <w:sz w:val="21"/>
              </w:rPr>
              <w:t>术语、主数据、目录、质量与需求</w:t>
            </w:r>
          </w:p>
        </w:tc>
        <w:tc>
          <w:tcPr>
            <w:tcW w:type="dxa" w:w="3277"/>
            <w:vAlign w:val="center"/>
          </w:tcPr>
          <w:p>
            <w:pPr>
              <w:keepNext w:val="0"/>
              <w:spacing w:line="320" w:lineRule="exact" w:after="0" w:before="0"/>
              <w:ind w:firstLine="0"/>
              <w:jc w:val="left"/>
            </w:pPr>
            <w:r>
              <w:rPr>
                <w:b w:val="0"/>
                <w:sz w:val="21"/>
              </w:rPr>
              <w:t>完成对象登记、规则确认和问题复核</w:t>
            </w:r>
          </w:p>
        </w:tc>
      </w:tr>
      <w:tr>
        <w:trPr>
          <w:cantSplit/>
        </w:trPr>
        <w:tc>
          <w:tcPr>
            <w:tcW w:type="dxa" w:w="2506"/>
            <w:vAlign w:val="center"/>
          </w:tcPr>
          <w:p>
            <w:pPr>
              <w:keepNext w:val="0"/>
              <w:spacing w:line="320" w:lineRule="exact" w:after="0" w:before="0"/>
              <w:ind w:firstLine="0"/>
              <w:jc w:val="left"/>
            </w:pPr>
            <w:r>
              <w:rPr>
                <w:b w:val="0"/>
                <w:sz w:val="21"/>
              </w:rPr>
              <w:t>架构与开发岗位</w:t>
            </w:r>
          </w:p>
        </w:tc>
        <w:tc>
          <w:tcPr>
            <w:tcW w:type="dxa" w:w="3855"/>
            <w:vAlign w:val="center"/>
          </w:tcPr>
          <w:p>
            <w:pPr>
              <w:keepNext w:val="0"/>
              <w:spacing w:line="320" w:lineRule="exact" w:after="0" w:before="0"/>
              <w:ind w:firstLine="0"/>
              <w:jc w:val="left"/>
            </w:pPr>
            <w:r>
              <w:rPr>
                <w:b w:val="0"/>
                <w:sz w:val="21"/>
              </w:rPr>
              <w:t>五层模型、接口、元数据和血缘</w:t>
            </w:r>
          </w:p>
        </w:tc>
        <w:tc>
          <w:tcPr>
            <w:tcW w:type="dxa" w:w="3277"/>
            <w:vAlign w:val="center"/>
          </w:tcPr>
          <w:p>
            <w:pPr>
              <w:keepNext w:val="0"/>
              <w:spacing w:line="320" w:lineRule="exact" w:after="0" w:before="0"/>
              <w:ind w:firstLine="0"/>
              <w:jc w:val="left"/>
            </w:pPr>
            <w:r>
              <w:rPr>
                <w:b w:val="0"/>
                <w:sz w:val="21"/>
              </w:rPr>
              <w:t>完成模型变更、影响分析及验证</w:t>
            </w:r>
          </w:p>
        </w:tc>
      </w:tr>
      <w:tr>
        <w:trPr>
          <w:cantSplit/>
        </w:trPr>
        <w:tc>
          <w:tcPr>
            <w:tcW w:type="dxa" w:w="2506"/>
            <w:vAlign w:val="center"/>
          </w:tcPr>
          <w:p>
            <w:pPr>
              <w:keepNext w:val="0"/>
              <w:spacing w:line="320" w:lineRule="exact" w:after="0" w:before="0"/>
              <w:ind w:firstLine="0"/>
              <w:jc w:val="left"/>
            </w:pPr>
            <w:r>
              <w:rPr>
                <w:b w:val="0"/>
                <w:sz w:val="21"/>
              </w:rPr>
              <w:t>质量与安全岗位</w:t>
            </w:r>
          </w:p>
        </w:tc>
        <w:tc>
          <w:tcPr>
            <w:tcW w:type="dxa" w:w="3855"/>
            <w:vAlign w:val="center"/>
          </w:tcPr>
          <w:p>
            <w:pPr>
              <w:keepNext w:val="0"/>
              <w:spacing w:line="320" w:lineRule="exact" w:after="0" w:before="0"/>
              <w:ind w:firstLine="0"/>
              <w:jc w:val="left"/>
            </w:pPr>
            <w:r>
              <w:rPr>
                <w:b w:val="0"/>
                <w:sz w:val="21"/>
              </w:rPr>
              <w:t>检查、归因、分级授权及审计</w:t>
            </w:r>
          </w:p>
        </w:tc>
        <w:tc>
          <w:tcPr>
            <w:tcW w:type="dxa" w:w="3277"/>
            <w:vAlign w:val="center"/>
          </w:tcPr>
          <w:p>
            <w:pPr>
              <w:keepNext w:val="0"/>
              <w:spacing w:line="320" w:lineRule="exact" w:after="0" w:before="0"/>
              <w:ind w:firstLine="0"/>
              <w:jc w:val="left"/>
            </w:pPr>
            <w:r>
              <w:rPr>
                <w:b w:val="0"/>
                <w:sz w:val="21"/>
              </w:rPr>
              <w:t>完成异常定位、处置和复核</w:t>
            </w:r>
          </w:p>
        </w:tc>
      </w:tr>
      <w:tr>
        <w:trPr>
          <w:cantSplit/>
        </w:trPr>
        <w:tc>
          <w:tcPr>
            <w:tcW w:type="dxa" w:w="2506"/>
            <w:vAlign w:val="center"/>
          </w:tcPr>
          <w:p>
            <w:pPr>
              <w:keepNext w:val="0"/>
              <w:spacing w:line="320" w:lineRule="exact" w:after="0" w:before="0"/>
              <w:ind w:firstLine="0"/>
              <w:jc w:val="left"/>
            </w:pPr>
            <w:r>
              <w:rPr>
                <w:b w:val="0"/>
                <w:sz w:val="21"/>
              </w:rPr>
              <w:t>资产运营岗位</w:t>
            </w:r>
          </w:p>
        </w:tc>
        <w:tc>
          <w:tcPr>
            <w:tcW w:type="dxa" w:w="3855"/>
            <w:vAlign w:val="center"/>
          </w:tcPr>
          <w:p>
            <w:pPr>
              <w:keepNext w:val="0"/>
              <w:spacing w:line="320" w:lineRule="exact" w:after="0" w:before="0"/>
              <w:ind w:firstLine="0"/>
              <w:jc w:val="left"/>
            </w:pPr>
            <w:r>
              <w:rPr>
                <w:b w:val="0"/>
                <w:sz w:val="21"/>
              </w:rPr>
              <w:t>权属、价值、申请、使用和退出</w:t>
            </w:r>
          </w:p>
        </w:tc>
        <w:tc>
          <w:tcPr>
            <w:tcW w:type="dxa" w:w="3277"/>
            <w:vAlign w:val="center"/>
          </w:tcPr>
          <w:p>
            <w:pPr>
              <w:keepNext w:val="0"/>
              <w:spacing w:line="320" w:lineRule="exact" w:after="0" w:before="0"/>
              <w:ind w:firstLine="0"/>
              <w:jc w:val="left"/>
            </w:pPr>
            <w:r>
              <w:rPr>
                <w:b w:val="0"/>
                <w:sz w:val="21"/>
              </w:rPr>
              <w:t>完成一次完整授权及到期回收</w:t>
            </w:r>
          </w:p>
        </w:tc>
      </w:tr>
      <w:tr>
        <w:trPr>
          <w:cantSplit/>
        </w:trPr>
        <w:tc>
          <w:tcPr>
            <w:tcW w:type="dxa" w:w="2506"/>
            <w:vAlign w:val="center"/>
          </w:tcPr>
          <w:p>
            <w:pPr>
              <w:keepNext w:val="0"/>
              <w:spacing w:line="320" w:lineRule="exact" w:after="0" w:before="0"/>
              <w:ind w:firstLine="0"/>
              <w:jc w:val="left"/>
            </w:pPr>
            <w:r>
              <w:rPr>
                <w:b w:val="0"/>
                <w:sz w:val="21"/>
              </w:rPr>
              <w:t>数据管理师培养对象</w:t>
            </w:r>
          </w:p>
        </w:tc>
        <w:tc>
          <w:tcPr>
            <w:tcW w:type="dxa" w:w="3855"/>
            <w:vAlign w:val="center"/>
          </w:tcPr>
          <w:p>
            <w:pPr>
              <w:keepNext w:val="0"/>
              <w:spacing w:line="320" w:lineRule="exact" w:after="0" w:before="0"/>
              <w:ind w:firstLine="0"/>
              <w:jc w:val="left"/>
            </w:pPr>
            <w:r>
              <w:rPr>
                <w:b w:val="0"/>
                <w:sz w:val="21"/>
              </w:rPr>
              <w:t>九域知识、组织协调与综合实践</w:t>
            </w:r>
          </w:p>
        </w:tc>
        <w:tc>
          <w:tcPr>
            <w:tcW w:type="dxa" w:w="3277"/>
            <w:vAlign w:val="center"/>
          </w:tcPr>
          <w:p>
            <w:pPr>
              <w:keepNext w:val="0"/>
              <w:spacing w:line="320" w:lineRule="exact" w:after="0" w:before="0"/>
              <w:ind w:firstLine="0"/>
              <w:jc w:val="left"/>
            </w:pPr>
            <w:r>
              <w:rPr>
                <w:b w:val="0"/>
                <w:sz w:val="21"/>
              </w:rPr>
              <w:t>独立承担专题治理并形成运行证据</w:t>
            </w:r>
          </w:p>
        </w:tc>
      </w:tr>
    </w:tbl>
    <w:p>
      <w:pPr>
        <w:spacing w:after="40" w:line="240" w:lineRule="auto"/>
        <w:ind w:firstLine="0"/>
      </w:pPr>
      <w:r>
        <w:rPr>
          <w:sz w:val="4"/>
        </w:rPr>
      </w:r>
    </w:p>
    <w:p>
      <w:pPr>
        <w:jc w:val="both"/>
      </w:pPr>
      <w:r>
        <w:t>数据管理师能力提升结合个人岗位制定学习与实践计划，建立知识、工具、业务理解和组织协调四类能力记录。通过跟岗、联合处理、独立负责和复盘逐步提升，安排其参与跨域规则确认、质量整改和资产运营。针对薄弱环节开展补训和复测，结业评价采用知识考核、操作成果及岗位实践综合判断。培训成果包括课程、讲义、演示、操作指引、考核、能力评价和后续提升安排，随数据文化建设方案交付。</w:t>
      </w:r>
    </w:p>
    <w:p>
      <w:pPr>
        <w:pStyle w:val="Heading1"/>
      </w:pPr>
      <w:r>
        <w:t>6 数据架构与数仓模型规划</w:t>
      </w:r>
    </w:p>
    <w:p>
      <w:pPr>
        <w:pStyle w:val="Heading2"/>
      </w:pPr>
      <w:r>
        <w:t>6.1 架构总体设计</w:t>
      </w:r>
    </w:p>
    <w:p>
      <w:pPr>
        <w:jc w:val="both"/>
      </w:pPr>
      <w:r>
        <w:t>我方建立来源接入、数据治理、数仓模型、数据产品和服务应用相衔接的数据架构。来源接入保留源系统业务事实与原始多模态载体；治理过程完成定义映射、主数据关联、质量检查和安全控制；数仓采用 ODS 贴源层、DWD 明细层、DWS 汇总层、DIM 维表层和 ADS 应用层；数据产品包括数据集、知识、指标及共享服务，按照相应用途发布和运营。</w:t>
      </w:r>
    </w:p>
    <w:p>
      <w:pPr>
        <w:jc w:val="both"/>
      </w:pPr>
      <w:r>
        <w:t>分层设计明确每层对象、粒度、处理职责、质量要求、权限、保留和输出。原始事实与修正结果建立关联，公共业务定义在明细和维度层统一，公共统计逻辑在汇总层复用，场景特定输出在应用层组织。文本、图像、时序和视频原始内容存储于适合的受控载体，数仓保存其业务索引、描述、关联和处理结果，形成可查询的跨模态关系。</w:t>
      </w:r>
    </w:p>
    <w:p>
      <w:pPr>
        <w:jc w:val="both"/>
      </w:pPr>
      <w:r>
        <w:t>数据模型设计先明确业务过程、对象粒度和时间含义，再确定维度、事实及关联。对象标识采用业务标识与内部稳定标识相结合的方式，保留来源系统键和历史映射。数据集样本标识、业务对象标识、文件标识和资产标识分别管理，通过关系记录连接，避免将不同层次的对象压缩成同一个编号。</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7" name="Picture 7"/>
            <wp:cNvGraphicFramePr>
              <a:graphicFrameLocks noChangeAspect="1"/>
            </wp:cNvGraphicFramePr>
            <a:graphic>
              <a:graphicData uri="http://schemas.openxmlformats.org/drawingml/2006/picture">
                <pic:pic>
                  <pic:nvPicPr>
                    <pic:cNvPr id="0" name="图7_五层模型.png"/>
                    <pic:cNvPicPr/>
                  </pic:nvPicPr>
                  <pic:blipFill>
                    <a:blip r:embed="rId17"/>
                    <a:stretch>
                      <a:fillRect/>
                    </a:stretch>
                  </pic:blipFill>
                  <pic:spPr>
                    <a:xfrm>
                      <a:off x="0" y="0"/>
                      <a:ext cx="6048000" cy="3004615"/>
                    </a:xfrm>
                    <a:prstGeom prst="rect"/>
                  </pic:spPr>
                </pic:pic>
              </a:graphicData>
            </a:graphic>
          </wp:inline>
        </w:drawing>
      </w:r>
    </w:p>
    <w:p>
      <w:pPr>
        <w:pStyle w:val="Caption"/>
        <w:jc w:val="center"/>
      </w:pPr>
      <w:r>
        <w:t>图6-1 五层数仓模型职责</w:t>
      </w:r>
    </w:p>
    <w:p>
      <w:pPr>
        <w:pStyle w:val="Heading2"/>
      </w:pPr>
      <w:r>
        <w:t>6.2 ODS贴源层</w:t>
      </w:r>
    </w:p>
    <w:p>
      <w:pPr>
        <w:jc w:val="both"/>
      </w:pPr>
      <w:r>
        <w:t>ODS 贴源层承接源系统结构化数据、文件清单及采集元信息，保持可追溯的源端业务事实。每条接收记录保存来源系统、源对象、源键、业务时间、源端变更时间、接收时间、批次及操作类型。批量快照记录快照基准时间和覆盖范围，增量记录保存水位、变更序号或其他可核对位置，文件记录保存版本、大小、格式及完整性校验值。</w:t>
      </w:r>
    </w:p>
    <w:p>
      <w:pPr>
        <w:jc w:val="both"/>
      </w:pPr>
      <w:r>
        <w:t>ODS 的结构变换以稳定接收和必要技术兼容为主，不在缺少业务批准的情况下修改业务含义或删除异常原值。格式错误、缺失、非法编码和无法解析的数据进入异常记录，保存原始值及失败原因。后续治理产生的修正值与原值关联，业务修复需要回到源端时通过相应变更流程实施。</w:t>
      </w:r>
    </w:p>
    <w:p>
      <w:pPr>
        <w:jc w:val="both"/>
      </w:pPr>
      <w:r>
        <w:t>增量接入处理新增、更新和删除，区分源端逻辑删除、作废、归档和物理删除。删除事件按照批准规则传播，防止下游长期保留已无效记录。任务重跑以来源键、批次或事件标识实现幂等，重复传输不产生重复业务事实。首次全量与后续增量衔接时明确切换水位，对交界区间开展重叠核验和去重检查。</w:t>
      </w:r>
    </w:p>
    <w:p>
      <w:pPr>
        <w:jc w:val="both"/>
      </w:pPr>
      <w:r>
        <w:t>ODS 层质量控制包含结构符合性、字段可解析性、记录完整性、批次连续性和源端对账。接收完成同时核对预期对象、记录范围、附件清单和数据量；对差异记录来源确认、补采和重试结果。技术接收成功与业务完整到达分别记录，只有满足约定检查条件的批次进入后续正式处理。</w:t>
      </w:r>
    </w:p>
    <w:p>
      <w:pPr>
        <w:pStyle w:val="Heading2"/>
      </w:pPr>
      <w:r>
        <w:t>6.3 DWD明细层</w:t>
      </w:r>
    </w:p>
    <w:p>
      <w:pPr>
        <w:jc w:val="both"/>
      </w:pPr>
      <w:r>
        <w:t>DWD 明细层按照业务过程构建可复用的标准明细，统一对象标识、字段定义、单位、枚举、时间和状态。事实粒度在模型中明确，工单、工序事件、检验明细、库存变动、设备事件等分别建模，避免在同一表中混用不同层次。每个标准字段关联数据元、来源字段、转换规则和质量规则。</w:t>
      </w:r>
    </w:p>
    <w:p>
      <w:pPr>
        <w:jc w:val="both"/>
      </w:pPr>
      <w:r>
        <w:t>明细处理保留来源值、标准值及必要的转换依据。单位转换登记原单位、目标单位、公式和适用条件；编码映射保存映射版本和有效区间；文本标准化保留原文引用；质量修复记录原因、方法、审核和批次。对于专业判断不明确的数据，设置待复核状态并分配业务责任，不使用未经验证的自动推断填补关键事实。</w:t>
      </w:r>
    </w:p>
    <w:p>
      <w:pPr>
        <w:jc w:val="both"/>
      </w:pPr>
      <w:r>
        <w:t>跨系统关联根据业务标识、时间、版本和关系约束实现。单个字段不足以唯一识别对象时，采用经确认的复合键；一对多和多对多关系使用关联表明确角色、数量、时间及依据。工单与工件、炉次与装炉对象、设备与测点、质量记录与复检等关系保留实际基数，避免任意取首条记录造成错误配对。</w:t>
      </w:r>
    </w:p>
    <w:p>
      <w:pPr>
        <w:jc w:val="both"/>
      </w:pPr>
      <w:r>
        <w:t>迟到记录、补录和纠错按照事件时间归属相应业务区间，记录处理时间及更正关系。已经形成汇总和服务输出的明细发生变化时，通过依赖关系触发重算或更正，保留影响范围和发布记录。历史版本能够重建指定时点的业务状态，支持对既有数据集和指标结果的追溯。</w:t>
      </w:r>
    </w:p>
    <w:p>
      <w:pPr>
        <w:pStyle w:val="Heading2"/>
      </w:pPr>
      <w:r>
        <w:t>6.4 DIM维表层</w:t>
      </w:r>
    </w:p>
    <w:p>
      <w:pPr>
        <w:jc w:val="both"/>
      </w:pPr>
      <w:r>
        <w:t>DIM 维表层统一组织、时间、产品、物料、客户、供应商、设备、工序、质量项目等公共维度。各维度明确自然键、内部稳定键、层级关系、属性定义、来源责任和有效时间。源系统代码变更、对象合并拆分及名称调整均保留历史关系，保证历史事实可以按业务发生时有效的维度进行解释。</w:t>
      </w:r>
    </w:p>
    <w:p>
      <w:pPr>
        <w:jc w:val="both"/>
      </w:pPr>
      <w:r>
        <w:t>对需要保留历史属性的维度设置生效和失效区间，并检查同一对象的区间重叠和空缺。对仅更正录入错误的属性，记录更正依据及对历史解释的影响，确定是否需要保留更正前版本。维度缺失时将相关事实记录为待补全状态，设置明确的未知或未匹配标识，不使用另一个真实对象代替缺失值。</w:t>
      </w:r>
    </w:p>
    <w:p>
      <w:pPr>
        <w:jc w:val="both"/>
      </w:pPr>
      <w:r>
        <w:t>组织和产品层级支持指定时点查询。组织调整后，经营分析可以按原组织或经批准的新组织汇总，两个口径分别命名并记录转换规则；产品结构变更后，生产与质量事实依据实际适用版本关联。共享维度发布前检查编码、名称、层级、有效时间及重复对象，使用方按发布版本和生效规则订阅。</w:t>
      </w:r>
    </w:p>
    <w:p>
      <w:pPr>
        <w:pStyle w:val="Caption"/>
        <w:keepNext/>
      </w:pPr>
      <w:r>
        <w:t>表6-1 DIM维表层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公共维度</w:t>
            </w:r>
          </w:p>
        </w:tc>
        <w:tc>
          <w:tcPr>
            <w:tcW w:type="dxa" w:w="3855"/>
            <w:vAlign w:val="center"/>
            <w:shd w:fill="EDF1F3"/>
          </w:tcPr>
          <w:p>
            <w:pPr>
              <w:keepNext/>
              <w:spacing w:line="320" w:lineRule="exact" w:after="0" w:before="0"/>
              <w:ind w:firstLine="0"/>
              <w:jc w:val="center"/>
            </w:pPr>
            <w:r>
              <w:rPr>
                <w:b/>
                <w:sz w:val="21"/>
              </w:rPr>
              <w:t>主要属性</w:t>
            </w:r>
          </w:p>
        </w:tc>
        <w:tc>
          <w:tcPr>
            <w:tcW w:type="dxa" w:w="3277"/>
            <w:vAlign w:val="center"/>
            <w:shd w:fill="EDF1F3"/>
          </w:tcPr>
          <w:p>
            <w:pPr>
              <w:keepNext/>
              <w:spacing w:line="320" w:lineRule="exact" w:after="0" w:before="0"/>
              <w:ind w:firstLine="0"/>
              <w:jc w:val="center"/>
            </w:pPr>
            <w:r>
              <w:rPr>
                <w:b/>
                <w:sz w:val="21"/>
              </w:rPr>
              <w:t>历史控制重点</w:t>
            </w:r>
          </w:p>
        </w:tc>
      </w:tr>
      <w:tr>
        <w:trPr>
          <w:cantSplit/>
        </w:trPr>
        <w:tc>
          <w:tcPr>
            <w:tcW w:type="dxa" w:w="2506"/>
            <w:vAlign w:val="center"/>
          </w:tcPr>
          <w:p>
            <w:pPr>
              <w:keepNext w:val="0"/>
              <w:spacing w:line="320" w:lineRule="exact" w:after="0" w:before="0"/>
              <w:ind w:firstLine="0"/>
              <w:jc w:val="left"/>
            </w:pPr>
            <w:r>
              <w:rPr>
                <w:b w:val="0"/>
                <w:sz w:val="21"/>
              </w:rPr>
              <w:t>组织岗位</w:t>
            </w:r>
          </w:p>
        </w:tc>
        <w:tc>
          <w:tcPr>
            <w:tcW w:type="dxa" w:w="3855"/>
            <w:vAlign w:val="center"/>
          </w:tcPr>
          <w:p>
            <w:pPr>
              <w:keepNext w:val="0"/>
              <w:spacing w:line="320" w:lineRule="exact" w:after="0" w:before="0"/>
              <w:ind w:firstLine="0"/>
              <w:jc w:val="left"/>
            </w:pPr>
            <w:r>
              <w:rPr>
                <w:b w:val="0"/>
                <w:sz w:val="21"/>
              </w:rPr>
              <w:t>组织代码、层级、岗位与任职</w:t>
            </w:r>
          </w:p>
        </w:tc>
        <w:tc>
          <w:tcPr>
            <w:tcW w:type="dxa" w:w="3277"/>
            <w:vAlign w:val="center"/>
          </w:tcPr>
          <w:p>
            <w:pPr>
              <w:keepNext w:val="0"/>
              <w:spacing w:line="320" w:lineRule="exact" w:after="0" w:before="0"/>
              <w:ind w:firstLine="0"/>
              <w:jc w:val="left"/>
            </w:pPr>
            <w:r>
              <w:rPr>
                <w:b w:val="0"/>
                <w:sz w:val="21"/>
              </w:rPr>
              <w:t>调整、合并、撤销及权限关联</w:t>
            </w:r>
          </w:p>
        </w:tc>
      </w:tr>
      <w:tr>
        <w:trPr>
          <w:cantSplit/>
        </w:trPr>
        <w:tc>
          <w:tcPr>
            <w:tcW w:type="dxa" w:w="2506"/>
            <w:vAlign w:val="center"/>
          </w:tcPr>
          <w:p>
            <w:pPr>
              <w:keepNext w:val="0"/>
              <w:spacing w:line="320" w:lineRule="exact" w:after="0" w:before="0"/>
              <w:ind w:firstLine="0"/>
              <w:jc w:val="left"/>
            </w:pPr>
            <w:r>
              <w:rPr>
                <w:b w:val="0"/>
                <w:sz w:val="21"/>
              </w:rPr>
              <w:t>产品物料</w:t>
            </w:r>
          </w:p>
        </w:tc>
        <w:tc>
          <w:tcPr>
            <w:tcW w:type="dxa" w:w="3855"/>
            <w:vAlign w:val="center"/>
          </w:tcPr>
          <w:p>
            <w:pPr>
              <w:keepNext w:val="0"/>
              <w:spacing w:line="320" w:lineRule="exact" w:after="0" w:before="0"/>
              <w:ind w:firstLine="0"/>
              <w:jc w:val="left"/>
            </w:pPr>
            <w:r>
              <w:rPr>
                <w:b w:val="0"/>
                <w:sz w:val="21"/>
              </w:rPr>
              <w:t>型号、编码、类别、单位与结构</w:t>
            </w:r>
          </w:p>
        </w:tc>
        <w:tc>
          <w:tcPr>
            <w:tcW w:type="dxa" w:w="3277"/>
            <w:vAlign w:val="center"/>
          </w:tcPr>
          <w:p>
            <w:pPr>
              <w:keepNext w:val="0"/>
              <w:spacing w:line="320" w:lineRule="exact" w:after="0" w:before="0"/>
              <w:ind w:firstLine="0"/>
              <w:jc w:val="left"/>
            </w:pPr>
            <w:r>
              <w:rPr>
                <w:b w:val="0"/>
                <w:sz w:val="21"/>
              </w:rPr>
              <w:t>改型、编码替换、物料合并和版本</w:t>
            </w:r>
          </w:p>
        </w:tc>
      </w:tr>
      <w:tr>
        <w:trPr>
          <w:cantSplit/>
        </w:trPr>
        <w:tc>
          <w:tcPr>
            <w:tcW w:type="dxa" w:w="2506"/>
            <w:vAlign w:val="center"/>
          </w:tcPr>
          <w:p>
            <w:pPr>
              <w:keepNext w:val="0"/>
              <w:spacing w:line="320" w:lineRule="exact" w:after="0" w:before="0"/>
              <w:ind w:firstLine="0"/>
              <w:jc w:val="left"/>
            </w:pPr>
            <w:r>
              <w:rPr>
                <w:b w:val="0"/>
                <w:sz w:val="21"/>
              </w:rPr>
              <w:t>设备测点</w:t>
            </w:r>
          </w:p>
        </w:tc>
        <w:tc>
          <w:tcPr>
            <w:tcW w:type="dxa" w:w="3855"/>
            <w:vAlign w:val="center"/>
          </w:tcPr>
          <w:p>
            <w:pPr>
              <w:keepNext w:val="0"/>
              <w:spacing w:line="320" w:lineRule="exact" w:after="0" w:before="0"/>
              <w:ind w:firstLine="0"/>
              <w:jc w:val="left"/>
            </w:pPr>
            <w:r>
              <w:rPr>
                <w:b w:val="0"/>
                <w:sz w:val="21"/>
              </w:rPr>
              <w:t>设备层级、部件、测点及采样配置</w:t>
            </w:r>
          </w:p>
        </w:tc>
        <w:tc>
          <w:tcPr>
            <w:tcW w:type="dxa" w:w="3277"/>
            <w:vAlign w:val="center"/>
          </w:tcPr>
          <w:p>
            <w:pPr>
              <w:keepNext w:val="0"/>
              <w:spacing w:line="320" w:lineRule="exact" w:after="0" w:before="0"/>
              <w:ind w:firstLine="0"/>
              <w:jc w:val="left"/>
            </w:pPr>
            <w:r>
              <w:rPr>
                <w:b w:val="0"/>
                <w:sz w:val="21"/>
              </w:rPr>
              <w:t>更换、迁移、校准和测点有效区间</w:t>
            </w:r>
          </w:p>
        </w:tc>
      </w:tr>
      <w:tr>
        <w:trPr>
          <w:cantSplit/>
        </w:trPr>
        <w:tc>
          <w:tcPr>
            <w:tcW w:type="dxa" w:w="2506"/>
            <w:vAlign w:val="center"/>
          </w:tcPr>
          <w:p>
            <w:pPr>
              <w:keepNext w:val="0"/>
              <w:spacing w:line="320" w:lineRule="exact" w:after="0" w:before="0"/>
              <w:ind w:firstLine="0"/>
              <w:jc w:val="left"/>
            </w:pPr>
            <w:r>
              <w:rPr>
                <w:b w:val="0"/>
                <w:sz w:val="21"/>
              </w:rPr>
              <w:t>客户供应商</w:t>
            </w:r>
          </w:p>
        </w:tc>
        <w:tc>
          <w:tcPr>
            <w:tcW w:type="dxa" w:w="3855"/>
            <w:vAlign w:val="center"/>
          </w:tcPr>
          <w:p>
            <w:pPr>
              <w:keepNext w:val="0"/>
              <w:spacing w:line="320" w:lineRule="exact" w:after="0" w:before="0"/>
              <w:ind w:firstLine="0"/>
              <w:jc w:val="left"/>
            </w:pPr>
            <w:r>
              <w:rPr>
                <w:b w:val="0"/>
                <w:sz w:val="21"/>
              </w:rPr>
              <w:t>主体标识、名称、类别及状态</w:t>
            </w:r>
          </w:p>
        </w:tc>
        <w:tc>
          <w:tcPr>
            <w:tcW w:type="dxa" w:w="3277"/>
            <w:vAlign w:val="center"/>
          </w:tcPr>
          <w:p>
            <w:pPr>
              <w:keepNext w:val="0"/>
              <w:spacing w:line="320" w:lineRule="exact" w:after="0" w:before="0"/>
              <w:ind w:firstLine="0"/>
              <w:jc w:val="left"/>
            </w:pPr>
            <w:r>
              <w:rPr>
                <w:b w:val="0"/>
                <w:sz w:val="21"/>
              </w:rPr>
              <w:t>主体变化、停用及历史业务保留</w:t>
            </w:r>
          </w:p>
        </w:tc>
      </w:tr>
      <w:tr>
        <w:trPr>
          <w:cantSplit/>
        </w:trPr>
        <w:tc>
          <w:tcPr>
            <w:tcW w:type="dxa" w:w="2506"/>
            <w:vAlign w:val="center"/>
          </w:tcPr>
          <w:p>
            <w:pPr>
              <w:keepNext w:val="0"/>
              <w:spacing w:line="320" w:lineRule="exact" w:after="0" w:before="0"/>
              <w:ind w:firstLine="0"/>
              <w:jc w:val="left"/>
            </w:pPr>
            <w:r>
              <w:rPr>
                <w:b w:val="0"/>
                <w:sz w:val="21"/>
              </w:rPr>
              <w:t>工序质量</w:t>
            </w:r>
          </w:p>
        </w:tc>
        <w:tc>
          <w:tcPr>
            <w:tcW w:type="dxa" w:w="3855"/>
            <w:vAlign w:val="center"/>
          </w:tcPr>
          <w:p>
            <w:pPr>
              <w:keepNext w:val="0"/>
              <w:spacing w:line="320" w:lineRule="exact" w:after="0" w:before="0"/>
              <w:ind w:firstLine="0"/>
              <w:jc w:val="left"/>
            </w:pPr>
            <w:r>
              <w:rPr>
                <w:b w:val="0"/>
                <w:sz w:val="21"/>
              </w:rPr>
              <w:t>工序、检验项、单位、依据</w:t>
            </w:r>
          </w:p>
        </w:tc>
        <w:tc>
          <w:tcPr>
            <w:tcW w:type="dxa" w:w="3277"/>
            <w:vAlign w:val="center"/>
          </w:tcPr>
          <w:p>
            <w:pPr>
              <w:keepNext w:val="0"/>
              <w:spacing w:line="320" w:lineRule="exact" w:after="0" w:before="0"/>
              <w:ind w:firstLine="0"/>
              <w:jc w:val="left"/>
            </w:pPr>
            <w:r>
              <w:rPr>
                <w:b w:val="0"/>
                <w:sz w:val="21"/>
              </w:rPr>
              <w:t>工艺变更、标准更新和适用范围</w:t>
            </w:r>
          </w:p>
        </w:tc>
      </w:tr>
      <w:tr>
        <w:trPr>
          <w:cantSplit/>
        </w:trPr>
        <w:tc>
          <w:tcPr>
            <w:tcW w:type="dxa" w:w="2506"/>
            <w:vAlign w:val="center"/>
          </w:tcPr>
          <w:p>
            <w:pPr>
              <w:keepNext w:val="0"/>
              <w:spacing w:line="320" w:lineRule="exact" w:after="0" w:before="0"/>
              <w:ind w:firstLine="0"/>
              <w:jc w:val="left"/>
            </w:pPr>
            <w:r>
              <w:rPr>
                <w:b w:val="0"/>
                <w:sz w:val="21"/>
              </w:rPr>
              <w:t>时间日历</w:t>
            </w:r>
          </w:p>
        </w:tc>
        <w:tc>
          <w:tcPr>
            <w:tcW w:type="dxa" w:w="3855"/>
            <w:vAlign w:val="center"/>
          </w:tcPr>
          <w:p>
            <w:pPr>
              <w:keepNext w:val="0"/>
              <w:spacing w:line="320" w:lineRule="exact" w:after="0" w:before="0"/>
              <w:ind w:firstLine="0"/>
              <w:jc w:val="left"/>
            </w:pPr>
            <w:r>
              <w:rPr>
                <w:b w:val="0"/>
                <w:sz w:val="21"/>
              </w:rPr>
              <w:t>日期、班次、期间和业务日历</w:t>
            </w:r>
          </w:p>
        </w:tc>
        <w:tc>
          <w:tcPr>
            <w:tcW w:type="dxa" w:w="3277"/>
            <w:vAlign w:val="center"/>
          </w:tcPr>
          <w:p>
            <w:pPr>
              <w:keepNext w:val="0"/>
              <w:spacing w:line="320" w:lineRule="exact" w:after="0" w:before="0"/>
              <w:ind w:firstLine="0"/>
              <w:jc w:val="left"/>
            </w:pPr>
            <w:r>
              <w:rPr>
                <w:b w:val="0"/>
                <w:sz w:val="21"/>
              </w:rPr>
              <w:t>班次跨日、期间结转及时间口径</w:t>
            </w:r>
          </w:p>
        </w:tc>
      </w:tr>
    </w:tbl>
    <w:p>
      <w:pPr>
        <w:spacing w:after="40" w:line="240" w:lineRule="auto"/>
        <w:ind w:firstLine="0"/>
      </w:pPr>
      <w:r>
        <w:rPr>
          <w:sz w:val="4"/>
        </w:rPr>
      </w:r>
    </w:p>
    <w:p>
      <w:pPr>
        <w:pStyle w:val="Heading2"/>
      </w:pPr>
      <w:r>
        <w:t>6.5 DWS汇总层</w:t>
      </w:r>
    </w:p>
    <w:p>
      <w:pPr>
        <w:jc w:val="both"/>
      </w:pPr>
      <w:r>
        <w:t>DWS 汇总层依据已批准的业务口径，形成可跨应用复用的主题汇总。汇总模型记录明细来源、统计粒度、维度、筛选条件、计算方法、时间窗口、迟到处理和更新方式。可加指标、半可加指标和不可加指标分别处理，库存时点余额、去重对象数及比例不能简单按明细行或多个时间区间相加。</w:t>
      </w:r>
    </w:p>
    <w:p>
      <w:pPr>
        <w:jc w:val="both"/>
      </w:pPr>
      <w:r>
        <w:t>汇总设计保留分子和分母，比例类指标明确零分母处理、舍入和展示精度；金额和数量明确币种、单位和换算时点；跨组织汇总明确内部交易或重复记录处理。多表关联先检查关系基数，防止因一对多连接放大数量。汇总结果与明细进行独立复算，使用小范围可人工核对的数据验证条件和边界，再执行全量任务。</w:t>
      </w:r>
    </w:p>
    <w:p>
      <w:pPr>
        <w:jc w:val="both"/>
      </w:pPr>
      <w:r>
        <w:t>经营指标在治理规划完成和业务口径批准后形成正式定义。DWS 对正式指标引用受控指标卡，记录定义版本、责任部门和生效时间。口径变化时评估历史重算、版本并行及使用影响，原结果按原口径保留可解释关系。来源或规则变更引起汇总变化时生成差异记录，业务确认后发布。</w:t>
      </w:r>
    </w:p>
    <w:p>
      <w:pPr>
        <w:pStyle w:val="Heading2"/>
      </w:pPr>
      <w:r>
        <w:t>6.6 ADS应用层</w:t>
      </w:r>
    </w:p>
    <w:p>
      <w:pPr>
        <w:jc w:val="both"/>
      </w:pPr>
      <w:r>
        <w:t>ADS 应用层为具体场景、数据产品和服务组织输出，包含场景宽表、专题查询、指标结果、检索索引和数据集生产所需的受控取数结果。应用层引用公共明细、维度和汇总，新增专用逻辑登记用途和适用范围；存在多个场景共同使用的逻辑时，经评审下沉为公共模型或规则。</w:t>
      </w:r>
    </w:p>
    <w:p>
      <w:pPr>
        <w:jc w:val="both"/>
      </w:pPr>
      <w:r>
        <w:t>数据集生产使用的应用结果记录来源范围、用途、抽样条件、对象关系、时间和版本，继续关联样本加工、标注、评测与发布。检索和问答应用保存知识来源、内容版本、条款位置和权限，查询时过滤无权使用或不适用的内容。决策服务返回指标值、单位、期间、维度、口径和必要的来源解释，确保结果可以定位到明细依据。</w:t>
      </w:r>
    </w:p>
    <w:p>
      <w:pPr>
        <w:jc w:val="both"/>
      </w:pPr>
      <w:r>
        <w:t>应用层发布设置用途和版本控制。试用结果、正式结果和退役结果分别管理；正式服务在输入异常、质量不合格或权限变化时采取限制、提示、回退或暂停等处理，不能静默返回过期或不完整结果。应用反馈关联源数据、模型和规则，避免仅在展示层补丁式修正后失去事实依据。</w:t>
      </w:r>
    </w:p>
    <w:p>
      <w:pPr>
        <w:pStyle w:val="Caption"/>
        <w:keepNext/>
      </w:pPr>
      <w:r>
        <w:t>表6-2 数仓分层职责与输出控制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层次</w:t>
            </w:r>
          </w:p>
        </w:tc>
        <w:tc>
          <w:tcPr>
            <w:tcW w:type="dxa" w:w="3855"/>
            <w:vAlign w:val="center"/>
            <w:shd w:fill="EDF1F3"/>
          </w:tcPr>
          <w:p>
            <w:pPr>
              <w:keepNext/>
              <w:spacing w:line="320" w:lineRule="exact" w:after="0" w:before="0"/>
              <w:ind w:firstLine="0"/>
              <w:jc w:val="center"/>
            </w:pPr>
            <w:r>
              <w:rPr>
                <w:b/>
                <w:sz w:val="21"/>
              </w:rPr>
              <w:t>主要职责</w:t>
            </w:r>
          </w:p>
        </w:tc>
        <w:tc>
          <w:tcPr>
            <w:tcW w:type="dxa" w:w="3277"/>
            <w:vAlign w:val="center"/>
            <w:shd w:fill="EDF1F3"/>
          </w:tcPr>
          <w:p>
            <w:pPr>
              <w:keepNext/>
              <w:spacing w:line="320" w:lineRule="exact" w:after="0" w:before="0"/>
              <w:ind w:firstLine="0"/>
              <w:jc w:val="center"/>
            </w:pPr>
            <w:r>
              <w:rPr>
                <w:b/>
                <w:sz w:val="21"/>
              </w:rPr>
              <w:t>输出控制</w:t>
            </w:r>
          </w:p>
        </w:tc>
      </w:tr>
      <w:tr>
        <w:trPr>
          <w:cantSplit/>
        </w:trPr>
        <w:tc>
          <w:tcPr>
            <w:tcW w:type="dxa" w:w="2506"/>
            <w:vAlign w:val="center"/>
          </w:tcPr>
          <w:p>
            <w:pPr>
              <w:keepNext w:val="0"/>
              <w:spacing w:line="320" w:lineRule="exact" w:after="0" w:before="0"/>
              <w:ind w:firstLine="0"/>
              <w:jc w:val="left"/>
            </w:pPr>
            <w:r>
              <w:rPr>
                <w:b w:val="0"/>
                <w:sz w:val="21"/>
              </w:rPr>
              <w:t>ODS贴源层</w:t>
            </w:r>
          </w:p>
        </w:tc>
        <w:tc>
          <w:tcPr>
            <w:tcW w:type="dxa" w:w="3855"/>
            <w:vAlign w:val="center"/>
          </w:tcPr>
          <w:p>
            <w:pPr>
              <w:keepNext w:val="0"/>
              <w:spacing w:line="320" w:lineRule="exact" w:after="0" w:before="0"/>
              <w:ind w:firstLine="0"/>
              <w:jc w:val="left"/>
            </w:pPr>
            <w:r>
              <w:rPr>
                <w:b w:val="0"/>
                <w:sz w:val="21"/>
              </w:rPr>
              <w:t>接收原始事实和采集记录</w:t>
            </w:r>
          </w:p>
        </w:tc>
        <w:tc>
          <w:tcPr>
            <w:tcW w:type="dxa" w:w="3277"/>
            <w:vAlign w:val="center"/>
          </w:tcPr>
          <w:p>
            <w:pPr>
              <w:keepNext w:val="0"/>
              <w:spacing w:line="320" w:lineRule="exact" w:after="0" w:before="0"/>
              <w:ind w:firstLine="0"/>
              <w:jc w:val="left"/>
            </w:pPr>
            <w:r>
              <w:rPr>
                <w:b w:val="0"/>
                <w:sz w:val="21"/>
              </w:rPr>
              <w:t>来源、批次、水位、完整性与原值保留</w:t>
            </w:r>
          </w:p>
        </w:tc>
      </w:tr>
      <w:tr>
        <w:trPr>
          <w:cantSplit/>
        </w:trPr>
        <w:tc>
          <w:tcPr>
            <w:tcW w:type="dxa" w:w="2506"/>
            <w:vAlign w:val="center"/>
          </w:tcPr>
          <w:p>
            <w:pPr>
              <w:keepNext w:val="0"/>
              <w:spacing w:line="320" w:lineRule="exact" w:after="0" w:before="0"/>
              <w:ind w:firstLine="0"/>
              <w:jc w:val="left"/>
            </w:pPr>
            <w:r>
              <w:rPr>
                <w:b w:val="0"/>
                <w:sz w:val="21"/>
              </w:rPr>
              <w:t>DWD明细层</w:t>
            </w:r>
          </w:p>
        </w:tc>
        <w:tc>
          <w:tcPr>
            <w:tcW w:type="dxa" w:w="3855"/>
            <w:vAlign w:val="center"/>
          </w:tcPr>
          <w:p>
            <w:pPr>
              <w:keepNext w:val="0"/>
              <w:spacing w:line="320" w:lineRule="exact" w:after="0" w:before="0"/>
              <w:ind w:firstLine="0"/>
              <w:jc w:val="left"/>
            </w:pPr>
            <w:r>
              <w:rPr>
                <w:b w:val="0"/>
                <w:sz w:val="21"/>
              </w:rPr>
              <w:t>标准化业务明细及对象关联</w:t>
            </w:r>
          </w:p>
        </w:tc>
        <w:tc>
          <w:tcPr>
            <w:tcW w:type="dxa" w:w="3277"/>
            <w:vAlign w:val="center"/>
          </w:tcPr>
          <w:p>
            <w:pPr>
              <w:keepNext w:val="0"/>
              <w:spacing w:line="320" w:lineRule="exact" w:after="0" w:before="0"/>
              <w:ind w:firstLine="0"/>
              <w:jc w:val="left"/>
            </w:pPr>
            <w:r>
              <w:rPr>
                <w:b w:val="0"/>
                <w:sz w:val="21"/>
              </w:rPr>
              <w:t>粒度、定义、单位、质量和更正关系</w:t>
            </w:r>
          </w:p>
        </w:tc>
      </w:tr>
      <w:tr>
        <w:trPr>
          <w:cantSplit/>
        </w:trPr>
        <w:tc>
          <w:tcPr>
            <w:tcW w:type="dxa" w:w="2506"/>
            <w:vAlign w:val="center"/>
          </w:tcPr>
          <w:p>
            <w:pPr>
              <w:keepNext w:val="0"/>
              <w:spacing w:line="320" w:lineRule="exact" w:after="0" w:before="0"/>
              <w:ind w:firstLine="0"/>
              <w:jc w:val="left"/>
            </w:pPr>
            <w:r>
              <w:rPr>
                <w:b w:val="0"/>
                <w:sz w:val="21"/>
              </w:rPr>
              <w:t>DIM维表层</w:t>
            </w:r>
          </w:p>
        </w:tc>
        <w:tc>
          <w:tcPr>
            <w:tcW w:type="dxa" w:w="3855"/>
            <w:vAlign w:val="center"/>
          </w:tcPr>
          <w:p>
            <w:pPr>
              <w:keepNext w:val="0"/>
              <w:spacing w:line="320" w:lineRule="exact" w:after="0" w:before="0"/>
              <w:ind w:firstLine="0"/>
              <w:jc w:val="left"/>
            </w:pPr>
            <w:r>
              <w:rPr>
                <w:b w:val="0"/>
                <w:sz w:val="21"/>
              </w:rPr>
              <w:t>公共维度和有效历史</w:t>
            </w:r>
          </w:p>
        </w:tc>
        <w:tc>
          <w:tcPr>
            <w:tcW w:type="dxa" w:w="3277"/>
            <w:vAlign w:val="center"/>
          </w:tcPr>
          <w:p>
            <w:pPr>
              <w:keepNext w:val="0"/>
              <w:spacing w:line="320" w:lineRule="exact" w:after="0" w:before="0"/>
              <w:ind w:firstLine="0"/>
              <w:jc w:val="left"/>
            </w:pPr>
            <w:r>
              <w:rPr>
                <w:b w:val="0"/>
                <w:sz w:val="21"/>
              </w:rPr>
              <w:t>稳定标识、层级、版本与生效区间</w:t>
            </w:r>
          </w:p>
        </w:tc>
      </w:tr>
      <w:tr>
        <w:trPr>
          <w:cantSplit/>
        </w:trPr>
        <w:tc>
          <w:tcPr>
            <w:tcW w:type="dxa" w:w="2506"/>
            <w:vAlign w:val="center"/>
          </w:tcPr>
          <w:p>
            <w:pPr>
              <w:keepNext w:val="0"/>
              <w:spacing w:line="320" w:lineRule="exact" w:after="0" w:before="0"/>
              <w:ind w:firstLine="0"/>
              <w:jc w:val="left"/>
            </w:pPr>
            <w:r>
              <w:rPr>
                <w:b w:val="0"/>
                <w:sz w:val="21"/>
              </w:rPr>
              <w:t>DWS汇总层</w:t>
            </w:r>
          </w:p>
        </w:tc>
        <w:tc>
          <w:tcPr>
            <w:tcW w:type="dxa" w:w="3855"/>
            <w:vAlign w:val="center"/>
          </w:tcPr>
          <w:p>
            <w:pPr>
              <w:keepNext w:val="0"/>
              <w:spacing w:line="320" w:lineRule="exact" w:after="0" w:before="0"/>
              <w:ind w:firstLine="0"/>
              <w:jc w:val="left"/>
            </w:pPr>
            <w:r>
              <w:rPr>
                <w:b w:val="0"/>
                <w:sz w:val="21"/>
              </w:rPr>
              <w:t>复用主题统计和经营口径</w:t>
            </w:r>
          </w:p>
        </w:tc>
        <w:tc>
          <w:tcPr>
            <w:tcW w:type="dxa" w:w="3277"/>
            <w:vAlign w:val="center"/>
          </w:tcPr>
          <w:p>
            <w:pPr>
              <w:keepNext w:val="0"/>
              <w:spacing w:line="320" w:lineRule="exact" w:after="0" w:before="0"/>
              <w:ind w:firstLine="0"/>
              <w:jc w:val="left"/>
            </w:pPr>
            <w:r>
              <w:rPr>
                <w:b w:val="0"/>
                <w:sz w:val="21"/>
              </w:rPr>
              <w:t>分子分母、条件、周期和独立复算</w:t>
            </w:r>
          </w:p>
        </w:tc>
      </w:tr>
      <w:tr>
        <w:trPr>
          <w:cantSplit/>
        </w:trPr>
        <w:tc>
          <w:tcPr>
            <w:tcW w:type="dxa" w:w="2506"/>
            <w:vAlign w:val="center"/>
          </w:tcPr>
          <w:p>
            <w:pPr>
              <w:keepNext w:val="0"/>
              <w:spacing w:line="320" w:lineRule="exact" w:after="0" w:before="0"/>
              <w:ind w:firstLine="0"/>
              <w:jc w:val="left"/>
            </w:pPr>
            <w:r>
              <w:rPr>
                <w:b w:val="0"/>
                <w:sz w:val="21"/>
              </w:rPr>
              <w:t>ADS应用层</w:t>
            </w:r>
          </w:p>
        </w:tc>
        <w:tc>
          <w:tcPr>
            <w:tcW w:type="dxa" w:w="3855"/>
            <w:vAlign w:val="center"/>
          </w:tcPr>
          <w:p>
            <w:pPr>
              <w:keepNext w:val="0"/>
              <w:spacing w:line="320" w:lineRule="exact" w:after="0" w:before="0"/>
              <w:ind w:firstLine="0"/>
              <w:jc w:val="left"/>
            </w:pPr>
            <w:r>
              <w:rPr>
                <w:b w:val="0"/>
                <w:sz w:val="21"/>
              </w:rPr>
              <w:t>场景数据产品、查询和服务</w:t>
            </w:r>
          </w:p>
        </w:tc>
        <w:tc>
          <w:tcPr>
            <w:tcW w:type="dxa" w:w="3277"/>
            <w:vAlign w:val="center"/>
          </w:tcPr>
          <w:p>
            <w:pPr>
              <w:keepNext w:val="0"/>
              <w:spacing w:line="320" w:lineRule="exact" w:after="0" w:before="0"/>
              <w:ind w:firstLine="0"/>
              <w:jc w:val="left"/>
            </w:pPr>
            <w:r>
              <w:rPr>
                <w:b w:val="0"/>
                <w:sz w:val="21"/>
              </w:rPr>
              <w:t>用途、版本、权限、质量及使用反馈</w:t>
            </w:r>
          </w:p>
        </w:tc>
      </w:tr>
    </w:tbl>
    <w:p>
      <w:pPr>
        <w:spacing w:after="40" w:line="240" w:lineRule="auto"/>
        <w:ind w:firstLine="0"/>
      </w:pPr>
      <w:r>
        <w:rPr>
          <w:sz w:val="4"/>
        </w:rPr>
      </w:r>
    </w:p>
    <w:p>
      <w:pPr>
        <w:pStyle w:val="Heading2"/>
      </w:pPr>
      <w:r>
        <w:t>6.7 主题模型与关键业务链</w:t>
      </w:r>
    </w:p>
    <w:p>
      <w:pPr>
        <w:jc w:val="both"/>
      </w:pPr>
      <w:r>
        <w:t>我方按九个业务域规划主题模型，并围绕四大数据集和十一个场景建立跨域业务链。研发主题关联产品、部件、图纸、物料和工艺；制造主题关联工单、工序、工件、设备与过程参数；质量主题关联检验、缺陷、返修和复检；供应链主题关联需求、采购、库存和交付；经营与组织主题支撑责任映射、经营指标和管理分析。</w:t>
      </w:r>
    </w:p>
    <w:p>
      <w:pPr>
        <w:jc w:val="both"/>
      </w:pPr>
      <w:r>
        <w:t>热处理业务链采用炉次、装炉对象、工艺版本、设定阶段、实际测点及检验结果的关系模型。一个炉次包含多个工件时保留装炉明细，不将炉次级曲线直接重复认定为多个独立采集来源；曲线与检验的关联同时核对工件、批次、时间和检验依据。焊接业务链保留对象位置、工艺、作业、过程记录、检测和返修关系，对返修前后状态分别建模。</w:t>
      </w:r>
    </w:p>
    <w:p>
      <w:pPr>
        <w:jc w:val="both"/>
      </w:pPr>
      <w:r>
        <w:t>设备健康业务链连接设备及部件配置、测点时序、工况、报警、故障、维修和验证。设备更换部件或测点后，按有效时间查询适用关系；未查明根因的报警保留为报警事件，不能直接转成确定故障标签。库存业务链区分业务发生时间、系统记账时间和统计截点，分别管理在库、占用、冻结、在途及其他经确认状态，正式指标使用已批准定义。</w:t>
      </w:r>
    </w:p>
    <w:p>
      <w:pPr>
        <w:pStyle w:val="Caption"/>
        <w:keepNext/>
      </w:pPr>
      <w:r>
        <w:t>表6-3 主题模型与关键业务链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模型主题</w:t>
            </w:r>
          </w:p>
        </w:tc>
        <w:tc>
          <w:tcPr>
            <w:tcW w:type="dxa" w:w="3855"/>
            <w:vAlign w:val="center"/>
            <w:shd w:fill="EDF1F3"/>
          </w:tcPr>
          <w:p>
            <w:pPr>
              <w:keepNext/>
              <w:spacing w:line="320" w:lineRule="exact" w:after="0" w:before="0"/>
              <w:ind w:firstLine="0"/>
              <w:jc w:val="center"/>
            </w:pPr>
            <w:r>
              <w:rPr>
                <w:b/>
                <w:sz w:val="21"/>
              </w:rPr>
              <w:t>核心事实粒度</w:t>
            </w:r>
          </w:p>
        </w:tc>
        <w:tc>
          <w:tcPr>
            <w:tcW w:type="dxa" w:w="3277"/>
            <w:vAlign w:val="center"/>
            <w:shd w:fill="EDF1F3"/>
          </w:tcPr>
          <w:p>
            <w:pPr>
              <w:keepNext/>
              <w:spacing w:line="320" w:lineRule="exact" w:after="0" w:before="0"/>
              <w:ind w:firstLine="0"/>
              <w:jc w:val="center"/>
            </w:pPr>
            <w:r>
              <w:rPr>
                <w:b/>
                <w:sz w:val="21"/>
              </w:rPr>
              <w:t>主要关联</w:t>
            </w:r>
          </w:p>
        </w:tc>
      </w:tr>
      <w:tr>
        <w:trPr>
          <w:cantSplit/>
        </w:trPr>
        <w:tc>
          <w:tcPr>
            <w:tcW w:type="dxa" w:w="2506"/>
            <w:vAlign w:val="center"/>
          </w:tcPr>
          <w:p>
            <w:pPr>
              <w:keepNext w:val="0"/>
              <w:spacing w:line="320" w:lineRule="exact" w:after="0" w:before="0"/>
              <w:ind w:firstLine="0"/>
              <w:jc w:val="left"/>
            </w:pPr>
            <w:r>
              <w:rPr>
                <w:b w:val="0"/>
                <w:sz w:val="21"/>
              </w:rPr>
              <w:t>产品与工艺</w:t>
            </w:r>
          </w:p>
        </w:tc>
        <w:tc>
          <w:tcPr>
            <w:tcW w:type="dxa" w:w="3855"/>
            <w:vAlign w:val="center"/>
          </w:tcPr>
          <w:p>
            <w:pPr>
              <w:keepNext w:val="0"/>
              <w:spacing w:line="320" w:lineRule="exact" w:after="0" w:before="0"/>
              <w:ind w:firstLine="0"/>
              <w:jc w:val="left"/>
            </w:pPr>
            <w:r>
              <w:rPr>
                <w:b w:val="0"/>
                <w:sz w:val="21"/>
              </w:rPr>
              <w:t>对象版本、工艺项或变更事件</w:t>
            </w:r>
          </w:p>
        </w:tc>
        <w:tc>
          <w:tcPr>
            <w:tcW w:type="dxa" w:w="3277"/>
            <w:vAlign w:val="center"/>
          </w:tcPr>
          <w:p>
            <w:pPr>
              <w:keepNext w:val="0"/>
              <w:spacing w:line="320" w:lineRule="exact" w:after="0" w:before="0"/>
              <w:ind w:firstLine="0"/>
              <w:jc w:val="left"/>
            </w:pPr>
            <w:r>
              <w:rPr>
                <w:b w:val="0"/>
                <w:sz w:val="21"/>
              </w:rPr>
              <w:t>产品、图纸、物料、工序和适用范围</w:t>
            </w:r>
          </w:p>
        </w:tc>
      </w:tr>
      <w:tr>
        <w:trPr>
          <w:cantSplit/>
        </w:trPr>
        <w:tc>
          <w:tcPr>
            <w:tcW w:type="dxa" w:w="2506"/>
            <w:vAlign w:val="center"/>
          </w:tcPr>
          <w:p>
            <w:pPr>
              <w:keepNext w:val="0"/>
              <w:spacing w:line="320" w:lineRule="exact" w:after="0" w:before="0"/>
              <w:ind w:firstLine="0"/>
              <w:jc w:val="left"/>
            </w:pPr>
            <w:r>
              <w:rPr>
                <w:b w:val="0"/>
                <w:sz w:val="21"/>
              </w:rPr>
              <w:t>生产执行</w:t>
            </w:r>
          </w:p>
        </w:tc>
        <w:tc>
          <w:tcPr>
            <w:tcW w:type="dxa" w:w="3855"/>
            <w:vAlign w:val="center"/>
          </w:tcPr>
          <w:p>
            <w:pPr>
              <w:keepNext w:val="0"/>
              <w:spacing w:line="320" w:lineRule="exact" w:after="0" w:before="0"/>
              <w:ind w:firstLine="0"/>
              <w:jc w:val="left"/>
            </w:pPr>
            <w:r>
              <w:rPr>
                <w:b w:val="0"/>
                <w:sz w:val="21"/>
              </w:rPr>
              <w:t>工单工序事件或实际工件事件</w:t>
            </w:r>
          </w:p>
        </w:tc>
        <w:tc>
          <w:tcPr>
            <w:tcW w:type="dxa" w:w="3277"/>
            <w:vAlign w:val="center"/>
          </w:tcPr>
          <w:p>
            <w:pPr>
              <w:keepNext w:val="0"/>
              <w:spacing w:line="320" w:lineRule="exact" w:after="0" w:before="0"/>
              <w:ind w:firstLine="0"/>
              <w:jc w:val="left"/>
            </w:pPr>
            <w:r>
              <w:rPr>
                <w:b w:val="0"/>
                <w:sz w:val="21"/>
              </w:rPr>
              <w:t>订单、设备、班次、工艺及质量</w:t>
            </w:r>
          </w:p>
        </w:tc>
      </w:tr>
      <w:tr>
        <w:trPr>
          <w:cantSplit/>
        </w:trPr>
        <w:tc>
          <w:tcPr>
            <w:tcW w:type="dxa" w:w="2506"/>
            <w:vAlign w:val="center"/>
          </w:tcPr>
          <w:p>
            <w:pPr>
              <w:keepNext w:val="0"/>
              <w:spacing w:line="320" w:lineRule="exact" w:after="0" w:before="0"/>
              <w:ind w:firstLine="0"/>
              <w:jc w:val="left"/>
            </w:pPr>
            <w:r>
              <w:rPr>
                <w:b w:val="0"/>
                <w:sz w:val="21"/>
              </w:rPr>
              <w:t>仓储物流</w:t>
            </w:r>
          </w:p>
        </w:tc>
        <w:tc>
          <w:tcPr>
            <w:tcW w:type="dxa" w:w="3855"/>
            <w:vAlign w:val="center"/>
          </w:tcPr>
          <w:p>
            <w:pPr>
              <w:keepNext w:val="0"/>
              <w:spacing w:line="320" w:lineRule="exact" w:after="0" w:before="0"/>
              <w:ind w:firstLine="0"/>
              <w:jc w:val="left"/>
            </w:pPr>
            <w:r>
              <w:rPr>
                <w:b w:val="0"/>
                <w:sz w:val="21"/>
              </w:rPr>
              <w:t>单据明细、库存变动或时点快照</w:t>
            </w:r>
          </w:p>
        </w:tc>
        <w:tc>
          <w:tcPr>
            <w:tcW w:type="dxa" w:w="3277"/>
            <w:vAlign w:val="center"/>
          </w:tcPr>
          <w:p>
            <w:pPr>
              <w:keepNext w:val="0"/>
              <w:spacing w:line="320" w:lineRule="exact" w:after="0" w:before="0"/>
              <w:ind w:firstLine="0"/>
              <w:jc w:val="left"/>
            </w:pPr>
            <w:r>
              <w:rPr>
                <w:b w:val="0"/>
                <w:sz w:val="21"/>
              </w:rPr>
              <w:t>物料、批次、库位、订单与状态</w:t>
            </w:r>
          </w:p>
        </w:tc>
      </w:tr>
      <w:tr>
        <w:trPr>
          <w:cantSplit/>
        </w:trPr>
        <w:tc>
          <w:tcPr>
            <w:tcW w:type="dxa" w:w="2506"/>
            <w:vAlign w:val="center"/>
          </w:tcPr>
          <w:p>
            <w:pPr>
              <w:keepNext w:val="0"/>
              <w:spacing w:line="320" w:lineRule="exact" w:after="0" w:before="0"/>
              <w:ind w:firstLine="0"/>
              <w:jc w:val="left"/>
            </w:pPr>
            <w:r>
              <w:rPr>
                <w:b w:val="0"/>
                <w:sz w:val="21"/>
              </w:rPr>
              <w:t>过程参数</w:t>
            </w:r>
          </w:p>
        </w:tc>
        <w:tc>
          <w:tcPr>
            <w:tcW w:type="dxa" w:w="3855"/>
            <w:vAlign w:val="center"/>
          </w:tcPr>
          <w:p>
            <w:pPr>
              <w:keepNext w:val="0"/>
              <w:spacing w:line="320" w:lineRule="exact" w:after="0" w:before="0"/>
              <w:ind w:firstLine="0"/>
              <w:jc w:val="left"/>
            </w:pPr>
            <w:r>
              <w:rPr>
                <w:b w:val="0"/>
                <w:sz w:val="21"/>
              </w:rPr>
              <w:t>测点时间记录或受控时间片段</w:t>
            </w:r>
          </w:p>
        </w:tc>
        <w:tc>
          <w:tcPr>
            <w:tcW w:type="dxa" w:w="3277"/>
            <w:vAlign w:val="center"/>
          </w:tcPr>
          <w:p>
            <w:pPr>
              <w:keepNext w:val="0"/>
              <w:spacing w:line="320" w:lineRule="exact" w:after="0" w:before="0"/>
              <w:ind w:firstLine="0"/>
              <w:jc w:val="left"/>
            </w:pPr>
            <w:r>
              <w:rPr>
                <w:b w:val="0"/>
                <w:sz w:val="21"/>
              </w:rPr>
              <w:t>设备、炉次、工件、工况与阶段</w:t>
            </w:r>
          </w:p>
        </w:tc>
      </w:tr>
      <w:tr>
        <w:trPr>
          <w:cantSplit/>
        </w:trPr>
        <w:tc>
          <w:tcPr>
            <w:tcW w:type="dxa" w:w="2506"/>
            <w:vAlign w:val="center"/>
          </w:tcPr>
          <w:p>
            <w:pPr>
              <w:keepNext w:val="0"/>
              <w:spacing w:line="320" w:lineRule="exact" w:after="0" w:before="0"/>
              <w:ind w:firstLine="0"/>
              <w:jc w:val="left"/>
            </w:pPr>
            <w:r>
              <w:rPr>
                <w:b w:val="0"/>
                <w:sz w:val="21"/>
              </w:rPr>
              <w:t>质量检验</w:t>
            </w:r>
          </w:p>
        </w:tc>
        <w:tc>
          <w:tcPr>
            <w:tcW w:type="dxa" w:w="3855"/>
            <w:vAlign w:val="center"/>
          </w:tcPr>
          <w:p>
            <w:pPr>
              <w:keepNext w:val="0"/>
              <w:spacing w:line="320" w:lineRule="exact" w:after="0" w:before="0"/>
              <w:ind w:firstLine="0"/>
              <w:jc w:val="left"/>
            </w:pPr>
            <w:r>
              <w:rPr>
                <w:b w:val="0"/>
                <w:sz w:val="21"/>
              </w:rPr>
              <w:t>对象检验项及其版本</w:t>
            </w:r>
          </w:p>
        </w:tc>
        <w:tc>
          <w:tcPr>
            <w:tcW w:type="dxa" w:w="3277"/>
            <w:vAlign w:val="center"/>
          </w:tcPr>
          <w:p>
            <w:pPr>
              <w:keepNext w:val="0"/>
              <w:spacing w:line="320" w:lineRule="exact" w:after="0" w:before="0"/>
              <w:ind w:firstLine="0"/>
              <w:jc w:val="left"/>
            </w:pPr>
            <w:r>
              <w:rPr>
                <w:b w:val="0"/>
                <w:sz w:val="21"/>
              </w:rPr>
              <w:t>工件、批次、标准、缺陷和复检</w:t>
            </w:r>
          </w:p>
        </w:tc>
      </w:tr>
      <w:tr>
        <w:trPr>
          <w:cantSplit/>
        </w:trPr>
        <w:tc>
          <w:tcPr>
            <w:tcW w:type="dxa" w:w="2506"/>
            <w:vAlign w:val="center"/>
          </w:tcPr>
          <w:p>
            <w:pPr>
              <w:keepNext w:val="0"/>
              <w:spacing w:line="320" w:lineRule="exact" w:after="0" w:before="0"/>
              <w:ind w:firstLine="0"/>
              <w:jc w:val="left"/>
            </w:pPr>
            <w:r>
              <w:rPr>
                <w:b w:val="0"/>
                <w:sz w:val="21"/>
              </w:rPr>
              <w:t>设备运维</w:t>
            </w:r>
          </w:p>
        </w:tc>
        <w:tc>
          <w:tcPr>
            <w:tcW w:type="dxa" w:w="3855"/>
            <w:vAlign w:val="center"/>
          </w:tcPr>
          <w:p>
            <w:pPr>
              <w:keepNext w:val="0"/>
              <w:spacing w:line="320" w:lineRule="exact" w:after="0" w:before="0"/>
              <w:ind w:firstLine="0"/>
              <w:jc w:val="left"/>
            </w:pPr>
            <w:r>
              <w:rPr>
                <w:b w:val="0"/>
                <w:sz w:val="21"/>
              </w:rPr>
              <w:t>报警、故障、维修或验证事件</w:t>
            </w:r>
          </w:p>
        </w:tc>
        <w:tc>
          <w:tcPr>
            <w:tcW w:type="dxa" w:w="3277"/>
            <w:vAlign w:val="center"/>
          </w:tcPr>
          <w:p>
            <w:pPr>
              <w:keepNext w:val="0"/>
              <w:spacing w:line="320" w:lineRule="exact" w:after="0" w:before="0"/>
              <w:ind w:firstLine="0"/>
              <w:jc w:val="left"/>
            </w:pPr>
            <w:r>
              <w:rPr>
                <w:b w:val="0"/>
                <w:sz w:val="21"/>
              </w:rPr>
              <w:t>设备部件、测点、时序及服务工单</w:t>
            </w:r>
          </w:p>
        </w:tc>
      </w:tr>
      <w:tr>
        <w:trPr>
          <w:cantSplit/>
        </w:trPr>
        <w:tc>
          <w:tcPr>
            <w:tcW w:type="dxa" w:w="2506"/>
            <w:vAlign w:val="center"/>
          </w:tcPr>
          <w:p>
            <w:pPr>
              <w:keepNext w:val="0"/>
              <w:spacing w:line="320" w:lineRule="exact" w:after="0" w:before="0"/>
              <w:ind w:firstLine="0"/>
              <w:jc w:val="left"/>
            </w:pPr>
            <w:r>
              <w:rPr>
                <w:b w:val="0"/>
                <w:sz w:val="21"/>
              </w:rPr>
              <w:t>文档知识</w:t>
            </w:r>
          </w:p>
        </w:tc>
        <w:tc>
          <w:tcPr>
            <w:tcW w:type="dxa" w:w="3855"/>
            <w:vAlign w:val="center"/>
          </w:tcPr>
          <w:p>
            <w:pPr>
              <w:keepNext w:val="0"/>
              <w:spacing w:line="320" w:lineRule="exact" w:after="0" w:before="0"/>
              <w:ind w:firstLine="0"/>
              <w:jc w:val="left"/>
            </w:pPr>
            <w:r>
              <w:rPr>
                <w:b w:val="0"/>
                <w:sz w:val="21"/>
              </w:rPr>
              <w:t>文件版本、章节条款或知识条目</w:t>
            </w:r>
          </w:p>
        </w:tc>
        <w:tc>
          <w:tcPr>
            <w:tcW w:type="dxa" w:w="3277"/>
            <w:vAlign w:val="center"/>
          </w:tcPr>
          <w:p>
            <w:pPr>
              <w:keepNext w:val="0"/>
              <w:spacing w:line="320" w:lineRule="exact" w:after="0" w:before="0"/>
              <w:ind w:firstLine="0"/>
              <w:jc w:val="left"/>
            </w:pPr>
            <w:r>
              <w:rPr>
                <w:b w:val="0"/>
                <w:sz w:val="21"/>
              </w:rPr>
              <w:t>业务对象、权限、依据和引用</w:t>
            </w:r>
          </w:p>
        </w:tc>
      </w:tr>
      <w:tr>
        <w:trPr>
          <w:cantSplit/>
        </w:trPr>
        <w:tc>
          <w:tcPr>
            <w:tcW w:type="dxa" w:w="2506"/>
            <w:vAlign w:val="center"/>
          </w:tcPr>
          <w:p>
            <w:pPr>
              <w:keepNext w:val="0"/>
              <w:spacing w:line="320" w:lineRule="exact" w:after="0" w:before="0"/>
              <w:ind w:firstLine="0"/>
              <w:jc w:val="left"/>
            </w:pPr>
            <w:r>
              <w:rPr>
                <w:b w:val="0"/>
                <w:sz w:val="21"/>
              </w:rPr>
              <w:t>经营分析</w:t>
            </w:r>
          </w:p>
        </w:tc>
        <w:tc>
          <w:tcPr>
            <w:tcW w:type="dxa" w:w="3855"/>
            <w:vAlign w:val="center"/>
          </w:tcPr>
          <w:p>
            <w:pPr>
              <w:keepNext w:val="0"/>
              <w:spacing w:line="320" w:lineRule="exact" w:after="0" w:before="0"/>
              <w:ind w:firstLine="0"/>
              <w:jc w:val="left"/>
            </w:pPr>
            <w:r>
              <w:rPr>
                <w:b w:val="0"/>
                <w:sz w:val="21"/>
              </w:rPr>
              <w:t>已批准指标及统计维度周期</w:t>
            </w:r>
          </w:p>
        </w:tc>
        <w:tc>
          <w:tcPr>
            <w:tcW w:type="dxa" w:w="3277"/>
            <w:vAlign w:val="center"/>
          </w:tcPr>
          <w:p>
            <w:pPr>
              <w:keepNext w:val="0"/>
              <w:spacing w:line="320" w:lineRule="exact" w:after="0" w:before="0"/>
              <w:ind w:firstLine="0"/>
              <w:jc w:val="left"/>
            </w:pPr>
            <w:r>
              <w:rPr>
                <w:b w:val="0"/>
                <w:sz w:val="21"/>
              </w:rPr>
              <w:t>来源明细、组织、期间和指标卡</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8" name="Picture 8"/>
            <wp:cNvGraphicFramePr>
              <a:graphicFrameLocks noChangeAspect="1"/>
            </wp:cNvGraphicFramePr>
            <a:graphic>
              <a:graphicData uri="http://schemas.openxmlformats.org/drawingml/2006/picture">
                <pic:pic>
                  <pic:nvPicPr>
                    <pic:cNvPr id="0" name="图8_业务关联.png"/>
                    <pic:cNvPicPr/>
                  </pic:nvPicPr>
                  <pic:blipFill>
                    <a:blip r:embed="rId18"/>
                    <a:stretch>
                      <a:fillRect/>
                    </a:stretch>
                  </pic:blipFill>
                  <pic:spPr>
                    <a:xfrm>
                      <a:off x="0" y="0"/>
                      <a:ext cx="6048000" cy="1942338"/>
                    </a:xfrm>
                    <a:prstGeom prst="rect"/>
                  </pic:spPr>
                </pic:pic>
              </a:graphicData>
            </a:graphic>
          </wp:inline>
        </w:drawing>
      </w:r>
    </w:p>
    <w:p>
      <w:pPr>
        <w:pStyle w:val="Caption"/>
        <w:jc w:val="center"/>
      </w:pPr>
      <w:r>
        <w:t>图6-2 跨域业务对象关联与核验</w:t>
      </w:r>
    </w:p>
    <w:p>
      <w:pPr>
        <w:pStyle w:val="Heading2"/>
      </w:pPr>
      <w:r>
        <w:t>6.8 模型设计开发与验证</w:t>
      </w:r>
    </w:p>
    <w:p>
      <w:pPr>
        <w:jc w:val="both"/>
      </w:pPr>
      <w:r>
        <w:t>模型设计记录名称、业务过程、粒度、字段、主外键、关联基数、时间、质量规则、安全级别、责任、存储和使用范围。命名规则能够区分层次、业务域、对象和内容，字段名与数据元映射保持稳定，技术缩写在元数据中保留完整含义。模型评审检查粒度是否单一、关联是否可靠、历史是否可重建、来源是否完整及公共定义是否复用。</w:t>
      </w:r>
    </w:p>
    <w:p>
      <w:pPr>
        <w:jc w:val="both"/>
      </w:pPr>
      <w:r>
        <w:t>开发前使用经批准的样本进行规则验证，覆盖正常、空值、重复、迟到、撤销、版本冲突和多重关联等情况。开发后执行结构、内容、业务和运行四类检查：结构检查字段和约束，内容检查数量和质量，业务检查规则和结果，运行检查任务依赖、失败恢复与重跑幂等。上线结果由技术与业务共同确认。</w:t>
      </w:r>
    </w:p>
    <w:p>
      <w:pPr>
        <w:jc w:val="both"/>
      </w:pPr>
      <w:r>
        <w:t>模型发布保存设计、脚本或配置、测试、审批、版本和生效时间。运行监控检查数据量变化、空值、关联异常、处理时间及下游消费状态。模型变更通过血缘分析确定影响对象，重大变更采用新版本并行验证；回退时同步处理已生成的下游结果及使用通知，保留执行记录。模型交付包括可复用设计、字段字典、映射关系、验证依据及日常维护方法。</w:t>
      </w:r>
    </w:p>
    <w:p>
      <w:pPr>
        <w:pStyle w:val="Heading1"/>
      </w:pPr>
      <w:r>
        <w:t>7 数据集成共享与元数据管理</w:t>
      </w:r>
    </w:p>
    <w:p>
      <w:pPr>
        <w:pStyle w:val="Heading2"/>
      </w:pPr>
      <w:r>
        <w:t>7.1 统一集成架构</w:t>
      </w:r>
    </w:p>
    <w:p>
      <w:pPr>
        <w:jc w:val="both"/>
      </w:pPr>
      <w:r>
        <w:t>我方建立统一登记、统一身份、统一规则、统一监控和统一审计的数据集成架构，按数据形态和业务时效选择批量、增量、接口、消息、文件及时序等接入方式。每条通道明确发送方、接收方、业务对象、协议、格式、字段、频率、质量、安全和异常处置。技术方式可以不同，来源标识、元数据、权限和运行记录采用共同管理要求。</w:t>
      </w:r>
    </w:p>
    <w:p>
      <w:pPr>
        <w:jc w:val="both"/>
      </w:pPr>
      <w:r>
        <w:t>接入流程包括需求受理、来源确认、授权审核、通道设计、映射设计、测试、上线和运行维护。需求明确对象、用途、规模和时间；设计明确源端负载、网络区域、数据落点、传输保护和失败处理；测试核对结构、字段、数量、附件、时间和业务结果。接口申请、审批与技术配置相互关联，正式运行通道只能访问已批准的对象和字段。</w:t>
      </w:r>
    </w:p>
    <w:p>
      <w:pPr>
        <w:jc w:val="both"/>
      </w:pPr>
      <w:r>
        <w:t>统一集成架构与神兽 OS、治理平台、数据集加工生产工具链及运营平台衔接。数据接入任务生成稳定的来源和批次信息，治理结果提供标准明细、质量状态和元数据，数据集生产继续保留加工及样本血缘，运营服务使用受控发布版本。不同平台间通过明确接口交换标识、状态和必要内容，防止数据复制后失去来源、权限和有效版本。</w:t>
      </w:r>
    </w:p>
    <w:p>
      <w:pPr>
        <w:pStyle w:val="Heading2"/>
      </w:pPr>
      <w:r>
        <w:t>7.2 多模态采集方式</w:t>
      </w:r>
    </w:p>
    <w:p>
      <w:pPr>
        <w:jc w:val="both"/>
      </w:pPr>
      <w:r>
        <w:t>结构化数据根据源系统能力采用只读接口、批准的数据库读取、批量导出或增量订阅。频繁变动对象优先设计可核对的增量位置，无法可靠捕获删除或修正时增加周期性快照对账。接口分页保证排序稳定和边界连续，批量导出保存文件清单、记录数和校验值。不同采集方式都需要验证业务状态和权限范围。</w:t>
      </w:r>
    </w:p>
    <w:p>
      <w:pPr>
        <w:jc w:val="both"/>
      </w:pPr>
      <w:r>
        <w:t>文本及文档采集保留原始文件、目录、页码、章节、表格、附件、版本和有效状态。图纸采集保留文件格式、图号、修订、图幅、图层或其他可获取结构，以及与产品、零件和工艺的关联。解析结果保存原始位置、处理版本和置信状态，专业尺寸、公差、材料等关键内容由规则与专业核验共同检查。</w:t>
      </w:r>
    </w:p>
    <w:p>
      <w:pPr>
        <w:jc w:val="both"/>
      </w:pPr>
      <w:r>
        <w:t>图像和视频采集明确对象、拍摄或记录时间、视角、内容、事件及许可用途。连续视频切分为片段时保存原视频、起止位置和切分规则，关键帧与片段关系可查。时序采集记录设备、测点、采样周期、单位、时间基准、缺失和异常；原始时序与重采样、插值、平滑等处理结果分别保存。多模态对齐同时验证对象、时间和业务事件，不能仅凭文件名相似或相邻时间认定对应关系。</w:t>
      </w:r>
    </w:p>
    <w:p>
      <w:pPr>
        <w:pStyle w:val="Caption"/>
        <w:keepNext/>
      </w:pPr>
      <w:r>
        <w:t>表7-1 多模态采集方式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数据形态</w:t>
            </w:r>
          </w:p>
        </w:tc>
        <w:tc>
          <w:tcPr>
            <w:tcW w:type="dxa" w:w="3855"/>
            <w:vAlign w:val="center"/>
            <w:shd w:fill="EDF1F3"/>
          </w:tcPr>
          <w:p>
            <w:pPr>
              <w:keepNext/>
              <w:spacing w:line="320" w:lineRule="exact" w:after="0" w:before="0"/>
              <w:ind w:firstLine="0"/>
              <w:jc w:val="center"/>
            </w:pPr>
            <w:r>
              <w:rPr>
                <w:b/>
                <w:sz w:val="21"/>
              </w:rPr>
              <w:t>采集与存储安排</w:t>
            </w:r>
          </w:p>
        </w:tc>
        <w:tc>
          <w:tcPr>
            <w:tcW w:type="dxa" w:w="3277"/>
            <w:vAlign w:val="center"/>
            <w:shd w:fill="EDF1F3"/>
          </w:tcPr>
          <w:p>
            <w:pPr>
              <w:keepNext/>
              <w:spacing w:line="320" w:lineRule="exact" w:after="0" w:before="0"/>
              <w:ind w:firstLine="0"/>
              <w:jc w:val="center"/>
            </w:pPr>
            <w:r>
              <w:rPr>
                <w:b/>
                <w:sz w:val="21"/>
              </w:rPr>
              <w:t>适用用途与重点控制</w:t>
            </w:r>
          </w:p>
        </w:tc>
      </w:tr>
      <w:tr>
        <w:trPr>
          <w:cantSplit/>
        </w:trPr>
        <w:tc>
          <w:tcPr>
            <w:tcW w:type="dxa" w:w="2506"/>
            <w:vAlign w:val="center"/>
          </w:tcPr>
          <w:p>
            <w:pPr>
              <w:keepNext w:val="0"/>
              <w:spacing w:line="320" w:lineRule="exact" w:after="0" w:before="0"/>
              <w:ind w:firstLine="0"/>
              <w:jc w:val="left"/>
            </w:pPr>
            <w:r>
              <w:rPr>
                <w:b w:val="0"/>
                <w:sz w:val="21"/>
              </w:rPr>
              <w:t>结构化数据</w:t>
            </w:r>
          </w:p>
        </w:tc>
        <w:tc>
          <w:tcPr>
            <w:tcW w:type="dxa" w:w="3855"/>
            <w:vAlign w:val="center"/>
          </w:tcPr>
          <w:p>
            <w:pPr>
              <w:keepNext w:val="0"/>
              <w:spacing w:line="320" w:lineRule="exact" w:after="0" w:before="0"/>
              <w:ind w:firstLine="0"/>
              <w:jc w:val="left"/>
            </w:pPr>
            <w:r>
              <w:rPr>
                <w:b w:val="0"/>
                <w:sz w:val="21"/>
              </w:rPr>
              <w:t>批量、接口、增量或消息，保存水位和快照</w:t>
            </w:r>
          </w:p>
        </w:tc>
        <w:tc>
          <w:tcPr>
            <w:tcW w:type="dxa" w:w="3277"/>
            <w:vAlign w:val="center"/>
          </w:tcPr>
          <w:p>
            <w:pPr>
              <w:keepNext w:val="0"/>
              <w:spacing w:line="320" w:lineRule="exact" w:after="0" w:before="0"/>
              <w:ind w:firstLine="0"/>
              <w:jc w:val="left"/>
            </w:pPr>
            <w:r>
              <w:rPr>
                <w:b w:val="0"/>
                <w:sz w:val="21"/>
              </w:rPr>
              <w:t>业务明细与指标；检查状态、删除和对账</w:t>
            </w:r>
          </w:p>
        </w:tc>
      </w:tr>
      <w:tr>
        <w:trPr>
          <w:cantSplit/>
        </w:trPr>
        <w:tc>
          <w:tcPr>
            <w:tcW w:type="dxa" w:w="2506"/>
            <w:vAlign w:val="center"/>
          </w:tcPr>
          <w:p>
            <w:pPr>
              <w:keepNext w:val="0"/>
              <w:spacing w:line="320" w:lineRule="exact" w:after="0" w:before="0"/>
              <w:ind w:firstLine="0"/>
              <w:jc w:val="left"/>
            </w:pPr>
            <w:r>
              <w:rPr>
                <w:b w:val="0"/>
                <w:sz w:val="21"/>
              </w:rPr>
              <w:t>文本文档</w:t>
            </w:r>
          </w:p>
        </w:tc>
        <w:tc>
          <w:tcPr>
            <w:tcW w:type="dxa" w:w="3855"/>
            <w:vAlign w:val="center"/>
          </w:tcPr>
          <w:p>
            <w:pPr>
              <w:keepNext w:val="0"/>
              <w:spacing w:line="320" w:lineRule="exact" w:after="0" w:before="0"/>
              <w:ind w:firstLine="0"/>
              <w:jc w:val="left"/>
            </w:pPr>
            <w:r>
              <w:rPr>
                <w:b w:val="0"/>
                <w:sz w:val="21"/>
              </w:rPr>
              <w:t>文件与版本清单，保留章节页码和附件</w:t>
            </w:r>
          </w:p>
        </w:tc>
        <w:tc>
          <w:tcPr>
            <w:tcW w:type="dxa" w:w="3277"/>
            <w:vAlign w:val="center"/>
          </w:tcPr>
          <w:p>
            <w:pPr>
              <w:keepNext w:val="0"/>
              <w:spacing w:line="320" w:lineRule="exact" w:after="0" w:before="0"/>
              <w:ind w:firstLine="0"/>
              <w:jc w:val="left"/>
            </w:pPr>
            <w:r>
              <w:rPr>
                <w:b w:val="0"/>
                <w:sz w:val="21"/>
              </w:rPr>
              <w:t>知识与问答；检查有效性、上下文和授权</w:t>
            </w:r>
          </w:p>
        </w:tc>
      </w:tr>
      <w:tr>
        <w:trPr>
          <w:cantSplit/>
        </w:trPr>
        <w:tc>
          <w:tcPr>
            <w:tcW w:type="dxa" w:w="2506"/>
            <w:vAlign w:val="center"/>
          </w:tcPr>
          <w:p>
            <w:pPr>
              <w:keepNext w:val="0"/>
              <w:spacing w:line="320" w:lineRule="exact" w:after="0" w:before="0"/>
              <w:ind w:firstLine="0"/>
              <w:jc w:val="left"/>
            </w:pPr>
            <w:r>
              <w:rPr>
                <w:b w:val="0"/>
                <w:sz w:val="21"/>
              </w:rPr>
              <w:t>工程图纸</w:t>
            </w:r>
          </w:p>
        </w:tc>
        <w:tc>
          <w:tcPr>
            <w:tcW w:type="dxa" w:w="3855"/>
            <w:vAlign w:val="center"/>
          </w:tcPr>
          <w:p>
            <w:pPr>
              <w:keepNext w:val="0"/>
              <w:spacing w:line="320" w:lineRule="exact" w:after="0" w:before="0"/>
              <w:ind w:firstLine="0"/>
              <w:jc w:val="left"/>
            </w:pPr>
            <w:r>
              <w:rPr>
                <w:b w:val="0"/>
                <w:sz w:val="21"/>
              </w:rPr>
              <w:t>原生文件及受控解析结果</w:t>
            </w:r>
          </w:p>
        </w:tc>
        <w:tc>
          <w:tcPr>
            <w:tcW w:type="dxa" w:w="3277"/>
            <w:vAlign w:val="center"/>
          </w:tcPr>
          <w:p>
            <w:pPr>
              <w:keepNext w:val="0"/>
              <w:spacing w:line="320" w:lineRule="exact" w:after="0" w:before="0"/>
              <w:ind w:firstLine="0"/>
              <w:jc w:val="left"/>
            </w:pPr>
            <w:r>
              <w:rPr>
                <w:b w:val="0"/>
                <w:sz w:val="21"/>
              </w:rPr>
              <w:t>工艺设计；检查图号、版本、尺寸和对应</w:t>
            </w:r>
          </w:p>
        </w:tc>
      </w:tr>
      <w:tr>
        <w:trPr>
          <w:cantSplit/>
        </w:trPr>
        <w:tc>
          <w:tcPr>
            <w:tcW w:type="dxa" w:w="2506"/>
            <w:vAlign w:val="center"/>
          </w:tcPr>
          <w:p>
            <w:pPr>
              <w:keepNext w:val="0"/>
              <w:spacing w:line="320" w:lineRule="exact" w:after="0" w:before="0"/>
              <w:ind w:firstLine="0"/>
              <w:jc w:val="left"/>
            </w:pPr>
            <w:r>
              <w:rPr>
                <w:b w:val="0"/>
                <w:sz w:val="21"/>
              </w:rPr>
              <w:t>图像</w:t>
            </w:r>
          </w:p>
        </w:tc>
        <w:tc>
          <w:tcPr>
            <w:tcW w:type="dxa" w:w="3855"/>
            <w:vAlign w:val="center"/>
          </w:tcPr>
          <w:p>
            <w:pPr>
              <w:keepNext w:val="0"/>
              <w:spacing w:line="320" w:lineRule="exact" w:after="0" w:before="0"/>
              <w:ind w:firstLine="0"/>
              <w:jc w:val="left"/>
            </w:pPr>
            <w:r>
              <w:rPr>
                <w:b w:val="0"/>
                <w:sz w:val="21"/>
              </w:rPr>
              <w:t>原图、对象、时间和标注关系</w:t>
            </w:r>
          </w:p>
        </w:tc>
        <w:tc>
          <w:tcPr>
            <w:tcW w:type="dxa" w:w="3277"/>
            <w:vAlign w:val="center"/>
          </w:tcPr>
          <w:p>
            <w:pPr>
              <w:keepNext w:val="0"/>
              <w:spacing w:line="320" w:lineRule="exact" w:after="0" w:before="0"/>
              <w:ind w:firstLine="0"/>
              <w:jc w:val="left"/>
            </w:pPr>
            <w:r>
              <w:rPr>
                <w:b w:val="0"/>
                <w:sz w:val="21"/>
              </w:rPr>
              <w:t>检验与过程识别；检查清晰度与业务位置</w:t>
            </w:r>
          </w:p>
        </w:tc>
      </w:tr>
      <w:tr>
        <w:trPr>
          <w:cantSplit/>
        </w:trPr>
        <w:tc>
          <w:tcPr>
            <w:tcW w:type="dxa" w:w="2506"/>
            <w:vAlign w:val="center"/>
          </w:tcPr>
          <w:p>
            <w:pPr>
              <w:keepNext w:val="0"/>
              <w:spacing w:line="320" w:lineRule="exact" w:after="0" w:before="0"/>
              <w:ind w:firstLine="0"/>
              <w:jc w:val="left"/>
            </w:pPr>
            <w:r>
              <w:rPr>
                <w:b w:val="0"/>
                <w:sz w:val="21"/>
              </w:rPr>
              <w:t>时序</w:t>
            </w:r>
          </w:p>
        </w:tc>
        <w:tc>
          <w:tcPr>
            <w:tcW w:type="dxa" w:w="3855"/>
            <w:vAlign w:val="center"/>
          </w:tcPr>
          <w:p>
            <w:pPr>
              <w:keepNext w:val="0"/>
              <w:spacing w:line="320" w:lineRule="exact" w:after="0" w:before="0"/>
              <w:ind w:firstLine="0"/>
              <w:jc w:val="left"/>
            </w:pPr>
            <w:r>
              <w:rPr>
                <w:b w:val="0"/>
                <w:sz w:val="21"/>
              </w:rPr>
              <w:t>测点配置、时间片段及原始采样</w:t>
            </w:r>
          </w:p>
        </w:tc>
        <w:tc>
          <w:tcPr>
            <w:tcW w:type="dxa" w:w="3277"/>
            <w:vAlign w:val="center"/>
          </w:tcPr>
          <w:p>
            <w:pPr>
              <w:keepNext w:val="0"/>
              <w:spacing w:line="320" w:lineRule="exact" w:after="0" w:before="0"/>
              <w:ind w:firstLine="0"/>
              <w:jc w:val="left"/>
            </w:pPr>
            <w:r>
              <w:rPr>
                <w:b w:val="0"/>
                <w:sz w:val="21"/>
              </w:rPr>
              <w:t>过程与诊断；检查时钟、单位、断点和工况</w:t>
            </w:r>
          </w:p>
        </w:tc>
      </w:tr>
      <w:tr>
        <w:trPr>
          <w:cantSplit/>
        </w:trPr>
        <w:tc>
          <w:tcPr>
            <w:tcW w:type="dxa" w:w="2506"/>
            <w:vAlign w:val="center"/>
          </w:tcPr>
          <w:p>
            <w:pPr>
              <w:keepNext w:val="0"/>
              <w:spacing w:line="320" w:lineRule="exact" w:after="0" w:before="0"/>
              <w:ind w:firstLine="0"/>
              <w:jc w:val="left"/>
            </w:pPr>
            <w:r>
              <w:rPr>
                <w:b w:val="0"/>
                <w:sz w:val="21"/>
              </w:rPr>
              <w:t>视频</w:t>
            </w:r>
          </w:p>
        </w:tc>
        <w:tc>
          <w:tcPr>
            <w:tcW w:type="dxa" w:w="3855"/>
            <w:vAlign w:val="center"/>
          </w:tcPr>
          <w:p>
            <w:pPr>
              <w:keepNext w:val="0"/>
              <w:spacing w:line="320" w:lineRule="exact" w:after="0" w:before="0"/>
              <w:ind w:firstLine="0"/>
              <w:jc w:val="left"/>
            </w:pPr>
            <w:r>
              <w:rPr>
                <w:b w:val="0"/>
                <w:sz w:val="21"/>
              </w:rPr>
              <w:t>原视频、片段、事件、关键帧关系</w:t>
            </w:r>
          </w:p>
        </w:tc>
        <w:tc>
          <w:tcPr>
            <w:tcW w:type="dxa" w:w="3277"/>
            <w:vAlign w:val="center"/>
          </w:tcPr>
          <w:p>
            <w:pPr>
              <w:keepNext w:val="0"/>
              <w:spacing w:line="320" w:lineRule="exact" w:after="0" w:before="0"/>
              <w:ind w:firstLine="0"/>
              <w:jc w:val="left"/>
            </w:pPr>
            <w:r>
              <w:rPr>
                <w:b w:val="0"/>
                <w:sz w:val="21"/>
              </w:rPr>
              <w:t>过程验证；检查时间、对象、内容和权限</w:t>
            </w:r>
          </w:p>
        </w:tc>
      </w:tr>
    </w:tbl>
    <w:p>
      <w:pPr>
        <w:spacing w:after="40" w:line="240" w:lineRule="auto"/>
        <w:ind w:firstLine="0"/>
      </w:pPr>
      <w:r>
        <w:rPr>
          <w:sz w:val="4"/>
        </w:rPr>
      </w:r>
    </w:p>
    <w:p>
      <w:pPr>
        <w:jc w:val="both"/>
      </w:pPr>
      <w:r>
        <w:t>多模态采集范围覆盖项目要求的数据类型，实际通道选用以来源条件、业务用途和安全要求核定。涉及安全监管资料或其他受限内容时，核查具体用途和授权后确定采集范围。新增采集需求纳入需求清单和实施计划，明确设备、人员、现场条件和数据验证安排，不以未纳入某一现有通道为由直接排除应供给内容。</w:t>
      </w:r>
    </w:p>
    <w:p>
      <w:pPr>
        <w:pStyle w:val="Heading2"/>
      </w:pPr>
      <w:r>
        <w:t>7.3 数据分布与交互流图</w:t>
      </w:r>
    </w:p>
    <w:p>
      <w:pPr>
        <w:jc w:val="both"/>
      </w:pPr>
      <w:r>
        <w:t>数据分布及数据流图形成企业总体、业务主题、系统交互和加工任务四个层次。总体图展示九个业务域、十七套外围系统、治理平台、加工生产和运营服务之间的关系；业务主题图展示对象产生、变化和消费；系统交互图展示实际通道、内容及方向；加工任务图展示来源、模型、作业与结果。图中节点引用资源或系统标识，连线引用接口或作业标识，台账可以逐项回查。</w:t>
      </w:r>
    </w:p>
    <w:p>
      <w:pPr>
        <w:jc w:val="both"/>
      </w:pPr>
      <w:r>
        <w:t>系统交互关系记录来源、目标、数据对象、字段范围、频率、方式、权威责任、处理规则、运行状态和异常责任。双向交互分别登记方向及用途，接入采集与业务回写分别授权。确需回写时明确回写对象、字段、业务状态、审核、校验、失败恢复和审计，经批准后实施，防止将分析结果直接写成未经确认的业务事实。</w:t>
      </w:r>
    </w:p>
    <w:p>
      <w:pPr>
        <w:jc w:val="both"/>
      </w:pPr>
      <w:r>
        <w:t>流图评审沿关键对象逐段验证。检查每条连线是否有实际接口或建设任务，每个中间处理是否有输入输出，每个消费方是否具有相应用途和权限，每个数据副本是否有更新与处置机制。图示中的已运行、建设中和计划关系采用明确状态管理，正式交付时与实际部署和运行记录一致。</w:t>
      </w:r>
    </w:p>
    <w:p>
      <w:pPr>
        <w:jc w:val="both"/>
      </w:pPr>
      <w:r>
        <w:t>数据分布台账与流图随系统、存储、接口、字段和作业变更同步更新。变更负责人提交影响对象，架构岗位检查全链路关系，运行岗位核对实际配置。定期抽取资源从目录定位到存储和作业，再由实际任务回查目录，发现孤立节点、未登记通道或失效关系时组织整改。</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9" name="Picture 9"/>
            <wp:cNvGraphicFramePr>
              <a:graphicFrameLocks noChangeAspect="1"/>
            </wp:cNvGraphicFramePr>
            <a:graphic>
              <a:graphicData uri="http://schemas.openxmlformats.org/drawingml/2006/picture">
                <pic:pic>
                  <pic:nvPicPr>
                    <pic:cNvPr id="0" name="图9_集成共享.png"/>
                    <pic:cNvPicPr/>
                  </pic:nvPicPr>
                  <pic:blipFill>
                    <a:blip r:embed="rId19"/>
                    <a:stretch>
                      <a:fillRect/>
                    </a:stretch>
                  </pic:blipFill>
                  <pic:spPr>
                    <a:xfrm>
                      <a:off x="0" y="0"/>
                      <a:ext cx="6048000" cy="1942338"/>
                    </a:xfrm>
                    <a:prstGeom prst="rect"/>
                  </pic:spPr>
                </pic:pic>
              </a:graphicData>
            </a:graphic>
          </wp:inline>
        </w:drawing>
      </w:r>
    </w:p>
    <w:p>
      <w:pPr>
        <w:pStyle w:val="Caption"/>
        <w:jc w:val="center"/>
      </w:pPr>
      <w:r>
        <w:t>图7-1 数据集成与共享运行流程</w:t>
      </w:r>
    </w:p>
    <w:p>
      <w:pPr>
        <w:pStyle w:val="Heading2"/>
      </w:pPr>
      <w:r>
        <w:t>7.4 集成任务可靠运行</w:t>
      </w:r>
    </w:p>
    <w:p>
      <w:pPr>
        <w:jc w:val="both"/>
      </w:pPr>
      <w:r>
        <w:t>集成任务设置任务标识、来源与目标、版本、运行窗口、依赖、超时、重试、告警和责任。重试区分网络临时失败、权限失效、结构变化、数据不合格及目标不可用，针对不同原因采取不同措施。无法安全自动重试的任务转人工处理，保留失败输入、错误位置和处置记录，防止无控制重试增加源端负载或重复写入。</w:t>
      </w:r>
    </w:p>
    <w:p>
      <w:pPr>
        <w:jc w:val="both"/>
      </w:pPr>
      <w:r>
        <w:t>任务幂等根据对象和技术方式设计，采用批次、业务键、事件标识或版本进行去重和覆盖控制。批量任务完成后提交批次状态，部分成功记录明确成功范围及失败范围；增量任务在数据完整落地及必要核验后推进水位，失败时从已确认位置恢复。需要补采或重跑的任务保留原任务与新任务关系，并检查受影响的下游结果。</w:t>
      </w:r>
    </w:p>
    <w:p>
      <w:pPr>
        <w:jc w:val="both"/>
      </w:pPr>
      <w:r>
        <w:t>源端结构变化监测字段新增、删除、类型变化、长度变化、编码变化和含义变化。结构相同但业务含义变化仍作为实质变更处理。检测到不兼容变化时限制继续发布，通知源端和下游责任人，完成映射修改及回归检查后恢复。对附件丢失、时序断点和视频片段缺损等非结构化异常设置相应检测规则。</w:t>
      </w:r>
    </w:p>
    <w:p>
      <w:pPr>
        <w:jc w:val="both"/>
      </w:pPr>
      <w:r>
        <w:t>运行监控覆盖任务状态、数据量、处理时延、源目标对账、质量异常和资源使用。监控指标按实际业务窗口设置，正常停产、节假日和计划检修与异常中断区分，告警记录关联业务日历和停机计划。恢复后核查补齐范围、数量及业务结果，不能仅以任务重新显示成功作为异常关闭依据。</w:t>
      </w:r>
    </w:p>
    <w:p>
      <w:pPr>
        <w:pStyle w:val="Heading2"/>
      </w:pPr>
      <w:r>
        <w:t>7.5 数据共享管理规范</w:t>
      </w:r>
    </w:p>
    <w:p>
      <w:pPr>
        <w:jc w:val="both"/>
      </w:pPr>
      <w:r>
        <w:t>数据集成共享管理规范规定共享对象、供需双方责任、申请审批、接口发布、使用控制、监控和退出。内部共享采用资产目录与服务目录发现资源，需求方填写用途、对象范围、字段、时间区间、访问方式、频率、人员及期限。供给方确认资源适用性和质量，安全及权属岗位核对使用条件，批准后由技术岗位配置实际权限。</w:t>
      </w:r>
    </w:p>
    <w:p>
      <w:pPr>
        <w:jc w:val="both"/>
      </w:pPr>
      <w:r>
        <w:t>共享内容遵循用途和最小必要范围，字段级、行级、时间范围及下载限制与批准结果一致。涉及敏感或受限内容的服务采用相应脱敏、受控查询或其他批准方式。访问账号、接口凭据、密钥和令牌通过受控机制发放、轮换与回收，日志记录实际主体、资源版本、用途、时间和结果。</w:t>
      </w:r>
    </w:p>
    <w:p>
      <w:pPr>
        <w:jc w:val="both"/>
      </w:pPr>
      <w:r>
        <w:t>共享服务发布前完成业务定义、数据字典、示例结构、质量状态、更新频率、授权条件和异常响应规则登记。服务调用返回明确的版本及状态信息，发生部分数据缺失、口径调整或服务降级时按规则通知使用方。服务使用中禁止未经批准扩展对象、改变用途、转授或形成未受控副本；确需变化时重新评估和审批。</w:t>
      </w:r>
    </w:p>
    <w:p>
      <w:pPr>
        <w:jc w:val="both"/>
      </w:pPr>
      <w:r>
        <w:t>对外提供数据按项目运营、安全和权属要求履行相应流程，核验接收主体、使用目的、内容范围、许可条件、交付方式、后续处理与退出安排。内部使用许可不自动转化为对外经营或再分发许可。服务下线时核查在用依赖、替代方案、到期授权和历史记录，保证业务连续与使用边界可追溯。</w:t>
      </w:r>
    </w:p>
    <w:p>
      <w:pPr>
        <w:pStyle w:val="Heading2"/>
      </w:pPr>
      <w:r>
        <w:t>7.6 三类元数据采集范围</w:t>
      </w:r>
    </w:p>
    <w:p>
      <w:pPr>
        <w:jc w:val="both"/>
      </w:pPr>
      <w:r>
        <w:t>业务元数据包括业务域、业务过程、对象、术语、数据元、值域、单位、规则、主数据、指标、知识关系、场景需求及使用条件。业务元数据描述数据所代表的事实和用途，归口部门确认定义和适用范围。对同义词、历史名称及系统别名建立映射，业务定义变更保留生效时间和影响范围。</w:t>
      </w:r>
    </w:p>
    <w:p>
      <w:pPr>
        <w:jc w:val="both"/>
      </w:pPr>
      <w:r>
        <w:t>技术元数据包括系统、存储、库表、字段、文件、格式、接口、模型、作业、映射、调度、版本、数据量和血缘。非结构化资源增加页码、段落、图层、对象区域、时间片段和解析结果位置；数据集增加数据集、子集、样本、来源族、切分、加工及发布版本；时序增加设备测点、采样与对齐规则。技术元数据从系统字典、接口规范、配置和实际作业中采集。</w:t>
      </w:r>
    </w:p>
    <w:p>
      <w:pPr>
        <w:jc w:val="both"/>
      </w:pPr>
      <w:r>
        <w:t>管理元数据包括责任、组织、所有权、使用权、授权依据、分类分级、目录状态、质量结果、审批、变更、保留、归档、退役和审计。管理元数据随治理流程产生并更新，权属、安全和质量状态影响目录发布与服务权限。管理信息的证明材料通过受控引用关联，目录不公开不必要的合同细节或敏感技术位置。</w:t>
      </w:r>
    </w:p>
    <w:p>
      <w:pPr>
        <w:pStyle w:val="Caption"/>
        <w:keepNext/>
      </w:pPr>
      <w:r>
        <w:t>表7-2 三类元数据采集范围</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元数据类别</w:t>
            </w:r>
          </w:p>
        </w:tc>
        <w:tc>
          <w:tcPr>
            <w:tcW w:type="dxa" w:w="3855"/>
            <w:vAlign w:val="center"/>
            <w:shd w:fill="EDF1F3"/>
          </w:tcPr>
          <w:p>
            <w:pPr>
              <w:keepNext/>
              <w:spacing w:line="320" w:lineRule="exact" w:after="0" w:before="0"/>
              <w:ind w:firstLine="0"/>
              <w:jc w:val="center"/>
            </w:pPr>
            <w:r>
              <w:rPr>
                <w:b/>
                <w:sz w:val="21"/>
              </w:rPr>
              <w:t>主要对象</w:t>
            </w:r>
          </w:p>
        </w:tc>
        <w:tc>
          <w:tcPr>
            <w:tcW w:type="dxa" w:w="3277"/>
            <w:vAlign w:val="center"/>
            <w:shd w:fill="EDF1F3"/>
          </w:tcPr>
          <w:p>
            <w:pPr>
              <w:keepNext/>
              <w:spacing w:line="320" w:lineRule="exact" w:after="0" w:before="0"/>
              <w:ind w:firstLine="0"/>
              <w:jc w:val="center"/>
            </w:pPr>
            <w:r>
              <w:rPr>
                <w:b/>
                <w:sz w:val="21"/>
              </w:rPr>
              <w:t>维护与核验</w:t>
            </w:r>
          </w:p>
        </w:tc>
      </w:tr>
      <w:tr>
        <w:trPr>
          <w:cantSplit/>
        </w:trPr>
        <w:tc>
          <w:tcPr>
            <w:tcW w:type="dxa" w:w="2506"/>
            <w:vAlign w:val="center"/>
          </w:tcPr>
          <w:p>
            <w:pPr>
              <w:keepNext w:val="0"/>
              <w:spacing w:line="320" w:lineRule="exact" w:after="0" w:before="0"/>
              <w:ind w:firstLine="0"/>
              <w:jc w:val="left"/>
            </w:pPr>
            <w:r>
              <w:rPr>
                <w:b w:val="0"/>
                <w:sz w:val="21"/>
              </w:rPr>
              <w:t>业务元数据</w:t>
            </w:r>
          </w:p>
        </w:tc>
        <w:tc>
          <w:tcPr>
            <w:tcW w:type="dxa" w:w="3855"/>
            <w:vAlign w:val="center"/>
          </w:tcPr>
          <w:p>
            <w:pPr>
              <w:keepNext w:val="0"/>
              <w:spacing w:line="320" w:lineRule="exact" w:after="0" w:before="0"/>
              <w:ind w:firstLine="0"/>
              <w:jc w:val="left"/>
            </w:pPr>
            <w:r>
              <w:rPr>
                <w:b w:val="0"/>
                <w:sz w:val="21"/>
              </w:rPr>
              <w:t>术语、对象、数据元、规则和指标</w:t>
            </w:r>
          </w:p>
        </w:tc>
        <w:tc>
          <w:tcPr>
            <w:tcW w:type="dxa" w:w="3277"/>
            <w:vAlign w:val="center"/>
          </w:tcPr>
          <w:p>
            <w:pPr>
              <w:keepNext w:val="0"/>
              <w:spacing w:line="320" w:lineRule="exact" w:after="0" w:before="0"/>
              <w:ind w:firstLine="0"/>
              <w:jc w:val="left"/>
            </w:pPr>
            <w:r>
              <w:rPr>
                <w:b w:val="0"/>
                <w:sz w:val="21"/>
              </w:rPr>
              <w:t>业务确认，发布和变更时更新</w:t>
            </w:r>
          </w:p>
        </w:tc>
      </w:tr>
      <w:tr>
        <w:trPr>
          <w:cantSplit/>
        </w:trPr>
        <w:tc>
          <w:tcPr>
            <w:tcW w:type="dxa" w:w="2506"/>
            <w:vAlign w:val="center"/>
          </w:tcPr>
          <w:p>
            <w:pPr>
              <w:keepNext w:val="0"/>
              <w:spacing w:line="320" w:lineRule="exact" w:after="0" w:before="0"/>
              <w:ind w:firstLine="0"/>
              <w:jc w:val="left"/>
            </w:pPr>
            <w:r>
              <w:rPr>
                <w:b w:val="0"/>
                <w:sz w:val="21"/>
              </w:rPr>
              <w:t>技术元数据</w:t>
            </w:r>
          </w:p>
        </w:tc>
        <w:tc>
          <w:tcPr>
            <w:tcW w:type="dxa" w:w="3855"/>
            <w:vAlign w:val="center"/>
          </w:tcPr>
          <w:p>
            <w:pPr>
              <w:keepNext w:val="0"/>
              <w:spacing w:line="320" w:lineRule="exact" w:after="0" w:before="0"/>
              <w:ind w:firstLine="0"/>
              <w:jc w:val="left"/>
            </w:pPr>
            <w:r>
              <w:rPr>
                <w:b w:val="0"/>
                <w:sz w:val="21"/>
              </w:rPr>
              <w:t>系统、库表、字段、文件、接口和模型</w:t>
            </w:r>
          </w:p>
        </w:tc>
        <w:tc>
          <w:tcPr>
            <w:tcW w:type="dxa" w:w="3277"/>
            <w:vAlign w:val="center"/>
          </w:tcPr>
          <w:p>
            <w:pPr>
              <w:keepNext w:val="0"/>
              <w:spacing w:line="320" w:lineRule="exact" w:after="0" w:before="0"/>
              <w:ind w:firstLine="0"/>
              <w:jc w:val="left"/>
            </w:pPr>
            <w:r>
              <w:rPr>
                <w:b w:val="0"/>
                <w:sz w:val="21"/>
              </w:rPr>
              <w:t>自动采集与技术复核结合</w:t>
            </w:r>
          </w:p>
        </w:tc>
      </w:tr>
      <w:tr>
        <w:trPr>
          <w:cantSplit/>
        </w:trPr>
        <w:tc>
          <w:tcPr>
            <w:tcW w:type="dxa" w:w="2506"/>
            <w:vAlign w:val="center"/>
          </w:tcPr>
          <w:p>
            <w:pPr>
              <w:keepNext w:val="0"/>
              <w:spacing w:line="320" w:lineRule="exact" w:after="0" w:before="0"/>
              <w:ind w:firstLine="0"/>
              <w:jc w:val="left"/>
            </w:pPr>
            <w:r>
              <w:rPr>
                <w:b w:val="0"/>
                <w:sz w:val="21"/>
              </w:rPr>
              <w:t>技术元数据</w:t>
            </w:r>
          </w:p>
        </w:tc>
        <w:tc>
          <w:tcPr>
            <w:tcW w:type="dxa" w:w="3855"/>
            <w:vAlign w:val="center"/>
          </w:tcPr>
          <w:p>
            <w:pPr>
              <w:keepNext w:val="0"/>
              <w:spacing w:line="320" w:lineRule="exact" w:after="0" w:before="0"/>
              <w:ind w:firstLine="0"/>
              <w:jc w:val="left"/>
            </w:pPr>
            <w:r>
              <w:rPr>
                <w:b w:val="0"/>
                <w:sz w:val="21"/>
              </w:rPr>
              <w:t>作业、映射、调度、输入输出和血缘</w:t>
            </w:r>
          </w:p>
        </w:tc>
        <w:tc>
          <w:tcPr>
            <w:tcW w:type="dxa" w:w="3277"/>
            <w:vAlign w:val="center"/>
          </w:tcPr>
          <w:p>
            <w:pPr>
              <w:keepNext w:val="0"/>
              <w:spacing w:line="320" w:lineRule="exact" w:after="0" w:before="0"/>
              <w:ind w:firstLine="0"/>
              <w:jc w:val="left"/>
            </w:pPr>
            <w:r>
              <w:rPr>
                <w:b w:val="0"/>
                <w:sz w:val="21"/>
              </w:rPr>
              <w:t>配置解析与实际运行对照</w:t>
            </w:r>
          </w:p>
        </w:tc>
      </w:tr>
      <w:tr>
        <w:trPr>
          <w:cantSplit/>
        </w:trPr>
        <w:tc>
          <w:tcPr>
            <w:tcW w:type="dxa" w:w="2506"/>
            <w:vAlign w:val="center"/>
          </w:tcPr>
          <w:p>
            <w:pPr>
              <w:keepNext w:val="0"/>
              <w:spacing w:line="320" w:lineRule="exact" w:after="0" w:before="0"/>
              <w:ind w:firstLine="0"/>
              <w:jc w:val="left"/>
            </w:pPr>
            <w:r>
              <w:rPr>
                <w:b w:val="0"/>
                <w:sz w:val="21"/>
              </w:rPr>
              <w:t>技术元数据</w:t>
            </w:r>
          </w:p>
        </w:tc>
        <w:tc>
          <w:tcPr>
            <w:tcW w:type="dxa" w:w="3855"/>
            <w:vAlign w:val="center"/>
          </w:tcPr>
          <w:p>
            <w:pPr>
              <w:keepNext w:val="0"/>
              <w:spacing w:line="320" w:lineRule="exact" w:after="0" w:before="0"/>
              <w:ind w:firstLine="0"/>
              <w:jc w:val="left"/>
            </w:pPr>
            <w:r>
              <w:rPr>
                <w:b w:val="0"/>
                <w:sz w:val="21"/>
              </w:rPr>
              <w:t>多模态位置、样本、来源族和数据集版本</w:t>
            </w:r>
          </w:p>
        </w:tc>
        <w:tc>
          <w:tcPr>
            <w:tcW w:type="dxa" w:w="3277"/>
            <w:vAlign w:val="center"/>
          </w:tcPr>
          <w:p>
            <w:pPr>
              <w:keepNext w:val="0"/>
              <w:spacing w:line="320" w:lineRule="exact" w:after="0" w:before="0"/>
              <w:ind w:firstLine="0"/>
              <w:jc w:val="left"/>
            </w:pPr>
            <w:r>
              <w:rPr>
                <w:b w:val="0"/>
                <w:sz w:val="21"/>
              </w:rPr>
              <w:t>生产过程登记及回溯核验</w:t>
            </w:r>
          </w:p>
        </w:tc>
      </w:tr>
      <w:tr>
        <w:trPr>
          <w:cantSplit/>
        </w:trPr>
        <w:tc>
          <w:tcPr>
            <w:tcW w:type="dxa" w:w="2506"/>
            <w:vAlign w:val="center"/>
          </w:tcPr>
          <w:p>
            <w:pPr>
              <w:keepNext w:val="0"/>
              <w:spacing w:line="320" w:lineRule="exact" w:after="0" w:before="0"/>
              <w:ind w:firstLine="0"/>
              <w:jc w:val="left"/>
            </w:pPr>
            <w:r>
              <w:rPr>
                <w:b w:val="0"/>
                <w:sz w:val="21"/>
              </w:rPr>
              <w:t>管理元数据</w:t>
            </w:r>
          </w:p>
        </w:tc>
        <w:tc>
          <w:tcPr>
            <w:tcW w:type="dxa" w:w="3855"/>
            <w:vAlign w:val="center"/>
          </w:tcPr>
          <w:p>
            <w:pPr>
              <w:keepNext w:val="0"/>
              <w:spacing w:line="320" w:lineRule="exact" w:after="0" w:before="0"/>
              <w:ind w:firstLine="0"/>
              <w:jc w:val="left"/>
            </w:pPr>
            <w:r>
              <w:rPr>
                <w:b w:val="0"/>
                <w:sz w:val="21"/>
              </w:rPr>
              <w:t>责任、权属、级别、授权和用途</w:t>
            </w:r>
          </w:p>
        </w:tc>
        <w:tc>
          <w:tcPr>
            <w:tcW w:type="dxa" w:w="3277"/>
            <w:vAlign w:val="center"/>
          </w:tcPr>
          <w:p>
            <w:pPr>
              <w:keepNext w:val="0"/>
              <w:spacing w:line="320" w:lineRule="exact" w:after="0" w:before="0"/>
              <w:ind w:firstLine="0"/>
              <w:jc w:val="left"/>
            </w:pPr>
            <w:r>
              <w:rPr>
                <w:b w:val="0"/>
                <w:sz w:val="21"/>
              </w:rPr>
              <w:t>归口审核，审批事件驱动更新</w:t>
            </w:r>
          </w:p>
        </w:tc>
      </w:tr>
      <w:tr>
        <w:trPr>
          <w:cantSplit/>
        </w:trPr>
        <w:tc>
          <w:tcPr>
            <w:tcW w:type="dxa" w:w="2506"/>
            <w:vAlign w:val="center"/>
          </w:tcPr>
          <w:p>
            <w:pPr>
              <w:keepNext w:val="0"/>
              <w:spacing w:line="320" w:lineRule="exact" w:after="0" w:before="0"/>
              <w:ind w:firstLine="0"/>
              <w:jc w:val="left"/>
            </w:pPr>
            <w:r>
              <w:rPr>
                <w:b w:val="0"/>
                <w:sz w:val="21"/>
              </w:rPr>
              <w:t>管理元数据</w:t>
            </w:r>
          </w:p>
        </w:tc>
        <w:tc>
          <w:tcPr>
            <w:tcW w:type="dxa" w:w="3855"/>
            <w:vAlign w:val="center"/>
          </w:tcPr>
          <w:p>
            <w:pPr>
              <w:keepNext w:val="0"/>
              <w:spacing w:line="320" w:lineRule="exact" w:after="0" w:before="0"/>
              <w:ind w:firstLine="0"/>
              <w:jc w:val="left"/>
            </w:pPr>
            <w:r>
              <w:rPr>
                <w:b w:val="0"/>
                <w:sz w:val="21"/>
              </w:rPr>
              <w:t>质量、目录、变更、保留和处置</w:t>
            </w:r>
          </w:p>
        </w:tc>
        <w:tc>
          <w:tcPr>
            <w:tcW w:type="dxa" w:w="3277"/>
            <w:vAlign w:val="center"/>
          </w:tcPr>
          <w:p>
            <w:pPr>
              <w:keepNext w:val="0"/>
              <w:spacing w:line="320" w:lineRule="exact" w:after="0" w:before="0"/>
              <w:ind w:firstLine="0"/>
              <w:jc w:val="left"/>
            </w:pPr>
            <w:r>
              <w:rPr>
                <w:b w:val="0"/>
                <w:sz w:val="21"/>
              </w:rPr>
              <w:t>流程产生，定期复核状态一致性</w:t>
            </w:r>
          </w:p>
        </w:tc>
      </w:tr>
    </w:tbl>
    <w:p>
      <w:pPr>
        <w:spacing w:after="40" w:line="240" w:lineRule="auto"/>
        <w:ind w:firstLine="0"/>
      </w:pPr>
      <w:r>
        <w:rPr>
          <w:sz w:val="4"/>
        </w:rPr>
      </w:r>
    </w:p>
    <w:p>
      <w:pPr>
        <w:pStyle w:val="Heading2"/>
      </w:pPr>
      <w:r>
        <w:t>7.7 元数据采集维护</w:t>
      </w:r>
    </w:p>
    <w:p>
      <w:pPr>
        <w:jc w:val="both"/>
      </w:pPr>
      <w:r>
        <w:t>元数据采集分为自动采集、流程生成和人工确认。技术结构优先自动采集，业务含义由业务岗位确认，权属与权限由相应审批流程生成。自动采集任务设置来源、范围、频率、凭据、失败处理和结果核验，采集结果先进入变更比较，再按影响程度确认发布。人工维护使用标准表单和校验规则，保留提交、审核及生效记录。</w:t>
      </w:r>
    </w:p>
    <w:p>
      <w:pPr>
        <w:jc w:val="both"/>
      </w:pPr>
      <w:r>
        <w:t>首次采集建立全量基线，后续采集识别新增、修改、删除和失效对象。发现源端对象消失时先核查访问权限、网络和临时故障，确认真实删除后更新状态并开展影响分析。业务元数据与技术字段映射由双方核对，同一字段有多个业务用途时记录上下文和适用规则，避免自动注释覆盖已确认定义。</w:t>
      </w:r>
    </w:p>
    <w:p>
      <w:pPr>
        <w:jc w:val="both"/>
      </w:pPr>
      <w:r>
        <w:t>元数据质量检查包括必填完整、标识唯一、类型和值域有效、引用对象存在、版本有效、责任可联系及血缘无异常循环。技术元数据覆盖率以纳入管理范围且应采集的对象为分母；业务定义和管理信息分别统计覆盖及准确情况，不能以登记一条资产概况代替所有字段和关系完整。抽查由目录反查系统、由系统反查目录，核对实际名称、含义、结构和状态。</w:t>
      </w:r>
    </w:p>
    <w:p>
      <w:pPr>
        <w:jc w:val="both"/>
      </w:pPr>
      <w:r>
        <w:t>元数据权限区分查询、编辑、审核、发布和管理。技术连接信息、凭据和敏感字段采用受控展示，业务用户仅查看授权范围内的含义、质量及使用条件。维护岗位变更时交接待确认对象、采集任务和质量问题，保证元数据在项目移交后持续更新。</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0" name="Picture 10"/>
            <wp:cNvGraphicFramePr>
              <a:graphicFrameLocks noChangeAspect="1"/>
            </wp:cNvGraphicFramePr>
            <a:graphic>
              <a:graphicData uri="http://schemas.openxmlformats.org/drawingml/2006/picture">
                <pic:pic>
                  <pic:nvPicPr>
                    <pic:cNvPr id="0" name="图10_元数据管理.png"/>
                    <pic:cNvPicPr/>
                  </pic:nvPicPr>
                  <pic:blipFill>
                    <a:blip r:embed="rId20"/>
                    <a:stretch>
                      <a:fillRect/>
                    </a:stretch>
                  </pic:blipFill>
                  <pic:spPr>
                    <a:xfrm>
                      <a:off x="0" y="0"/>
                      <a:ext cx="6048000" cy="1942338"/>
                    </a:xfrm>
                    <a:prstGeom prst="rect"/>
                  </pic:spPr>
                </pic:pic>
              </a:graphicData>
            </a:graphic>
          </wp:inline>
        </w:drawing>
      </w:r>
    </w:p>
    <w:p>
      <w:pPr>
        <w:pStyle w:val="Caption"/>
        <w:jc w:val="center"/>
      </w:pPr>
      <w:r>
        <w:t>图7-2 元数据维护与变更管理</w:t>
      </w:r>
    </w:p>
    <w:p>
      <w:pPr>
        <w:pStyle w:val="Heading2"/>
      </w:pPr>
      <w:r>
        <w:t>7.8 血缘构建与影响分析</w:t>
      </w:r>
    </w:p>
    <w:p>
      <w:pPr>
        <w:jc w:val="both"/>
      </w:pPr>
      <w:r>
        <w:t>我方建立系统级、表级、字段级及内容级血缘。结构化血缘记录源字段经映射、计算、关联、筛选和汇总形成目标字段的过程；文件内容血缘记录原文件、版本、页码或区域、解析批次和结构化结果；多模态血缘记录图像、时序或视频片段与业务对象及事件的关系；数据集血缘记录来源族、样本、加工、标注、合成增强、切分、数据集版本和使用结果。</w:t>
      </w:r>
    </w:p>
    <w:p>
      <w:pPr>
        <w:jc w:val="both"/>
      </w:pPr>
      <w:r>
        <w:t>血缘从作业配置、SQL或其他可解析逻辑、接口映射和生产记录中获取，自动解析结果由技术岗位检查。动态脚本、人工处理和无法自动解析的关系通过受控登记补充，记录人工依据和复核岗位。无法确定的关系保持未确认状态并限制依赖发布，不以推测关系冒充已验证血缘。</w:t>
      </w:r>
    </w:p>
    <w:p>
      <w:pPr>
        <w:jc w:val="both"/>
      </w:pPr>
      <w:r>
        <w:t>变更影响分析支持向上追源和向下追踪。向上分析定位来源系统、原始对象、规则及处理批次；向下分析定位模型、汇总、指标、知识、数据集、服务、用户及权限。对关键元素和受限来源的变化，检查全部下游版本；对局部数据纠错，根据对象、时间和版本确定具体影响，避免无必要全量重算或遗漏历史输出。</w:t>
      </w:r>
    </w:p>
    <w:p>
      <w:pPr>
        <w:jc w:val="both"/>
      </w:pPr>
      <w:r>
        <w:t>血缘有效性通过实际记录验证。抽取发布结果回查输入和规则，重建关键处理步骤；抽取来源变更检查下游影响清单是否完整；对已退役对象确认历史追溯仍能保留必要关系。血缘与日志、数据版本和审批记录共同保存，支持问题定位、正式评估、权利核查和数据集隔离证明。</w:t>
      </w:r>
    </w:p>
    <w:p>
      <w:pPr>
        <w:pStyle w:val="Heading2"/>
      </w:pPr>
      <w:r>
        <w:t>7.9 元数据变更管理</w:t>
      </w:r>
    </w:p>
    <w:p>
      <w:pPr>
        <w:jc w:val="both"/>
      </w:pPr>
      <w:r>
        <w:t>元数据变更按新增、兼容修改、不兼容修改、语义变化、责任权限变化和退役分类。新增对象需补齐必需信息和关系；兼容修改检查使用方依赖；不兼容修改评估接口、模型和消费影响；语义变化需要业务重新确认；责任权限变化同步更新审批和访问；退役检查下游使用、保留要求和替代关系。</w:t>
      </w:r>
    </w:p>
    <w:p>
      <w:pPr>
        <w:jc w:val="both"/>
      </w:pPr>
      <w:r>
        <w:t>变更流程包括申请、差异比较、影响分析、评审、测试、批准、实施、验证和归档。申请记录原因、对象、旧值新值、生效时间及回退方法；影响分析给出受影响模型、作业、产品及使用方；测试覆盖正常和边界条件；实施后核对平台元数据、实际配置和业务结果一致。涉及数据集或指标版本的变更，同步更新相应说明、目录和服务状态。</w:t>
      </w:r>
    </w:p>
    <w:p>
      <w:pPr>
        <w:jc w:val="both"/>
      </w:pPr>
      <w:r>
        <w:t>紧急变更在甲方批准的权限范围内执行，先保留原状态、影响及处置依据，再实施控制和恢复。紧急处理后补齐正式记录、影响复核和必要审批，不能以紧急为由取消责任追溯。变更失败时按已验证方案恢复，核查处理中生成的数据和下游服务是否受影响，必要时撤回或重新发布相关结果。</w:t>
      </w:r>
    </w:p>
    <w:p>
      <w:pPr>
        <w:jc w:val="both"/>
      </w:pPr>
      <w:r>
        <w:t>元数据管理办法明确上述范围、角色、采集、维护、质量、血缘、变更、权限及监督要求。办法的执行依托元数据平台配置与日常流程，交付时同时提供采集范围、字段字典、血缘关系、变更记录及维护操作，确保接管岗位能够持续执行。</w:t>
      </w:r>
    </w:p>
    <w:p>
      <w:pPr>
        <w:pStyle w:val="Heading1"/>
      </w:pPr>
      <w:r>
        <w:t>8 数据资产规划与内部运营</w:t>
      </w:r>
    </w:p>
    <w:p>
      <w:pPr>
        <w:pStyle w:val="Heading2"/>
      </w:pPr>
      <w:r>
        <w:t>8.1 资产范围与管理对象</w:t>
      </w:r>
    </w:p>
    <w:p>
      <w:pPr>
        <w:jc w:val="both"/>
      </w:pPr>
      <w:r>
        <w:t>我方建立原始资源、治理成果、数据集、知识成果、指标结果和数据服务的资产管理关系。原始资源记录产生和取得事实，治理成果记录标准化、修复、关联和汇总结果，数据集记录用途、构成与版本，知识成果记录来源与结构，指标记录口径与结果，数据服务记录发布内容和使用条件。各类对象分别管理，通过来源和派生关系连接。</w:t>
      </w:r>
    </w:p>
    <w:p>
      <w:pPr>
        <w:jc w:val="both"/>
      </w:pPr>
      <w:r>
        <w:t>资源进入目录前确认身份、来源、责任、质量、权利和使用条件。可供管理的资源均应登记，是否具备发布和使用条件以核验结果确定；登记不等同于已经授权共享或已经完成财务确认。暂不具备供给条件的资源保留问题、责任和改善计划，达到条件后按照审批流程改变状态。</w:t>
      </w:r>
    </w:p>
    <w:p>
      <w:pPr>
        <w:jc w:val="both"/>
      </w:pPr>
      <w:r>
        <w:t>资产管理办法规定登记、权属核查、分类分级、质量、价值、发布、申请、授权、使用、变更、归档和退役。管理要求同时覆盖实际数据、派生副本、缓存、下载文件和接口服务。资产责任随资源和用途明确，不因技术存储迁移或加工外包而中断。</w:t>
      </w:r>
    </w:p>
    <w:p>
      <w:pPr>
        <w:pStyle w:val="Heading2"/>
      </w:pPr>
      <w:r>
        <w:t>8.2 原始数据来源与存储登记</w:t>
      </w:r>
    </w:p>
    <w:p>
      <w:pPr>
        <w:jc w:val="both"/>
      </w:pPr>
      <w:r>
        <w:t>原始来源分类记录企业业务产生、设备采集、客户提供、合作方提供、采购取得、公开获取及其他经核验来源。每类来源保存产生或取得主体、方式、时间、业务背景、合同或许可依据、用途、期限和限制。具体权利以适用约定和证据核定，不能仅根据来源类别推定所有权或认定全部用途均已获许可。</w:t>
      </w:r>
    </w:p>
    <w:p>
      <w:pPr>
        <w:jc w:val="both"/>
      </w:pPr>
      <w:r>
        <w:t>来源登记与实际载体绑定，数据库资源记录系统、对象和字段范围，文件记录版本与校验值，设备记录测点和时间范围，外部资料记录取得位置及授权文件。来源证据采用受控编号，登记人员、复核人员和确认日期可查。公开可获取的资料仍核对使用条件，内部已持有的资料仍核对提供方约定和使用范围。</w:t>
      </w:r>
    </w:p>
    <w:p>
      <w:pPr>
        <w:jc w:val="both"/>
      </w:pPr>
      <w:r>
        <w:t>原始数据在多个位置保存时明确主存、副本、备份及缓存。迁移保留原位置、新位置、迁移批次、完整性核验和批准记录，目录同步更新定位。数据不再保留时记录处置对象、依据、方式、执行及复核，保留必要的目录和历史证据。数据文件已删除不代表其派生知识、样本或服务自动失效，相关对象通过血缘逐项处理。</w:t>
      </w:r>
    </w:p>
    <w:p>
      <w:pPr>
        <w:pStyle w:val="Caption"/>
        <w:keepNext/>
      </w:pPr>
      <w:r>
        <w:t>表8-1 原始数据来源与存储登记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来源类别</w:t>
            </w:r>
          </w:p>
        </w:tc>
        <w:tc>
          <w:tcPr>
            <w:tcW w:type="dxa" w:w="3855"/>
            <w:vAlign w:val="center"/>
            <w:shd w:fill="EDF1F3"/>
          </w:tcPr>
          <w:p>
            <w:pPr>
              <w:keepNext/>
              <w:spacing w:line="320" w:lineRule="exact" w:after="0" w:before="0"/>
              <w:ind w:firstLine="0"/>
              <w:jc w:val="center"/>
            </w:pPr>
            <w:r>
              <w:rPr>
                <w:b/>
                <w:sz w:val="21"/>
              </w:rPr>
              <w:t>重点证据</w:t>
            </w:r>
          </w:p>
        </w:tc>
        <w:tc>
          <w:tcPr>
            <w:tcW w:type="dxa" w:w="3277"/>
            <w:vAlign w:val="center"/>
            <w:shd w:fill="EDF1F3"/>
          </w:tcPr>
          <w:p>
            <w:pPr>
              <w:keepNext/>
              <w:spacing w:line="320" w:lineRule="exact" w:after="0" w:before="0"/>
              <w:ind w:firstLine="0"/>
              <w:jc w:val="center"/>
            </w:pPr>
            <w:r>
              <w:rPr>
                <w:b/>
                <w:sz w:val="21"/>
              </w:rPr>
              <w:t>使用条件核查</w:t>
            </w:r>
          </w:p>
        </w:tc>
      </w:tr>
      <w:tr>
        <w:trPr>
          <w:cantSplit/>
        </w:trPr>
        <w:tc>
          <w:tcPr>
            <w:tcW w:type="dxa" w:w="2506"/>
            <w:vAlign w:val="center"/>
          </w:tcPr>
          <w:p>
            <w:pPr>
              <w:keepNext w:val="0"/>
              <w:spacing w:line="320" w:lineRule="exact" w:after="0" w:before="0"/>
              <w:ind w:firstLine="0"/>
              <w:jc w:val="left"/>
            </w:pPr>
            <w:r>
              <w:rPr>
                <w:b w:val="0"/>
                <w:sz w:val="21"/>
              </w:rPr>
              <w:t>企业业务产生</w:t>
            </w:r>
          </w:p>
        </w:tc>
        <w:tc>
          <w:tcPr>
            <w:tcW w:type="dxa" w:w="3855"/>
            <w:vAlign w:val="center"/>
          </w:tcPr>
          <w:p>
            <w:pPr>
              <w:keepNext w:val="0"/>
              <w:spacing w:line="320" w:lineRule="exact" w:after="0" w:before="0"/>
              <w:ind w:firstLine="0"/>
              <w:jc w:val="left"/>
            </w:pPr>
            <w:r>
              <w:rPr>
                <w:b w:val="0"/>
                <w:sz w:val="21"/>
              </w:rPr>
              <w:t>业务过程、责任、系统记录及相关约定</w:t>
            </w:r>
          </w:p>
        </w:tc>
        <w:tc>
          <w:tcPr>
            <w:tcW w:type="dxa" w:w="3277"/>
            <w:vAlign w:val="center"/>
          </w:tcPr>
          <w:p>
            <w:pPr>
              <w:keepNext w:val="0"/>
              <w:spacing w:line="320" w:lineRule="exact" w:after="0" w:before="0"/>
              <w:ind w:firstLine="0"/>
              <w:jc w:val="left"/>
            </w:pPr>
            <w:r>
              <w:rPr>
                <w:b w:val="0"/>
                <w:sz w:val="21"/>
              </w:rPr>
              <w:t>原始权利、涉及主体及用途范围</w:t>
            </w:r>
          </w:p>
        </w:tc>
      </w:tr>
      <w:tr>
        <w:trPr>
          <w:cantSplit/>
        </w:trPr>
        <w:tc>
          <w:tcPr>
            <w:tcW w:type="dxa" w:w="2506"/>
            <w:vAlign w:val="center"/>
          </w:tcPr>
          <w:p>
            <w:pPr>
              <w:keepNext w:val="0"/>
              <w:spacing w:line="320" w:lineRule="exact" w:after="0" w:before="0"/>
              <w:ind w:firstLine="0"/>
              <w:jc w:val="left"/>
            </w:pPr>
            <w:r>
              <w:rPr>
                <w:b w:val="0"/>
                <w:sz w:val="21"/>
              </w:rPr>
              <w:t>设备自动采集</w:t>
            </w:r>
          </w:p>
        </w:tc>
        <w:tc>
          <w:tcPr>
            <w:tcW w:type="dxa" w:w="3855"/>
            <w:vAlign w:val="center"/>
          </w:tcPr>
          <w:p>
            <w:pPr>
              <w:keepNext w:val="0"/>
              <w:spacing w:line="320" w:lineRule="exact" w:after="0" w:before="0"/>
              <w:ind w:firstLine="0"/>
              <w:jc w:val="left"/>
            </w:pPr>
            <w:r>
              <w:rPr>
                <w:b w:val="0"/>
                <w:sz w:val="21"/>
              </w:rPr>
              <w:t>设备与测点、采集任务、场所及约定</w:t>
            </w:r>
          </w:p>
        </w:tc>
        <w:tc>
          <w:tcPr>
            <w:tcW w:type="dxa" w:w="3277"/>
            <w:vAlign w:val="center"/>
          </w:tcPr>
          <w:p>
            <w:pPr>
              <w:keepNext w:val="0"/>
              <w:spacing w:line="320" w:lineRule="exact" w:after="0" w:before="0"/>
              <w:ind w:firstLine="0"/>
              <w:jc w:val="left"/>
            </w:pPr>
            <w:r>
              <w:rPr>
                <w:b w:val="0"/>
                <w:sz w:val="21"/>
              </w:rPr>
              <w:t>采集授权、设备或客户相关限制</w:t>
            </w:r>
          </w:p>
        </w:tc>
      </w:tr>
      <w:tr>
        <w:trPr>
          <w:cantSplit/>
        </w:trPr>
        <w:tc>
          <w:tcPr>
            <w:tcW w:type="dxa" w:w="2506"/>
            <w:vAlign w:val="center"/>
          </w:tcPr>
          <w:p>
            <w:pPr>
              <w:keepNext w:val="0"/>
              <w:spacing w:line="320" w:lineRule="exact" w:after="0" w:before="0"/>
              <w:ind w:firstLine="0"/>
              <w:jc w:val="left"/>
            </w:pPr>
            <w:r>
              <w:rPr>
                <w:b w:val="0"/>
                <w:sz w:val="21"/>
              </w:rPr>
              <w:t>客户合作方提供</w:t>
            </w:r>
          </w:p>
        </w:tc>
        <w:tc>
          <w:tcPr>
            <w:tcW w:type="dxa" w:w="3855"/>
            <w:vAlign w:val="center"/>
          </w:tcPr>
          <w:p>
            <w:pPr>
              <w:keepNext w:val="0"/>
              <w:spacing w:line="320" w:lineRule="exact" w:after="0" w:before="0"/>
              <w:ind w:firstLine="0"/>
              <w:jc w:val="left"/>
            </w:pPr>
            <w:r>
              <w:rPr>
                <w:b w:val="0"/>
                <w:sz w:val="21"/>
              </w:rPr>
              <w:t>提供记录、合同、授权或保密约定</w:t>
            </w:r>
          </w:p>
        </w:tc>
        <w:tc>
          <w:tcPr>
            <w:tcW w:type="dxa" w:w="3277"/>
            <w:vAlign w:val="center"/>
          </w:tcPr>
          <w:p>
            <w:pPr>
              <w:keepNext w:val="0"/>
              <w:spacing w:line="320" w:lineRule="exact" w:after="0" w:before="0"/>
              <w:ind w:firstLine="0"/>
              <w:jc w:val="left"/>
            </w:pPr>
            <w:r>
              <w:rPr>
                <w:b w:val="0"/>
                <w:sz w:val="21"/>
              </w:rPr>
              <w:t>训练、分析、共享和对外提供权限</w:t>
            </w:r>
          </w:p>
        </w:tc>
      </w:tr>
      <w:tr>
        <w:trPr>
          <w:cantSplit/>
        </w:trPr>
        <w:tc>
          <w:tcPr>
            <w:tcW w:type="dxa" w:w="2506"/>
            <w:vAlign w:val="center"/>
          </w:tcPr>
          <w:p>
            <w:pPr>
              <w:keepNext w:val="0"/>
              <w:spacing w:line="320" w:lineRule="exact" w:after="0" w:before="0"/>
              <w:ind w:firstLine="0"/>
              <w:jc w:val="left"/>
            </w:pPr>
            <w:r>
              <w:rPr>
                <w:b w:val="0"/>
                <w:sz w:val="21"/>
              </w:rPr>
              <w:t>采购取得</w:t>
            </w:r>
          </w:p>
        </w:tc>
        <w:tc>
          <w:tcPr>
            <w:tcW w:type="dxa" w:w="3855"/>
            <w:vAlign w:val="center"/>
          </w:tcPr>
          <w:p>
            <w:pPr>
              <w:keepNext w:val="0"/>
              <w:spacing w:line="320" w:lineRule="exact" w:after="0" w:before="0"/>
              <w:ind w:firstLine="0"/>
              <w:jc w:val="left"/>
            </w:pPr>
            <w:r>
              <w:rPr>
                <w:b w:val="0"/>
                <w:sz w:val="21"/>
              </w:rPr>
              <w:t>采购合同、许可范围和交付记录</w:t>
            </w:r>
          </w:p>
        </w:tc>
        <w:tc>
          <w:tcPr>
            <w:tcW w:type="dxa" w:w="3277"/>
            <w:vAlign w:val="center"/>
          </w:tcPr>
          <w:p>
            <w:pPr>
              <w:keepNext w:val="0"/>
              <w:spacing w:line="320" w:lineRule="exact" w:after="0" w:before="0"/>
              <w:ind w:firstLine="0"/>
              <w:jc w:val="left"/>
            </w:pPr>
            <w:r>
              <w:rPr>
                <w:b w:val="0"/>
                <w:sz w:val="21"/>
              </w:rPr>
              <w:t>用户、场景、期限、再加工和转授</w:t>
            </w:r>
          </w:p>
        </w:tc>
      </w:tr>
      <w:tr>
        <w:trPr>
          <w:cantSplit/>
        </w:trPr>
        <w:tc>
          <w:tcPr>
            <w:tcW w:type="dxa" w:w="2506"/>
            <w:vAlign w:val="center"/>
          </w:tcPr>
          <w:p>
            <w:pPr>
              <w:keepNext w:val="0"/>
              <w:spacing w:line="320" w:lineRule="exact" w:after="0" w:before="0"/>
              <w:ind w:firstLine="0"/>
              <w:jc w:val="left"/>
            </w:pPr>
            <w:r>
              <w:rPr>
                <w:b w:val="0"/>
                <w:sz w:val="21"/>
              </w:rPr>
              <w:t>公开获取</w:t>
            </w:r>
          </w:p>
        </w:tc>
        <w:tc>
          <w:tcPr>
            <w:tcW w:type="dxa" w:w="3855"/>
            <w:vAlign w:val="center"/>
          </w:tcPr>
          <w:p>
            <w:pPr>
              <w:keepNext w:val="0"/>
              <w:spacing w:line="320" w:lineRule="exact" w:after="0" w:before="0"/>
              <w:ind w:firstLine="0"/>
              <w:jc w:val="left"/>
            </w:pPr>
            <w:r>
              <w:rPr>
                <w:b w:val="0"/>
                <w:sz w:val="21"/>
              </w:rPr>
              <w:t>来源、取得时间和适用许可</w:t>
            </w:r>
          </w:p>
        </w:tc>
        <w:tc>
          <w:tcPr>
            <w:tcW w:type="dxa" w:w="3277"/>
            <w:vAlign w:val="center"/>
          </w:tcPr>
          <w:p>
            <w:pPr>
              <w:keepNext w:val="0"/>
              <w:spacing w:line="320" w:lineRule="exact" w:after="0" w:before="0"/>
              <w:ind w:firstLine="0"/>
              <w:jc w:val="left"/>
            </w:pPr>
            <w:r>
              <w:rPr>
                <w:b w:val="0"/>
                <w:sz w:val="21"/>
              </w:rPr>
              <w:t>可用方式、引用、再分发及其他限制</w:t>
            </w:r>
          </w:p>
        </w:tc>
      </w:tr>
      <w:tr>
        <w:trPr>
          <w:cantSplit/>
        </w:trPr>
        <w:tc>
          <w:tcPr>
            <w:tcW w:type="dxa" w:w="2506"/>
            <w:vAlign w:val="center"/>
          </w:tcPr>
          <w:p>
            <w:pPr>
              <w:keepNext w:val="0"/>
              <w:spacing w:line="320" w:lineRule="exact" w:after="0" w:before="0"/>
              <w:ind w:firstLine="0"/>
              <w:jc w:val="left"/>
            </w:pPr>
            <w:r>
              <w:rPr>
                <w:b w:val="0"/>
                <w:sz w:val="21"/>
              </w:rPr>
              <w:t>治理加工形成</w:t>
            </w:r>
          </w:p>
        </w:tc>
        <w:tc>
          <w:tcPr>
            <w:tcW w:type="dxa" w:w="3855"/>
            <w:vAlign w:val="center"/>
          </w:tcPr>
          <w:p>
            <w:pPr>
              <w:keepNext w:val="0"/>
              <w:spacing w:line="320" w:lineRule="exact" w:after="0" w:before="0"/>
              <w:ind w:firstLine="0"/>
              <w:jc w:val="left"/>
            </w:pPr>
            <w:r>
              <w:rPr>
                <w:b w:val="0"/>
                <w:sz w:val="21"/>
              </w:rPr>
              <w:t>输入版本、加工任务和成果约定</w:t>
            </w:r>
          </w:p>
        </w:tc>
        <w:tc>
          <w:tcPr>
            <w:tcW w:type="dxa" w:w="3277"/>
            <w:vAlign w:val="center"/>
          </w:tcPr>
          <w:p>
            <w:pPr>
              <w:keepNext w:val="0"/>
              <w:spacing w:line="320" w:lineRule="exact" w:after="0" w:before="0"/>
              <w:ind w:firstLine="0"/>
              <w:jc w:val="left"/>
            </w:pPr>
            <w:r>
              <w:rPr>
                <w:b w:val="0"/>
                <w:sz w:val="21"/>
              </w:rPr>
              <w:t>原始限制继承、成果权利及发布条件</w:t>
            </w:r>
          </w:p>
        </w:tc>
      </w:tr>
    </w:tbl>
    <w:p>
      <w:pPr>
        <w:spacing w:after="40" w:line="240" w:lineRule="auto"/>
        <w:ind w:firstLine="0"/>
      </w:pPr>
      <w:r>
        <w:rPr>
          <w:sz w:val="4"/>
        </w:rPr>
      </w:r>
    </w:p>
    <w:p>
      <w:pPr>
        <w:pStyle w:val="Heading2"/>
      </w:pPr>
      <w:r>
        <w:t>8.3 所有权使用权与成果关系</w:t>
      </w:r>
    </w:p>
    <w:p>
      <w:pPr>
        <w:jc w:val="both"/>
      </w:pPr>
      <w:r>
        <w:t>权属管理分别记录原始数据及治理后资产的所有权、使用权、持有与管理责任、加工使用权限和对外经营条件。对合同或授权已明确的事项，按约定登记并关联证明材料；对权利关系尚未核清的事项，记录待核实内容和责任，在明确前限制相应使用或发布。加工形成新结构、标注或派生内容时，同时保留输入权利限制和成果约定，不因技术转换消除原始限制。</w:t>
      </w:r>
    </w:p>
    <w:p>
      <w:pPr>
        <w:jc w:val="both"/>
      </w:pPr>
      <w:r>
        <w:t>使用权记录主体、用途、对象、字段、时间、环境、访问方式、期限、转授限制、成果使用及到期处置。内部查询、内部模型训练、项目验证、对外服务及数据再分发分别核验，不能将一种用途的授权自动扩展到其他用途。多个来源合并时逐项检查许可兼容性，实际发布范围需同时满足各来源条件。</w:t>
      </w:r>
    </w:p>
    <w:p>
      <w:pPr>
        <w:jc w:val="both"/>
      </w:pPr>
      <w:r>
        <w:t>我方按照合同及甲方批准的授权范围开展数据处理，项目形成的成果按合同约定交付和管理。数据处理人员、工具和外部协作环节均受相应权限及保密要求约束；未经批准不将项目数据用于其他项目或用途。权利状态变化时，通过血缘定位已形成的数据集、知识、模型验证结果及服务，评估暂停使用、替换、撤回或重新授权的范围。</w:t>
      </w:r>
    </w:p>
    <w:p>
      <w:pPr>
        <w:jc w:val="both"/>
      </w:pPr>
      <w:r>
        <w:t>权属核查由资产管理岗位组织，业务责任岗位确认形成背景，合同及相关职能确认约定，安全岗位确认保护要求，技术岗位落实使用边界。核查结论记录依据、范围、限制、生效和复查时间。对需要进一步取得授权的资源，明确办理事项和时点，并同步制定可执行的替代供给方案，保障项目建设。</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1" name="Picture 11"/>
            <wp:cNvGraphicFramePr>
              <a:graphicFrameLocks noChangeAspect="1"/>
            </wp:cNvGraphicFramePr>
            <a:graphic>
              <a:graphicData uri="http://schemas.openxmlformats.org/drawingml/2006/picture">
                <pic:pic>
                  <pic:nvPicPr>
                    <pic:cNvPr id="0" name="图11_权属登记.png"/>
                    <pic:cNvPicPr/>
                  </pic:nvPicPr>
                  <pic:blipFill>
                    <a:blip r:embed="rId21"/>
                    <a:stretch>
                      <a:fillRect/>
                    </a:stretch>
                  </pic:blipFill>
                  <pic:spPr>
                    <a:xfrm>
                      <a:off x="0" y="0"/>
                      <a:ext cx="6048000" cy="1942338"/>
                    </a:xfrm>
                    <a:prstGeom prst="rect"/>
                  </pic:spPr>
                </pic:pic>
              </a:graphicData>
            </a:graphic>
          </wp:inline>
        </w:drawing>
      </w:r>
    </w:p>
    <w:p>
      <w:pPr>
        <w:pStyle w:val="Caption"/>
        <w:jc w:val="center"/>
      </w:pPr>
      <w:r>
        <w:t>图8-1 数据来源与权属登记</w:t>
      </w:r>
    </w:p>
    <w:p>
      <w:pPr>
        <w:pStyle w:val="Heading2"/>
      </w:pPr>
      <w:r>
        <w:t>8.4 资源目录结构与字段</w:t>
      </w:r>
    </w:p>
    <w:p>
      <w:pPr>
        <w:jc w:val="both"/>
      </w:pPr>
      <w:r>
        <w:t>数据资源目录按业务域、资源类别、主题和资产对象组织，支持按场景、来源、模态、质量、更新频率和使用条件检索。目录使用稳定的资源标识，展示名称、业务含义、责任、版本、状态、覆盖范围、更新和申请入口。数据集目录进一步展示领域、用途、规模、模态、时间、质量及数据卡；服务目录展示接口、服务内容、调用条件和维护责任。</w:t>
      </w:r>
    </w:p>
    <w:p>
      <w:pPr>
        <w:jc w:val="both"/>
      </w:pPr>
      <w:r>
        <w:t>目录字段分为检索展示、申请审批、管理维护和受控技术四类。普通用户可见已授权的描述和申请条件，审批岗位可查看权属、安全及使用限制，维护岗位可编辑其责任范围，技术位置和敏感证据仅向必要岗位开放。目录检索同样进行权限控制，防止通过名称、字段描述或数量统计暴露受限信息。</w:t>
      </w:r>
    </w:p>
    <w:p>
      <w:pPr>
        <w:pStyle w:val="Caption"/>
        <w:keepNext/>
      </w:pPr>
      <w:r>
        <w:t>表8-2 资源目录结构与字段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字段组</w:t>
            </w:r>
          </w:p>
        </w:tc>
        <w:tc>
          <w:tcPr>
            <w:tcW w:type="dxa" w:w="3855"/>
            <w:vAlign w:val="center"/>
            <w:shd w:fill="EDF1F3"/>
          </w:tcPr>
          <w:p>
            <w:pPr>
              <w:keepNext/>
              <w:spacing w:line="320" w:lineRule="exact" w:after="0" w:before="0"/>
              <w:ind w:firstLine="0"/>
              <w:jc w:val="center"/>
            </w:pPr>
            <w:r>
              <w:rPr>
                <w:b/>
                <w:sz w:val="21"/>
              </w:rPr>
              <w:t>主要字段</w:t>
            </w:r>
          </w:p>
        </w:tc>
        <w:tc>
          <w:tcPr>
            <w:tcW w:type="dxa" w:w="3277"/>
            <w:vAlign w:val="center"/>
            <w:shd w:fill="EDF1F3"/>
          </w:tcPr>
          <w:p>
            <w:pPr>
              <w:keepNext/>
              <w:spacing w:line="320" w:lineRule="exact" w:after="0" w:before="0"/>
              <w:ind w:firstLine="0"/>
              <w:jc w:val="center"/>
            </w:pPr>
            <w:r>
              <w:rPr>
                <w:b/>
                <w:sz w:val="21"/>
              </w:rPr>
              <w:t>管理要求</w:t>
            </w:r>
          </w:p>
        </w:tc>
      </w:tr>
      <w:tr>
        <w:trPr>
          <w:cantSplit/>
        </w:trPr>
        <w:tc>
          <w:tcPr>
            <w:tcW w:type="dxa" w:w="2506"/>
            <w:vAlign w:val="center"/>
          </w:tcPr>
          <w:p>
            <w:pPr>
              <w:keepNext w:val="0"/>
              <w:spacing w:line="320" w:lineRule="exact" w:after="0" w:before="0"/>
              <w:ind w:firstLine="0"/>
              <w:jc w:val="left"/>
            </w:pPr>
            <w:r>
              <w:rPr>
                <w:b w:val="0"/>
                <w:sz w:val="21"/>
              </w:rPr>
              <w:t>基本身份</w:t>
            </w:r>
          </w:p>
        </w:tc>
        <w:tc>
          <w:tcPr>
            <w:tcW w:type="dxa" w:w="3855"/>
            <w:vAlign w:val="center"/>
          </w:tcPr>
          <w:p>
            <w:pPr>
              <w:keepNext w:val="0"/>
              <w:spacing w:line="320" w:lineRule="exact" w:after="0" w:before="0"/>
              <w:ind w:firstLine="0"/>
              <w:jc w:val="left"/>
            </w:pPr>
            <w:r>
              <w:rPr>
                <w:b w:val="0"/>
                <w:sz w:val="21"/>
              </w:rPr>
              <w:t>标识、名称、业务域、类别、版本、状态</w:t>
            </w:r>
          </w:p>
        </w:tc>
        <w:tc>
          <w:tcPr>
            <w:tcW w:type="dxa" w:w="3277"/>
            <w:vAlign w:val="center"/>
          </w:tcPr>
          <w:p>
            <w:pPr>
              <w:keepNext w:val="0"/>
              <w:spacing w:line="320" w:lineRule="exact" w:after="0" w:before="0"/>
              <w:ind w:firstLine="0"/>
              <w:jc w:val="left"/>
            </w:pPr>
            <w:r>
              <w:rPr>
                <w:b w:val="0"/>
                <w:sz w:val="21"/>
              </w:rPr>
              <w:t>标识稳定，名称与对象含义一致</w:t>
            </w:r>
          </w:p>
        </w:tc>
      </w:tr>
      <w:tr>
        <w:trPr>
          <w:cantSplit/>
        </w:trPr>
        <w:tc>
          <w:tcPr>
            <w:tcW w:type="dxa" w:w="2506"/>
            <w:vAlign w:val="center"/>
          </w:tcPr>
          <w:p>
            <w:pPr>
              <w:keepNext w:val="0"/>
              <w:spacing w:line="320" w:lineRule="exact" w:after="0" w:before="0"/>
              <w:ind w:firstLine="0"/>
              <w:jc w:val="left"/>
            </w:pPr>
            <w:r>
              <w:rPr>
                <w:b w:val="0"/>
                <w:sz w:val="21"/>
              </w:rPr>
              <w:t>内容特征</w:t>
            </w:r>
          </w:p>
        </w:tc>
        <w:tc>
          <w:tcPr>
            <w:tcW w:type="dxa" w:w="3855"/>
            <w:vAlign w:val="center"/>
          </w:tcPr>
          <w:p>
            <w:pPr>
              <w:keepNext w:val="0"/>
              <w:spacing w:line="320" w:lineRule="exact" w:after="0" w:before="0"/>
              <w:ind w:firstLine="0"/>
              <w:jc w:val="left"/>
            </w:pPr>
            <w:r>
              <w:rPr>
                <w:b w:val="0"/>
                <w:sz w:val="21"/>
              </w:rPr>
              <w:t>对象、粒度、模态、格式、时间和规模</w:t>
            </w:r>
          </w:p>
        </w:tc>
        <w:tc>
          <w:tcPr>
            <w:tcW w:type="dxa" w:w="3277"/>
            <w:vAlign w:val="center"/>
          </w:tcPr>
          <w:p>
            <w:pPr>
              <w:keepNext w:val="0"/>
              <w:spacing w:line="320" w:lineRule="exact" w:after="0" w:before="0"/>
              <w:ind w:firstLine="0"/>
              <w:jc w:val="left"/>
            </w:pPr>
            <w:r>
              <w:rPr>
                <w:b w:val="0"/>
                <w:sz w:val="21"/>
              </w:rPr>
              <w:t>规模附时点，范围可验证</w:t>
            </w:r>
          </w:p>
        </w:tc>
      </w:tr>
      <w:tr>
        <w:trPr>
          <w:cantSplit/>
        </w:trPr>
        <w:tc>
          <w:tcPr>
            <w:tcW w:type="dxa" w:w="2506"/>
            <w:vAlign w:val="center"/>
          </w:tcPr>
          <w:p>
            <w:pPr>
              <w:keepNext w:val="0"/>
              <w:spacing w:line="320" w:lineRule="exact" w:after="0" w:before="0"/>
              <w:ind w:firstLine="0"/>
              <w:jc w:val="left"/>
            </w:pPr>
            <w:r>
              <w:rPr>
                <w:b w:val="0"/>
                <w:sz w:val="21"/>
              </w:rPr>
              <w:t>责任来源</w:t>
            </w:r>
          </w:p>
        </w:tc>
        <w:tc>
          <w:tcPr>
            <w:tcW w:type="dxa" w:w="3855"/>
            <w:vAlign w:val="center"/>
          </w:tcPr>
          <w:p>
            <w:pPr>
              <w:keepNext w:val="0"/>
              <w:spacing w:line="320" w:lineRule="exact" w:after="0" w:before="0"/>
              <w:ind w:firstLine="0"/>
              <w:jc w:val="left"/>
            </w:pPr>
            <w:r>
              <w:rPr>
                <w:b w:val="0"/>
                <w:sz w:val="21"/>
              </w:rPr>
              <w:t>来源、归口部门、维护岗位、证据</w:t>
            </w:r>
          </w:p>
        </w:tc>
        <w:tc>
          <w:tcPr>
            <w:tcW w:type="dxa" w:w="3277"/>
            <w:vAlign w:val="center"/>
          </w:tcPr>
          <w:p>
            <w:pPr>
              <w:keepNext w:val="0"/>
              <w:spacing w:line="320" w:lineRule="exact" w:after="0" w:before="0"/>
              <w:ind w:firstLine="0"/>
              <w:jc w:val="left"/>
            </w:pPr>
            <w:r>
              <w:rPr>
                <w:b w:val="0"/>
                <w:sz w:val="21"/>
              </w:rPr>
              <w:t>权威责任明确，来源能够回查</w:t>
            </w:r>
          </w:p>
        </w:tc>
      </w:tr>
      <w:tr>
        <w:trPr>
          <w:cantSplit/>
        </w:trPr>
        <w:tc>
          <w:tcPr>
            <w:tcW w:type="dxa" w:w="2506"/>
            <w:vAlign w:val="center"/>
          </w:tcPr>
          <w:p>
            <w:pPr>
              <w:keepNext w:val="0"/>
              <w:spacing w:line="320" w:lineRule="exact" w:after="0" w:before="0"/>
              <w:ind w:firstLine="0"/>
              <w:jc w:val="left"/>
            </w:pPr>
            <w:r>
              <w:rPr>
                <w:b w:val="0"/>
                <w:sz w:val="21"/>
              </w:rPr>
              <w:t>质量适用</w:t>
            </w:r>
          </w:p>
        </w:tc>
        <w:tc>
          <w:tcPr>
            <w:tcW w:type="dxa" w:w="3855"/>
            <w:vAlign w:val="center"/>
          </w:tcPr>
          <w:p>
            <w:pPr>
              <w:keepNext w:val="0"/>
              <w:spacing w:line="320" w:lineRule="exact" w:after="0" w:before="0"/>
              <w:ind w:firstLine="0"/>
              <w:jc w:val="left"/>
            </w:pPr>
            <w:r>
              <w:rPr>
                <w:b w:val="0"/>
                <w:sz w:val="21"/>
              </w:rPr>
              <w:t>质量状态、检查时间、适用用途和限制</w:t>
            </w:r>
          </w:p>
        </w:tc>
        <w:tc>
          <w:tcPr>
            <w:tcW w:type="dxa" w:w="3277"/>
            <w:vAlign w:val="center"/>
          </w:tcPr>
          <w:p>
            <w:pPr>
              <w:keepNext w:val="0"/>
              <w:spacing w:line="320" w:lineRule="exact" w:after="0" w:before="0"/>
              <w:ind w:firstLine="0"/>
              <w:jc w:val="left"/>
            </w:pPr>
            <w:r>
              <w:rPr>
                <w:b w:val="0"/>
                <w:sz w:val="21"/>
              </w:rPr>
              <w:t>与实际版本一致，问题及时更新</w:t>
            </w:r>
          </w:p>
        </w:tc>
      </w:tr>
      <w:tr>
        <w:trPr>
          <w:cantSplit/>
        </w:trPr>
        <w:tc>
          <w:tcPr>
            <w:tcW w:type="dxa" w:w="2506"/>
            <w:vAlign w:val="center"/>
          </w:tcPr>
          <w:p>
            <w:pPr>
              <w:keepNext w:val="0"/>
              <w:spacing w:line="320" w:lineRule="exact" w:after="0" w:before="0"/>
              <w:ind w:firstLine="0"/>
              <w:jc w:val="left"/>
            </w:pPr>
            <w:r>
              <w:rPr>
                <w:b w:val="0"/>
                <w:sz w:val="21"/>
              </w:rPr>
              <w:t>权利安全</w:t>
            </w:r>
          </w:p>
        </w:tc>
        <w:tc>
          <w:tcPr>
            <w:tcW w:type="dxa" w:w="3855"/>
            <w:vAlign w:val="center"/>
          </w:tcPr>
          <w:p>
            <w:pPr>
              <w:keepNext w:val="0"/>
              <w:spacing w:line="320" w:lineRule="exact" w:after="0" w:before="0"/>
              <w:ind w:firstLine="0"/>
              <w:jc w:val="left"/>
            </w:pPr>
            <w:r>
              <w:rPr>
                <w:b w:val="0"/>
                <w:sz w:val="21"/>
              </w:rPr>
              <w:t>权属依据、使用条件、级别和审批要求</w:t>
            </w:r>
          </w:p>
        </w:tc>
        <w:tc>
          <w:tcPr>
            <w:tcW w:type="dxa" w:w="3277"/>
            <w:vAlign w:val="center"/>
          </w:tcPr>
          <w:p>
            <w:pPr>
              <w:keepNext w:val="0"/>
              <w:spacing w:line="320" w:lineRule="exact" w:after="0" w:before="0"/>
              <w:ind w:firstLine="0"/>
              <w:jc w:val="left"/>
            </w:pPr>
            <w:r>
              <w:rPr>
                <w:b w:val="0"/>
                <w:sz w:val="21"/>
              </w:rPr>
              <w:t>限制继承，敏感信息受控展示</w:t>
            </w:r>
          </w:p>
        </w:tc>
      </w:tr>
      <w:tr>
        <w:trPr>
          <w:cantSplit/>
        </w:trPr>
        <w:tc>
          <w:tcPr>
            <w:tcW w:type="dxa" w:w="2506"/>
            <w:vAlign w:val="center"/>
          </w:tcPr>
          <w:p>
            <w:pPr>
              <w:keepNext w:val="0"/>
              <w:spacing w:line="320" w:lineRule="exact" w:after="0" w:before="0"/>
              <w:ind w:firstLine="0"/>
              <w:jc w:val="left"/>
            </w:pPr>
            <w:r>
              <w:rPr>
                <w:b w:val="0"/>
                <w:sz w:val="21"/>
              </w:rPr>
              <w:t>服务使用</w:t>
            </w:r>
          </w:p>
        </w:tc>
        <w:tc>
          <w:tcPr>
            <w:tcW w:type="dxa" w:w="3855"/>
            <w:vAlign w:val="center"/>
          </w:tcPr>
          <w:p>
            <w:pPr>
              <w:keepNext w:val="0"/>
              <w:spacing w:line="320" w:lineRule="exact" w:after="0" w:before="0"/>
              <w:ind w:firstLine="0"/>
              <w:jc w:val="left"/>
            </w:pPr>
            <w:r>
              <w:rPr>
                <w:b w:val="0"/>
                <w:sz w:val="21"/>
              </w:rPr>
              <w:t>获取方式、频率、服务条件、申请和期限</w:t>
            </w:r>
          </w:p>
        </w:tc>
        <w:tc>
          <w:tcPr>
            <w:tcW w:type="dxa" w:w="3277"/>
            <w:vAlign w:val="center"/>
          </w:tcPr>
          <w:p>
            <w:pPr>
              <w:keepNext w:val="0"/>
              <w:spacing w:line="320" w:lineRule="exact" w:after="0" w:before="0"/>
              <w:ind w:firstLine="0"/>
              <w:jc w:val="left"/>
            </w:pPr>
            <w:r>
              <w:rPr>
                <w:b w:val="0"/>
                <w:sz w:val="21"/>
              </w:rPr>
              <w:t>授权与技术权限一致</w:t>
            </w:r>
          </w:p>
        </w:tc>
      </w:tr>
      <w:tr>
        <w:trPr>
          <w:cantSplit/>
        </w:trPr>
        <w:tc>
          <w:tcPr>
            <w:tcW w:type="dxa" w:w="2506"/>
            <w:vAlign w:val="center"/>
          </w:tcPr>
          <w:p>
            <w:pPr>
              <w:keepNext w:val="0"/>
              <w:spacing w:line="320" w:lineRule="exact" w:after="0" w:before="0"/>
              <w:ind w:firstLine="0"/>
              <w:jc w:val="left"/>
            </w:pPr>
            <w:r>
              <w:rPr>
                <w:b w:val="0"/>
                <w:sz w:val="21"/>
              </w:rPr>
              <w:t>生命周期</w:t>
            </w:r>
          </w:p>
        </w:tc>
        <w:tc>
          <w:tcPr>
            <w:tcW w:type="dxa" w:w="3855"/>
            <w:vAlign w:val="center"/>
          </w:tcPr>
          <w:p>
            <w:pPr>
              <w:keepNext w:val="0"/>
              <w:spacing w:line="320" w:lineRule="exact" w:after="0" w:before="0"/>
              <w:ind w:firstLine="0"/>
              <w:jc w:val="left"/>
            </w:pPr>
            <w:r>
              <w:rPr>
                <w:b w:val="0"/>
                <w:sz w:val="21"/>
              </w:rPr>
              <w:t>上架、变更、复查、归档、退役和保留</w:t>
            </w:r>
          </w:p>
        </w:tc>
        <w:tc>
          <w:tcPr>
            <w:tcW w:type="dxa" w:w="3277"/>
            <w:vAlign w:val="center"/>
          </w:tcPr>
          <w:p>
            <w:pPr>
              <w:keepNext w:val="0"/>
              <w:spacing w:line="320" w:lineRule="exact" w:after="0" w:before="0"/>
              <w:ind w:firstLine="0"/>
              <w:jc w:val="left"/>
            </w:pPr>
            <w:r>
              <w:rPr>
                <w:b w:val="0"/>
                <w:sz w:val="21"/>
              </w:rPr>
              <w:t>状态完整，历史关系持续保留</w:t>
            </w:r>
          </w:p>
        </w:tc>
      </w:tr>
    </w:tbl>
    <w:p>
      <w:pPr>
        <w:spacing w:after="40" w:line="240" w:lineRule="auto"/>
        <w:ind w:firstLine="0"/>
      </w:pPr>
      <w:r>
        <w:rPr>
          <w:sz w:val="4"/>
        </w:rPr>
      </w:r>
    </w:p>
    <w:p>
      <w:pPr>
        <w:jc w:val="both"/>
      </w:pPr>
      <w:r>
        <w:t>目录维护事件包括新增资源、规则或内容变更、质量变化、授权变化、责任调整和服务退役。来源任务或平台流程触发相应更新，资产管理员复核业务信息与状态。定期抽查目录可用性，验证描述与实际内容、字段、版本及服务一致，发现失效入口和过期说明及时处理。</w:t>
      </w:r>
    </w:p>
    <w:p>
      <w:pPr>
        <w:pStyle w:val="Heading2"/>
      </w:pPr>
      <w:r>
        <w:t>8.5 资产状态与上架管理</w:t>
      </w:r>
    </w:p>
    <w:p>
      <w:pPr>
        <w:jc w:val="both"/>
      </w:pPr>
      <w:r>
        <w:t>资产采用已登记、核查中、可发布、已发布、限制使用、暂停服务、归档和退役等受控状态，明确各状态的进入条件、操作权限和退出条件。登记状态完成基本身份及来源记录；可发布状态完成必要权属、质量、安全和用途核查；已发布状态具有有效服务或获取方式；限制和暂停状态保留原因、影响及恢复要求；归档与退役按生命周期规定实施。</w:t>
      </w:r>
    </w:p>
    <w:p>
      <w:pPr>
        <w:jc w:val="both"/>
      </w:pPr>
      <w:r>
        <w:t>上架申请提交资产内容、版本、来源、数据字典、质量结果、权属依据、分类分级、适用用途、服务方式和责任。审核先核对内容及版本，再检查权利和安全条件，最后验证实际服务和授权控制。审批通过后发布目录与服务，记录发布时间、生效范围和通知对象；发布失败时保留原因并恢复到相应状态。</w:t>
      </w:r>
    </w:p>
    <w:p>
      <w:pPr>
        <w:jc w:val="both"/>
      </w:pPr>
      <w:r>
        <w:t>质量降低、来源授权变化、重大内容错误或服务异常触发限制使用或暂停。限制措施明确受影响字段、对象、时间或用途，尽量控制在实际影响范围内，同时防止错误继续传播。恢复前完成问题修复、质量复查、权限核对和使用方通知。资产版本升级时保留新旧关系和服务切换安排，避免使用方继续引用已不适用内容。</w:t>
      </w:r>
    </w:p>
    <w:p>
      <w:pPr>
        <w:pStyle w:val="Heading2"/>
      </w:pPr>
      <w:r>
        <w:t>8.6 数据资产价值评估维度</w:t>
      </w:r>
    </w:p>
    <w:p>
      <w:pPr>
        <w:jc w:val="both"/>
      </w:pPr>
      <w:r>
        <w:t>资产价值评估服务于内部投入、治理优先级、复用安排和运营决策。我方建立业务贡献、数据质量、供给与维护成本、稀缺及可替代性、复用能力、持续供给和风险约束等维度，分别收集证据。业务贡献核查其支持的业务任务和实际使用效果，质量核查准确、完整、一致及适用状态，成本核查取得、治理、标注、存储和服务投入，风险核查权利、安全及维护限制。</w:t>
      </w:r>
    </w:p>
    <w:p>
      <w:pPr>
        <w:jc w:val="both"/>
      </w:pPr>
      <w:r>
        <w:t>价值评价区分资源规模和有效价值。重复副本、不可使用数据、失效版本和缺少业务上下文的内容不得仅按容量赋予较高评价；关键但规模较小的专业数据结合不可替代性和业务影响评价。数据集价值同时考虑领域覆盖、专业标注、真实性、隔离、质量和场景验证，知识与指标价值关注权威性、版本、解释和复用。</w:t>
      </w:r>
    </w:p>
    <w:p>
      <w:pPr>
        <w:pStyle w:val="Caption"/>
        <w:keepNext/>
      </w:pPr>
      <w:r>
        <w:t>表8-3 数据资产价值评估维度</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评价维度</w:t>
            </w:r>
          </w:p>
        </w:tc>
        <w:tc>
          <w:tcPr>
            <w:tcW w:type="dxa" w:w="3855"/>
            <w:vAlign w:val="center"/>
            <w:shd w:fill="EDF1F3"/>
          </w:tcPr>
          <w:p>
            <w:pPr>
              <w:keepNext/>
              <w:spacing w:line="320" w:lineRule="exact" w:after="0" w:before="0"/>
              <w:ind w:firstLine="0"/>
              <w:jc w:val="center"/>
            </w:pPr>
            <w:r>
              <w:rPr>
                <w:b/>
                <w:sz w:val="21"/>
              </w:rPr>
              <w:t>主要判断内容</w:t>
            </w:r>
          </w:p>
        </w:tc>
        <w:tc>
          <w:tcPr>
            <w:tcW w:type="dxa" w:w="3277"/>
            <w:vAlign w:val="center"/>
            <w:shd w:fill="EDF1F3"/>
          </w:tcPr>
          <w:p>
            <w:pPr>
              <w:keepNext/>
              <w:spacing w:line="320" w:lineRule="exact" w:after="0" w:before="0"/>
              <w:ind w:firstLine="0"/>
              <w:jc w:val="center"/>
            </w:pPr>
            <w:r>
              <w:rPr>
                <w:b/>
                <w:sz w:val="21"/>
              </w:rPr>
              <w:t>证据要求</w:t>
            </w:r>
          </w:p>
        </w:tc>
      </w:tr>
      <w:tr>
        <w:trPr>
          <w:cantSplit/>
        </w:trPr>
        <w:tc>
          <w:tcPr>
            <w:tcW w:type="dxa" w:w="2506"/>
            <w:vAlign w:val="center"/>
          </w:tcPr>
          <w:p>
            <w:pPr>
              <w:keepNext w:val="0"/>
              <w:spacing w:line="320" w:lineRule="exact" w:after="0" w:before="0"/>
              <w:ind w:firstLine="0"/>
              <w:jc w:val="left"/>
            </w:pPr>
            <w:r>
              <w:rPr>
                <w:b w:val="0"/>
                <w:sz w:val="21"/>
              </w:rPr>
              <w:t>业务贡献</w:t>
            </w:r>
          </w:p>
        </w:tc>
        <w:tc>
          <w:tcPr>
            <w:tcW w:type="dxa" w:w="3855"/>
            <w:vAlign w:val="center"/>
          </w:tcPr>
          <w:p>
            <w:pPr>
              <w:keepNext w:val="0"/>
              <w:spacing w:line="320" w:lineRule="exact" w:after="0" w:before="0"/>
              <w:ind w:firstLine="0"/>
              <w:jc w:val="left"/>
            </w:pPr>
            <w:r>
              <w:rPr>
                <w:b w:val="0"/>
                <w:sz w:val="21"/>
              </w:rPr>
              <w:t>支撑任务、决策和流程效果</w:t>
            </w:r>
          </w:p>
        </w:tc>
        <w:tc>
          <w:tcPr>
            <w:tcW w:type="dxa" w:w="3277"/>
            <w:vAlign w:val="center"/>
          </w:tcPr>
          <w:p>
            <w:pPr>
              <w:keepNext w:val="0"/>
              <w:spacing w:line="320" w:lineRule="exact" w:after="0" w:before="0"/>
              <w:ind w:firstLine="0"/>
              <w:jc w:val="left"/>
            </w:pPr>
            <w:r>
              <w:rPr>
                <w:b w:val="0"/>
                <w:sz w:val="21"/>
              </w:rPr>
              <w:t>使用记录、业务确认及可比效果数据</w:t>
            </w:r>
          </w:p>
        </w:tc>
      </w:tr>
      <w:tr>
        <w:trPr>
          <w:cantSplit/>
        </w:trPr>
        <w:tc>
          <w:tcPr>
            <w:tcW w:type="dxa" w:w="2506"/>
            <w:vAlign w:val="center"/>
          </w:tcPr>
          <w:p>
            <w:pPr>
              <w:keepNext w:val="0"/>
              <w:spacing w:line="320" w:lineRule="exact" w:after="0" w:before="0"/>
              <w:ind w:firstLine="0"/>
              <w:jc w:val="left"/>
            </w:pPr>
            <w:r>
              <w:rPr>
                <w:b w:val="0"/>
                <w:sz w:val="21"/>
              </w:rPr>
              <w:t>数据质量</w:t>
            </w:r>
          </w:p>
        </w:tc>
        <w:tc>
          <w:tcPr>
            <w:tcW w:type="dxa" w:w="3855"/>
            <w:vAlign w:val="center"/>
          </w:tcPr>
          <w:p>
            <w:pPr>
              <w:keepNext w:val="0"/>
              <w:spacing w:line="320" w:lineRule="exact" w:after="0" w:before="0"/>
              <w:ind w:firstLine="0"/>
              <w:jc w:val="left"/>
            </w:pPr>
            <w:r>
              <w:rPr>
                <w:b w:val="0"/>
                <w:sz w:val="21"/>
              </w:rPr>
              <w:t>正确、完整、一致、时效和适用</w:t>
            </w:r>
          </w:p>
        </w:tc>
        <w:tc>
          <w:tcPr>
            <w:tcW w:type="dxa" w:w="3277"/>
            <w:vAlign w:val="center"/>
          </w:tcPr>
          <w:p>
            <w:pPr>
              <w:keepNext w:val="0"/>
              <w:spacing w:line="320" w:lineRule="exact" w:after="0" w:before="0"/>
              <w:ind w:firstLine="0"/>
              <w:jc w:val="left"/>
            </w:pPr>
            <w:r>
              <w:rPr>
                <w:b w:val="0"/>
                <w:sz w:val="21"/>
              </w:rPr>
              <w:t>质量报告、抽验和问题整改记录</w:t>
            </w:r>
          </w:p>
        </w:tc>
      </w:tr>
      <w:tr>
        <w:trPr>
          <w:cantSplit/>
        </w:trPr>
        <w:tc>
          <w:tcPr>
            <w:tcW w:type="dxa" w:w="2506"/>
            <w:vAlign w:val="center"/>
          </w:tcPr>
          <w:p>
            <w:pPr>
              <w:keepNext w:val="0"/>
              <w:spacing w:line="320" w:lineRule="exact" w:after="0" w:before="0"/>
              <w:ind w:firstLine="0"/>
              <w:jc w:val="left"/>
            </w:pPr>
            <w:r>
              <w:rPr>
                <w:b w:val="0"/>
                <w:sz w:val="21"/>
              </w:rPr>
              <w:t>供给与维护成本</w:t>
            </w:r>
          </w:p>
        </w:tc>
        <w:tc>
          <w:tcPr>
            <w:tcW w:type="dxa" w:w="3855"/>
            <w:vAlign w:val="center"/>
          </w:tcPr>
          <w:p>
            <w:pPr>
              <w:keepNext w:val="0"/>
              <w:spacing w:line="320" w:lineRule="exact" w:after="0" w:before="0"/>
              <w:ind w:firstLine="0"/>
              <w:jc w:val="left"/>
            </w:pPr>
            <w:r>
              <w:rPr>
                <w:b w:val="0"/>
                <w:sz w:val="21"/>
              </w:rPr>
              <w:t>取得、处理、标注、运维及更新投入</w:t>
            </w:r>
          </w:p>
        </w:tc>
        <w:tc>
          <w:tcPr>
            <w:tcW w:type="dxa" w:w="3277"/>
            <w:vAlign w:val="center"/>
          </w:tcPr>
          <w:p>
            <w:pPr>
              <w:keepNext w:val="0"/>
              <w:spacing w:line="320" w:lineRule="exact" w:after="0" w:before="0"/>
              <w:ind w:firstLine="0"/>
              <w:jc w:val="left"/>
            </w:pPr>
            <w:r>
              <w:rPr>
                <w:b w:val="0"/>
                <w:sz w:val="21"/>
              </w:rPr>
              <w:t>工作记录、资源消耗和成本依据</w:t>
            </w:r>
          </w:p>
        </w:tc>
      </w:tr>
      <w:tr>
        <w:trPr>
          <w:cantSplit/>
        </w:trPr>
        <w:tc>
          <w:tcPr>
            <w:tcW w:type="dxa" w:w="2506"/>
            <w:vAlign w:val="center"/>
          </w:tcPr>
          <w:p>
            <w:pPr>
              <w:keepNext w:val="0"/>
              <w:spacing w:line="320" w:lineRule="exact" w:after="0" w:before="0"/>
              <w:ind w:firstLine="0"/>
              <w:jc w:val="left"/>
            </w:pPr>
            <w:r>
              <w:rPr>
                <w:b w:val="0"/>
                <w:sz w:val="21"/>
              </w:rPr>
              <w:t>稀缺与替代性</w:t>
            </w:r>
          </w:p>
        </w:tc>
        <w:tc>
          <w:tcPr>
            <w:tcW w:type="dxa" w:w="3855"/>
            <w:vAlign w:val="center"/>
          </w:tcPr>
          <w:p>
            <w:pPr>
              <w:keepNext w:val="0"/>
              <w:spacing w:line="320" w:lineRule="exact" w:after="0" w:before="0"/>
              <w:ind w:firstLine="0"/>
              <w:jc w:val="left"/>
            </w:pPr>
            <w:r>
              <w:rPr>
                <w:b w:val="0"/>
                <w:sz w:val="21"/>
              </w:rPr>
              <w:t>专业性、获取难度和替代来源</w:t>
            </w:r>
          </w:p>
        </w:tc>
        <w:tc>
          <w:tcPr>
            <w:tcW w:type="dxa" w:w="3277"/>
            <w:vAlign w:val="center"/>
          </w:tcPr>
          <w:p>
            <w:pPr>
              <w:keepNext w:val="0"/>
              <w:spacing w:line="320" w:lineRule="exact" w:after="0" w:before="0"/>
              <w:ind w:firstLine="0"/>
              <w:jc w:val="left"/>
            </w:pPr>
            <w:r>
              <w:rPr>
                <w:b w:val="0"/>
                <w:sz w:val="21"/>
              </w:rPr>
              <w:t>来源调查、替代方案及专业评审</w:t>
            </w:r>
          </w:p>
        </w:tc>
      </w:tr>
      <w:tr>
        <w:trPr>
          <w:cantSplit/>
        </w:trPr>
        <w:tc>
          <w:tcPr>
            <w:tcW w:type="dxa" w:w="2506"/>
            <w:vAlign w:val="center"/>
          </w:tcPr>
          <w:p>
            <w:pPr>
              <w:keepNext w:val="0"/>
              <w:spacing w:line="320" w:lineRule="exact" w:after="0" w:before="0"/>
              <w:ind w:firstLine="0"/>
              <w:jc w:val="left"/>
            </w:pPr>
            <w:r>
              <w:rPr>
                <w:b w:val="0"/>
                <w:sz w:val="21"/>
              </w:rPr>
              <w:t>复用能力</w:t>
            </w:r>
          </w:p>
        </w:tc>
        <w:tc>
          <w:tcPr>
            <w:tcW w:type="dxa" w:w="3855"/>
            <w:vAlign w:val="center"/>
          </w:tcPr>
          <w:p>
            <w:pPr>
              <w:keepNext w:val="0"/>
              <w:spacing w:line="320" w:lineRule="exact" w:after="0" w:before="0"/>
              <w:ind w:firstLine="0"/>
              <w:jc w:val="left"/>
            </w:pPr>
            <w:r>
              <w:rPr>
                <w:b w:val="0"/>
                <w:sz w:val="21"/>
              </w:rPr>
              <w:t>可复用对象、标准化和服务适配</w:t>
            </w:r>
          </w:p>
        </w:tc>
        <w:tc>
          <w:tcPr>
            <w:tcW w:type="dxa" w:w="3277"/>
            <w:vAlign w:val="center"/>
          </w:tcPr>
          <w:p>
            <w:pPr>
              <w:keepNext w:val="0"/>
              <w:spacing w:line="320" w:lineRule="exact" w:after="0" w:before="0"/>
              <w:ind w:firstLine="0"/>
              <w:jc w:val="left"/>
            </w:pPr>
            <w:r>
              <w:rPr>
                <w:b w:val="0"/>
                <w:sz w:val="21"/>
              </w:rPr>
              <w:t>使用方、调用、模型及接口记录</w:t>
            </w:r>
          </w:p>
        </w:tc>
      </w:tr>
      <w:tr>
        <w:trPr>
          <w:cantSplit/>
        </w:trPr>
        <w:tc>
          <w:tcPr>
            <w:tcW w:type="dxa" w:w="2506"/>
            <w:vAlign w:val="center"/>
          </w:tcPr>
          <w:p>
            <w:pPr>
              <w:keepNext w:val="0"/>
              <w:spacing w:line="320" w:lineRule="exact" w:after="0" w:before="0"/>
              <w:ind w:firstLine="0"/>
              <w:jc w:val="left"/>
            </w:pPr>
            <w:r>
              <w:rPr>
                <w:b w:val="0"/>
                <w:sz w:val="21"/>
              </w:rPr>
              <w:t>持续供给</w:t>
            </w:r>
          </w:p>
        </w:tc>
        <w:tc>
          <w:tcPr>
            <w:tcW w:type="dxa" w:w="3855"/>
            <w:vAlign w:val="center"/>
          </w:tcPr>
          <w:p>
            <w:pPr>
              <w:keepNext w:val="0"/>
              <w:spacing w:line="320" w:lineRule="exact" w:after="0" w:before="0"/>
              <w:ind w:firstLine="0"/>
              <w:jc w:val="left"/>
            </w:pPr>
            <w:r>
              <w:rPr>
                <w:b w:val="0"/>
                <w:sz w:val="21"/>
              </w:rPr>
              <w:t>更新能力、责任、链路和稳定性</w:t>
            </w:r>
          </w:p>
        </w:tc>
        <w:tc>
          <w:tcPr>
            <w:tcW w:type="dxa" w:w="3277"/>
            <w:vAlign w:val="center"/>
          </w:tcPr>
          <w:p>
            <w:pPr>
              <w:keepNext w:val="0"/>
              <w:spacing w:line="320" w:lineRule="exact" w:after="0" w:before="0"/>
              <w:ind w:firstLine="0"/>
              <w:jc w:val="left"/>
            </w:pPr>
            <w:r>
              <w:rPr>
                <w:b w:val="0"/>
                <w:sz w:val="21"/>
              </w:rPr>
              <w:t>更新计划、运行和异常恢复记录</w:t>
            </w:r>
          </w:p>
        </w:tc>
      </w:tr>
      <w:tr>
        <w:trPr>
          <w:cantSplit/>
        </w:trPr>
        <w:tc>
          <w:tcPr>
            <w:tcW w:type="dxa" w:w="2506"/>
            <w:vAlign w:val="center"/>
          </w:tcPr>
          <w:p>
            <w:pPr>
              <w:keepNext w:val="0"/>
              <w:spacing w:line="320" w:lineRule="exact" w:after="0" w:before="0"/>
              <w:ind w:firstLine="0"/>
              <w:jc w:val="left"/>
            </w:pPr>
            <w:r>
              <w:rPr>
                <w:b w:val="0"/>
                <w:sz w:val="21"/>
              </w:rPr>
              <w:t>风险约束</w:t>
            </w:r>
          </w:p>
        </w:tc>
        <w:tc>
          <w:tcPr>
            <w:tcW w:type="dxa" w:w="3855"/>
            <w:vAlign w:val="center"/>
          </w:tcPr>
          <w:p>
            <w:pPr>
              <w:keepNext w:val="0"/>
              <w:spacing w:line="320" w:lineRule="exact" w:after="0" w:before="0"/>
              <w:ind w:firstLine="0"/>
              <w:jc w:val="left"/>
            </w:pPr>
            <w:r>
              <w:rPr>
                <w:b w:val="0"/>
                <w:sz w:val="21"/>
              </w:rPr>
              <w:t>权利、使用限制、敏感及退役条件</w:t>
            </w:r>
          </w:p>
        </w:tc>
        <w:tc>
          <w:tcPr>
            <w:tcW w:type="dxa" w:w="3277"/>
            <w:vAlign w:val="center"/>
          </w:tcPr>
          <w:p>
            <w:pPr>
              <w:keepNext w:val="0"/>
              <w:spacing w:line="320" w:lineRule="exact" w:after="0" w:before="0"/>
              <w:ind w:firstLine="0"/>
              <w:jc w:val="left"/>
            </w:pPr>
            <w:r>
              <w:rPr>
                <w:b w:val="0"/>
                <w:sz w:val="21"/>
              </w:rPr>
              <w:t>权属核验、安全审核和生命周期记录</w:t>
            </w:r>
          </w:p>
        </w:tc>
      </w:tr>
    </w:tbl>
    <w:p>
      <w:pPr>
        <w:spacing w:after="40" w:line="240" w:lineRule="auto"/>
        <w:ind w:firstLine="0"/>
      </w:pPr>
      <w:r>
        <w:rPr>
          <w:sz w:val="4"/>
        </w:rPr>
      </w:r>
    </w:p>
    <w:p>
      <w:pPr>
        <w:jc w:val="both"/>
      </w:pPr>
      <w:r>
        <w:t>各维度的评价标准、权重及分档在资产价值评估办法中经评审明确，按资产类别设置并保持同类可比。尚未有实际使用的数据，分别记录潜在用途和已有证据，不能将预测效果计入已实现贡献。内部综合评价用于管理排序；涉及交易定价、财务计量等事项，采用相应专业程序及经确认依据，不以内部评分直接换算货币价值。</w:t>
      </w:r>
    </w:p>
    <w:p>
      <w:pPr>
        <w:pStyle w:val="Heading2"/>
      </w:pPr>
      <w:r>
        <w:t>8.7 价值评估流程</w:t>
      </w:r>
    </w:p>
    <w:p>
      <w:pPr>
        <w:jc w:val="both"/>
      </w:pPr>
      <w:r>
        <w:t>价值评估由资产运营岗位发起，确定目的、对象版本、评价范围、时点和参加岗位。业务使用部门提供需求及实际效果，技术岗位提供质量、运行和复用情况，财务等相关职能核对成本及计量依据，权属和安全岗位核查限制。评估材料收齐后检查一致性，存在缺失或冲突时组织补充核验。</w:t>
      </w:r>
    </w:p>
    <w:p>
      <w:pPr>
        <w:jc w:val="both"/>
      </w:pPr>
      <w:r>
        <w:t>评价过程先审查可使用条件，再评定各维度。权利或安全条件未满足的资产明确限制，不因业务收益较高而绕过发布要求。质量问题对具体用途造成影响时，结合整改工作和可用范围评价；历史价值与当前可用价值分别记录，避免将曾经使用的效果直接代表当前版本。</w:t>
      </w:r>
    </w:p>
    <w:p>
      <w:pPr>
        <w:jc w:val="both"/>
      </w:pPr>
      <w:r>
        <w:t>综合结果包括评价对象、依据、维度结论、优势、限制、改进投入、使用安排和复评条件。形成投资或运营建议时说明对应任务和预计改善方式，并记录需要验证的假设。评审通过后更新目录管理信息和资源安排，原始证据、参与岗位、意见及批准记录一并归档。</w:t>
      </w:r>
    </w:p>
    <w:p>
      <w:pPr>
        <w:jc w:val="both"/>
      </w:pPr>
      <w:r>
        <w:t>价值复评在重要版本发布、使用范围显著变化、质量变化、成本变化、权利变化或定期评价时开展。复评保持评价对象和条件可比，对变化部分单独分析。治理投入完成后检查质量、可用性和复用是否实际改善，形成价值评价与治理计划的双向反馈。</w:t>
      </w:r>
    </w:p>
    <w:p>
      <w:pPr>
        <w:pStyle w:val="Heading2"/>
      </w:pPr>
      <w:r>
        <w:t>8.8 资产申请与审批</w:t>
      </w:r>
    </w:p>
    <w:p>
      <w:pPr>
        <w:jc w:val="both"/>
      </w:pPr>
      <w:r>
        <w:t>使用方通过目录选择资源并提交申请，明确使用任务、业务目的、数据对象、字段、时间范围、数量、访问方式、使用人员、环境、期限、输出形式和后续处置。申请与项目、业务任务或服务需求关联，使用方对用途和使用行为负责。申请内容不足以判断必要性时退回补充，避免审批岗位依据笼统用途放行大范围数据。</w:t>
      </w:r>
    </w:p>
    <w:p>
      <w:pPr>
        <w:jc w:val="both"/>
      </w:pPr>
      <w:r>
        <w:t>资产运营岗位检查申请完整性、资源状态和现有服务是否匹配，业务责任岗位确认使用适用性，权属岗位核对许可范围，安全岗位核对级别、脱敏及环境条件。涉及多个资产时分别检查并形成组合使用条件；组合后可能产生更高敏感性或识别能力时，进行联合评估。跨部门和高风险使用按照甲方批准权限提交相应层级。</w:t>
      </w:r>
    </w:p>
    <w:p>
      <w:pPr>
        <w:jc w:val="both"/>
      </w:pPr>
      <w:r>
        <w:t>审批结论明确批准、附条件批准、退回补充或不批准，保留依据及限制。附条件批准的条件转化为可执行配置，如指定字段、时间、访问频率、受控环境、脱敏方式和禁止下载。技术开通前再次核对批准版本及范围，开通后由使用方验证能够访问所需内容，运营岗位验证无法访问未批准内容。</w:t>
      </w:r>
    </w:p>
    <w:p>
      <w:pPr>
        <w:jc w:val="both"/>
      </w:pPr>
      <w:r>
        <w:t>申请人调整用途、增加人员、扩大范围、延长期限或改变输出方式时重新申请相应变更。历史批准可作为参考，但不自动继承超出原范围的权限。审批和实际开通关系可查询，撤回或取消申请时清理已产生的临时访问和待办事项。</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2" name="Picture 12"/>
            <wp:cNvGraphicFramePr>
              <a:graphicFrameLocks noChangeAspect="1"/>
            </wp:cNvGraphicFramePr>
            <a:graphic>
              <a:graphicData uri="http://schemas.openxmlformats.org/drawingml/2006/picture">
                <pic:pic>
                  <pic:nvPicPr>
                    <pic:cNvPr id="0" name="图12_资产使用.png"/>
                    <pic:cNvPicPr/>
                  </pic:nvPicPr>
                  <pic:blipFill>
                    <a:blip r:embed="rId22"/>
                    <a:stretch>
                      <a:fillRect/>
                    </a:stretch>
                  </pic:blipFill>
                  <pic:spPr>
                    <a:xfrm>
                      <a:off x="0" y="0"/>
                      <a:ext cx="6048000" cy="1942338"/>
                    </a:xfrm>
                    <a:prstGeom prst="rect"/>
                  </pic:spPr>
                </pic:pic>
              </a:graphicData>
            </a:graphic>
          </wp:inline>
        </w:drawing>
      </w:r>
    </w:p>
    <w:p>
      <w:pPr>
        <w:pStyle w:val="Caption"/>
        <w:jc w:val="center"/>
      </w:pPr>
      <w:r>
        <w:t>图8-2 资产申请授权与使用退出</w:t>
      </w:r>
    </w:p>
    <w:p>
      <w:pPr>
        <w:pStyle w:val="Heading2"/>
      </w:pPr>
      <w:r>
        <w:t>8.9 授权使用与过程监督</w:t>
      </w:r>
    </w:p>
    <w:p>
      <w:pPr>
        <w:jc w:val="both"/>
      </w:pPr>
      <w:r>
        <w:t>授权采用主体、资源、操作、条件和期限组合管理。主体区分个人、岗位、系统服务和任务账号；资源定位到目录对象、版本、字段或记录范围；操作区分查询、下载、加工、训练、验证和共享；条件包含环境、用途、频率、脱敏及输出；期限包含生效、到期和复查时间。技术策略与审批字段对应，设置自动到期和可追溯回收机制。</w:t>
      </w:r>
    </w:p>
    <w:p>
      <w:pPr>
        <w:jc w:val="both"/>
      </w:pPr>
      <w:r>
        <w:t>使用过程记录访问主体、资源版本、时间、操作、数量、用途及结果，对大批量导出、异常时间访问、超频调用和失败认证开展监控。日志保护防止随意修改，访问日志的查看也按职责授权。监控发现异常后核对业务任务和批准范围，必要时限制访问，记录处置及恢复依据。</w:t>
      </w:r>
    </w:p>
    <w:p>
      <w:pPr>
        <w:jc w:val="both"/>
      </w:pPr>
      <w:r>
        <w:t>目录和权限定期复查，检查人员岗位变化、项目结束、服务退役、授权到期和长期未使用权限。复查由资产责任与使用责任共同确认，技术岗位执行调整，运营岗位核验实际结果。数据复制、缓存和导出形成派生使用记录，保存位置、责任和到期安排与原授权关联。</w:t>
      </w:r>
    </w:p>
    <w:p>
      <w:pPr>
        <w:pStyle w:val="Caption"/>
        <w:keepNext/>
      </w:pPr>
      <w:r>
        <w:t>表8-4 授权使用与过程监督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使用阶段</w:t>
            </w:r>
          </w:p>
        </w:tc>
        <w:tc>
          <w:tcPr>
            <w:tcW w:type="dxa" w:w="3855"/>
            <w:vAlign w:val="center"/>
            <w:shd w:fill="EDF1F3"/>
          </w:tcPr>
          <w:p>
            <w:pPr>
              <w:keepNext/>
              <w:spacing w:line="320" w:lineRule="exact" w:after="0" w:before="0"/>
              <w:ind w:firstLine="0"/>
              <w:jc w:val="center"/>
            </w:pPr>
            <w:r>
              <w:rPr>
                <w:b/>
                <w:sz w:val="21"/>
              </w:rPr>
              <w:t>主要控制</w:t>
            </w:r>
          </w:p>
        </w:tc>
        <w:tc>
          <w:tcPr>
            <w:tcW w:type="dxa" w:w="3277"/>
            <w:vAlign w:val="center"/>
            <w:shd w:fill="EDF1F3"/>
          </w:tcPr>
          <w:p>
            <w:pPr>
              <w:keepNext/>
              <w:spacing w:line="320" w:lineRule="exact" w:after="0" w:before="0"/>
              <w:ind w:firstLine="0"/>
              <w:jc w:val="center"/>
            </w:pPr>
            <w:r>
              <w:rPr>
                <w:b/>
                <w:sz w:val="21"/>
              </w:rPr>
              <w:t>结果记录</w:t>
            </w:r>
          </w:p>
        </w:tc>
      </w:tr>
      <w:tr>
        <w:trPr>
          <w:cantSplit/>
        </w:trPr>
        <w:tc>
          <w:tcPr>
            <w:tcW w:type="dxa" w:w="2506"/>
            <w:vAlign w:val="center"/>
          </w:tcPr>
          <w:p>
            <w:pPr>
              <w:keepNext w:val="0"/>
              <w:spacing w:line="320" w:lineRule="exact" w:after="0" w:before="0"/>
              <w:ind w:firstLine="0"/>
              <w:jc w:val="left"/>
            </w:pPr>
            <w:r>
              <w:rPr>
                <w:b w:val="0"/>
                <w:sz w:val="21"/>
              </w:rPr>
              <w:t>开通前</w:t>
            </w:r>
          </w:p>
        </w:tc>
        <w:tc>
          <w:tcPr>
            <w:tcW w:type="dxa" w:w="3855"/>
            <w:vAlign w:val="center"/>
          </w:tcPr>
          <w:p>
            <w:pPr>
              <w:keepNext w:val="0"/>
              <w:spacing w:line="320" w:lineRule="exact" w:after="0" w:before="0"/>
              <w:ind w:firstLine="0"/>
              <w:jc w:val="left"/>
            </w:pPr>
            <w:r>
              <w:rPr>
                <w:b w:val="0"/>
                <w:sz w:val="21"/>
              </w:rPr>
              <w:t>核对批准范围、版本、主体和条件</w:t>
            </w:r>
          </w:p>
        </w:tc>
        <w:tc>
          <w:tcPr>
            <w:tcW w:type="dxa" w:w="3277"/>
            <w:vAlign w:val="center"/>
          </w:tcPr>
          <w:p>
            <w:pPr>
              <w:keepNext w:val="0"/>
              <w:spacing w:line="320" w:lineRule="exact" w:after="0" w:before="0"/>
              <w:ind w:firstLine="0"/>
              <w:jc w:val="left"/>
            </w:pPr>
            <w:r>
              <w:rPr>
                <w:b w:val="0"/>
                <w:sz w:val="21"/>
              </w:rPr>
              <w:t>审批与配置对应记录</w:t>
            </w:r>
          </w:p>
        </w:tc>
      </w:tr>
      <w:tr>
        <w:trPr>
          <w:cantSplit/>
        </w:trPr>
        <w:tc>
          <w:tcPr>
            <w:tcW w:type="dxa" w:w="2506"/>
            <w:vAlign w:val="center"/>
          </w:tcPr>
          <w:p>
            <w:pPr>
              <w:keepNext w:val="0"/>
              <w:spacing w:line="320" w:lineRule="exact" w:after="0" w:before="0"/>
              <w:ind w:firstLine="0"/>
              <w:jc w:val="left"/>
            </w:pPr>
            <w:r>
              <w:rPr>
                <w:b w:val="0"/>
                <w:sz w:val="21"/>
              </w:rPr>
              <w:t>开通验证</w:t>
            </w:r>
          </w:p>
        </w:tc>
        <w:tc>
          <w:tcPr>
            <w:tcW w:type="dxa" w:w="3855"/>
            <w:vAlign w:val="center"/>
          </w:tcPr>
          <w:p>
            <w:pPr>
              <w:keepNext w:val="0"/>
              <w:spacing w:line="320" w:lineRule="exact" w:after="0" w:before="0"/>
              <w:ind w:firstLine="0"/>
              <w:jc w:val="left"/>
            </w:pPr>
            <w:r>
              <w:rPr>
                <w:b w:val="0"/>
                <w:sz w:val="21"/>
              </w:rPr>
              <w:t>验证允许操作和禁止操作</w:t>
            </w:r>
          </w:p>
        </w:tc>
        <w:tc>
          <w:tcPr>
            <w:tcW w:type="dxa" w:w="3277"/>
            <w:vAlign w:val="center"/>
          </w:tcPr>
          <w:p>
            <w:pPr>
              <w:keepNext w:val="0"/>
              <w:spacing w:line="320" w:lineRule="exact" w:after="0" w:before="0"/>
              <w:ind w:firstLine="0"/>
              <w:jc w:val="left"/>
            </w:pPr>
            <w:r>
              <w:rPr>
                <w:b w:val="0"/>
                <w:sz w:val="21"/>
              </w:rPr>
              <w:t>功能测试、越权检查及确认</w:t>
            </w:r>
          </w:p>
        </w:tc>
      </w:tr>
      <w:tr>
        <w:trPr>
          <w:cantSplit/>
        </w:trPr>
        <w:tc>
          <w:tcPr>
            <w:tcW w:type="dxa" w:w="2506"/>
            <w:vAlign w:val="center"/>
          </w:tcPr>
          <w:p>
            <w:pPr>
              <w:keepNext w:val="0"/>
              <w:spacing w:line="320" w:lineRule="exact" w:after="0" w:before="0"/>
              <w:ind w:firstLine="0"/>
              <w:jc w:val="left"/>
            </w:pPr>
            <w:r>
              <w:rPr>
                <w:b w:val="0"/>
                <w:sz w:val="21"/>
              </w:rPr>
              <w:t>日常使用</w:t>
            </w:r>
          </w:p>
        </w:tc>
        <w:tc>
          <w:tcPr>
            <w:tcW w:type="dxa" w:w="3855"/>
            <w:vAlign w:val="center"/>
          </w:tcPr>
          <w:p>
            <w:pPr>
              <w:keepNext w:val="0"/>
              <w:spacing w:line="320" w:lineRule="exact" w:after="0" w:before="0"/>
              <w:ind w:firstLine="0"/>
              <w:jc w:val="left"/>
            </w:pPr>
            <w:r>
              <w:rPr>
                <w:b w:val="0"/>
                <w:sz w:val="21"/>
              </w:rPr>
              <w:t>用途、期限、频率、下载和异常监控</w:t>
            </w:r>
          </w:p>
        </w:tc>
        <w:tc>
          <w:tcPr>
            <w:tcW w:type="dxa" w:w="3277"/>
            <w:vAlign w:val="center"/>
          </w:tcPr>
          <w:p>
            <w:pPr>
              <w:keepNext w:val="0"/>
              <w:spacing w:line="320" w:lineRule="exact" w:after="0" w:before="0"/>
              <w:ind w:firstLine="0"/>
              <w:jc w:val="left"/>
            </w:pPr>
            <w:r>
              <w:rPr>
                <w:b w:val="0"/>
                <w:sz w:val="21"/>
              </w:rPr>
              <w:t>访问日志、告警及处置</w:t>
            </w:r>
          </w:p>
        </w:tc>
      </w:tr>
      <w:tr>
        <w:trPr>
          <w:cantSplit/>
        </w:trPr>
        <w:tc>
          <w:tcPr>
            <w:tcW w:type="dxa" w:w="2506"/>
            <w:vAlign w:val="center"/>
          </w:tcPr>
          <w:p>
            <w:pPr>
              <w:keepNext w:val="0"/>
              <w:spacing w:line="320" w:lineRule="exact" w:after="0" w:before="0"/>
              <w:ind w:firstLine="0"/>
              <w:jc w:val="left"/>
            </w:pPr>
            <w:r>
              <w:rPr>
                <w:b w:val="0"/>
                <w:sz w:val="21"/>
              </w:rPr>
              <w:t>定期复查</w:t>
            </w:r>
          </w:p>
        </w:tc>
        <w:tc>
          <w:tcPr>
            <w:tcW w:type="dxa" w:w="3855"/>
            <w:vAlign w:val="center"/>
          </w:tcPr>
          <w:p>
            <w:pPr>
              <w:keepNext w:val="0"/>
              <w:spacing w:line="320" w:lineRule="exact" w:after="0" w:before="0"/>
              <w:ind w:firstLine="0"/>
              <w:jc w:val="left"/>
            </w:pPr>
            <w:r>
              <w:rPr>
                <w:b w:val="0"/>
                <w:sz w:val="21"/>
              </w:rPr>
              <w:t>岗位、任务、权利和资产状态变化</w:t>
            </w:r>
          </w:p>
        </w:tc>
        <w:tc>
          <w:tcPr>
            <w:tcW w:type="dxa" w:w="3277"/>
            <w:vAlign w:val="center"/>
          </w:tcPr>
          <w:p>
            <w:pPr>
              <w:keepNext w:val="0"/>
              <w:spacing w:line="320" w:lineRule="exact" w:after="0" w:before="0"/>
              <w:ind w:firstLine="0"/>
              <w:jc w:val="left"/>
            </w:pPr>
            <w:r>
              <w:rPr>
                <w:b w:val="0"/>
                <w:sz w:val="21"/>
              </w:rPr>
              <w:t>复查结论、调整及核验</w:t>
            </w:r>
          </w:p>
        </w:tc>
      </w:tr>
      <w:tr>
        <w:trPr>
          <w:cantSplit/>
        </w:trPr>
        <w:tc>
          <w:tcPr>
            <w:tcW w:type="dxa" w:w="2506"/>
            <w:vAlign w:val="center"/>
          </w:tcPr>
          <w:p>
            <w:pPr>
              <w:keepNext w:val="0"/>
              <w:spacing w:line="320" w:lineRule="exact" w:after="0" w:before="0"/>
              <w:ind w:firstLine="0"/>
              <w:jc w:val="left"/>
            </w:pPr>
            <w:r>
              <w:rPr>
                <w:b w:val="0"/>
                <w:sz w:val="21"/>
              </w:rPr>
              <w:t>到期退出</w:t>
            </w:r>
          </w:p>
        </w:tc>
        <w:tc>
          <w:tcPr>
            <w:tcW w:type="dxa" w:w="3855"/>
            <w:vAlign w:val="center"/>
          </w:tcPr>
          <w:p>
            <w:pPr>
              <w:keepNext w:val="0"/>
              <w:spacing w:line="320" w:lineRule="exact" w:after="0" w:before="0"/>
              <w:ind w:firstLine="0"/>
              <w:jc w:val="left"/>
            </w:pPr>
            <w:r>
              <w:rPr>
                <w:b w:val="0"/>
                <w:sz w:val="21"/>
              </w:rPr>
              <w:t>回收账号权限、处理副本及停止服务</w:t>
            </w:r>
          </w:p>
        </w:tc>
        <w:tc>
          <w:tcPr>
            <w:tcW w:type="dxa" w:w="3277"/>
            <w:vAlign w:val="center"/>
          </w:tcPr>
          <w:p>
            <w:pPr>
              <w:keepNext w:val="0"/>
              <w:spacing w:line="320" w:lineRule="exact" w:after="0" w:before="0"/>
              <w:ind w:firstLine="0"/>
              <w:jc w:val="left"/>
            </w:pPr>
            <w:r>
              <w:rPr>
                <w:b w:val="0"/>
                <w:sz w:val="21"/>
              </w:rPr>
              <w:t>回收、处置、确认及历史归档</w:t>
            </w:r>
          </w:p>
        </w:tc>
      </w:tr>
    </w:tbl>
    <w:p>
      <w:pPr>
        <w:spacing w:after="40" w:line="240" w:lineRule="auto"/>
        <w:ind w:firstLine="0"/>
      </w:pPr>
      <w:r>
        <w:rPr>
          <w:sz w:val="4"/>
        </w:rPr>
      </w:r>
    </w:p>
    <w:p>
      <w:pPr>
        <w:pStyle w:val="Heading2"/>
      </w:pPr>
      <w:r>
        <w:t>8.10 使用结束与资产退出</w:t>
      </w:r>
    </w:p>
    <w:p>
      <w:pPr>
        <w:jc w:val="both"/>
      </w:pPr>
      <w:r>
        <w:t>使用结束包括期限届满、任务完成、人员离岗、授权撤回、资源退役和使用方主动退出。退出流程核对所有账号、接口、下载文件、缓存及派生结果，按批准条件回收权限并处置数据。需要继续保留的内容明确依据、范围、保管责任和访问限制；应删除的内容记录处置方法及复核，不在无依据的情况下继续留存。</w:t>
      </w:r>
    </w:p>
    <w:p>
      <w:pPr>
        <w:jc w:val="both"/>
      </w:pPr>
      <w:r>
        <w:t>资产退役前检查在用服务、下游数据集、知识、指标和审计需要，制定替代、迁移、通知和历史保留方案。退役不直接删除必要的来源、版本、权利和使用记录。源资源不再供给但既有成果仍具合法适用条件时，明确历史版本的使用范围；权利限制要求撤回时，沿血缘处理受影响内容并核验实际退出。</w:t>
      </w:r>
    </w:p>
    <w:p>
      <w:pPr>
        <w:jc w:val="both"/>
      </w:pPr>
      <w:r>
        <w:t>退出完成由执行岗位提交记录，资产运营岗位核对目录与权限，使用方确认业务停止或切换，安全等相关岗位按要求复核。未完成事项保持跟踪，防止目录已显示退役而接口仍可访问。资产运营流程规范覆盖申请、审批、开通、使用、监督、变更、到期、退出及异常处理，配套表单、状态和平台权限一并落实。</w:t>
      </w:r>
    </w:p>
    <w:p>
      <w:pPr>
        <w:pStyle w:val="Heading1"/>
      </w:pPr>
      <w:r>
        <w:t>9 规划落地与成果交付</w:t>
      </w:r>
    </w:p>
    <w:p>
      <w:pPr>
        <w:pStyle w:val="Heading2"/>
      </w:pPr>
      <w:r>
        <w:t>9.1 四域规划落地安排</w:t>
      </w:r>
    </w:p>
    <w:p>
      <w:pPr>
        <w:jc w:val="both"/>
      </w:pPr>
      <w:r>
        <w:t>我方将每项规划要求分解为制度条款、执行流程、平台配置、业务操作和检查证据。战略要求落实为目标、任务、资源和评价记录；组织要求落实为岗位角色、权限和审批；架构要求落实为模型、映射、任务和元数据；资产要求落实为目录、权属、价值和授权使用。规划评审同步检查执行条件，批准后进入实施任务，完成后以实际运行结果验证。</w:t>
      </w:r>
    </w:p>
    <w:p>
      <w:pPr>
        <w:jc w:val="both"/>
      </w:pPr>
      <w:r>
        <w:t>治理平台与数据加工、运营平台共同执行已批准规则。业务术语和数据元形成统一定义，主数据映射支撑跨系统关联，质量规则支撑批次检查，安全规则支撑访问和脱敏，元数据连接模型与来源，资产目录连接资源与使用。平台配置保留规则版本、配置责任、测试和发布记录，发生差异时核查文件与配置的生效关系并纠正。</w:t>
      </w:r>
    </w:p>
    <w:p>
      <w:pPr>
        <w:jc w:val="both"/>
      </w:pPr>
      <w:r>
        <w:t>正式运行前开展流程贯通验证，覆盖新资源登记、模型变更、质量问题、资产申请、使用到期、来源权限变化等实际事项。验证从业务提交开始，经责任分派、审核、执行、复核和归档完成，检查每一步的输入、输出、权限和异常路径。流程中断或责任不清的事项在上线前修正，验证记录纳入制度及平台交付证据。</w:t>
      </w:r>
    </w:p>
    <w:p>
      <w:pPr>
        <w:pStyle w:val="Heading2"/>
      </w:pPr>
      <w:r>
        <w:t>9.2 与数据加工及场景验证衔接</w:t>
      </w:r>
    </w:p>
    <w:p>
      <w:pPr>
        <w:jc w:val="both"/>
      </w:pPr>
      <w:r>
        <w:t>四域规划向数据集生产提供需求清单、关键数据元素、对象关系、来源与授权、模型和元数据要求。生产环节沿用源资源、对象、版本和来源族标识，保留预处理、标注、合成增强、质量检查、切分和发布记录。知识本体使用统一业务定义，出现专业概念新增或定义变化时，由业务归口确认后同步更新治理标准和知识结构。</w:t>
      </w:r>
    </w:p>
    <w:p>
      <w:pPr>
        <w:jc w:val="both"/>
      </w:pPr>
      <w:r>
        <w:t>场景验证反馈按照来源内容、业务定义、对象对齐、加工规则、模型使用和权限条件分类。属于源数据错误的，返回来源责任并评估历史影响；属于定义冲突的，组织业务裁决；属于处理错误的，修复作业并重跑相关批次；属于模型应用的问题，保留数据版本和验证条件，配合模型与场景岗位分析。整改后重新验证原问题和受影响场景，形成可追溯结果。</w:t>
      </w:r>
    </w:p>
    <w:p>
      <w:pPr>
        <w:jc w:val="both"/>
      </w:pPr>
      <w:r>
        <w:t>业务治理质量、数据集生产质量和正式质量评测分别执行相应要求。业务数据按完整性、准确性、一致性、唯一性、及时性、有效性检查；生产数据按保真、完备、规整、均衡、可用、可信控制；正式质量评测覆盖说明文档、数据质量和模型应用，三个维度分别达到最低合格标准，综合总分不低于85分。高风险问题为零，中低风险问题整改率达到100%，相关结论和证据按数据集版本绑定。</w:t>
      </w:r>
    </w:p>
    <w:p>
      <w:pPr>
        <w:pStyle w:val="Heading2"/>
      </w:pPr>
      <w:r>
        <w:t>9.3 与安全标准及生命周期衔接</w:t>
      </w:r>
    </w:p>
    <w:p>
      <w:pPr>
        <w:jc w:val="both"/>
      </w:pPr>
      <w:r>
        <w:t>四域规划的对象、字段、目录和权限与数据标准、安全、质量、生存周期及应用流通规划保持一致。L1公开、L2内部、L3重要、L4敏感、L5机密作为项目管理标签实施，具体分类分级依据数据内容、影响和甲方制度核定，涉及法定分类的事项按相应依据单独确认。目录展示、采集、加工、共享和退役均检查适用级别及使用条件。</w:t>
      </w:r>
    </w:p>
    <w:p>
      <w:pPr>
        <w:jc w:val="both"/>
      </w:pPr>
      <w:r>
        <w:t>数据标准覆盖术语、主数据、数据元、参考数据和指标，标准发布后通过模型字段、采集映射和质量检查落实。标准变更先核查依赖，明确生效时间及历史处理；下游不能只更改字段名称而保留旧的业务计算。质量问题反馈可触发标准修订，但修订需业务确认并评估影响，防止以放宽标准掩盖实际缺陷。</w:t>
      </w:r>
    </w:p>
    <w:p>
      <w:pPr>
        <w:jc w:val="both"/>
      </w:pPr>
      <w:r>
        <w:t>生命周期要求落实到各类存储和资产状态，原始记录、过程结果、正式成果、日志及证据分别明确保留和处置规则。备份、缓存和副本纳入同一责任范围，恢复后重新核对版本、权限和服务状态。退役涉及数据集和知识产品时，通过血缘查明派生关系，逐项执行保留、撤回、替换或删除安排。</w:t>
      </w:r>
    </w:p>
    <w:p>
      <w:pPr>
        <w:pStyle w:val="Heading2"/>
      </w:pPr>
      <w:r>
        <w:t>9.4 现状评估成果交付</w:t>
      </w:r>
    </w:p>
    <w:p>
      <w:pPr>
        <w:jc w:val="both"/>
      </w:pPr>
      <w:r>
        <w:t>数据治理现状诊断报告交付完整的评估范围、适用依据、九域核查、四维证据、资产盘点、供给分析、问题分类和整改安排。报告中的结论能够追溯至访谈、文件、系统或样本证据，差距能够对应具体要求，整改能够对应责任、计划和复核方法。附表采用可检索结构，支持按业务域、系统、对象、能力域和优先级查询。</w:t>
      </w:r>
    </w:p>
    <w:p>
      <w:pPr>
        <w:jc w:val="both"/>
      </w:pPr>
      <w:r>
        <w:t>高质量数据集验证场景数据需求清单覆盖十一个场景、四大数据集及相应用途，逐项明确数据对象、字段、模态、规模、时效、质量、来源、授权和使用条件。清单包含当前供给、缺口、处理或补采任务、责任和验收方式。需求变更历史、评审意见和使用确认同步移交，保证后续生产和验证继续沿用同一需求依据。</w:t>
      </w:r>
    </w:p>
    <w:p>
      <w:pPr>
        <w:pStyle w:val="Caption"/>
        <w:keepNext/>
      </w:pPr>
      <w:r>
        <w:t>表9-1 现状评估成果交付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成果</w:t>
            </w:r>
          </w:p>
        </w:tc>
        <w:tc>
          <w:tcPr>
            <w:tcW w:type="dxa" w:w="3855"/>
            <w:vAlign w:val="center"/>
            <w:shd w:fill="EDF1F3"/>
          </w:tcPr>
          <w:p>
            <w:pPr>
              <w:keepNext/>
              <w:spacing w:line="320" w:lineRule="exact" w:after="0" w:before="0"/>
              <w:ind w:firstLine="0"/>
              <w:jc w:val="center"/>
            </w:pPr>
            <w:r>
              <w:rPr>
                <w:b/>
                <w:sz w:val="21"/>
              </w:rPr>
              <w:t>交付内容</w:t>
            </w:r>
          </w:p>
        </w:tc>
        <w:tc>
          <w:tcPr>
            <w:tcW w:type="dxa" w:w="3277"/>
            <w:vAlign w:val="center"/>
            <w:shd w:fill="EDF1F3"/>
          </w:tcPr>
          <w:p>
            <w:pPr>
              <w:keepNext/>
              <w:spacing w:line="320" w:lineRule="exact" w:after="0" w:before="0"/>
              <w:ind w:firstLine="0"/>
              <w:jc w:val="center"/>
            </w:pPr>
            <w:r>
              <w:rPr>
                <w:b/>
                <w:sz w:val="21"/>
              </w:rPr>
              <w:t>验收核查</w:t>
            </w:r>
          </w:p>
        </w:tc>
      </w:tr>
      <w:tr>
        <w:trPr>
          <w:cantSplit/>
        </w:trPr>
        <w:tc>
          <w:tcPr>
            <w:tcW w:type="dxa" w:w="2506"/>
            <w:vAlign w:val="center"/>
          </w:tcPr>
          <w:p>
            <w:pPr>
              <w:keepNext w:val="0"/>
              <w:spacing w:line="320" w:lineRule="exact" w:after="0" w:before="0"/>
              <w:ind w:firstLine="0"/>
              <w:jc w:val="left"/>
            </w:pPr>
            <w:r>
              <w:rPr>
                <w:b w:val="0"/>
                <w:sz w:val="21"/>
              </w:rPr>
              <w:t>数据治理现状诊断报告</w:t>
            </w:r>
          </w:p>
        </w:tc>
        <w:tc>
          <w:tcPr>
            <w:tcW w:type="dxa" w:w="3855"/>
            <w:vAlign w:val="center"/>
          </w:tcPr>
          <w:p>
            <w:pPr>
              <w:keepNext w:val="0"/>
              <w:spacing w:line="320" w:lineRule="exact" w:after="0" w:before="0"/>
              <w:ind w:firstLine="0"/>
              <w:jc w:val="left"/>
            </w:pPr>
            <w:r>
              <w:rPr>
                <w:b w:val="0"/>
                <w:sz w:val="21"/>
              </w:rPr>
              <w:t>范围方法、九域现状、证据、差距、优先级及整改</w:t>
            </w:r>
          </w:p>
        </w:tc>
        <w:tc>
          <w:tcPr>
            <w:tcW w:type="dxa" w:w="3277"/>
            <w:vAlign w:val="center"/>
          </w:tcPr>
          <w:p>
            <w:pPr>
              <w:keepNext w:val="0"/>
              <w:spacing w:line="320" w:lineRule="exact" w:after="0" w:before="0"/>
              <w:ind w:firstLine="0"/>
              <w:jc w:val="left"/>
            </w:pPr>
            <w:r>
              <w:rPr>
                <w:b w:val="0"/>
                <w:sz w:val="21"/>
              </w:rPr>
              <w:t>覆盖完整、事实可查、结论有据、任务可执行</w:t>
            </w:r>
          </w:p>
        </w:tc>
      </w:tr>
      <w:tr>
        <w:trPr>
          <w:cantSplit/>
        </w:trPr>
        <w:tc>
          <w:tcPr>
            <w:tcW w:type="dxa" w:w="2506"/>
            <w:vAlign w:val="center"/>
          </w:tcPr>
          <w:p>
            <w:pPr>
              <w:keepNext w:val="0"/>
              <w:spacing w:line="320" w:lineRule="exact" w:after="0" w:before="0"/>
              <w:ind w:firstLine="0"/>
              <w:jc w:val="left"/>
            </w:pPr>
            <w:r>
              <w:rPr>
                <w:b w:val="0"/>
                <w:sz w:val="21"/>
              </w:rPr>
              <w:t>高质量数据集验证场景数据需求清单</w:t>
            </w:r>
          </w:p>
        </w:tc>
        <w:tc>
          <w:tcPr>
            <w:tcW w:type="dxa" w:w="3855"/>
            <w:vAlign w:val="center"/>
          </w:tcPr>
          <w:p>
            <w:pPr>
              <w:keepNext w:val="0"/>
              <w:spacing w:line="320" w:lineRule="exact" w:after="0" w:before="0"/>
              <w:ind w:firstLine="0"/>
              <w:jc w:val="left"/>
            </w:pPr>
            <w:r>
              <w:rPr>
                <w:b w:val="0"/>
                <w:sz w:val="21"/>
              </w:rPr>
              <w:t>场景任务、数据要求、供给缺口、责任和验证</w:t>
            </w:r>
          </w:p>
        </w:tc>
        <w:tc>
          <w:tcPr>
            <w:tcW w:type="dxa" w:w="3277"/>
            <w:vAlign w:val="center"/>
          </w:tcPr>
          <w:p>
            <w:pPr>
              <w:keepNext w:val="0"/>
              <w:spacing w:line="320" w:lineRule="exact" w:after="0" w:before="0"/>
              <w:ind w:firstLine="0"/>
              <w:jc w:val="left"/>
            </w:pPr>
            <w:r>
              <w:rPr>
                <w:b w:val="0"/>
                <w:sz w:val="21"/>
              </w:rPr>
              <w:t>十一场景覆盖，规模模态时效与用途一致</w:t>
            </w:r>
          </w:p>
        </w:tc>
      </w:tr>
    </w:tbl>
    <w:p>
      <w:pPr>
        <w:spacing w:after="40" w:line="240" w:lineRule="auto"/>
        <w:ind w:firstLine="0"/>
      </w:pPr>
      <w:r>
        <w:rPr>
          <w:sz w:val="4"/>
        </w:rPr>
      </w:r>
    </w:p>
    <w:p>
      <w:pPr>
        <w:pStyle w:val="Heading2"/>
      </w:pPr>
      <w:r>
        <w:t>9.5 数据战略成果交付</w:t>
      </w:r>
    </w:p>
    <w:p>
      <w:pPr>
        <w:jc w:val="both"/>
      </w:pPr>
      <w:r>
        <w:t>数据战略管理办法交付战略制定、批准、分解、实施、评价、调整和监督的完整规则，配套任务、变更及评价记录。数据战略规划交付愿景、目标、重点任务、资源投入、路线图和建设依赖，将企业目标、业务域任务与项目交付关联。数据战略实施计划交付具体任务、责任部门、日期、资源、依赖及完成条件，形成可执行的日历计划。</w:t>
      </w:r>
    </w:p>
    <w:p>
      <w:pPr>
        <w:jc w:val="both"/>
      </w:pPr>
      <w:r>
        <w:t>战略评估报告基于实际评价形成，记录评价时段、基线、任务执行、资源、效果、偏差及改进。报告中的成效采用实际证据，未完成事项进入后续计划，评估结果转化为已批准的调整或整改任务。四项成果在目标名称、任务标识、责任、时间和状态上保持一致。</w:t>
      </w:r>
    </w:p>
    <w:p>
      <w:pPr>
        <w:pStyle w:val="Caption"/>
        <w:keepNext/>
      </w:pPr>
      <w:r>
        <w:t>表9-2 数据战略成果交付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成果</w:t>
            </w:r>
          </w:p>
        </w:tc>
        <w:tc>
          <w:tcPr>
            <w:tcW w:type="dxa" w:w="3855"/>
            <w:vAlign w:val="center"/>
            <w:shd w:fill="EDF1F3"/>
          </w:tcPr>
          <w:p>
            <w:pPr>
              <w:keepNext/>
              <w:spacing w:line="320" w:lineRule="exact" w:after="0" w:before="0"/>
              <w:ind w:firstLine="0"/>
              <w:jc w:val="center"/>
            </w:pPr>
            <w:r>
              <w:rPr>
                <w:b/>
                <w:sz w:val="21"/>
              </w:rPr>
              <w:t>交付重点</w:t>
            </w:r>
          </w:p>
        </w:tc>
        <w:tc>
          <w:tcPr>
            <w:tcW w:type="dxa" w:w="3277"/>
            <w:vAlign w:val="center"/>
            <w:shd w:fill="EDF1F3"/>
          </w:tcPr>
          <w:p>
            <w:pPr>
              <w:keepNext/>
              <w:spacing w:line="320" w:lineRule="exact" w:after="0" w:before="0"/>
              <w:ind w:firstLine="0"/>
              <w:jc w:val="center"/>
            </w:pPr>
            <w:r>
              <w:rPr>
                <w:b/>
                <w:sz w:val="21"/>
              </w:rPr>
              <w:t>验收核查</w:t>
            </w:r>
          </w:p>
        </w:tc>
      </w:tr>
      <w:tr>
        <w:trPr>
          <w:cantSplit/>
        </w:trPr>
        <w:tc>
          <w:tcPr>
            <w:tcW w:type="dxa" w:w="2506"/>
            <w:vAlign w:val="center"/>
          </w:tcPr>
          <w:p>
            <w:pPr>
              <w:keepNext w:val="0"/>
              <w:spacing w:line="320" w:lineRule="exact" w:after="0" w:before="0"/>
              <w:ind w:firstLine="0"/>
              <w:jc w:val="left"/>
            </w:pPr>
            <w:r>
              <w:rPr>
                <w:b w:val="0"/>
                <w:sz w:val="21"/>
              </w:rPr>
              <w:t>数据战略管理办法</w:t>
            </w:r>
          </w:p>
        </w:tc>
        <w:tc>
          <w:tcPr>
            <w:tcW w:type="dxa" w:w="3855"/>
            <w:vAlign w:val="center"/>
          </w:tcPr>
          <w:p>
            <w:pPr>
              <w:keepNext w:val="0"/>
              <w:spacing w:line="320" w:lineRule="exact" w:after="0" w:before="0"/>
              <w:ind w:firstLine="0"/>
              <w:jc w:val="left"/>
            </w:pPr>
            <w:r>
              <w:rPr>
                <w:b w:val="0"/>
                <w:sz w:val="21"/>
              </w:rPr>
              <w:t>全周期管理职责、流程、审批和监督</w:t>
            </w:r>
          </w:p>
        </w:tc>
        <w:tc>
          <w:tcPr>
            <w:tcW w:type="dxa" w:w="3277"/>
            <w:vAlign w:val="center"/>
          </w:tcPr>
          <w:p>
            <w:pPr>
              <w:keepNext w:val="0"/>
              <w:spacing w:line="320" w:lineRule="exact" w:after="0" w:before="0"/>
              <w:ind w:firstLine="0"/>
              <w:jc w:val="left"/>
            </w:pPr>
            <w:r>
              <w:rPr>
                <w:b w:val="0"/>
                <w:sz w:val="21"/>
              </w:rPr>
              <w:t>条款具备责任、触发、记录和例外处理</w:t>
            </w:r>
          </w:p>
        </w:tc>
      </w:tr>
      <w:tr>
        <w:trPr>
          <w:cantSplit/>
        </w:trPr>
        <w:tc>
          <w:tcPr>
            <w:tcW w:type="dxa" w:w="2506"/>
            <w:vAlign w:val="center"/>
          </w:tcPr>
          <w:p>
            <w:pPr>
              <w:keepNext w:val="0"/>
              <w:spacing w:line="320" w:lineRule="exact" w:after="0" w:before="0"/>
              <w:ind w:firstLine="0"/>
              <w:jc w:val="left"/>
            </w:pPr>
            <w:r>
              <w:rPr>
                <w:b w:val="0"/>
                <w:sz w:val="21"/>
              </w:rPr>
              <w:t>数据战略规划</w:t>
            </w:r>
          </w:p>
        </w:tc>
        <w:tc>
          <w:tcPr>
            <w:tcW w:type="dxa" w:w="3855"/>
            <w:vAlign w:val="center"/>
          </w:tcPr>
          <w:p>
            <w:pPr>
              <w:keepNext w:val="0"/>
              <w:spacing w:line="320" w:lineRule="exact" w:after="0" w:before="0"/>
              <w:ind w:firstLine="0"/>
              <w:jc w:val="left"/>
            </w:pPr>
            <w:r>
              <w:rPr>
                <w:b w:val="0"/>
                <w:sz w:val="21"/>
              </w:rPr>
              <w:t>愿景、目标、重点任务、资源及路线图</w:t>
            </w:r>
          </w:p>
        </w:tc>
        <w:tc>
          <w:tcPr>
            <w:tcW w:type="dxa" w:w="3277"/>
            <w:vAlign w:val="center"/>
          </w:tcPr>
          <w:p>
            <w:pPr>
              <w:keepNext w:val="0"/>
              <w:spacing w:line="320" w:lineRule="exact" w:after="0" w:before="0"/>
              <w:ind w:firstLine="0"/>
              <w:jc w:val="left"/>
            </w:pPr>
            <w:r>
              <w:rPr>
                <w:b w:val="0"/>
                <w:sz w:val="21"/>
              </w:rPr>
              <w:t>目标与诊断、业务需求和项目要求对应</w:t>
            </w:r>
          </w:p>
        </w:tc>
      </w:tr>
      <w:tr>
        <w:trPr>
          <w:cantSplit/>
        </w:trPr>
        <w:tc>
          <w:tcPr>
            <w:tcW w:type="dxa" w:w="2506"/>
            <w:vAlign w:val="center"/>
          </w:tcPr>
          <w:p>
            <w:pPr>
              <w:keepNext w:val="0"/>
              <w:spacing w:line="320" w:lineRule="exact" w:after="0" w:before="0"/>
              <w:ind w:firstLine="0"/>
              <w:jc w:val="left"/>
            </w:pPr>
            <w:r>
              <w:rPr>
                <w:b w:val="0"/>
                <w:sz w:val="21"/>
              </w:rPr>
              <w:t>数据战略实施计划</w:t>
            </w:r>
          </w:p>
        </w:tc>
        <w:tc>
          <w:tcPr>
            <w:tcW w:type="dxa" w:w="3855"/>
            <w:vAlign w:val="center"/>
          </w:tcPr>
          <w:p>
            <w:pPr>
              <w:keepNext w:val="0"/>
              <w:spacing w:line="320" w:lineRule="exact" w:after="0" w:before="0"/>
              <w:ind w:firstLine="0"/>
              <w:jc w:val="left"/>
            </w:pPr>
            <w:r>
              <w:rPr>
                <w:b w:val="0"/>
                <w:sz w:val="21"/>
              </w:rPr>
              <w:t>任务、部门、节点、依赖、资源和验收</w:t>
            </w:r>
          </w:p>
        </w:tc>
        <w:tc>
          <w:tcPr>
            <w:tcW w:type="dxa" w:w="3277"/>
            <w:vAlign w:val="center"/>
          </w:tcPr>
          <w:p>
            <w:pPr>
              <w:keepNext w:val="0"/>
              <w:spacing w:line="320" w:lineRule="exact" w:after="0" w:before="0"/>
              <w:ind w:firstLine="0"/>
              <w:jc w:val="left"/>
            </w:pPr>
            <w:r>
              <w:rPr>
                <w:b w:val="0"/>
                <w:sz w:val="21"/>
              </w:rPr>
              <w:t>时间可执行，关键依赖及责任完整</w:t>
            </w:r>
          </w:p>
        </w:tc>
      </w:tr>
      <w:tr>
        <w:trPr>
          <w:cantSplit/>
        </w:trPr>
        <w:tc>
          <w:tcPr>
            <w:tcW w:type="dxa" w:w="2506"/>
            <w:vAlign w:val="center"/>
          </w:tcPr>
          <w:p>
            <w:pPr>
              <w:keepNext w:val="0"/>
              <w:spacing w:line="320" w:lineRule="exact" w:after="0" w:before="0"/>
              <w:ind w:firstLine="0"/>
              <w:jc w:val="left"/>
            </w:pPr>
            <w:r>
              <w:rPr>
                <w:b w:val="0"/>
                <w:sz w:val="21"/>
              </w:rPr>
              <w:t>战略评估报告</w:t>
            </w:r>
          </w:p>
        </w:tc>
        <w:tc>
          <w:tcPr>
            <w:tcW w:type="dxa" w:w="3855"/>
            <w:vAlign w:val="center"/>
          </w:tcPr>
          <w:p>
            <w:pPr>
              <w:keepNext w:val="0"/>
              <w:spacing w:line="320" w:lineRule="exact" w:after="0" w:before="0"/>
              <w:ind w:firstLine="0"/>
              <w:jc w:val="left"/>
            </w:pPr>
            <w:r>
              <w:rPr>
                <w:b w:val="0"/>
                <w:sz w:val="21"/>
              </w:rPr>
              <w:t>实际执行、效果、偏差和持续改进</w:t>
            </w:r>
          </w:p>
        </w:tc>
        <w:tc>
          <w:tcPr>
            <w:tcW w:type="dxa" w:w="3277"/>
            <w:vAlign w:val="center"/>
          </w:tcPr>
          <w:p>
            <w:pPr>
              <w:keepNext w:val="0"/>
              <w:spacing w:line="320" w:lineRule="exact" w:after="0" w:before="0"/>
              <w:ind w:firstLine="0"/>
              <w:jc w:val="left"/>
            </w:pPr>
            <w:r>
              <w:rPr>
                <w:b w:val="0"/>
                <w:sz w:val="21"/>
              </w:rPr>
              <w:t>数据可复核，改进有责任及落实记录</w:t>
            </w:r>
          </w:p>
        </w:tc>
      </w:tr>
    </w:tbl>
    <w:p>
      <w:pPr>
        <w:spacing w:after="40" w:line="240" w:lineRule="auto"/>
        <w:ind w:firstLine="0"/>
      </w:pPr>
      <w:r>
        <w:rPr>
          <w:sz w:val="4"/>
        </w:rPr>
      </w:r>
    </w:p>
    <w:p>
      <w:pPr>
        <w:pStyle w:val="Heading2"/>
      </w:pPr>
      <w:r>
        <w:t>9.6 数据治理成果交付</w:t>
      </w:r>
    </w:p>
    <w:p>
      <w:pPr>
        <w:jc w:val="both"/>
      </w:pPr>
      <w:r>
        <w:t>数据治理顶层规划方案交付治理范围、原则、实施关系、组织运行、制度框架、协同考核和能力提升安排。数据治理组织架构交付三层组织、岗位职责、决策权限、责任矩阵、人员落实及交接机制。全套数据治理顶层管理制度包含管理办法、实施细则、操作规范及配套记录，覆盖九个能力域的顶层要求，并与专门规划及平台流程一致。</w:t>
      </w:r>
    </w:p>
    <w:p>
      <w:pPr>
        <w:jc w:val="both"/>
      </w:pPr>
      <w:r>
        <w:t>数据文化建设方案交付分层宣贯、课程计划、实践安排、数据管理师培养、培训评价和持续改进。课程材料、操作指引、考核记录和岗位实践评价随方案移交。验收同时检查文件内容、组织落实、流程运行和岗位能力，保证治理要求能够由甲方接续执行。</w:t>
      </w:r>
    </w:p>
    <w:p>
      <w:pPr>
        <w:pStyle w:val="Caption"/>
        <w:keepNext/>
      </w:pPr>
      <w:r>
        <w:t>表9-3 数据治理成果交付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成果</w:t>
            </w:r>
          </w:p>
        </w:tc>
        <w:tc>
          <w:tcPr>
            <w:tcW w:type="dxa" w:w="3855"/>
            <w:vAlign w:val="center"/>
            <w:shd w:fill="EDF1F3"/>
          </w:tcPr>
          <w:p>
            <w:pPr>
              <w:keepNext/>
              <w:spacing w:line="320" w:lineRule="exact" w:after="0" w:before="0"/>
              <w:ind w:firstLine="0"/>
              <w:jc w:val="center"/>
            </w:pPr>
            <w:r>
              <w:rPr>
                <w:b/>
                <w:sz w:val="21"/>
              </w:rPr>
              <w:t>交付重点</w:t>
            </w:r>
          </w:p>
        </w:tc>
        <w:tc>
          <w:tcPr>
            <w:tcW w:type="dxa" w:w="3277"/>
            <w:vAlign w:val="center"/>
            <w:shd w:fill="EDF1F3"/>
          </w:tcPr>
          <w:p>
            <w:pPr>
              <w:keepNext/>
              <w:spacing w:line="320" w:lineRule="exact" w:after="0" w:before="0"/>
              <w:ind w:firstLine="0"/>
              <w:jc w:val="center"/>
            </w:pPr>
            <w:r>
              <w:rPr>
                <w:b/>
                <w:sz w:val="21"/>
              </w:rPr>
              <w:t>验收核查</w:t>
            </w:r>
          </w:p>
        </w:tc>
      </w:tr>
      <w:tr>
        <w:trPr>
          <w:cantSplit/>
        </w:trPr>
        <w:tc>
          <w:tcPr>
            <w:tcW w:type="dxa" w:w="2506"/>
            <w:vAlign w:val="center"/>
          </w:tcPr>
          <w:p>
            <w:pPr>
              <w:keepNext w:val="0"/>
              <w:spacing w:line="320" w:lineRule="exact" w:after="0" w:before="0"/>
              <w:ind w:firstLine="0"/>
              <w:jc w:val="left"/>
            </w:pPr>
            <w:r>
              <w:rPr>
                <w:b w:val="0"/>
                <w:sz w:val="21"/>
              </w:rPr>
              <w:t>数据治理顶层规划方案</w:t>
            </w:r>
          </w:p>
        </w:tc>
        <w:tc>
          <w:tcPr>
            <w:tcW w:type="dxa" w:w="3855"/>
            <w:vAlign w:val="center"/>
          </w:tcPr>
          <w:p>
            <w:pPr>
              <w:keepNext w:val="0"/>
              <w:spacing w:line="320" w:lineRule="exact" w:after="0" w:before="0"/>
              <w:ind w:firstLine="0"/>
              <w:jc w:val="left"/>
            </w:pPr>
            <w:r>
              <w:rPr>
                <w:b w:val="0"/>
                <w:sz w:val="21"/>
              </w:rPr>
              <w:t>范围、实施关系、组织制度及协同考核</w:t>
            </w:r>
          </w:p>
        </w:tc>
        <w:tc>
          <w:tcPr>
            <w:tcW w:type="dxa" w:w="3277"/>
            <w:vAlign w:val="center"/>
          </w:tcPr>
          <w:p>
            <w:pPr>
              <w:keepNext w:val="0"/>
              <w:spacing w:line="320" w:lineRule="exact" w:after="0" w:before="0"/>
              <w:ind w:firstLine="0"/>
              <w:jc w:val="left"/>
            </w:pPr>
            <w:r>
              <w:rPr>
                <w:b w:val="0"/>
                <w:sz w:val="21"/>
              </w:rPr>
              <w:t>与战略、架构、资产及后续实施一致</w:t>
            </w:r>
          </w:p>
        </w:tc>
      </w:tr>
      <w:tr>
        <w:trPr>
          <w:cantSplit/>
        </w:trPr>
        <w:tc>
          <w:tcPr>
            <w:tcW w:type="dxa" w:w="2506"/>
            <w:vAlign w:val="center"/>
          </w:tcPr>
          <w:p>
            <w:pPr>
              <w:keepNext w:val="0"/>
              <w:spacing w:line="320" w:lineRule="exact" w:after="0" w:before="0"/>
              <w:ind w:firstLine="0"/>
              <w:jc w:val="left"/>
            </w:pPr>
            <w:r>
              <w:rPr>
                <w:b w:val="0"/>
                <w:sz w:val="21"/>
              </w:rPr>
              <w:t>数据治理组织架构</w:t>
            </w:r>
          </w:p>
        </w:tc>
        <w:tc>
          <w:tcPr>
            <w:tcW w:type="dxa" w:w="3855"/>
            <w:vAlign w:val="center"/>
          </w:tcPr>
          <w:p>
            <w:pPr>
              <w:keepNext w:val="0"/>
              <w:spacing w:line="320" w:lineRule="exact" w:after="0" w:before="0"/>
              <w:ind w:firstLine="0"/>
              <w:jc w:val="left"/>
            </w:pPr>
            <w:r>
              <w:rPr>
                <w:b w:val="0"/>
                <w:sz w:val="21"/>
              </w:rPr>
              <w:t>三层职责、岗位、授权、矩阵和交接</w:t>
            </w:r>
          </w:p>
        </w:tc>
        <w:tc>
          <w:tcPr>
            <w:tcW w:type="dxa" w:w="3277"/>
            <w:vAlign w:val="center"/>
          </w:tcPr>
          <w:p>
            <w:pPr>
              <w:keepNext w:val="0"/>
              <w:spacing w:line="320" w:lineRule="exact" w:after="0" w:before="0"/>
              <w:ind w:firstLine="0"/>
              <w:jc w:val="left"/>
            </w:pPr>
            <w:r>
              <w:rPr>
                <w:b w:val="0"/>
                <w:sz w:val="21"/>
              </w:rPr>
              <w:t>责任明确，跨域事项有裁决和执行路径</w:t>
            </w:r>
          </w:p>
        </w:tc>
      </w:tr>
      <w:tr>
        <w:trPr>
          <w:cantSplit/>
        </w:trPr>
        <w:tc>
          <w:tcPr>
            <w:tcW w:type="dxa" w:w="2506"/>
            <w:vAlign w:val="center"/>
          </w:tcPr>
          <w:p>
            <w:pPr>
              <w:keepNext w:val="0"/>
              <w:spacing w:line="320" w:lineRule="exact" w:after="0" w:before="0"/>
              <w:ind w:firstLine="0"/>
              <w:jc w:val="left"/>
            </w:pPr>
            <w:r>
              <w:rPr>
                <w:b w:val="0"/>
                <w:sz w:val="21"/>
              </w:rPr>
              <w:t>全套数据治理顶层管理制度</w:t>
            </w:r>
          </w:p>
        </w:tc>
        <w:tc>
          <w:tcPr>
            <w:tcW w:type="dxa" w:w="3855"/>
            <w:vAlign w:val="center"/>
          </w:tcPr>
          <w:p>
            <w:pPr>
              <w:keepNext w:val="0"/>
              <w:spacing w:line="320" w:lineRule="exact" w:after="0" w:before="0"/>
              <w:ind w:firstLine="0"/>
              <w:jc w:val="left"/>
            </w:pPr>
            <w:r>
              <w:rPr>
                <w:b w:val="0"/>
                <w:sz w:val="21"/>
              </w:rPr>
              <w:t>管理办法、实施细则、操作规范和记录</w:t>
            </w:r>
          </w:p>
        </w:tc>
        <w:tc>
          <w:tcPr>
            <w:tcW w:type="dxa" w:w="3277"/>
            <w:vAlign w:val="center"/>
          </w:tcPr>
          <w:p>
            <w:pPr>
              <w:keepNext w:val="0"/>
              <w:spacing w:line="320" w:lineRule="exact" w:after="0" w:before="0"/>
              <w:ind w:firstLine="0"/>
              <w:jc w:val="left"/>
            </w:pPr>
            <w:r>
              <w:rPr>
                <w:b w:val="0"/>
                <w:sz w:val="21"/>
              </w:rPr>
              <w:t>九域覆盖，规则可执行且平台可落实</w:t>
            </w:r>
          </w:p>
        </w:tc>
      </w:tr>
      <w:tr>
        <w:trPr>
          <w:cantSplit/>
        </w:trPr>
        <w:tc>
          <w:tcPr>
            <w:tcW w:type="dxa" w:w="2506"/>
            <w:vAlign w:val="center"/>
          </w:tcPr>
          <w:p>
            <w:pPr>
              <w:keepNext w:val="0"/>
              <w:spacing w:line="320" w:lineRule="exact" w:after="0" w:before="0"/>
              <w:ind w:firstLine="0"/>
              <w:jc w:val="left"/>
            </w:pPr>
            <w:r>
              <w:rPr>
                <w:b w:val="0"/>
                <w:sz w:val="21"/>
              </w:rPr>
              <w:t>数据文化建设方案</w:t>
            </w:r>
          </w:p>
        </w:tc>
        <w:tc>
          <w:tcPr>
            <w:tcW w:type="dxa" w:w="3855"/>
            <w:vAlign w:val="center"/>
          </w:tcPr>
          <w:p>
            <w:pPr>
              <w:keepNext w:val="0"/>
              <w:spacing w:line="320" w:lineRule="exact" w:after="0" w:before="0"/>
              <w:ind w:firstLine="0"/>
              <w:jc w:val="left"/>
            </w:pPr>
            <w:r>
              <w:rPr>
                <w:b w:val="0"/>
                <w:sz w:val="21"/>
              </w:rPr>
              <w:t>宣贯、课程、实践、管理师提升和评价</w:t>
            </w:r>
          </w:p>
        </w:tc>
        <w:tc>
          <w:tcPr>
            <w:tcW w:type="dxa" w:w="3277"/>
            <w:vAlign w:val="center"/>
          </w:tcPr>
          <w:p>
            <w:pPr>
              <w:keepNext w:val="0"/>
              <w:spacing w:line="320" w:lineRule="exact" w:after="0" w:before="0"/>
              <w:ind w:firstLine="0"/>
              <w:jc w:val="left"/>
            </w:pPr>
            <w:r>
              <w:rPr>
                <w:b w:val="0"/>
                <w:sz w:val="21"/>
              </w:rPr>
              <w:t>培训对象完整，实际能力有验证记录</w:t>
            </w:r>
          </w:p>
        </w:tc>
      </w:tr>
    </w:tbl>
    <w:p>
      <w:pPr>
        <w:spacing w:after="40" w:line="240" w:lineRule="auto"/>
        <w:ind w:firstLine="0"/>
      </w:pPr>
      <w:r>
        <w:rPr>
          <w:sz w:val="4"/>
        </w:rPr>
      </w:r>
    </w:p>
    <w:p>
      <w:pPr>
        <w:pStyle w:val="Heading2"/>
      </w:pPr>
      <w:r>
        <w:t>9.7 数据架构成果交付</w:t>
      </w:r>
    </w:p>
    <w:p>
      <w:pPr>
        <w:jc w:val="both"/>
      </w:pPr>
      <w:r>
        <w:t>数据模型分层架构交付 ODS、DWD、DWS、DIM、ADS 的职责、主题、粒度、字段、关系、版本及建模规范，并提供模型与来源、规则、指标及应用的映射。数据分布及数据流图交付系统和资源分布台账、总体图、业务主题图、系统交互图及加工关系，与实际部署、接口和任务一致。</w:t>
      </w:r>
    </w:p>
    <w:p>
      <w:pPr>
        <w:jc w:val="both"/>
      </w:pPr>
      <w:r>
        <w:t>数据集成共享管理规范交付通道选型、接入设计、任务运行、质量对账、共享申请、授权、发布、监控和退出要求。元数据管理办法交付业务、技术、管理三类元数据范围、职责、采集、维护、血缘、变更、质量和权限要求。配套目录、字典、映射、任务、血缘和测试记录同步移交。</w:t>
      </w:r>
    </w:p>
    <w:p>
      <w:pPr>
        <w:pStyle w:val="Caption"/>
        <w:keepNext/>
      </w:pPr>
      <w:r>
        <w:t>表9-4 数据架构成果交付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成果</w:t>
            </w:r>
          </w:p>
        </w:tc>
        <w:tc>
          <w:tcPr>
            <w:tcW w:type="dxa" w:w="3855"/>
            <w:vAlign w:val="center"/>
            <w:shd w:fill="EDF1F3"/>
          </w:tcPr>
          <w:p>
            <w:pPr>
              <w:keepNext/>
              <w:spacing w:line="320" w:lineRule="exact" w:after="0" w:before="0"/>
              <w:ind w:firstLine="0"/>
              <w:jc w:val="center"/>
            </w:pPr>
            <w:r>
              <w:rPr>
                <w:b/>
                <w:sz w:val="21"/>
              </w:rPr>
              <w:t>交付重点</w:t>
            </w:r>
          </w:p>
        </w:tc>
        <w:tc>
          <w:tcPr>
            <w:tcW w:type="dxa" w:w="3277"/>
            <w:vAlign w:val="center"/>
            <w:shd w:fill="EDF1F3"/>
          </w:tcPr>
          <w:p>
            <w:pPr>
              <w:keepNext/>
              <w:spacing w:line="320" w:lineRule="exact" w:after="0" w:before="0"/>
              <w:ind w:firstLine="0"/>
              <w:jc w:val="center"/>
            </w:pPr>
            <w:r>
              <w:rPr>
                <w:b/>
                <w:sz w:val="21"/>
              </w:rPr>
              <w:t>验收核查</w:t>
            </w:r>
          </w:p>
        </w:tc>
      </w:tr>
      <w:tr>
        <w:trPr>
          <w:cantSplit/>
        </w:trPr>
        <w:tc>
          <w:tcPr>
            <w:tcW w:type="dxa" w:w="2506"/>
            <w:vAlign w:val="center"/>
          </w:tcPr>
          <w:p>
            <w:pPr>
              <w:keepNext w:val="0"/>
              <w:spacing w:line="320" w:lineRule="exact" w:after="0" w:before="0"/>
              <w:ind w:firstLine="0"/>
              <w:jc w:val="left"/>
            </w:pPr>
            <w:r>
              <w:rPr>
                <w:b w:val="0"/>
                <w:sz w:val="21"/>
              </w:rPr>
              <w:t>数据模型分层架构</w:t>
            </w:r>
          </w:p>
        </w:tc>
        <w:tc>
          <w:tcPr>
            <w:tcW w:type="dxa" w:w="3855"/>
            <w:vAlign w:val="center"/>
          </w:tcPr>
          <w:p>
            <w:pPr>
              <w:keepNext w:val="0"/>
              <w:spacing w:line="320" w:lineRule="exact" w:after="0" w:before="0"/>
              <w:ind w:firstLine="0"/>
              <w:jc w:val="left"/>
            </w:pPr>
            <w:r>
              <w:rPr>
                <w:b w:val="0"/>
                <w:sz w:val="21"/>
              </w:rPr>
              <w:t>五层职责、模型、粒度、字段和关联</w:t>
            </w:r>
          </w:p>
        </w:tc>
        <w:tc>
          <w:tcPr>
            <w:tcW w:type="dxa" w:w="3277"/>
            <w:vAlign w:val="center"/>
          </w:tcPr>
          <w:p>
            <w:pPr>
              <w:keepNext w:val="0"/>
              <w:spacing w:line="320" w:lineRule="exact" w:after="0" w:before="0"/>
              <w:ind w:firstLine="0"/>
              <w:jc w:val="left"/>
            </w:pPr>
            <w:r>
              <w:rPr>
                <w:b w:val="0"/>
                <w:sz w:val="21"/>
              </w:rPr>
              <w:t>可复用、定义明确、来源和规则可追溯</w:t>
            </w:r>
          </w:p>
        </w:tc>
      </w:tr>
      <w:tr>
        <w:trPr>
          <w:cantSplit/>
        </w:trPr>
        <w:tc>
          <w:tcPr>
            <w:tcW w:type="dxa" w:w="2506"/>
            <w:vAlign w:val="center"/>
          </w:tcPr>
          <w:p>
            <w:pPr>
              <w:keepNext w:val="0"/>
              <w:spacing w:line="320" w:lineRule="exact" w:after="0" w:before="0"/>
              <w:ind w:firstLine="0"/>
              <w:jc w:val="left"/>
            </w:pPr>
            <w:r>
              <w:rPr>
                <w:b w:val="0"/>
                <w:sz w:val="21"/>
              </w:rPr>
              <w:t>数据分布及数据流图</w:t>
            </w:r>
          </w:p>
        </w:tc>
        <w:tc>
          <w:tcPr>
            <w:tcW w:type="dxa" w:w="3855"/>
            <w:vAlign w:val="center"/>
          </w:tcPr>
          <w:p>
            <w:pPr>
              <w:keepNext w:val="0"/>
              <w:spacing w:line="320" w:lineRule="exact" w:after="0" w:before="0"/>
              <w:ind w:firstLine="0"/>
              <w:jc w:val="left"/>
            </w:pPr>
            <w:r>
              <w:rPr>
                <w:b w:val="0"/>
                <w:sz w:val="21"/>
              </w:rPr>
              <w:t>存储位置、流向、交互及多层视图</w:t>
            </w:r>
          </w:p>
        </w:tc>
        <w:tc>
          <w:tcPr>
            <w:tcW w:type="dxa" w:w="3277"/>
            <w:vAlign w:val="center"/>
          </w:tcPr>
          <w:p>
            <w:pPr>
              <w:keepNext w:val="0"/>
              <w:spacing w:line="320" w:lineRule="exact" w:after="0" w:before="0"/>
              <w:ind w:firstLine="0"/>
              <w:jc w:val="left"/>
            </w:pPr>
            <w:r>
              <w:rPr>
                <w:b w:val="0"/>
                <w:sz w:val="21"/>
              </w:rPr>
              <w:t>节点连线与实际系统、通道、任务一致</w:t>
            </w:r>
          </w:p>
        </w:tc>
      </w:tr>
      <w:tr>
        <w:trPr>
          <w:cantSplit/>
        </w:trPr>
        <w:tc>
          <w:tcPr>
            <w:tcW w:type="dxa" w:w="2506"/>
            <w:vAlign w:val="center"/>
          </w:tcPr>
          <w:p>
            <w:pPr>
              <w:keepNext w:val="0"/>
              <w:spacing w:line="320" w:lineRule="exact" w:after="0" w:before="0"/>
              <w:ind w:firstLine="0"/>
              <w:jc w:val="left"/>
            </w:pPr>
            <w:r>
              <w:rPr>
                <w:b w:val="0"/>
                <w:sz w:val="21"/>
              </w:rPr>
              <w:t>数据集成共享管理规范</w:t>
            </w:r>
          </w:p>
        </w:tc>
        <w:tc>
          <w:tcPr>
            <w:tcW w:type="dxa" w:w="3855"/>
            <w:vAlign w:val="center"/>
          </w:tcPr>
          <w:p>
            <w:pPr>
              <w:keepNext w:val="0"/>
              <w:spacing w:line="320" w:lineRule="exact" w:after="0" w:before="0"/>
              <w:ind w:firstLine="0"/>
              <w:jc w:val="left"/>
            </w:pPr>
            <w:r>
              <w:rPr>
                <w:b w:val="0"/>
                <w:sz w:val="21"/>
              </w:rPr>
              <w:t>多模态接入、共享、运行和异常处置</w:t>
            </w:r>
          </w:p>
        </w:tc>
        <w:tc>
          <w:tcPr>
            <w:tcW w:type="dxa" w:w="3277"/>
            <w:vAlign w:val="center"/>
          </w:tcPr>
          <w:p>
            <w:pPr>
              <w:keepNext w:val="0"/>
              <w:spacing w:line="320" w:lineRule="exact" w:after="0" w:before="0"/>
              <w:ind w:firstLine="0"/>
              <w:jc w:val="left"/>
            </w:pPr>
            <w:r>
              <w:rPr>
                <w:b w:val="0"/>
                <w:sz w:val="21"/>
              </w:rPr>
              <w:t>通道适用、权限正确、对账和恢复可验证</w:t>
            </w:r>
          </w:p>
        </w:tc>
      </w:tr>
      <w:tr>
        <w:trPr>
          <w:cantSplit/>
        </w:trPr>
        <w:tc>
          <w:tcPr>
            <w:tcW w:type="dxa" w:w="2506"/>
            <w:vAlign w:val="center"/>
          </w:tcPr>
          <w:p>
            <w:pPr>
              <w:keepNext w:val="0"/>
              <w:spacing w:line="320" w:lineRule="exact" w:after="0" w:before="0"/>
              <w:ind w:firstLine="0"/>
              <w:jc w:val="left"/>
            </w:pPr>
            <w:r>
              <w:rPr>
                <w:b w:val="0"/>
                <w:sz w:val="21"/>
              </w:rPr>
              <w:t>元数据管理办法</w:t>
            </w:r>
          </w:p>
        </w:tc>
        <w:tc>
          <w:tcPr>
            <w:tcW w:type="dxa" w:w="3855"/>
            <w:vAlign w:val="center"/>
          </w:tcPr>
          <w:p>
            <w:pPr>
              <w:keepNext w:val="0"/>
              <w:spacing w:line="320" w:lineRule="exact" w:after="0" w:before="0"/>
              <w:ind w:firstLine="0"/>
              <w:jc w:val="left"/>
            </w:pPr>
            <w:r>
              <w:rPr>
                <w:b w:val="0"/>
                <w:sz w:val="21"/>
              </w:rPr>
              <w:t>三类范围、维护、血缘和变更</w:t>
            </w:r>
          </w:p>
        </w:tc>
        <w:tc>
          <w:tcPr>
            <w:tcW w:type="dxa" w:w="3277"/>
            <w:vAlign w:val="center"/>
          </w:tcPr>
          <w:p>
            <w:pPr>
              <w:keepNext w:val="0"/>
              <w:spacing w:line="320" w:lineRule="exact" w:after="0" w:before="0"/>
              <w:ind w:firstLine="0"/>
              <w:jc w:val="left"/>
            </w:pPr>
            <w:r>
              <w:rPr>
                <w:b w:val="0"/>
                <w:sz w:val="21"/>
              </w:rPr>
              <w:t>元数据准确，影响分析完整，维护可持续</w:t>
            </w:r>
          </w:p>
        </w:tc>
      </w:tr>
    </w:tbl>
    <w:p>
      <w:pPr>
        <w:spacing w:after="40" w:line="240" w:lineRule="auto"/>
        <w:ind w:firstLine="0"/>
      </w:pPr>
      <w:r>
        <w:rPr>
          <w:sz w:val="4"/>
        </w:rPr>
      </w:r>
    </w:p>
    <w:p>
      <w:pPr>
        <w:pStyle w:val="Heading2"/>
      </w:pPr>
      <w:r>
        <w:t>9.8 数据资产成果交付</w:t>
      </w:r>
    </w:p>
    <w:p>
      <w:pPr>
        <w:jc w:val="both"/>
      </w:pPr>
      <w:r>
        <w:t>数据资产管理办法交付资产范围、来源、所有权、使用权、责任、状态、安全质量及全生命周期管理要求。数据资源目录交付资源身份、内容特征、来源、责任、质量、权利、使用条件、版本和服务入口，提供实际可用的登记和查询结果。资产价值评估办法交付对象、维度、依据、流程、评审、复评和结果使用规则。</w:t>
      </w:r>
    </w:p>
    <w:p>
      <w:pPr>
        <w:jc w:val="both"/>
      </w:pPr>
      <w:r>
        <w:t>数据资产运营流程规范交付申请、审批、开通、使用、监督、变更、退出和异常处置，配套表单、责任、状态、审批及配置要求。验收抽取资产从来源、权属、目录、申请、授权到使用退出进行完整核查，确认目录描述与实际内容一致，批准条件与实际权限一致，使用记录与责任可追溯。</w:t>
      </w:r>
    </w:p>
    <w:p>
      <w:pPr>
        <w:pStyle w:val="Caption"/>
        <w:keepNext/>
      </w:pPr>
      <w:r>
        <w:t>表9-5 数据资产成果交付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成果</w:t>
            </w:r>
          </w:p>
        </w:tc>
        <w:tc>
          <w:tcPr>
            <w:tcW w:type="dxa" w:w="3855"/>
            <w:vAlign w:val="center"/>
            <w:shd w:fill="EDF1F3"/>
          </w:tcPr>
          <w:p>
            <w:pPr>
              <w:keepNext/>
              <w:spacing w:line="320" w:lineRule="exact" w:after="0" w:before="0"/>
              <w:ind w:firstLine="0"/>
              <w:jc w:val="center"/>
            </w:pPr>
            <w:r>
              <w:rPr>
                <w:b/>
                <w:sz w:val="21"/>
              </w:rPr>
              <w:t>交付重点</w:t>
            </w:r>
          </w:p>
        </w:tc>
        <w:tc>
          <w:tcPr>
            <w:tcW w:type="dxa" w:w="3277"/>
            <w:vAlign w:val="center"/>
            <w:shd w:fill="EDF1F3"/>
          </w:tcPr>
          <w:p>
            <w:pPr>
              <w:keepNext/>
              <w:spacing w:line="320" w:lineRule="exact" w:after="0" w:before="0"/>
              <w:ind w:firstLine="0"/>
              <w:jc w:val="center"/>
            </w:pPr>
            <w:r>
              <w:rPr>
                <w:b/>
                <w:sz w:val="21"/>
              </w:rPr>
              <w:t>验收核查</w:t>
            </w:r>
          </w:p>
        </w:tc>
      </w:tr>
      <w:tr>
        <w:trPr>
          <w:cantSplit/>
        </w:trPr>
        <w:tc>
          <w:tcPr>
            <w:tcW w:type="dxa" w:w="2506"/>
            <w:vAlign w:val="center"/>
          </w:tcPr>
          <w:p>
            <w:pPr>
              <w:keepNext w:val="0"/>
              <w:spacing w:line="320" w:lineRule="exact" w:after="0" w:before="0"/>
              <w:ind w:firstLine="0"/>
              <w:jc w:val="left"/>
            </w:pPr>
            <w:r>
              <w:rPr>
                <w:b w:val="0"/>
                <w:sz w:val="21"/>
              </w:rPr>
              <w:t>数据资产管理办法</w:t>
            </w:r>
          </w:p>
        </w:tc>
        <w:tc>
          <w:tcPr>
            <w:tcW w:type="dxa" w:w="3855"/>
            <w:vAlign w:val="center"/>
          </w:tcPr>
          <w:p>
            <w:pPr>
              <w:keepNext w:val="0"/>
              <w:spacing w:line="320" w:lineRule="exact" w:after="0" w:before="0"/>
              <w:ind w:firstLine="0"/>
              <w:jc w:val="left"/>
            </w:pPr>
            <w:r>
              <w:rPr>
                <w:b w:val="0"/>
                <w:sz w:val="21"/>
              </w:rPr>
              <w:t>来源、所有权、使用权、责任和生命周期</w:t>
            </w:r>
          </w:p>
        </w:tc>
        <w:tc>
          <w:tcPr>
            <w:tcW w:type="dxa" w:w="3277"/>
            <w:vAlign w:val="center"/>
          </w:tcPr>
          <w:p>
            <w:pPr>
              <w:keepNext w:val="0"/>
              <w:spacing w:line="320" w:lineRule="exact" w:after="0" w:before="0"/>
              <w:ind w:firstLine="0"/>
              <w:jc w:val="left"/>
            </w:pPr>
            <w:r>
              <w:rPr>
                <w:b w:val="0"/>
                <w:sz w:val="21"/>
              </w:rPr>
              <w:t>权利依据可查，限制能够继承和执行</w:t>
            </w:r>
          </w:p>
        </w:tc>
      </w:tr>
      <w:tr>
        <w:trPr>
          <w:cantSplit/>
        </w:trPr>
        <w:tc>
          <w:tcPr>
            <w:tcW w:type="dxa" w:w="2506"/>
            <w:vAlign w:val="center"/>
          </w:tcPr>
          <w:p>
            <w:pPr>
              <w:keepNext w:val="0"/>
              <w:spacing w:line="320" w:lineRule="exact" w:after="0" w:before="0"/>
              <w:ind w:firstLine="0"/>
              <w:jc w:val="left"/>
            </w:pPr>
            <w:r>
              <w:rPr>
                <w:b w:val="0"/>
                <w:sz w:val="21"/>
              </w:rPr>
              <w:t>数据资源目录</w:t>
            </w:r>
          </w:p>
        </w:tc>
        <w:tc>
          <w:tcPr>
            <w:tcW w:type="dxa" w:w="3855"/>
            <w:vAlign w:val="center"/>
          </w:tcPr>
          <w:p>
            <w:pPr>
              <w:keepNext w:val="0"/>
              <w:spacing w:line="320" w:lineRule="exact" w:after="0" w:before="0"/>
              <w:ind w:firstLine="0"/>
              <w:jc w:val="left"/>
            </w:pPr>
            <w:r>
              <w:rPr>
                <w:b w:val="0"/>
                <w:sz w:val="21"/>
              </w:rPr>
              <w:t>标识、内容、来源、质量、权利和服务</w:t>
            </w:r>
          </w:p>
        </w:tc>
        <w:tc>
          <w:tcPr>
            <w:tcW w:type="dxa" w:w="3277"/>
            <w:vAlign w:val="center"/>
          </w:tcPr>
          <w:p>
            <w:pPr>
              <w:keepNext w:val="0"/>
              <w:spacing w:line="320" w:lineRule="exact" w:after="0" w:before="0"/>
              <w:ind w:firstLine="0"/>
              <w:jc w:val="left"/>
            </w:pPr>
            <w:r>
              <w:rPr>
                <w:b w:val="0"/>
                <w:sz w:val="21"/>
              </w:rPr>
              <w:t>信息完整准确，资源能够定位和申请</w:t>
            </w:r>
          </w:p>
        </w:tc>
      </w:tr>
      <w:tr>
        <w:trPr>
          <w:cantSplit/>
        </w:trPr>
        <w:tc>
          <w:tcPr>
            <w:tcW w:type="dxa" w:w="2506"/>
            <w:vAlign w:val="center"/>
          </w:tcPr>
          <w:p>
            <w:pPr>
              <w:keepNext w:val="0"/>
              <w:spacing w:line="320" w:lineRule="exact" w:after="0" w:before="0"/>
              <w:ind w:firstLine="0"/>
              <w:jc w:val="left"/>
            </w:pPr>
            <w:r>
              <w:rPr>
                <w:b w:val="0"/>
                <w:sz w:val="21"/>
              </w:rPr>
              <w:t>资产价值评估办法</w:t>
            </w:r>
          </w:p>
        </w:tc>
        <w:tc>
          <w:tcPr>
            <w:tcW w:type="dxa" w:w="3855"/>
            <w:vAlign w:val="center"/>
          </w:tcPr>
          <w:p>
            <w:pPr>
              <w:keepNext w:val="0"/>
              <w:spacing w:line="320" w:lineRule="exact" w:after="0" w:before="0"/>
              <w:ind w:firstLine="0"/>
              <w:jc w:val="left"/>
            </w:pPr>
            <w:r>
              <w:rPr>
                <w:b w:val="0"/>
                <w:sz w:val="21"/>
              </w:rPr>
              <w:t>维度、依据、流程、复评和使用</w:t>
            </w:r>
          </w:p>
        </w:tc>
        <w:tc>
          <w:tcPr>
            <w:tcW w:type="dxa" w:w="3277"/>
            <w:vAlign w:val="center"/>
          </w:tcPr>
          <w:p>
            <w:pPr>
              <w:keepNext w:val="0"/>
              <w:spacing w:line="320" w:lineRule="exact" w:after="0" w:before="0"/>
              <w:ind w:firstLine="0"/>
              <w:jc w:val="left"/>
            </w:pPr>
            <w:r>
              <w:rPr>
                <w:b w:val="0"/>
                <w:sz w:val="21"/>
              </w:rPr>
              <w:t>评价可比有据，结果支撑治理与运营</w:t>
            </w:r>
          </w:p>
        </w:tc>
      </w:tr>
      <w:tr>
        <w:trPr>
          <w:cantSplit/>
        </w:trPr>
        <w:tc>
          <w:tcPr>
            <w:tcW w:type="dxa" w:w="2506"/>
            <w:vAlign w:val="center"/>
          </w:tcPr>
          <w:p>
            <w:pPr>
              <w:keepNext w:val="0"/>
              <w:spacing w:line="320" w:lineRule="exact" w:after="0" w:before="0"/>
              <w:ind w:firstLine="0"/>
              <w:jc w:val="left"/>
            </w:pPr>
            <w:r>
              <w:rPr>
                <w:b w:val="0"/>
                <w:sz w:val="21"/>
              </w:rPr>
              <w:t>数据资产运营流程规范</w:t>
            </w:r>
          </w:p>
        </w:tc>
        <w:tc>
          <w:tcPr>
            <w:tcW w:type="dxa" w:w="3855"/>
            <w:vAlign w:val="center"/>
          </w:tcPr>
          <w:p>
            <w:pPr>
              <w:keepNext w:val="0"/>
              <w:spacing w:line="320" w:lineRule="exact" w:after="0" w:before="0"/>
              <w:ind w:firstLine="0"/>
              <w:jc w:val="left"/>
            </w:pPr>
            <w:r>
              <w:rPr>
                <w:b w:val="0"/>
                <w:sz w:val="21"/>
              </w:rPr>
              <w:t>申请审批、授权使用、监督和退出</w:t>
            </w:r>
          </w:p>
        </w:tc>
        <w:tc>
          <w:tcPr>
            <w:tcW w:type="dxa" w:w="3277"/>
            <w:vAlign w:val="center"/>
          </w:tcPr>
          <w:p>
            <w:pPr>
              <w:keepNext w:val="0"/>
              <w:spacing w:line="320" w:lineRule="exact" w:after="0" w:before="0"/>
              <w:ind w:firstLine="0"/>
              <w:jc w:val="left"/>
            </w:pPr>
            <w:r>
              <w:rPr>
                <w:b w:val="0"/>
                <w:sz w:val="21"/>
              </w:rPr>
              <w:t>流程贯通，实际权限与批准条件一致</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3" name="Picture 13"/>
            <wp:cNvGraphicFramePr>
              <a:graphicFrameLocks noChangeAspect="1"/>
            </wp:cNvGraphicFramePr>
            <a:graphic>
              <a:graphicData uri="http://schemas.openxmlformats.org/drawingml/2006/picture">
                <pic:pic>
                  <pic:nvPicPr>
                    <pic:cNvPr id="0" name="图13_成果移交.png"/>
                    <pic:cNvPicPr/>
                  </pic:nvPicPr>
                  <pic:blipFill>
                    <a:blip r:embed="rId23"/>
                    <a:stretch>
                      <a:fillRect/>
                    </a:stretch>
                  </pic:blipFill>
                  <pic:spPr>
                    <a:xfrm>
                      <a:off x="0" y="0"/>
                      <a:ext cx="6048000" cy="1942338"/>
                    </a:xfrm>
                    <a:prstGeom prst="rect"/>
                  </pic:spPr>
                </pic:pic>
              </a:graphicData>
            </a:graphic>
          </wp:inline>
        </w:drawing>
      </w:r>
    </w:p>
    <w:p>
      <w:pPr>
        <w:pStyle w:val="Caption"/>
        <w:jc w:val="center"/>
      </w:pPr>
      <w:r>
        <w:t>图9-1 成果核验与运行移交</w:t>
      </w:r>
    </w:p>
    <w:p>
      <w:pPr>
        <w:pStyle w:val="Heading2"/>
      </w:pPr>
      <w:r>
        <w:t>9.9 成果质量与一致性检查</w:t>
      </w:r>
    </w:p>
    <w:p>
      <w:pPr>
        <w:jc w:val="both"/>
      </w:pPr>
      <w:r>
        <w:t>我方在提交前开展业务、技术、管理和交叉一致性检查。业务检查核对定义、对象、粒度、专业条件和场景要求；技术检查核对模型、接口、字段、血缘和配置；管理检查核对职责、审批、权利、状态和证据；交叉检查核对各成果中的名称、数量、时间、责任、版本及引用关系。发现差异后定位归口并修正，重新检查受影响成果。</w:t>
      </w:r>
    </w:p>
    <w:p>
      <w:pPr>
        <w:jc w:val="both"/>
      </w:pPr>
      <w:r>
        <w:t>成果文件与实际平台采用同一版本台账。正式交付清单记录名称、标识、版本、形成日期、批准状态、关联附件及校验值，电子文件能够正常打开、检索和复用。制度条款关联流程和配置，模型关联字典和映射，目录关联来源和服务，报告关联证据与问题，形成完整交付关系。</w:t>
      </w:r>
    </w:p>
    <w:p>
      <w:pPr>
        <w:jc w:val="both"/>
      </w:pPr>
      <w:r>
        <w:t>验证采取文件检查、配置检查、实际操作和记录复核结合的方式。对每个规划域抽取具有代表性的事项验证，覆盖正常流程、退回补充、权限拒绝、版本变更、异常处理和退出。验证发现的问题进入整改清单，保留复核结果；重大问题未处理前，不将相关成果认定为完成。</w:t>
      </w:r>
    </w:p>
    <w:p>
      <w:pPr>
        <w:pStyle w:val="Heading2"/>
      </w:pPr>
      <w:r>
        <w:t>9.10 正式评估支撑与运行移交</w:t>
      </w:r>
    </w:p>
    <w:p>
      <w:pPr>
        <w:jc w:val="both"/>
      </w:pPr>
      <w:r>
        <w:t>我方配合甲方开展三级能力建设和正式评估，按照适用标准及评估要求准备组织、制度、流程、平台与运行证据。评估资料来自真实建设和实际执行，文件版本、运行时间、岗位责任及业务记录能够相互核对。对核查发现的问题制定整改、落实和复核安排，完成必要补充取证与重新验证。</w:t>
      </w:r>
    </w:p>
    <w:p>
      <w:pPr>
        <w:jc w:val="both"/>
      </w:pPr>
      <w:r>
        <w:t>运行移交以岗位能够独立执行为条件，分别移交制度管理、架构模型、集成任务、元数据、资产目录、授权流程、价值评估和战略评价。接管岗位按照操作规范完成实际任务，我方在旁指导并核对结果；不能独立完成的事项补充培训和操作指引后再次验证。系统账号、审批角色和运维权限按正式职责交接，临时建设权限同步清理。</w:t>
      </w:r>
    </w:p>
    <w:p>
      <w:pPr>
        <w:jc w:val="both"/>
      </w:pPr>
      <w:r>
        <w:t>移交资料包含正式成果、配置与脚本、对象字典、映射关系、运行记录、问题清单、培训和维护安排。正在处理的事项明确当前状态、影响、下一步、责任及期限，形成持续跟踪记录。自甲方终验收合格之日起，我方提供不少于12个月的质保维护支持，质保期满后按招标要求提供24个月免费技术服务，处理与本项目交付有关的问题，配合规则、流程和配置的必要完善，保障治理体系持续运行。</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数据治理现状评估与四域规划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6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数据治理现状评估与四域规划</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