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ind w:firstLine="0"/>
        <w:jc w:val="center"/>
      </w:pPr>
      <w:r>
        <w:t>数据治理体系总述</w:t>
      </w:r>
    </w:p>
    <w:p>
      <w:pPr>
        <w:spacing w:line="324" w:lineRule="auto"/>
        <w:ind w:firstLine="0"/>
        <w:jc w:val="center"/>
      </w:pPr>
      <w:r>
        <w:t>矿山装备制造领域高质量数据集建设及场景应用项目配套设施</w:t>
        <w:br/>
        <w:t>数据加工生产服务</w:t>
      </w:r>
    </w:p>
    <w:p>
      <w:pPr>
        <w:spacing w:after="200"/>
      </w:pPr>
      <w:r>
        <w:t>我方以通过数据管理能力成熟度三级认证为目标，统筹九项治理规划、九个业务域和九项平台实施能力，构建能够持续运行的数据治理体系，支撑四大数据集建设、十一个场景验证和企业经营管理决策。</w:t>
      </w:r>
    </w:p>
    <w:p>
      <w:pPr>
        <w:spacing w:line="264" w:lineRule="auto"/>
        <w:ind w:firstLine="0"/>
      </w:pPr>
      <w:r>
        <w:rPr>
          <w:b/>
        </w:rPr>
        <w:t>目录</w:t>
      </w:r>
    </w:p>
    <w:p>
      <w:pPr>
        <w:tabs>
          <w:tab w:pos="9411" w:val="right" w:leader="dot"/>
        </w:tabs>
        <w:spacing w:line="300" w:lineRule="exact" w:after="40"/>
        <w:ind w:firstLine="0"/>
      </w:pPr>
      <w:r>
        <w:rPr>
          <w:sz w:val="21"/>
        </w:rPr>
        <w:t>1 数据治理建设目标与总体安排</w:t>
        <w:tab/>
        <w:t>2</w:t>
      </w:r>
    </w:p>
    <w:p>
      <w:pPr>
        <w:tabs>
          <w:tab w:pos="9411" w:val="right" w:leader="dot"/>
        </w:tabs>
        <w:spacing w:line="300" w:lineRule="exact" w:after="40"/>
        <w:ind w:firstLine="0"/>
      </w:pPr>
      <w:r>
        <w:rPr>
          <w:sz w:val="21"/>
        </w:rPr>
        <w:t>2 数据管理能力三级建设与评估支撑</w:t>
        <w:tab/>
        <w:t>5</w:t>
      </w:r>
    </w:p>
    <w:p>
      <w:pPr>
        <w:tabs>
          <w:tab w:pos="9411" w:val="right" w:leader="dot"/>
        </w:tabs>
        <w:spacing w:line="300" w:lineRule="exact" w:after="40"/>
        <w:ind w:firstLine="0"/>
      </w:pPr>
      <w:r>
        <w:rPr>
          <w:sz w:val="21"/>
        </w:rPr>
        <w:t>3 九项治理规划与组织运行</w:t>
        <w:tab/>
        <w:t>9</w:t>
      </w:r>
    </w:p>
    <w:p>
      <w:pPr>
        <w:tabs>
          <w:tab w:pos="9411" w:val="right" w:leader="dot"/>
        </w:tabs>
        <w:spacing w:line="300" w:lineRule="exact" w:after="40"/>
        <w:ind w:firstLine="0"/>
      </w:pPr>
      <w:r>
        <w:rPr>
          <w:sz w:val="21"/>
        </w:rPr>
        <w:t>4 九个业务域的治理落地</w:t>
        <w:tab/>
        <w:t>13</w:t>
      </w:r>
    </w:p>
    <w:p>
      <w:pPr>
        <w:tabs>
          <w:tab w:pos="9411" w:val="right" w:leader="dot"/>
        </w:tabs>
        <w:spacing w:line="300" w:lineRule="exact" w:after="40"/>
        <w:ind w:firstLine="0"/>
      </w:pPr>
      <w:r>
        <w:rPr>
          <w:sz w:val="21"/>
        </w:rPr>
        <w:t>5 数据治理平台与生产运营协同</w:t>
        <w:tab/>
        <w:t>17</w:t>
      </w:r>
    </w:p>
    <w:p>
      <w:pPr>
        <w:tabs>
          <w:tab w:pos="9411" w:val="right" w:leader="dot"/>
        </w:tabs>
        <w:spacing w:line="300" w:lineRule="exact" w:after="40"/>
        <w:ind w:firstLine="0"/>
      </w:pPr>
      <w:r>
        <w:rPr>
          <w:sz w:val="21"/>
        </w:rPr>
        <w:t>6 决策数据指标体系与场景供给</w:t>
        <w:tab/>
        <w:t>21</w:t>
      </w:r>
    </w:p>
    <w:p>
      <w:pPr>
        <w:tabs>
          <w:tab w:pos="9411" w:val="right" w:leader="dot"/>
        </w:tabs>
        <w:spacing w:line="300" w:lineRule="exact" w:after="40"/>
        <w:ind w:firstLine="0"/>
      </w:pPr>
      <w:r>
        <w:rPr>
          <w:sz w:val="21"/>
        </w:rPr>
        <w:t>7 高质量数据集与治理质量协同</w:t>
        <w:tab/>
        <w:t>25</w:t>
      </w:r>
    </w:p>
    <w:p>
      <w:pPr>
        <w:tabs>
          <w:tab w:pos="9411" w:val="right" w:leader="dot"/>
        </w:tabs>
        <w:spacing w:line="300" w:lineRule="exact" w:after="40"/>
        <w:ind w:firstLine="0"/>
      </w:pPr>
      <w:r>
        <w:rPr>
          <w:sz w:val="21"/>
        </w:rPr>
        <w:t>8 技术标准验证与标注规范管理</w:t>
        <w:tab/>
        <w:t>29</w:t>
      </w:r>
    </w:p>
    <w:p>
      <w:pPr>
        <w:tabs>
          <w:tab w:pos="9411" w:val="right" w:leader="dot"/>
        </w:tabs>
        <w:spacing w:line="300" w:lineRule="exact" w:after="40"/>
        <w:ind w:firstLine="0"/>
      </w:pPr>
      <w:r>
        <w:rPr>
          <w:sz w:val="21"/>
        </w:rPr>
        <w:t>9 实施计划与成果验收</w:t>
        <w:tab/>
        <w:t>33</w:t>
      </w:r>
    </w:p>
    <w:p>
      <w:r>
        <w:br w:type="page"/>
      </w:r>
    </w:p>
    <w:p>
      <w:pPr>
        <w:pStyle w:val="Heading1"/>
      </w:pPr>
      <w:r>
        <w:t>1 数据治理建设目标与总体安排</w:t>
      </w:r>
    </w:p>
    <w:p>
      <w:pPr>
        <w:pStyle w:val="Heading2"/>
      </w:pPr>
      <w:r>
        <w:t>1.1 建设目标</w:t>
      </w:r>
    </w:p>
    <w:p>
      <w:pPr>
        <w:jc w:val="both"/>
      </w:pPr>
      <w:r>
        <w:t>我方围绕甲方数字化转型战略，以通过数据管理能力成熟度三级认证为目标，开展全域数据治理现状评估、治理规划、平台建设和实施服务。治理工作同时面向企业日常经营管理与矿山装备制造领域高质量数据集建设，将组织职责、业务规则、数据标准、处理过程、使用权限及质量责任落实到具体数据对象和日常作业，形成能够持续执行、能够检查成效的管理体系。</w:t>
      </w:r>
    </w:p>
    <w:p>
      <w:pPr>
        <w:jc w:val="both"/>
      </w:pPr>
      <w:r>
        <w:t>数据治理覆盖人力资源、研发设计、生产制造、仓储物流、财务管理、设备管理、采购管理、营销管理、质量管理九个业务域。各域按照同一管理制度和技术规范开展资产盘点、标准落实、质量整改及数据服务，保留本域实际业务条件与专业判断要求。跨域事项以业务对象和流转关系为纽带，明确源头责任、加工责任、使用责任和复核责任。</w:t>
      </w:r>
    </w:p>
    <w:p>
      <w:pPr>
        <w:jc w:val="both"/>
      </w:pPr>
      <w:r>
        <w:t>治理成果支撑供需计划、产品工艺设计、制造过程、产品质量四大数据集，以及产品智能选型、板材备料工艺智能设计、库存控制智能化、热处理过程监控、焊接过程监控、刮板输送装备健康诊断等专业场景和五个通用场景的数据验证。场景需要的数据对象、关联关系、质量条件和使用权限进入治理需求清单，治理实施结果以数据供给、运行记录和场景验证结果共同检查。</w:t>
      </w:r>
    </w:p>
    <w:p>
      <w:pPr>
        <w:jc w:val="both"/>
      </w:pPr>
      <w:r>
        <w:t>我方同步构建覆盖九个业务域的决策数据指标体系。指标名称、业务含义、统计范围、计算逻辑、时间口径、计量单位、数据来源和责任归属统一管理，经业务确认后用于指标计算、知识库建设和决策数据问答验证。经营管理指标的业务解释与计算结果保持对应，指标变更和历史修订留有完整记录。</w:t>
      </w:r>
    </w:p>
    <w:p>
      <w:pPr>
        <w:pStyle w:val="Heading2"/>
      </w:pPr>
      <w:r>
        <w:t>1.2 治理范围与对象</w:t>
      </w:r>
    </w:p>
    <w:p>
      <w:pPr>
        <w:jc w:val="both"/>
      </w:pPr>
      <w:r>
        <w:t>治理对象包括业务系统中的结构化数据，管理制度、技术标准、图纸、工艺卡、合同及检验报告等文档资料，设备与工艺过程时序，质量与现场图像，作业视频，以及加工形成的知识条目、标注样本、数据集、指标结果和数据服务。对象按业务域、来源系统、敏感等级、生命周期状态、管理责任和使用用途登记，跨域共享对象保留主归属及关联域。</w:t>
      </w:r>
    </w:p>
    <w:p>
      <w:pPr>
        <w:jc w:val="both"/>
      </w:pPr>
      <w:r>
        <w:t>外围应用系统接入范围覆盖 CRM、ERP、SCM、QMS、WMS、MES、LMS、EMS、SOS、EAM、PLM、SCADA、OA、久其系统、主数据管理平台、热处理群控系统和安全监管平台。每个系统建立接口、数据对象、业务负责人、技术维护责任、更新方式、权限和对账条件清单。离线文档及纸质资料按同样的来源与授权要求纳入登记，经解析和录入管理形成电子化数据资产及相关语料。</w:t>
      </w:r>
    </w:p>
    <w:p>
      <w:pPr>
        <w:jc w:val="both"/>
      </w:pPr>
      <w:r>
        <w:t>全域调研范围与具体取数范围分别管理。现状评估检查各业务域的组织、制度、流程和工具，取数实施根据项目业务需求、授权条件和数据安全要求确定对象及字段。人员、财务、合同和企业秘密信息按用途控制明细访问，能够通过聚合结果完成的业务使用相应聚合服务；必须使用明细的任务保留授权依据和访问记录。</w:t>
      </w:r>
    </w:p>
    <w:p>
      <w:pPr>
        <w:pStyle w:val="Caption"/>
        <w:keepNext/>
      </w:pPr>
      <w:r>
        <w:t>表1-1 治理范围与对象</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治理对象</w:t>
            </w:r>
          </w:p>
        </w:tc>
        <w:tc>
          <w:tcPr>
            <w:tcW w:type="dxa" w:w="3855"/>
            <w:vAlign w:val="center"/>
            <w:shd w:fill="EDF1F3"/>
          </w:tcPr>
          <w:p>
            <w:pPr>
              <w:keepNext/>
              <w:spacing w:line="320" w:lineRule="exact" w:after="0" w:before="0"/>
              <w:ind w:firstLine="0"/>
              <w:jc w:val="center"/>
            </w:pPr>
            <w:r>
              <w:rPr>
                <w:b/>
                <w:sz w:val="21"/>
              </w:rPr>
              <w:t>管理内容</w:t>
            </w:r>
          </w:p>
        </w:tc>
        <w:tc>
          <w:tcPr>
            <w:tcW w:type="dxa" w:w="3277"/>
            <w:vAlign w:val="center"/>
            <w:shd w:fill="EDF1F3"/>
          </w:tcPr>
          <w:p>
            <w:pPr>
              <w:keepNext/>
              <w:spacing w:line="320" w:lineRule="exact" w:after="0" w:before="0"/>
              <w:ind w:firstLine="0"/>
              <w:jc w:val="center"/>
            </w:pPr>
            <w:r>
              <w:rPr>
                <w:b/>
                <w:sz w:val="21"/>
              </w:rPr>
              <w:t>形成的证据</w:t>
            </w:r>
          </w:p>
        </w:tc>
      </w:tr>
      <w:tr>
        <w:trPr>
          <w:cantSplit/>
        </w:trPr>
        <w:tc>
          <w:tcPr>
            <w:tcW w:type="dxa" w:w="2506"/>
            <w:vAlign w:val="center"/>
          </w:tcPr>
          <w:p>
            <w:pPr>
              <w:keepNext w:val="0"/>
              <w:spacing w:line="320" w:lineRule="exact" w:after="0" w:before="0"/>
              <w:ind w:firstLine="0"/>
              <w:jc w:val="left"/>
            </w:pPr>
            <w:r>
              <w:rPr>
                <w:b w:val="0"/>
                <w:sz w:val="21"/>
              </w:rPr>
              <w:t>源业务数据</w:t>
            </w:r>
          </w:p>
        </w:tc>
        <w:tc>
          <w:tcPr>
            <w:tcW w:type="dxa" w:w="3855"/>
            <w:vAlign w:val="center"/>
          </w:tcPr>
          <w:p>
            <w:pPr>
              <w:keepNext w:val="0"/>
              <w:spacing w:line="320" w:lineRule="exact" w:after="0" w:before="0"/>
              <w:ind w:firstLine="0"/>
              <w:jc w:val="left"/>
            </w:pPr>
            <w:r>
              <w:rPr>
                <w:b w:val="0"/>
                <w:sz w:val="21"/>
              </w:rPr>
              <w:t>来源、对象、字段、更新和责任</w:t>
            </w:r>
          </w:p>
        </w:tc>
        <w:tc>
          <w:tcPr>
            <w:tcW w:type="dxa" w:w="3277"/>
            <w:vAlign w:val="center"/>
          </w:tcPr>
          <w:p>
            <w:pPr>
              <w:keepNext w:val="0"/>
              <w:spacing w:line="320" w:lineRule="exact" w:after="0" w:before="0"/>
              <w:ind w:firstLine="0"/>
              <w:jc w:val="left"/>
            </w:pPr>
            <w:r>
              <w:rPr>
                <w:b w:val="0"/>
                <w:sz w:val="21"/>
              </w:rPr>
              <w:t>资源盘点、接口清单、接收及对账记录</w:t>
            </w:r>
          </w:p>
        </w:tc>
      </w:tr>
      <w:tr>
        <w:trPr>
          <w:cantSplit/>
        </w:trPr>
        <w:tc>
          <w:tcPr>
            <w:tcW w:type="dxa" w:w="2506"/>
            <w:vAlign w:val="center"/>
          </w:tcPr>
          <w:p>
            <w:pPr>
              <w:keepNext w:val="0"/>
              <w:spacing w:line="320" w:lineRule="exact" w:after="0" w:before="0"/>
              <w:ind w:firstLine="0"/>
              <w:jc w:val="left"/>
            </w:pPr>
            <w:r>
              <w:rPr>
                <w:b w:val="0"/>
                <w:sz w:val="21"/>
              </w:rPr>
              <w:t>主数据与参考数据</w:t>
            </w:r>
          </w:p>
        </w:tc>
        <w:tc>
          <w:tcPr>
            <w:tcW w:type="dxa" w:w="3855"/>
            <w:vAlign w:val="center"/>
          </w:tcPr>
          <w:p>
            <w:pPr>
              <w:keepNext w:val="0"/>
              <w:spacing w:line="320" w:lineRule="exact" w:after="0" w:before="0"/>
              <w:ind w:firstLine="0"/>
              <w:jc w:val="left"/>
            </w:pPr>
            <w:r>
              <w:rPr>
                <w:b w:val="0"/>
                <w:sz w:val="21"/>
              </w:rPr>
              <w:t>标识、值域、版本、审批和分发</w:t>
            </w:r>
          </w:p>
        </w:tc>
        <w:tc>
          <w:tcPr>
            <w:tcW w:type="dxa" w:w="3277"/>
            <w:vAlign w:val="center"/>
          </w:tcPr>
          <w:p>
            <w:pPr>
              <w:keepNext w:val="0"/>
              <w:spacing w:line="320" w:lineRule="exact" w:after="0" w:before="0"/>
              <w:ind w:firstLine="0"/>
              <w:jc w:val="left"/>
            </w:pPr>
            <w:r>
              <w:rPr>
                <w:b w:val="0"/>
                <w:sz w:val="21"/>
              </w:rPr>
              <w:t>编码映射、审批记录、同步结果</w:t>
            </w:r>
          </w:p>
        </w:tc>
      </w:tr>
      <w:tr>
        <w:trPr>
          <w:cantSplit/>
        </w:trPr>
        <w:tc>
          <w:tcPr>
            <w:tcW w:type="dxa" w:w="2506"/>
            <w:vAlign w:val="center"/>
          </w:tcPr>
          <w:p>
            <w:pPr>
              <w:keepNext w:val="0"/>
              <w:spacing w:line="320" w:lineRule="exact" w:after="0" w:before="0"/>
              <w:ind w:firstLine="0"/>
              <w:jc w:val="left"/>
            </w:pPr>
            <w:r>
              <w:rPr>
                <w:b w:val="0"/>
                <w:sz w:val="21"/>
              </w:rPr>
              <w:t>非结构化资料</w:t>
            </w:r>
          </w:p>
        </w:tc>
        <w:tc>
          <w:tcPr>
            <w:tcW w:type="dxa" w:w="3855"/>
            <w:vAlign w:val="center"/>
          </w:tcPr>
          <w:p>
            <w:pPr>
              <w:keepNext w:val="0"/>
              <w:spacing w:line="320" w:lineRule="exact" w:after="0" w:before="0"/>
              <w:ind w:firstLine="0"/>
              <w:jc w:val="left"/>
            </w:pPr>
            <w:r>
              <w:rPr>
                <w:b w:val="0"/>
                <w:sz w:val="21"/>
              </w:rPr>
              <w:t>原件、版本、内容结构、权限与关联</w:t>
            </w:r>
          </w:p>
        </w:tc>
        <w:tc>
          <w:tcPr>
            <w:tcW w:type="dxa" w:w="3277"/>
            <w:vAlign w:val="center"/>
          </w:tcPr>
          <w:p>
            <w:pPr>
              <w:keepNext w:val="0"/>
              <w:spacing w:line="320" w:lineRule="exact" w:after="0" w:before="0"/>
              <w:ind w:firstLine="0"/>
              <w:jc w:val="left"/>
            </w:pPr>
            <w:r>
              <w:rPr>
                <w:b w:val="0"/>
                <w:sz w:val="21"/>
              </w:rPr>
              <w:t>文件清单、解析结果、资料核验记录</w:t>
            </w:r>
          </w:p>
        </w:tc>
      </w:tr>
      <w:tr>
        <w:trPr>
          <w:cantSplit/>
        </w:trPr>
        <w:tc>
          <w:tcPr>
            <w:tcW w:type="dxa" w:w="2506"/>
            <w:vAlign w:val="center"/>
          </w:tcPr>
          <w:p>
            <w:pPr>
              <w:keepNext w:val="0"/>
              <w:spacing w:line="320" w:lineRule="exact" w:after="0" w:before="0"/>
              <w:ind w:firstLine="0"/>
              <w:jc w:val="left"/>
            </w:pPr>
            <w:r>
              <w:rPr>
                <w:b w:val="0"/>
                <w:sz w:val="21"/>
              </w:rPr>
              <w:t>多模态资源</w:t>
            </w:r>
          </w:p>
        </w:tc>
        <w:tc>
          <w:tcPr>
            <w:tcW w:type="dxa" w:w="3855"/>
            <w:vAlign w:val="center"/>
          </w:tcPr>
          <w:p>
            <w:pPr>
              <w:keepNext w:val="0"/>
              <w:spacing w:line="320" w:lineRule="exact" w:after="0" w:before="0"/>
              <w:ind w:firstLine="0"/>
              <w:jc w:val="left"/>
            </w:pPr>
            <w:r>
              <w:rPr>
                <w:b w:val="0"/>
                <w:sz w:val="21"/>
              </w:rPr>
              <w:t>对象、时间、位置及跨模态关系</w:t>
            </w:r>
          </w:p>
        </w:tc>
        <w:tc>
          <w:tcPr>
            <w:tcW w:type="dxa" w:w="3277"/>
            <w:vAlign w:val="center"/>
          </w:tcPr>
          <w:p>
            <w:pPr>
              <w:keepNext w:val="0"/>
              <w:spacing w:line="320" w:lineRule="exact" w:after="0" w:before="0"/>
              <w:ind w:firstLine="0"/>
              <w:jc w:val="left"/>
            </w:pPr>
            <w:r>
              <w:rPr>
                <w:b w:val="0"/>
                <w:sz w:val="21"/>
              </w:rPr>
              <w:t>对齐依据、质量标记和资源引用</w:t>
            </w:r>
          </w:p>
        </w:tc>
      </w:tr>
      <w:tr>
        <w:trPr>
          <w:cantSplit/>
        </w:trPr>
        <w:tc>
          <w:tcPr>
            <w:tcW w:type="dxa" w:w="2506"/>
            <w:vAlign w:val="center"/>
          </w:tcPr>
          <w:p>
            <w:pPr>
              <w:keepNext w:val="0"/>
              <w:spacing w:line="320" w:lineRule="exact" w:after="0" w:before="0"/>
              <w:ind w:firstLine="0"/>
              <w:jc w:val="left"/>
            </w:pPr>
            <w:r>
              <w:rPr>
                <w:b w:val="0"/>
                <w:sz w:val="21"/>
              </w:rPr>
              <w:t>加工及数据集成果</w:t>
            </w:r>
          </w:p>
        </w:tc>
        <w:tc>
          <w:tcPr>
            <w:tcW w:type="dxa" w:w="3855"/>
            <w:vAlign w:val="center"/>
          </w:tcPr>
          <w:p>
            <w:pPr>
              <w:keepNext w:val="0"/>
              <w:spacing w:line="320" w:lineRule="exact" w:after="0" w:before="0"/>
              <w:ind w:firstLine="0"/>
              <w:jc w:val="left"/>
            </w:pPr>
            <w:r>
              <w:rPr>
                <w:b w:val="0"/>
                <w:sz w:val="21"/>
              </w:rPr>
              <w:t>规则、批次、来源、质量和用途</w:t>
            </w:r>
          </w:p>
        </w:tc>
        <w:tc>
          <w:tcPr>
            <w:tcW w:type="dxa" w:w="3277"/>
            <w:vAlign w:val="center"/>
          </w:tcPr>
          <w:p>
            <w:pPr>
              <w:keepNext w:val="0"/>
              <w:spacing w:line="320" w:lineRule="exact" w:after="0" w:before="0"/>
              <w:ind w:firstLine="0"/>
              <w:jc w:val="left"/>
            </w:pPr>
            <w:r>
              <w:rPr>
                <w:b w:val="0"/>
                <w:sz w:val="21"/>
              </w:rPr>
              <w:t>血缘、数据卡、质检及验证档案</w:t>
            </w:r>
          </w:p>
        </w:tc>
      </w:tr>
      <w:tr>
        <w:trPr>
          <w:cantSplit/>
        </w:trPr>
        <w:tc>
          <w:tcPr>
            <w:tcW w:type="dxa" w:w="2506"/>
            <w:vAlign w:val="center"/>
          </w:tcPr>
          <w:p>
            <w:pPr>
              <w:keepNext w:val="0"/>
              <w:spacing w:line="320" w:lineRule="exact" w:after="0" w:before="0"/>
              <w:ind w:firstLine="0"/>
              <w:jc w:val="left"/>
            </w:pPr>
            <w:r>
              <w:rPr>
                <w:b w:val="0"/>
                <w:sz w:val="21"/>
              </w:rPr>
              <w:t>指标与数据服务</w:t>
            </w:r>
          </w:p>
        </w:tc>
        <w:tc>
          <w:tcPr>
            <w:tcW w:type="dxa" w:w="3855"/>
            <w:vAlign w:val="center"/>
          </w:tcPr>
          <w:p>
            <w:pPr>
              <w:keepNext w:val="0"/>
              <w:spacing w:line="320" w:lineRule="exact" w:after="0" w:before="0"/>
              <w:ind w:firstLine="0"/>
              <w:jc w:val="left"/>
            </w:pPr>
            <w:r>
              <w:rPr>
                <w:b w:val="0"/>
                <w:sz w:val="21"/>
              </w:rPr>
              <w:t>业务含义、计算、授权和使用</w:t>
            </w:r>
          </w:p>
        </w:tc>
        <w:tc>
          <w:tcPr>
            <w:tcW w:type="dxa" w:w="3277"/>
            <w:vAlign w:val="center"/>
          </w:tcPr>
          <w:p>
            <w:pPr>
              <w:keepNext w:val="0"/>
              <w:spacing w:line="320" w:lineRule="exact" w:after="0" w:before="0"/>
              <w:ind w:firstLine="0"/>
              <w:jc w:val="left"/>
            </w:pPr>
            <w:r>
              <w:rPr>
                <w:b w:val="0"/>
                <w:sz w:val="21"/>
              </w:rPr>
              <w:t>指标卡、计算对账、调用审计</w:t>
            </w:r>
          </w:p>
        </w:tc>
      </w:tr>
    </w:tbl>
    <w:p>
      <w:pPr>
        <w:spacing w:after="40" w:line="240" w:lineRule="auto"/>
        <w:ind w:firstLine="0"/>
      </w:pPr>
      <w:r>
        <w:rPr>
          <w:sz w:val="4"/>
        </w:rPr>
      </w:r>
    </w:p>
    <w:p>
      <w:pPr>
        <w:pStyle w:val="Heading2"/>
      </w:pPr>
      <w:r>
        <w:t>1.3 规划与实施的组织关系</w:t>
      </w:r>
    </w:p>
    <w:p>
      <w:pPr>
        <w:jc w:val="both"/>
      </w:pPr>
      <w:r>
        <w:t>治理规划围绕数据战略、数据治理、数据架构、数据资产、数据标准、数据质量、数据安全、数据生存周期、数据应用流通九个方面展开。规划确定管理目标、岗位职责、规则和工作程序，平台将规则转化为配置、任务、审批和检查，实施过程产生运行结果、异常记录和改进需求。文档发布、平台配置和实际执行之间逐项建立对应关系。</w:t>
      </w:r>
    </w:p>
    <w:p>
      <w:pPr>
        <w:jc w:val="both"/>
      </w:pPr>
      <w:r>
        <w:t>九个业务域是治理落地的业务范围，九项治理内容是平台实施的工作范围。数据汇聚、数据处理、元数据管理、数据资产管理、数据标准管理、数据质量管理、数据安全管理、数据指标管理、数据服务管理均落实到相关业务对象。每个业务域建立覆盖清单，逐项登记实际对象、实施任务、责任岗位及验收证据；存在共用能力时引用同一配置和服务，业务归属保持清楚。</w:t>
      </w:r>
    </w:p>
    <w:p>
      <w:pPr>
        <w:jc w:val="both"/>
      </w:pPr>
      <w:r>
        <w:t>我方采用现状诊断、规划设计、试点实施、分域推广、贯标评估支撑和持续改进的工作安排。试点优先选择能够贯通源数据、治理规则、加工任务与应用验证的业务链，先验证规则和作业方法，再推广到其他域。日常取数和样本加工执行已经生效的规则，新增规则通过评审和发布后进入后续批次。</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1" name="Picture 1"/>
            <wp:cNvGraphicFramePr>
              <a:graphicFrameLocks noChangeAspect="1"/>
            </wp:cNvGraphicFramePr>
            <a:graphic>
              <a:graphicData uri="http://schemas.openxmlformats.org/drawingml/2006/picture">
                <pic:pic>
                  <pic:nvPicPr>
                    <pic:cNvPr id="0" name="图1_治理组织.png"/>
                    <pic:cNvPicPr/>
                  </pic:nvPicPr>
                  <pic:blipFill>
                    <a:blip r:embed="rId11"/>
                    <a:stretch>
                      <a:fillRect/>
                    </a:stretch>
                  </pic:blipFill>
                  <pic:spPr>
                    <a:xfrm>
                      <a:off x="0" y="0"/>
                      <a:ext cx="6048000" cy="2477354"/>
                    </a:xfrm>
                    <a:prstGeom prst="rect"/>
                  </pic:spPr>
                </pic:pic>
              </a:graphicData>
            </a:graphic>
          </wp:inline>
        </w:drawing>
      </w:r>
    </w:p>
    <w:p>
      <w:pPr>
        <w:pStyle w:val="Caption"/>
        <w:jc w:val="center"/>
      </w:pPr>
      <w:r>
        <w:t>图1-1 数据治理规划与实施组织</w:t>
      </w:r>
    </w:p>
    <w:p>
      <w:pPr>
        <w:pStyle w:val="Heading2"/>
      </w:pPr>
      <w:r>
        <w:t>1.4 与项目其他建设内容的协同</w:t>
      </w:r>
    </w:p>
    <w:p>
      <w:pPr>
        <w:jc w:val="both"/>
      </w:pPr>
      <w:r>
        <w:t>数据资源建设提供多源接入和非结构化解析能力，治理工作负责将来源登记、标准映射、质量检查及权限控制落实到接入过程。专项智能工具链按九类二十五个工具组织交付，工具运行引用治理侧生效的标准和规则，输出处理记录、质量结果及血缘关系。工具链使用节点数量和许可数量按招标要求不设限制。</w:t>
      </w:r>
    </w:p>
    <w:p>
      <w:pPr>
        <w:jc w:val="both"/>
      </w:pPr>
      <w:r>
        <w:t>数据集加工生产平台承担采集、预处理、知识本体、知识库、标注、合成、增强、质检、验证和项目管理等生产工作。治理平台承载跨域管理规则与企业数据治理作业，两类能力通过统一对象标识、规则版本和事件记录连接。治理平台中的数据处理包括标准化、关联整合、质量修复及指标加工，与数据集样本加工各自登记任务目的和产物，避免同一过程出现两套互相矛盾的事实记录。</w:t>
      </w:r>
    </w:p>
    <w:p>
      <w:pPr>
        <w:jc w:val="both"/>
      </w:pPr>
      <w:r>
        <w:t>数据集运营服务管理平台按目录、元数据、上传、下载、权限管理、动态更新、检索与预览、版本管理、数据集服务、对外接口、登记注册、确权、挂牌展示、交易合同管理、交易费用管理和全流程审计十六个模块承接成果，使用节点数量和许可数量不设限制。治理资产目录向运营目录提供资源身份、权属及使用条件，运营侧返回发布状态、服务使用和授权变化，相关权限在实际访问环节执行。</w:t>
      </w:r>
    </w:p>
    <w:p>
      <w:pPr>
        <w:jc w:val="both"/>
      </w:pPr>
      <w:r>
        <w:t>系统集成完成通用服务器上的加工生产平台安装适配、接入连接器上的运营服务管理平台安装适配、服务密码机国密算法调试，以及采购硬件的网络连接和适配。治理服务的部署、身份认证、审计、数据交换和备份恢复纳入整体集成计划，联调记录同时覆盖正常业务与异常处理。</w:t>
      </w:r>
    </w:p>
    <w:p>
      <w:pPr>
        <w:jc w:val="both"/>
      </w:pPr>
      <w:r>
        <w:t>行业大模型训练推理、数据加工生产、数据集建设、场景验证、运营推广和关键技术攻关共同使用受控数据与统一治理规则。训练与推理任务登记数据、模型、配置和结果版本，场景验证问题返回源数据与加工环节，运营推广使用已批准发布的成果，技术攻关形成的有效方法经过验证后纳入标准、工具及生产流程。各项服务以实际交付和运行证据衔接，保持数据集生产加工全流程的实施范围。</w:t>
      </w:r>
    </w:p>
    <w:p>
      <w:pPr>
        <w:pStyle w:val="Heading2"/>
      </w:pPr>
      <w:r>
        <w:t>1.5 成果状态与评价依据</w:t>
      </w:r>
    </w:p>
    <w:p>
      <w:pPr>
        <w:jc w:val="both"/>
      </w:pPr>
      <w:r>
        <w:t>治理成果按照编制、评审、生效、执行、复核和修订管理。文档通过评审后明确生效范围和责任岗位，平台配置记录所依据的文档版本，实际任务记录运行时间、输入对象、执行结果和异常处置。评价时同时检查制度是否适用、配置是否一致、执行是否真实以及业务问题是否得到处理。</w:t>
      </w:r>
    </w:p>
    <w:p>
      <w:pPr>
        <w:jc w:val="both"/>
      </w:pPr>
      <w:r>
        <w:t>我方分别建立治理规划成果清单、平台实施对象清单、治理问题台账和评估证据目录。规划成果清单保留招标列明的三十七项文档对应关系；实施对象清单覆盖九个业务域与九项治理内容；问题台账登记缺口及整改；证据目录引用真实制度、系统配置和业务记录。任何结论均能回查具体对象和版本。</w:t>
      </w:r>
    </w:p>
    <w:p>
      <w:pPr>
        <w:jc w:val="both"/>
      </w:pPr>
      <w:r>
        <w:t>阶段完成以规定成果通过评审、相关能力运行通过检查、遗留问题得到处置为依据。尚在编制的制度、尚未启用的配置和仅完成演示的功能分别标明状态，进入下一阶段前按相应条件复核。阶段推进过程保持全部合同交付范围，局部先行形成的成果用于支持后续扩展。</w:t>
      </w:r>
    </w:p>
    <w:p>
      <w:pPr>
        <w:pStyle w:val="Heading1"/>
      </w:pPr>
      <w:r>
        <w:t>2 数据管理能力三级建设与评估支撑</w:t>
      </w:r>
    </w:p>
    <w:p>
      <w:pPr>
        <w:pStyle w:val="Heading2"/>
      </w:pPr>
      <w:r>
        <w:t>2.1 评估基准与范围管理</w:t>
      </w:r>
    </w:p>
    <w:p>
      <w:pPr>
        <w:jc w:val="both"/>
      </w:pPr>
      <w:r>
        <w:t>我方依据《数据管理能力成熟度评估模型》GB/T 36073 及适用评估要求开展三级能力建设，建立标准版本、评估范围、能力要求、实施措施和证据之间的对应台账。启动阶段核对现行标准及评估受理要求，将适用版本纳入项目受控文件。招标文件明确的治理规划和实施要求逐项保留，标准版本变化通过影响分析落实到后续任务。</w:t>
      </w:r>
    </w:p>
    <w:p>
      <w:pPr>
        <w:jc w:val="both"/>
      </w:pPr>
      <w:r>
        <w:t>评估范围覆盖甲方数据管理相关组织、业务活动、制度流程和技术支撑。各业务域的负责人、数据管理岗位、系统管理岗位、质量和安全岗位参与访谈与证据核验。涉及跨部门业务时，沿数据产生、流转、加工和使用链路取证，检查不同岗位对职责和业务规则的理解是否一致。</w:t>
      </w:r>
    </w:p>
    <w:p>
      <w:pPr>
        <w:jc w:val="both"/>
      </w:pPr>
      <w:r>
        <w:t>现状结论以客观记录为依据。已有制度的有效性通过实际审批和业务执行检查；平台具备的能力通过配置和运行结果检查；访谈反映的问题通过资料、样本或系统记录进一步核实。未取得有效证据的事项登记取证缺口和补充任务，不将口头介绍直接转化为成熟度达成结论。</w:t>
      </w:r>
    </w:p>
    <w:p>
      <w:pPr>
        <w:pStyle w:val="Heading2"/>
      </w:pPr>
      <w:r>
        <w:t>2.2 现状诊断与差距识别</w:t>
      </w:r>
    </w:p>
    <w:p>
      <w:pPr>
        <w:jc w:val="both"/>
      </w:pPr>
      <w:r>
        <w:t>我方先建立组织与系统调查清单，收集现行数据制度、岗位职责、数据架构、标准、质量报告、安全策略、接口目录和应用需求。访谈按照管理职责和业务链分组，记录业务目标、实际流程、异常处理及数据使用条件。对同一事项出现不同陈述时，核对制度版本与实际执行记录，形成能够验证的事实描述。</w:t>
      </w:r>
    </w:p>
    <w:p>
      <w:pPr>
        <w:jc w:val="both"/>
      </w:pPr>
      <w:r>
        <w:t>数据资产盘点将资源名称、业务含义、来源、存储位置、更新周期、主要字段、数据量、责任岗位、访问条件、共享关系和已知质量问题登记在册。样本检查同时覆盖结构化数据和文档、图像、时序、视频等资源。不同资源分别评估可读取性、内容完整性、对象关联、时间依据、商业使用条件与脱敏要求。</w:t>
      </w:r>
    </w:p>
    <w:p>
      <w:pPr>
        <w:jc w:val="both"/>
      </w:pPr>
      <w:r>
        <w:t>差距按照组织职责、制度规范、流程执行、技术工具和使用效果分类，列明涉及的能力要求、业务对象、已有证据、不足事实、影响范围、整改任务和验证方式。对于影响数据集规模、专业标签正确性、场景供给和敏感信息保护的事项优先处理；一般规范完善与效率提升事项纳入后续批次。</w:t>
      </w:r>
    </w:p>
    <w:p>
      <w:pPr>
        <w:pStyle w:val="Caption"/>
        <w:keepNext/>
      </w:pPr>
      <w:r>
        <w:t>表2-1 现状诊断与差距识别</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诊断维度</w:t>
            </w:r>
          </w:p>
        </w:tc>
        <w:tc>
          <w:tcPr>
            <w:tcW w:type="dxa" w:w="2699"/>
            <w:vAlign w:val="center"/>
            <w:shd w:fill="EDF1F3"/>
          </w:tcPr>
          <w:p>
            <w:pPr>
              <w:keepNext/>
              <w:spacing w:line="320" w:lineRule="exact" w:after="0" w:before="0"/>
              <w:ind w:firstLine="0"/>
              <w:jc w:val="center"/>
            </w:pPr>
            <w:r>
              <w:rPr>
                <w:b/>
                <w:sz w:val="21"/>
              </w:rPr>
              <w:t>主要检查内容</w:t>
            </w:r>
          </w:p>
        </w:tc>
        <w:tc>
          <w:tcPr>
            <w:tcW w:type="dxa" w:w="2409"/>
            <w:vAlign w:val="center"/>
            <w:shd w:fill="EDF1F3"/>
          </w:tcPr>
          <w:p>
            <w:pPr>
              <w:keepNext/>
              <w:spacing w:line="320" w:lineRule="exact" w:after="0" w:before="0"/>
              <w:ind w:firstLine="0"/>
              <w:jc w:val="center"/>
            </w:pPr>
            <w:r>
              <w:rPr>
                <w:b/>
                <w:sz w:val="21"/>
              </w:rPr>
              <w:t>判定依据</w:t>
            </w:r>
          </w:p>
        </w:tc>
        <w:tc>
          <w:tcPr>
            <w:tcW w:type="dxa" w:w="2891"/>
            <w:vAlign w:val="center"/>
            <w:shd w:fill="EDF1F3"/>
          </w:tcPr>
          <w:p>
            <w:pPr>
              <w:keepNext/>
              <w:spacing w:line="320" w:lineRule="exact" w:after="0" w:before="0"/>
              <w:ind w:firstLine="0"/>
              <w:jc w:val="center"/>
            </w:pPr>
            <w:r>
              <w:rPr>
                <w:b/>
                <w:sz w:val="21"/>
              </w:rPr>
              <w:t>后续措施</w:t>
            </w:r>
          </w:p>
        </w:tc>
      </w:tr>
      <w:tr>
        <w:trPr>
          <w:cantSplit/>
        </w:trPr>
        <w:tc>
          <w:tcPr>
            <w:tcW w:type="dxa" w:w="1638"/>
            <w:vAlign w:val="center"/>
          </w:tcPr>
          <w:p>
            <w:pPr>
              <w:keepNext w:val="0"/>
              <w:spacing w:line="320" w:lineRule="exact" w:after="0" w:before="0"/>
              <w:ind w:firstLine="0"/>
              <w:jc w:val="left"/>
            </w:pPr>
            <w:r>
              <w:rPr>
                <w:b w:val="0"/>
                <w:sz w:val="21"/>
              </w:rPr>
              <w:t>组织与职责</w:t>
            </w:r>
          </w:p>
        </w:tc>
        <w:tc>
          <w:tcPr>
            <w:tcW w:type="dxa" w:w="2699"/>
            <w:vAlign w:val="center"/>
          </w:tcPr>
          <w:p>
            <w:pPr>
              <w:keepNext w:val="0"/>
              <w:spacing w:line="320" w:lineRule="exact" w:after="0" w:before="0"/>
              <w:ind w:firstLine="0"/>
              <w:jc w:val="left"/>
            </w:pPr>
            <w:r>
              <w:rPr>
                <w:b w:val="0"/>
                <w:sz w:val="21"/>
              </w:rPr>
              <w:t>归口、审批、执行和复核责任</w:t>
            </w:r>
          </w:p>
        </w:tc>
        <w:tc>
          <w:tcPr>
            <w:tcW w:type="dxa" w:w="2409"/>
            <w:vAlign w:val="center"/>
          </w:tcPr>
          <w:p>
            <w:pPr>
              <w:keepNext w:val="0"/>
              <w:spacing w:line="320" w:lineRule="exact" w:after="0" w:before="0"/>
              <w:ind w:firstLine="0"/>
              <w:jc w:val="left"/>
            </w:pPr>
            <w:r>
              <w:rPr>
                <w:b w:val="0"/>
                <w:sz w:val="21"/>
              </w:rPr>
              <w:t>岗位文件、授权、实际办理记录</w:t>
            </w:r>
          </w:p>
        </w:tc>
        <w:tc>
          <w:tcPr>
            <w:tcW w:type="dxa" w:w="2891"/>
            <w:vAlign w:val="center"/>
          </w:tcPr>
          <w:p>
            <w:pPr>
              <w:keepNext w:val="0"/>
              <w:spacing w:line="320" w:lineRule="exact" w:after="0" w:before="0"/>
              <w:ind w:firstLine="0"/>
              <w:jc w:val="left"/>
            </w:pPr>
            <w:r>
              <w:rPr>
                <w:b w:val="0"/>
                <w:sz w:val="21"/>
              </w:rPr>
              <w:t>明确责任并完善协同机制</w:t>
            </w:r>
          </w:p>
        </w:tc>
      </w:tr>
      <w:tr>
        <w:trPr>
          <w:cantSplit/>
        </w:trPr>
        <w:tc>
          <w:tcPr>
            <w:tcW w:type="dxa" w:w="1638"/>
            <w:vAlign w:val="center"/>
          </w:tcPr>
          <w:p>
            <w:pPr>
              <w:keepNext w:val="0"/>
              <w:spacing w:line="320" w:lineRule="exact" w:after="0" w:before="0"/>
              <w:ind w:firstLine="0"/>
              <w:jc w:val="left"/>
            </w:pPr>
            <w:r>
              <w:rPr>
                <w:b w:val="0"/>
                <w:sz w:val="21"/>
              </w:rPr>
              <w:t>制度与标准</w:t>
            </w:r>
          </w:p>
        </w:tc>
        <w:tc>
          <w:tcPr>
            <w:tcW w:type="dxa" w:w="2699"/>
            <w:vAlign w:val="center"/>
          </w:tcPr>
          <w:p>
            <w:pPr>
              <w:keepNext w:val="0"/>
              <w:spacing w:line="320" w:lineRule="exact" w:after="0" w:before="0"/>
              <w:ind w:firstLine="0"/>
              <w:jc w:val="left"/>
            </w:pPr>
            <w:r>
              <w:rPr>
                <w:b w:val="0"/>
                <w:sz w:val="21"/>
              </w:rPr>
              <w:t>适用范围、版本和可执行要求</w:t>
            </w:r>
          </w:p>
        </w:tc>
        <w:tc>
          <w:tcPr>
            <w:tcW w:type="dxa" w:w="2409"/>
            <w:vAlign w:val="center"/>
          </w:tcPr>
          <w:p>
            <w:pPr>
              <w:keepNext w:val="0"/>
              <w:spacing w:line="320" w:lineRule="exact" w:after="0" w:before="0"/>
              <w:ind w:firstLine="0"/>
              <w:jc w:val="left"/>
            </w:pPr>
            <w:r>
              <w:rPr>
                <w:b w:val="0"/>
                <w:sz w:val="21"/>
              </w:rPr>
              <w:t>生效文件及业务对应关系</w:t>
            </w:r>
          </w:p>
        </w:tc>
        <w:tc>
          <w:tcPr>
            <w:tcW w:type="dxa" w:w="2891"/>
            <w:vAlign w:val="center"/>
          </w:tcPr>
          <w:p>
            <w:pPr>
              <w:keepNext w:val="0"/>
              <w:spacing w:line="320" w:lineRule="exact" w:after="0" w:before="0"/>
              <w:ind w:firstLine="0"/>
              <w:jc w:val="left"/>
            </w:pPr>
            <w:r>
              <w:rPr>
                <w:b w:val="0"/>
                <w:sz w:val="21"/>
              </w:rPr>
              <w:t>修订缺失或冲突条款</w:t>
            </w:r>
          </w:p>
        </w:tc>
      </w:tr>
      <w:tr>
        <w:trPr>
          <w:cantSplit/>
        </w:trPr>
        <w:tc>
          <w:tcPr>
            <w:tcW w:type="dxa" w:w="1638"/>
            <w:vAlign w:val="center"/>
          </w:tcPr>
          <w:p>
            <w:pPr>
              <w:keepNext w:val="0"/>
              <w:spacing w:line="320" w:lineRule="exact" w:after="0" w:before="0"/>
              <w:ind w:firstLine="0"/>
              <w:jc w:val="left"/>
            </w:pPr>
            <w:r>
              <w:rPr>
                <w:b w:val="0"/>
                <w:sz w:val="21"/>
              </w:rPr>
              <w:t>流程执行</w:t>
            </w:r>
          </w:p>
        </w:tc>
        <w:tc>
          <w:tcPr>
            <w:tcW w:type="dxa" w:w="2699"/>
            <w:vAlign w:val="center"/>
          </w:tcPr>
          <w:p>
            <w:pPr>
              <w:keepNext w:val="0"/>
              <w:spacing w:line="320" w:lineRule="exact" w:after="0" w:before="0"/>
              <w:ind w:firstLine="0"/>
              <w:jc w:val="left"/>
            </w:pPr>
            <w:r>
              <w:rPr>
                <w:b w:val="0"/>
                <w:sz w:val="21"/>
              </w:rPr>
              <w:t>需求、变更、质量与授权办理</w:t>
            </w:r>
          </w:p>
        </w:tc>
        <w:tc>
          <w:tcPr>
            <w:tcW w:type="dxa" w:w="2409"/>
            <w:vAlign w:val="center"/>
          </w:tcPr>
          <w:p>
            <w:pPr>
              <w:keepNext w:val="0"/>
              <w:spacing w:line="320" w:lineRule="exact" w:after="0" w:before="0"/>
              <w:ind w:firstLine="0"/>
              <w:jc w:val="left"/>
            </w:pPr>
            <w:r>
              <w:rPr>
                <w:b w:val="0"/>
                <w:sz w:val="21"/>
              </w:rPr>
              <w:t>实际工单和审批证据</w:t>
            </w:r>
          </w:p>
        </w:tc>
        <w:tc>
          <w:tcPr>
            <w:tcW w:type="dxa" w:w="2891"/>
            <w:vAlign w:val="center"/>
          </w:tcPr>
          <w:p>
            <w:pPr>
              <w:keepNext w:val="0"/>
              <w:spacing w:line="320" w:lineRule="exact" w:after="0" w:before="0"/>
              <w:ind w:firstLine="0"/>
              <w:jc w:val="left"/>
            </w:pPr>
            <w:r>
              <w:rPr>
                <w:b w:val="0"/>
                <w:sz w:val="21"/>
              </w:rPr>
              <w:t>调整流程并跟踪执行</w:t>
            </w:r>
          </w:p>
        </w:tc>
      </w:tr>
      <w:tr>
        <w:trPr>
          <w:cantSplit/>
        </w:trPr>
        <w:tc>
          <w:tcPr>
            <w:tcW w:type="dxa" w:w="1638"/>
            <w:vAlign w:val="center"/>
          </w:tcPr>
          <w:p>
            <w:pPr>
              <w:keepNext w:val="0"/>
              <w:spacing w:line="320" w:lineRule="exact" w:after="0" w:before="0"/>
              <w:ind w:firstLine="0"/>
              <w:jc w:val="left"/>
            </w:pPr>
            <w:r>
              <w:rPr>
                <w:b w:val="0"/>
                <w:sz w:val="21"/>
              </w:rPr>
              <w:t>技术支撑</w:t>
            </w:r>
          </w:p>
        </w:tc>
        <w:tc>
          <w:tcPr>
            <w:tcW w:type="dxa" w:w="2699"/>
            <w:vAlign w:val="center"/>
          </w:tcPr>
          <w:p>
            <w:pPr>
              <w:keepNext w:val="0"/>
              <w:spacing w:line="320" w:lineRule="exact" w:after="0" w:before="0"/>
              <w:ind w:firstLine="0"/>
              <w:jc w:val="left"/>
            </w:pPr>
            <w:r>
              <w:rPr>
                <w:b w:val="0"/>
                <w:sz w:val="21"/>
              </w:rPr>
              <w:t>配置、自动校验和审计能力</w:t>
            </w:r>
          </w:p>
        </w:tc>
        <w:tc>
          <w:tcPr>
            <w:tcW w:type="dxa" w:w="2409"/>
            <w:vAlign w:val="center"/>
          </w:tcPr>
          <w:p>
            <w:pPr>
              <w:keepNext w:val="0"/>
              <w:spacing w:line="320" w:lineRule="exact" w:after="0" w:before="0"/>
              <w:ind w:firstLine="0"/>
              <w:jc w:val="left"/>
            </w:pPr>
            <w:r>
              <w:rPr>
                <w:b w:val="0"/>
                <w:sz w:val="21"/>
              </w:rPr>
              <w:t>系统配置、任务结果及日志</w:t>
            </w:r>
          </w:p>
        </w:tc>
        <w:tc>
          <w:tcPr>
            <w:tcW w:type="dxa" w:w="2891"/>
            <w:vAlign w:val="center"/>
          </w:tcPr>
          <w:p>
            <w:pPr>
              <w:keepNext w:val="0"/>
              <w:spacing w:line="320" w:lineRule="exact" w:after="0" w:before="0"/>
              <w:ind w:firstLine="0"/>
              <w:jc w:val="left"/>
            </w:pPr>
            <w:r>
              <w:rPr>
                <w:b w:val="0"/>
                <w:sz w:val="21"/>
              </w:rPr>
              <w:t>配置完善和联调验证</w:t>
            </w:r>
          </w:p>
        </w:tc>
      </w:tr>
      <w:tr>
        <w:trPr>
          <w:cantSplit/>
        </w:trPr>
        <w:tc>
          <w:tcPr>
            <w:tcW w:type="dxa" w:w="1638"/>
            <w:vAlign w:val="center"/>
          </w:tcPr>
          <w:p>
            <w:pPr>
              <w:keepNext w:val="0"/>
              <w:spacing w:line="320" w:lineRule="exact" w:after="0" w:before="0"/>
              <w:ind w:firstLine="0"/>
              <w:jc w:val="left"/>
            </w:pPr>
            <w:r>
              <w:rPr>
                <w:b w:val="0"/>
                <w:sz w:val="21"/>
              </w:rPr>
              <w:t>数据供给</w:t>
            </w:r>
          </w:p>
        </w:tc>
        <w:tc>
          <w:tcPr>
            <w:tcW w:type="dxa" w:w="2699"/>
            <w:vAlign w:val="center"/>
          </w:tcPr>
          <w:p>
            <w:pPr>
              <w:keepNext w:val="0"/>
              <w:spacing w:line="320" w:lineRule="exact" w:after="0" w:before="0"/>
              <w:ind w:firstLine="0"/>
              <w:jc w:val="left"/>
            </w:pPr>
            <w:r>
              <w:rPr>
                <w:b w:val="0"/>
                <w:sz w:val="21"/>
              </w:rPr>
              <w:t>数量、质量、关联和时效</w:t>
            </w:r>
          </w:p>
        </w:tc>
        <w:tc>
          <w:tcPr>
            <w:tcW w:type="dxa" w:w="2409"/>
            <w:vAlign w:val="center"/>
          </w:tcPr>
          <w:p>
            <w:pPr>
              <w:keepNext w:val="0"/>
              <w:spacing w:line="320" w:lineRule="exact" w:after="0" w:before="0"/>
              <w:ind w:firstLine="0"/>
              <w:jc w:val="left"/>
            </w:pPr>
            <w:r>
              <w:rPr>
                <w:b w:val="0"/>
                <w:sz w:val="21"/>
              </w:rPr>
              <w:t>实际样本、对账及使用反馈</w:t>
            </w:r>
          </w:p>
        </w:tc>
        <w:tc>
          <w:tcPr>
            <w:tcW w:type="dxa" w:w="2891"/>
            <w:vAlign w:val="center"/>
          </w:tcPr>
          <w:p>
            <w:pPr>
              <w:keepNext w:val="0"/>
              <w:spacing w:line="320" w:lineRule="exact" w:after="0" w:before="0"/>
              <w:ind w:firstLine="0"/>
              <w:jc w:val="left"/>
            </w:pPr>
            <w:r>
              <w:rPr>
                <w:b w:val="0"/>
                <w:sz w:val="21"/>
              </w:rPr>
              <w:t>补采、修复和规则优化</w:t>
            </w:r>
          </w:p>
        </w:tc>
      </w:tr>
      <w:tr>
        <w:trPr>
          <w:cantSplit/>
        </w:trPr>
        <w:tc>
          <w:tcPr>
            <w:tcW w:type="dxa" w:w="1638"/>
            <w:vAlign w:val="center"/>
          </w:tcPr>
          <w:p>
            <w:pPr>
              <w:keepNext w:val="0"/>
              <w:spacing w:line="320" w:lineRule="exact" w:after="0" w:before="0"/>
              <w:ind w:firstLine="0"/>
              <w:jc w:val="left"/>
            </w:pPr>
            <w:r>
              <w:rPr>
                <w:b w:val="0"/>
                <w:sz w:val="21"/>
              </w:rPr>
              <w:t>经营应用</w:t>
            </w:r>
          </w:p>
        </w:tc>
        <w:tc>
          <w:tcPr>
            <w:tcW w:type="dxa" w:w="2699"/>
            <w:vAlign w:val="center"/>
          </w:tcPr>
          <w:p>
            <w:pPr>
              <w:keepNext w:val="0"/>
              <w:spacing w:line="320" w:lineRule="exact" w:after="0" w:before="0"/>
              <w:ind w:firstLine="0"/>
              <w:jc w:val="left"/>
            </w:pPr>
            <w:r>
              <w:rPr>
                <w:b w:val="0"/>
                <w:sz w:val="21"/>
              </w:rPr>
              <w:t>指标口径及服务可用性</w:t>
            </w:r>
          </w:p>
        </w:tc>
        <w:tc>
          <w:tcPr>
            <w:tcW w:type="dxa" w:w="2409"/>
            <w:vAlign w:val="center"/>
          </w:tcPr>
          <w:p>
            <w:pPr>
              <w:keepNext w:val="0"/>
              <w:spacing w:line="320" w:lineRule="exact" w:after="0" w:before="0"/>
              <w:ind w:firstLine="0"/>
              <w:jc w:val="left"/>
            </w:pPr>
            <w:r>
              <w:rPr>
                <w:b w:val="0"/>
                <w:sz w:val="21"/>
              </w:rPr>
              <w:t>业务确认、复算与调用记录</w:t>
            </w:r>
          </w:p>
        </w:tc>
        <w:tc>
          <w:tcPr>
            <w:tcW w:type="dxa" w:w="2891"/>
            <w:vAlign w:val="center"/>
          </w:tcPr>
          <w:p>
            <w:pPr>
              <w:keepNext w:val="0"/>
              <w:spacing w:line="320" w:lineRule="exact" w:after="0" w:before="0"/>
              <w:ind w:firstLine="0"/>
              <w:jc w:val="left"/>
            </w:pPr>
            <w:r>
              <w:rPr>
                <w:b w:val="0"/>
                <w:sz w:val="21"/>
              </w:rPr>
              <w:t>统一口径并验证效果</w:t>
            </w:r>
          </w:p>
        </w:tc>
      </w:tr>
    </w:tbl>
    <w:p>
      <w:pPr>
        <w:spacing w:after="40" w:line="240" w:lineRule="auto"/>
        <w:ind w:firstLine="0"/>
      </w:pPr>
      <w:r>
        <w:rPr>
          <w:sz w:val="4"/>
        </w:rPr>
      </w:r>
    </w:p>
    <w:p>
      <w:pPr>
        <w:pStyle w:val="Heading2"/>
      </w:pPr>
      <w:r>
        <w:t>2.3 能力建设任务分解</w:t>
      </w:r>
    </w:p>
    <w:p>
      <w:pPr>
        <w:jc w:val="both"/>
      </w:pPr>
      <w:r>
        <w:t>我方将诊断差距转化为具体建设任务。每项任务登记管理目标、涉及业务域、执行岗位、输入条件、制度修订、平台配置、实施动作、完成证据和计划时间。需要多个岗位协作的任务设一个归口责任，分别明确业务确认、技术实现与独立复核人员的职责，执行记录关联同一问题编号。</w:t>
      </w:r>
    </w:p>
    <w:p>
      <w:pPr>
        <w:jc w:val="both"/>
      </w:pPr>
      <w:r>
        <w:t>任务排序同时考虑业务影响、风险程度、依赖关系和实施资源。数据标准、主数据标识、分类分级与权限规则优先形成可执行基础，随后展开关联整合、质量治理、指标计算和数据服务。具备条件的任务并行实施，前置条件不足的任务明确补齐措施与时间，持续跟踪其对下游数据集和验证计划的影响。</w:t>
      </w:r>
    </w:p>
    <w:p>
      <w:pPr>
        <w:jc w:val="both"/>
      </w:pPr>
      <w:r>
        <w:t>三级建设要求落实到日常运行。制度规定的审批要能够在系统中办理，质量规则要能够对实际数据执行，元数据变更要能够追踪受影响对象，数据服务授权要能够在调用时验证。岗位培训使用实际业务任务进行演练，检查人员是否能够按照制度发现问题、办理审批和完成复核。</w:t>
      </w:r>
    </w:p>
    <w:p>
      <w:pPr>
        <w:pStyle w:val="Heading2"/>
      </w:pPr>
      <w:r>
        <w:t>2.4 制度实施与证据形成</w:t>
      </w:r>
    </w:p>
    <w:p>
      <w:pPr>
        <w:jc w:val="both"/>
      </w:pPr>
      <w:r>
        <w:t>制度发布后，我方组织岗位培训、流程试运行和问题收集，依据试运行情况完善操作指引。首次执行保留任务输入、审批依据、配置版本、运行结果和处理记录；后续批次按相同要求持续留痕。管理岗位定期检查执行差异，将发现的问题反馈至制度修订或配置调整任务。</w:t>
      </w:r>
    </w:p>
    <w:p>
      <w:pPr>
        <w:jc w:val="both"/>
      </w:pPr>
      <w:r>
        <w:t>证据目录采用能力要求与业务对象双向索引。评估人员可按要求查到制度、配置和执行记录，也可从一项真实业务追查其适用规则、办理过程、审核意见和最终结果。同一证据服务于多个要求时通过引用关联，保留原始记录的生成时间和来源，不重复制作不同日期的副本充当独立执行。</w:t>
      </w:r>
    </w:p>
    <w:p>
      <w:pPr>
        <w:jc w:val="both"/>
      </w:pPr>
      <w:r>
        <w:t>历史执行记录缺失时，先核查现有系统日志、原始单据和实际审批材料，按真实可恢复范围建立对应关系。无法恢复的历史缺口明确登记，自现行流程生效后持续留存真实记录。制度补发、系统补录和历史业务发生时间分别记录，补充登记经过审核并说明依据，保持事实时间的准确性。</w:t>
      </w:r>
    </w:p>
    <w:p>
      <w:pPr>
        <w:pStyle w:val="Caption"/>
        <w:keepNext/>
      </w:pPr>
      <w:r>
        <w:t>表2-2 制度实施与证据形成</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证据类别</w:t>
            </w:r>
          </w:p>
        </w:tc>
        <w:tc>
          <w:tcPr>
            <w:tcW w:type="dxa" w:w="3855"/>
            <w:vAlign w:val="center"/>
            <w:shd w:fill="EDF1F3"/>
          </w:tcPr>
          <w:p>
            <w:pPr>
              <w:keepNext/>
              <w:spacing w:line="320" w:lineRule="exact" w:after="0" w:before="0"/>
              <w:ind w:firstLine="0"/>
              <w:jc w:val="center"/>
            </w:pPr>
            <w:r>
              <w:rPr>
                <w:b/>
                <w:sz w:val="21"/>
              </w:rPr>
              <w:t>保存内容</w:t>
            </w:r>
          </w:p>
        </w:tc>
        <w:tc>
          <w:tcPr>
            <w:tcW w:type="dxa" w:w="3277"/>
            <w:vAlign w:val="center"/>
            <w:shd w:fill="EDF1F3"/>
          </w:tcPr>
          <w:p>
            <w:pPr>
              <w:keepNext/>
              <w:spacing w:line="320" w:lineRule="exact" w:after="0" w:before="0"/>
              <w:ind w:firstLine="0"/>
              <w:jc w:val="center"/>
            </w:pPr>
            <w:r>
              <w:rPr>
                <w:b/>
                <w:sz w:val="21"/>
              </w:rPr>
              <w:t>核验重点</w:t>
            </w:r>
          </w:p>
        </w:tc>
      </w:tr>
      <w:tr>
        <w:trPr>
          <w:cantSplit/>
        </w:trPr>
        <w:tc>
          <w:tcPr>
            <w:tcW w:type="dxa" w:w="2506"/>
            <w:vAlign w:val="center"/>
          </w:tcPr>
          <w:p>
            <w:pPr>
              <w:keepNext w:val="0"/>
              <w:spacing w:line="320" w:lineRule="exact" w:after="0" w:before="0"/>
              <w:ind w:firstLine="0"/>
              <w:jc w:val="left"/>
            </w:pPr>
            <w:r>
              <w:rPr>
                <w:b w:val="0"/>
                <w:sz w:val="21"/>
              </w:rPr>
              <w:t>管理依据</w:t>
            </w:r>
          </w:p>
        </w:tc>
        <w:tc>
          <w:tcPr>
            <w:tcW w:type="dxa" w:w="3855"/>
            <w:vAlign w:val="center"/>
          </w:tcPr>
          <w:p>
            <w:pPr>
              <w:keepNext w:val="0"/>
              <w:spacing w:line="320" w:lineRule="exact" w:after="0" w:before="0"/>
              <w:ind w:firstLine="0"/>
              <w:jc w:val="left"/>
            </w:pPr>
            <w:r>
              <w:rPr>
                <w:b w:val="0"/>
                <w:sz w:val="21"/>
              </w:rPr>
              <w:t>制度、标准、岗位职责及发布记录</w:t>
            </w:r>
          </w:p>
        </w:tc>
        <w:tc>
          <w:tcPr>
            <w:tcW w:type="dxa" w:w="3277"/>
            <w:vAlign w:val="center"/>
          </w:tcPr>
          <w:p>
            <w:pPr>
              <w:keepNext w:val="0"/>
              <w:spacing w:line="320" w:lineRule="exact" w:after="0" w:before="0"/>
              <w:ind w:firstLine="0"/>
              <w:jc w:val="left"/>
            </w:pPr>
            <w:r>
              <w:rPr>
                <w:b w:val="0"/>
                <w:sz w:val="21"/>
              </w:rPr>
              <w:t>生效范围和版本适用</w:t>
            </w:r>
          </w:p>
        </w:tc>
      </w:tr>
      <w:tr>
        <w:trPr>
          <w:cantSplit/>
        </w:trPr>
        <w:tc>
          <w:tcPr>
            <w:tcW w:type="dxa" w:w="2506"/>
            <w:vAlign w:val="center"/>
          </w:tcPr>
          <w:p>
            <w:pPr>
              <w:keepNext w:val="0"/>
              <w:spacing w:line="320" w:lineRule="exact" w:after="0" w:before="0"/>
              <w:ind w:firstLine="0"/>
              <w:jc w:val="left"/>
            </w:pPr>
            <w:r>
              <w:rPr>
                <w:b w:val="0"/>
                <w:sz w:val="21"/>
              </w:rPr>
              <w:t>技术配置</w:t>
            </w:r>
          </w:p>
        </w:tc>
        <w:tc>
          <w:tcPr>
            <w:tcW w:type="dxa" w:w="3855"/>
            <w:vAlign w:val="center"/>
          </w:tcPr>
          <w:p>
            <w:pPr>
              <w:keepNext w:val="0"/>
              <w:spacing w:line="320" w:lineRule="exact" w:after="0" w:before="0"/>
              <w:ind w:firstLine="0"/>
              <w:jc w:val="left"/>
            </w:pPr>
            <w:r>
              <w:rPr>
                <w:b w:val="0"/>
                <w:sz w:val="21"/>
              </w:rPr>
              <w:t>规则、权限、接口及调度配置</w:t>
            </w:r>
          </w:p>
        </w:tc>
        <w:tc>
          <w:tcPr>
            <w:tcW w:type="dxa" w:w="3277"/>
            <w:vAlign w:val="center"/>
          </w:tcPr>
          <w:p>
            <w:pPr>
              <w:keepNext w:val="0"/>
              <w:spacing w:line="320" w:lineRule="exact" w:after="0" w:before="0"/>
              <w:ind w:firstLine="0"/>
              <w:jc w:val="left"/>
            </w:pPr>
            <w:r>
              <w:rPr>
                <w:b w:val="0"/>
                <w:sz w:val="21"/>
              </w:rPr>
              <w:t>与管理依据保持一致</w:t>
            </w:r>
          </w:p>
        </w:tc>
      </w:tr>
      <w:tr>
        <w:trPr>
          <w:cantSplit/>
        </w:trPr>
        <w:tc>
          <w:tcPr>
            <w:tcW w:type="dxa" w:w="2506"/>
            <w:vAlign w:val="center"/>
          </w:tcPr>
          <w:p>
            <w:pPr>
              <w:keepNext w:val="0"/>
              <w:spacing w:line="320" w:lineRule="exact" w:after="0" w:before="0"/>
              <w:ind w:firstLine="0"/>
              <w:jc w:val="left"/>
            </w:pPr>
            <w:r>
              <w:rPr>
                <w:b w:val="0"/>
                <w:sz w:val="21"/>
              </w:rPr>
              <w:t>实际运行</w:t>
            </w:r>
          </w:p>
        </w:tc>
        <w:tc>
          <w:tcPr>
            <w:tcW w:type="dxa" w:w="3855"/>
            <w:vAlign w:val="center"/>
          </w:tcPr>
          <w:p>
            <w:pPr>
              <w:keepNext w:val="0"/>
              <w:spacing w:line="320" w:lineRule="exact" w:after="0" w:before="0"/>
              <w:ind w:firstLine="0"/>
              <w:jc w:val="left"/>
            </w:pPr>
            <w:r>
              <w:rPr>
                <w:b w:val="0"/>
                <w:sz w:val="21"/>
              </w:rPr>
              <w:t>采集、稽核、审批、变更及服务记录</w:t>
            </w:r>
          </w:p>
        </w:tc>
        <w:tc>
          <w:tcPr>
            <w:tcW w:type="dxa" w:w="3277"/>
            <w:vAlign w:val="center"/>
          </w:tcPr>
          <w:p>
            <w:pPr>
              <w:keepNext w:val="0"/>
              <w:spacing w:line="320" w:lineRule="exact" w:after="0" w:before="0"/>
              <w:ind w:firstLine="0"/>
              <w:jc w:val="left"/>
            </w:pPr>
            <w:r>
              <w:rPr>
                <w:b w:val="0"/>
                <w:sz w:val="21"/>
              </w:rPr>
              <w:t>对象真实、过程连续</w:t>
            </w:r>
          </w:p>
        </w:tc>
      </w:tr>
      <w:tr>
        <w:trPr>
          <w:cantSplit/>
        </w:trPr>
        <w:tc>
          <w:tcPr>
            <w:tcW w:type="dxa" w:w="2506"/>
            <w:vAlign w:val="center"/>
          </w:tcPr>
          <w:p>
            <w:pPr>
              <w:keepNext w:val="0"/>
              <w:spacing w:line="320" w:lineRule="exact" w:after="0" w:before="0"/>
              <w:ind w:firstLine="0"/>
              <w:jc w:val="left"/>
            </w:pPr>
            <w:r>
              <w:rPr>
                <w:b w:val="0"/>
                <w:sz w:val="21"/>
              </w:rPr>
              <w:t>异常处置</w:t>
            </w:r>
          </w:p>
        </w:tc>
        <w:tc>
          <w:tcPr>
            <w:tcW w:type="dxa" w:w="3855"/>
            <w:vAlign w:val="center"/>
          </w:tcPr>
          <w:p>
            <w:pPr>
              <w:keepNext w:val="0"/>
              <w:spacing w:line="320" w:lineRule="exact" w:after="0" w:before="0"/>
              <w:ind w:firstLine="0"/>
              <w:jc w:val="left"/>
            </w:pPr>
            <w:r>
              <w:rPr>
                <w:b w:val="0"/>
                <w:sz w:val="21"/>
              </w:rPr>
              <w:t>问题、分派、整改、复核及归档</w:t>
            </w:r>
          </w:p>
        </w:tc>
        <w:tc>
          <w:tcPr>
            <w:tcW w:type="dxa" w:w="3277"/>
            <w:vAlign w:val="center"/>
          </w:tcPr>
          <w:p>
            <w:pPr>
              <w:keepNext w:val="0"/>
              <w:spacing w:line="320" w:lineRule="exact" w:after="0" w:before="0"/>
              <w:ind w:firstLine="0"/>
              <w:jc w:val="left"/>
            </w:pPr>
            <w:r>
              <w:rPr>
                <w:b w:val="0"/>
                <w:sz w:val="21"/>
              </w:rPr>
              <w:t>问题与处理结果对应</w:t>
            </w:r>
          </w:p>
        </w:tc>
      </w:tr>
      <w:tr>
        <w:trPr>
          <w:cantSplit/>
        </w:trPr>
        <w:tc>
          <w:tcPr>
            <w:tcW w:type="dxa" w:w="2506"/>
            <w:vAlign w:val="center"/>
          </w:tcPr>
          <w:p>
            <w:pPr>
              <w:keepNext w:val="0"/>
              <w:spacing w:line="320" w:lineRule="exact" w:after="0" w:before="0"/>
              <w:ind w:firstLine="0"/>
              <w:jc w:val="left"/>
            </w:pPr>
            <w:r>
              <w:rPr>
                <w:b w:val="0"/>
                <w:sz w:val="21"/>
              </w:rPr>
              <w:t>管理评审</w:t>
            </w:r>
          </w:p>
        </w:tc>
        <w:tc>
          <w:tcPr>
            <w:tcW w:type="dxa" w:w="3855"/>
            <w:vAlign w:val="center"/>
          </w:tcPr>
          <w:p>
            <w:pPr>
              <w:keepNext w:val="0"/>
              <w:spacing w:line="320" w:lineRule="exact" w:after="0" w:before="0"/>
              <w:ind w:firstLine="0"/>
              <w:jc w:val="left"/>
            </w:pPr>
            <w:r>
              <w:rPr>
                <w:b w:val="0"/>
                <w:sz w:val="21"/>
              </w:rPr>
              <w:t>检查结果、业务反馈及改进决议</w:t>
            </w:r>
          </w:p>
        </w:tc>
        <w:tc>
          <w:tcPr>
            <w:tcW w:type="dxa" w:w="3277"/>
            <w:vAlign w:val="center"/>
          </w:tcPr>
          <w:p>
            <w:pPr>
              <w:keepNext w:val="0"/>
              <w:spacing w:line="320" w:lineRule="exact" w:after="0" w:before="0"/>
              <w:ind w:firstLine="0"/>
              <w:jc w:val="left"/>
            </w:pPr>
            <w:r>
              <w:rPr>
                <w:b w:val="0"/>
                <w:sz w:val="21"/>
              </w:rPr>
              <w:t>改进措施落实到任务</w:t>
            </w:r>
          </w:p>
        </w:tc>
      </w:tr>
      <w:tr>
        <w:trPr>
          <w:cantSplit/>
        </w:trPr>
        <w:tc>
          <w:tcPr>
            <w:tcW w:type="dxa" w:w="2506"/>
            <w:vAlign w:val="center"/>
          </w:tcPr>
          <w:p>
            <w:pPr>
              <w:keepNext w:val="0"/>
              <w:spacing w:line="320" w:lineRule="exact" w:after="0" w:before="0"/>
              <w:ind w:firstLine="0"/>
              <w:jc w:val="left"/>
            </w:pPr>
            <w:r>
              <w:rPr>
                <w:b w:val="0"/>
                <w:sz w:val="21"/>
              </w:rPr>
              <w:t>能力验证</w:t>
            </w:r>
          </w:p>
        </w:tc>
        <w:tc>
          <w:tcPr>
            <w:tcW w:type="dxa" w:w="3855"/>
            <w:vAlign w:val="center"/>
          </w:tcPr>
          <w:p>
            <w:pPr>
              <w:keepNext w:val="0"/>
              <w:spacing w:line="320" w:lineRule="exact" w:after="0" w:before="0"/>
              <w:ind w:firstLine="0"/>
              <w:jc w:val="left"/>
            </w:pPr>
            <w:r>
              <w:rPr>
                <w:b w:val="0"/>
                <w:sz w:val="21"/>
              </w:rPr>
              <w:t>演示、抽查、复算与培训考核</w:t>
            </w:r>
          </w:p>
        </w:tc>
        <w:tc>
          <w:tcPr>
            <w:tcW w:type="dxa" w:w="3277"/>
            <w:vAlign w:val="center"/>
          </w:tcPr>
          <w:p>
            <w:pPr>
              <w:keepNext w:val="0"/>
              <w:spacing w:line="320" w:lineRule="exact" w:after="0" w:before="0"/>
              <w:ind w:firstLine="0"/>
              <w:jc w:val="left"/>
            </w:pPr>
            <w:r>
              <w:rPr>
                <w:b w:val="0"/>
                <w:sz w:val="21"/>
              </w:rPr>
              <w:t>能够重复执行并解释结果</w:t>
            </w:r>
          </w:p>
        </w:tc>
      </w:tr>
    </w:tbl>
    <w:p>
      <w:pPr>
        <w:spacing w:after="40" w:line="240" w:lineRule="auto"/>
        <w:ind w:firstLine="0"/>
      </w:pPr>
      <w:r>
        <w:rPr>
          <w:sz w:val="4"/>
        </w:rPr>
      </w:r>
    </w:p>
    <w:p>
      <w:pPr>
        <w:pStyle w:val="Heading2"/>
      </w:pPr>
      <w:r>
        <w:t>2.5 内部评估与整改验证</w:t>
      </w:r>
    </w:p>
    <w:p>
      <w:pPr>
        <w:jc w:val="both"/>
      </w:pPr>
      <w:r>
        <w:t>我方按照适用能力要求组织内部预评估，复核范围包含制度完整性、职责落实、流程执行、平台能力和运行证据。内部评估人员与被检查任务的直接执行人员适当分离，抽取真实业务记录开展访谈、系统演示和交叉核对。抽样范围覆盖九个业务域、关键跨域流程及高风险事项。</w:t>
      </w:r>
    </w:p>
    <w:p>
      <w:pPr>
        <w:jc w:val="both"/>
      </w:pPr>
      <w:r>
        <w:t>内部评估发现的问题逐项登记原始事实和证据，区分管理缺失、执行偏差、工具缺陷和资料不完整。整改方案针对根本原因制定，明确需要修改的制度、配置和作业方法。整改后由复核岗位检查修复结果，并通过新的实际业务执行验证其有效性；文件修改与实际运行均完成后关闭相应问题。</w:t>
      </w:r>
    </w:p>
    <w:p>
      <w:pPr>
        <w:jc w:val="both"/>
      </w:pPr>
      <w:r>
        <w:t>预评估结果用于安排改进与送评准备，不代替正式评估结论。对证据不足的事项继续补齐真实执行记录，对跨域理解不一致的事项组织联合复核。内部结论保留检查范围、方法、未覆盖情况和问题处理状态，完整反映阶段能力。</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2" name="Picture 2"/>
            <wp:cNvGraphicFramePr>
              <a:graphicFrameLocks noChangeAspect="1"/>
            </wp:cNvGraphicFramePr>
            <a:graphic>
              <a:graphicData uri="http://schemas.openxmlformats.org/drawingml/2006/picture">
                <pic:pic>
                  <pic:nvPicPr>
                    <pic:cNvPr id="0" name="图2_能力建设.png"/>
                    <pic:cNvPicPr/>
                  </pic:nvPicPr>
                  <pic:blipFill>
                    <a:blip r:embed="rId12"/>
                    <a:stretch>
                      <a:fillRect/>
                    </a:stretch>
                  </pic:blipFill>
                  <pic:spPr>
                    <a:xfrm>
                      <a:off x="0" y="0"/>
                      <a:ext cx="6048000" cy="1942338"/>
                    </a:xfrm>
                    <a:prstGeom prst="rect"/>
                  </pic:spPr>
                </pic:pic>
              </a:graphicData>
            </a:graphic>
          </wp:inline>
        </w:drawing>
      </w:r>
    </w:p>
    <w:p>
      <w:pPr>
        <w:pStyle w:val="Caption"/>
        <w:jc w:val="center"/>
      </w:pPr>
      <w:r>
        <w:t>图2-1 三级能力建设与评估支撑路径</w:t>
      </w:r>
    </w:p>
    <w:p>
      <w:pPr>
        <w:pStyle w:val="Heading2"/>
      </w:pPr>
      <w:r>
        <w:t>2.6 正式评估支撑与持续改进</w:t>
      </w:r>
    </w:p>
    <w:p>
      <w:pPr>
        <w:jc w:val="both"/>
      </w:pPr>
      <w:r>
        <w:t>我方组织评估资料准备、要求对应、证据检查、人员培训、演示安排及问题整改，配合甲方开展正式评估申请和现场工作。评估范围、受理材料、工作计划与正式评估机构衔接，按规定程序提交资料并配合核验。评估结论和证书由相应评估认定程序形成。</w:t>
      </w:r>
    </w:p>
    <w:p>
      <w:pPr>
        <w:jc w:val="both"/>
      </w:pPr>
      <w:r>
        <w:t>贯标工作纳入项目总计划持续推进。我方定期检查资料准备、能力实施和运行记录的完成情况，对影响评估安排的问题提前组织整改和资源协调。正式评估反馈关联原能力要求、实施任务和证据目录，逐项回复处理结果，保留复核依据。</w:t>
      </w:r>
    </w:p>
    <w:p>
      <w:pPr>
        <w:jc w:val="both"/>
      </w:pPr>
      <w:r>
        <w:t>后续制度修订、组织调整、源系统变化和平台升级继续执行治理管理要求。已形成的能力进入常态化运行，通过岗位检查、质量监控、服务反馈和管理评审持续优化，相关维护记录纳入治理档案。项目移交时交付可继续执行的流程、工具配置、操作指引和培训资料。</w:t>
      </w:r>
    </w:p>
    <w:p>
      <w:pPr>
        <w:pStyle w:val="Heading1"/>
      </w:pPr>
      <w:r>
        <w:t>3 九项治理规划与组织运行</w:t>
      </w:r>
    </w:p>
    <w:p>
      <w:pPr>
        <w:pStyle w:val="Heading2"/>
      </w:pPr>
      <w:r>
        <w:t>3.1 数据战略与治理组织</w:t>
      </w:r>
    </w:p>
    <w:p>
      <w:pPr>
        <w:jc w:val="both"/>
      </w:pPr>
      <w:r>
        <w:t>数据战略将企业经营管理目标、数字化转型任务、高质量数据集供给和场景验证需求转化为数据管理重点任务。每项任务明确业务价值、管理要求、资源投入、依赖条件和评价方法，形成分阶段实施路线图。战略实施计划细化到责任岗位和成果节点，定期对照实际进展分析偏差，调整资源与实施顺序。</w:t>
      </w:r>
    </w:p>
    <w:p>
      <w:pPr>
        <w:jc w:val="both"/>
      </w:pPr>
      <w:r>
        <w:t>治理组织按决策层、管理层、执行层明确职责。决策层审议总体目标、重大制度、跨域争议和资源配置；管理层维护规划、标准和考核，组织跨部门协同及监督检查；执行层落实盘点、标准映射、质量整改、授权办理和服务运行。业务岗位确认业务含义与判定条件，技术岗位落实平台配置，复核岗位检查执行效果。</w:t>
      </w:r>
    </w:p>
    <w:p>
      <w:pPr>
        <w:jc w:val="both"/>
      </w:pPr>
      <w:r>
        <w:t>治理制度包含管理办法、实施细则和操作规范，分别规定管理原则、业务办理过程和具体操作要求。制度之间建立上位依据、适用范围、流程接口和版本关系。重要变更先评估对组织职责、数据供给、权限和历史结果的影响，经评审生效后同步更新平台配置与岗位指引。</w:t>
      </w:r>
    </w:p>
    <w:p>
      <w:pPr>
        <w:jc w:val="both"/>
      </w:pPr>
      <w:r>
        <w:t>数据文化建设结合实际岗位开展培训。业务人员重点掌握数据口径确认、问题上报和使用权限；技术人员重点掌握标准落实、血缘维护、质量规则和变更控制；管理人员重点掌握治理评价与责任落实。培训后以真实任务演练检查理解情况，记录常见问题并完善培训材料，支撑甲方数据管理师能力提升。</w:t>
      </w:r>
    </w:p>
    <w:p>
      <w:pPr>
        <w:pStyle w:val="Heading2"/>
      </w:pPr>
      <w:r>
        <w:t>3.2 数据架构与资产管理</w:t>
      </w:r>
    </w:p>
    <w:p>
      <w:pPr>
        <w:jc w:val="both"/>
      </w:pPr>
      <w:r>
        <w:t>数据架构明确贴源层 ODS、明细层 DWD、汇总层 DWS、维表层 DIM 和应用层 ADS 的职责及数据流向。贴源层保留来源结构和接收批次，明细层落实业务标准与关联关系，汇总层形成可复用主题结果，维表层维护统一维度及历史版本，应用层按经营指标、数据服务及应用需求组织输出。每层对象登记来源、加工逻辑、质量规则和使用范围。</w:t>
      </w:r>
    </w:p>
    <w:p>
      <w:pPr>
        <w:jc w:val="both"/>
      </w:pPr>
      <w:r>
        <w:t>多模态资源采用资源存储与结构化索引相结合的组织方式。原始图纸、图像、时序和视频保留能够支持专业核验的内容，元数据记录对象标识、版本、时间、位置和访问条件；结构化结果引用对应原始资源。业务系统文件路径变化时通过受控映射更新访问位置，稳定资源标识保持可追溯。</w:t>
      </w:r>
    </w:p>
    <w:p>
      <w:pPr>
        <w:jc w:val="both"/>
      </w:pPr>
      <w:r>
        <w:t>资产管理区分资源登记、业务使用和权属依据。原始数据来源、存储位置、许可条件、治理后资产的所有权和使用权逐项核查并登记。资源目录按照业务对象和用途组织，申请、审批、使用、反馈和回收均保留记录。价值评估依据实际质量、使用条件、业务贡献和维护成本开展，资产目录登记与财务确认分别履行相应程序。</w:t>
      </w:r>
    </w:p>
    <w:p>
      <w:pPr>
        <w:pStyle w:val="Caption"/>
        <w:keepNext/>
      </w:pPr>
      <w:r>
        <w:t>表3-1 数据架构与资产管理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规划事项</w:t>
            </w:r>
          </w:p>
        </w:tc>
        <w:tc>
          <w:tcPr>
            <w:tcW w:type="dxa" w:w="2699"/>
            <w:vAlign w:val="center"/>
            <w:shd w:fill="EDF1F3"/>
          </w:tcPr>
          <w:p>
            <w:pPr>
              <w:keepNext/>
              <w:spacing w:line="320" w:lineRule="exact" w:after="0" w:before="0"/>
              <w:ind w:firstLine="0"/>
              <w:jc w:val="center"/>
            </w:pPr>
            <w:r>
              <w:rPr>
                <w:b/>
                <w:sz w:val="21"/>
              </w:rPr>
              <w:t>管理依据</w:t>
            </w:r>
          </w:p>
        </w:tc>
        <w:tc>
          <w:tcPr>
            <w:tcW w:type="dxa" w:w="2409"/>
            <w:vAlign w:val="center"/>
            <w:shd w:fill="EDF1F3"/>
          </w:tcPr>
          <w:p>
            <w:pPr>
              <w:keepNext/>
              <w:spacing w:line="320" w:lineRule="exact" w:after="0" w:before="0"/>
              <w:ind w:firstLine="0"/>
              <w:jc w:val="center"/>
            </w:pPr>
            <w:r>
              <w:rPr>
                <w:b/>
                <w:sz w:val="21"/>
              </w:rPr>
              <w:t>平台落实</w:t>
            </w:r>
          </w:p>
        </w:tc>
        <w:tc>
          <w:tcPr>
            <w:tcW w:type="dxa" w:w="2891"/>
            <w:vAlign w:val="center"/>
            <w:shd w:fill="EDF1F3"/>
          </w:tcPr>
          <w:p>
            <w:pPr>
              <w:keepNext/>
              <w:spacing w:line="320" w:lineRule="exact" w:after="0" w:before="0"/>
              <w:ind w:firstLine="0"/>
              <w:jc w:val="center"/>
            </w:pPr>
            <w:r>
              <w:rPr>
                <w:b/>
                <w:sz w:val="21"/>
              </w:rPr>
              <w:t>使用证据</w:t>
            </w:r>
          </w:p>
        </w:tc>
      </w:tr>
      <w:tr>
        <w:trPr>
          <w:cantSplit/>
        </w:trPr>
        <w:tc>
          <w:tcPr>
            <w:tcW w:type="dxa" w:w="1638"/>
            <w:vAlign w:val="center"/>
          </w:tcPr>
          <w:p>
            <w:pPr>
              <w:keepNext w:val="0"/>
              <w:spacing w:line="320" w:lineRule="exact" w:after="0" w:before="0"/>
              <w:ind w:firstLine="0"/>
              <w:jc w:val="left"/>
            </w:pPr>
            <w:r>
              <w:rPr>
                <w:b w:val="0"/>
                <w:sz w:val="21"/>
              </w:rPr>
              <w:t>数据模型</w:t>
            </w:r>
          </w:p>
        </w:tc>
        <w:tc>
          <w:tcPr>
            <w:tcW w:type="dxa" w:w="2699"/>
            <w:vAlign w:val="center"/>
          </w:tcPr>
          <w:p>
            <w:pPr>
              <w:keepNext w:val="0"/>
              <w:spacing w:line="320" w:lineRule="exact" w:after="0" w:before="0"/>
              <w:ind w:firstLine="0"/>
              <w:jc w:val="left"/>
            </w:pPr>
            <w:r>
              <w:rPr>
                <w:b w:val="0"/>
                <w:sz w:val="21"/>
              </w:rPr>
              <w:t>分层架构及模型定义</w:t>
            </w:r>
          </w:p>
        </w:tc>
        <w:tc>
          <w:tcPr>
            <w:tcW w:type="dxa" w:w="2409"/>
            <w:vAlign w:val="center"/>
          </w:tcPr>
          <w:p>
            <w:pPr>
              <w:keepNext w:val="0"/>
              <w:spacing w:line="320" w:lineRule="exact" w:after="0" w:before="0"/>
              <w:ind w:firstLine="0"/>
              <w:jc w:val="left"/>
            </w:pPr>
            <w:r>
              <w:rPr>
                <w:b w:val="0"/>
                <w:sz w:val="21"/>
              </w:rPr>
              <w:t>分层对象、关系和开发配置</w:t>
            </w:r>
          </w:p>
        </w:tc>
        <w:tc>
          <w:tcPr>
            <w:tcW w:type="dxa" w:w="2891"/>
            <w:vAlign w:val="center"/>
          </w:tcPr>
          <w:p>
            <w:pPr>
              <w:keepNext w:val="0"/>
              <w:spacing w:line="320" w:lineRule="exact" w:after="0" w:before="0"/>
              <w:ind w:firstLine="0"/>
              <w:jc w:val="left"/>
            </w:pPr>
            <w:r>
              <w:rPr>
                <w:b w:val="0"/>
                <w:sz w:val="21"/>
              </w:rPr>
              <w:t>模型评审与数据对账</w:t>
            </w:r>
          </w:p>
        </w:tc>
      </w:tr>
      <w:tr>
        <w:trPr>
          <w:cantSplit/>
        </w:trPr>
        <w:tc>
          <w:tcPr>
            <w:tcW w:type="dxa" w:w="1638"/>
            <w:vAlign w:val="center"/>
          </w:tcPr>
          <w:p>
            <w:pPr>
              <w:keepNext w:val="0"/>
              <w:spacing w:line="320" w:lineRule="exact" w:after="0" w:before="0"/>
              <w:ind w:firstLine="0"/>
              <w:jc w:val="left"/>
            </w:pPr>
            <w:r>
              <w:rPr>
                <w:b w:val="0"/>
                <w:sz w:val="21"/>
              </w:rPr>
              <w:t>数据分布</w:t>
            </w:r>
          </w:p>
        </w:tc>
        <w:tc>
          <w:tcPr>
            <w:tcW w:type="dxa" w:w="2699"/>
            <w:vAlign w:val="center"/>
          </w:tcPr>
          <w:p>
            <w:pPr>
              <w:keepNext w:val="0"/>
              <w:spacing w:line="320" w:lineRule="exact" w:after="0" w:before="0"/>
              <w:ind w:firstLine="0"/>
              <w:jc w:val="left"/>
            </w:pPr>
            <w:r>
              <w:rPr>
                <w:b w:val="0"/>
                <w:sz w:val="21"/>
              </w:rPr>
              <w:t>存储位置及流向</w:t>
            </w:r>
          </w:p>
        </w:tc>
        <w:tc>
          <w:tcPr>
            <w:tcW w:type="dxa" w:w="2409"/>
            <w:vAlign w:val="center"/>
          </w:tcPr>
          <w:p>
            <w:pPr>
              <w:keepNext w:val="0"/>
              <w:spacing w:line="320" w:lineRule="exact" w:after="0" w:before="0"/>
              <w:ind w:firstLine="0"/>
              <w:jc w:val="left"/>
            </w:pPr>
            <w:r>
              <w:rPr>
                <w:b w:val="0"/>
                <w:sz w:val="21"/>
              </w:rPr>
              <w:t>来源登记和交换链路</w:t>
            </w:r>
          </w:p>
        </w:tc>
        <w:tc>
          <w:tcPr>
            <w:tcW w:type="dxa" w:w="2891"/>
            <w:vAlign w:val="center"/>
          </w:tcPr>
          <w:p>
            <w:pPr>
              <w:keepNext w:val="0"/>
              <w:spacing w:line="320" w:lineRule="exact" w:after="0" w:before="0"/>
              <w:ind w:firstLine="0"/>
              <w:jc w:val="left"/>
            </w:pPr>
            <w:r>
              <w:rPr>
                <w:b w:val="0"/>
                <w:sz w:val="21"/>
              </w:rPr>
              <w:t>接收日志、流向与依赖</w:t>
            </w:r>
          </w:p>
        </w:tc>
      </w:tr>
      <w:tr>
        <w:trPr>
          <w:cantSplit/>
        </w:trPr>
        <w:tc>
          <w:tcPr>
            <w:tcW w:type="dxa" w:w="1638"/>
            <w:vAlign w:val="center"/>
          </w:tcPr>
          <w:p>
            <w:pPr>
              <w:keepNext w:val="0"/>
              <w:spacing w:line="320" w:lineRule="exact" w:after="0" w:before="0"/>
              <w:ind w:firstLine="0"/>
              <w:jc w:val="left"/>
            </w:pPr>
            <w:r>
              <w:rPr>
                <w:b w:val="0"/>
                <w:sz w:val="21"/>
              </w:rPr>
              <w:t>元数据</w:t>
            </w:r>
          </w:p>
        </w:tc>
        <w:tc>
          <w:tcPr>
            <w:tcW w:type="dxa" w:w="2699"/>
            <w:vAlign w:val="center"/>
          </w:tcPr>
          <w:p>
            <w:pPr>
              <w:keepNext w:val="0"/>
              <w:spacing w:line="320" w:lineRule="exact" w:after="0" w:before="0"/>
              <w:ind w:firstLine="0"/>
              <w:jc w:val="left"/>
            </w:pPr>
            <w:r>
              <w:rPr>
                <w:b w:val="0"/>
                <w:sz w:val="21"/>
              </w:rPr>
              <w:t>采集和维护要求</w:t>
            </w:r>
          </w:p>
        </w:tc>
        <w:tc>
          <w:tcPr>
            <w:tcW w:type="dxa" w:w="2409"/>
            <w:vAlign w:val="center"/>
          </w:tcPr>
          <w:p>
            <w:pPr>
              <w:keepNext w:val="0"/>
              <w:spacing w:line="320" w:lineRule="exact" w:after="0" w:before="0"/>
              <w:ind w:firstLine="0"/>
              <w:jc w:val="left"/>
            </w:pPr>
            <w:r>
              <w:rPr>
                <w:b w:val="0"/>
                <w:sz w:val="21"/>
              </w:rPr>
              <w:t>业务、技术、管理元数据</w:t>
            </w:r>
          </w:p>
        </w:tc>
        <w:tc>
          <w:tcPr>
            <w:tcW w:type="dxa" w:w="2891"/>
            <w:vAlign w:val="center"/>
          </w:tcPr>
          <w:p>
            <w:pPr>
              <w:keepNext w:val="0"/>
              <w:spacing w:line="320" w:lineRule="exact" w:after="0" w:before="0"/>
              <w:ind w:firstLine="0"/>
              <w:jc w:val="left"/>
            </w:pPr>
            <w:r>
              <w:rPr>
                <w:b w:val="0"/>
                <w:sz w:val="21"/>
              </w:rPr>
              <w:t>采集结果与变更记录</w:t>
            </w:r>
          </w:p>
        </w:tc>
      </w:tr>
      <w:tr>
        <w:trPr>
          <w:cantSplit/>
        </w:trPr>
        <w:tc>
          <w:tcPr>
            <w:tcW w:type="dxa" w:w="1638"/>
            <w:vAlign w:val="center"/>
          </w:tcPr>
          <w:p>
            <w:pPr>
              <w:keepNext w:val="0"/>
              <w:spacing w:line="320" w:lineRule="exact" w:after="0" w:before="0"/>
              <w:ind w:firstLine="0"/>
              <w:jc w:val="left"/>
            </w:pPr>
            <w:r>
              <w:rPr>
                <w:b w:val="0"/>
                <w:sz w:val="21"/>
              </w:rPr>
              <w:t>资源目录</w:t>
            </w:r>
          </w:p>
        </w:tc>
        <w:tc>
          <w:tcPr>
            <w:tcW w:type="dxa" w:w="2699"/>
            <w:vAlign w:val="center"/>
          </w:tcPr>
          <w:p>
            <w:pPr>
              <w:keepNext w:val="0"/>
              <w:spacing w:line="320" w:lineRule="exact" w:after="0" w:before="0"/>
              <w:ind w:firstLine="0"/>
              <w:jc w:val="left"/>
            </w:pPr>
            <w:r>
              <w:rPr>
                <w:b w:val="0"/>
                <w:sz w:val="21"/>
              </w:rPr>
              <w:t>对象归属和责任</w:t>
            </w:r>
          </w:p>
        </w:tc>
        <w:tc>
          <w:tcPr>
            <w:tcW w:type="dxa" w:w="2409"/>
            <w:vAlign w:val="center"/>
          </w:tcPr>
          <w:p>
            <w:pPr>
              <w:keepNext w:val="0"/>
              <w:spacing w:line="320" w:lineRule="exact" w:after="0" w:before="0"/>
              <w:ind w:firstLine="0"/>
              <w:jc w:val="left"/>
            </w:pPr>
            <w:r>
              <w:rPr>
                <w:b w:val="0"/>
                <w:sz w:val="21"/>
              </w:rPr>
              <w:t>资产登记、搜索与申请</w:t>
            </w:r>
          </w:p>
        </w:tc>
        <w:tc>
          <w:tcPr>
            <w:tcW w:type="dxa" w:w="2891"/>
            <w:vAlign w:val="center"/>
          </w:tcPr>
          <w:p>
            <w:pPr>
              <w:keepNext w:val="0"/>
              <w:spacing w:line="320" w:lineRule="exact" w:after="0" w:before="0"/>
              <w:ind w:firstLine="0"/>
              <w:jc w:val="left"/>
            </w:pPr>
            <w:r>
              <w:rPr>
                <w:b w:val="0"/>
                <w:sz w:val="21"/>
              </w:rPr>
              <w:t>目录核验和使用记录</w:t>
            </w:r>
          </w:p>
        </w:tc>
      </w:tr>
      <w:tr>
        <w:trPr>
          <w:cantSplit/>
        </w:trPr>
        <w:tc>
          <w:tcPr>
            <w:tcW w:type="dxa" w:w="1638"/>
            <w:vAlign w:val="center"/>
          </w:tcPr>
          <w:p>
            <w:pPr>
              <w:keepNext w:val="0"/>
              <w:spacing w:line="320" w:lineRule="exact" w:after="0" w:before="0"/>
              <w:ind w:firstLine="0"/>
              <w:jc w:val="left"/>
            </w:pPr>
            <w:r>
              <w:rPr>
                <w:b w:val="0"/>
                <w:sz w:val="21"/>
              </w:rPr>
              <w:t>权属与许可</w:t>
            </w:r>
          </w:p>
        </w:tc>
        <w:tc>
          <w:tcPr>
            <w:tcW w:type="dxa" w:w="2699"/>
            <w:vAlign w:val="center"/>
          </w:tcPr>
          <w:p>
            <w:pPr>
              <w:keepNext w:val="0"/>
              <w:spacing w:line="320" w:lineRule="exact" w:after="0" w:before="0"/>
              <w:ind w:firstLine="0"/>
              <w:jc w:val="left"/>
            </w:pPr>
            <w:r>
              <w:rPr>
                <w:b w:val="0"/>
                <w:sz w:val="21"/>
              </w:rPr>
              <w:t>授权依据和用途范围</w:t>
            </w:r>
          </w:p>
        </w:tc>
        <w:tc>
          <w:tcPr>
            <w:tcW w:type="dxa" w:w="2409"/>
            <w:vAlign w:val="center"/>
          </w:tcPr>
          <w:p>
            <w:pPr>
              <w:keepNext w:val="0"/>
              <w:spacing w:line="320" w:lineRule="exact" w:after="0" w:before="0"/>
              <w:ind w:firstLine="0"/>
              <w:jc w:val="left"/>
            </w:pPr>
            <w:r>
              <w:rPr>
                <w:b w:val="0"/>
                <w:sz w:val="21"/>
              </w:rPr>
              <w:t>权限标签及发布检查</w:t>
            </w:r>
          </w:p>
        </w:tc>
        <w:tc>
          <w:tcPr>
            <w:tcW w:type="dxa" w:w="2891"/>
            <w:vAlign w:val="center"/>
          </w:tcPr>
          <w:p>
            <w:pPr>
              <w:keepNext w:val="0"/>
              <w:spacing w:line="320" w:lineRule="exact" w:after="0" w:before="0"/>
              <w:ind w:firstLine="0"/>
              <w:jc w:val="left"/>
            </w:pPr>
            <w:r>
              <w:rPr>
                <w:b w:val="0"/>
                <w:sz w:val="21"/>
              </w:rPr>
              <w:t>授权材料与访问审计</w:t>
            </w:r>
          </w:p>
        </w:tc>
      </w:tr>
      <w:tr>
        <w:trPr>
          <w:cantSplit/>
        </w:trPr>
        <w:tc>
          <w:tcPr>
            <w:tcW w:type="dxa" w:w="1638"/>
            <w:vAlign w:val="center"/>
          </w:tcPr>
          <w:p>
            <w:pPr>
              <w:keepNext w:val="0"/>
              <w:spacing w:line="320" w:lineRule="exact" w:after="0" w:before="0"/>
              <w:ind w:firstLine="0"/>
              <w:jc w:val="left"/>
            </w:pPr>
            <w:r>
              <w:rPr>
                <w:b w:val="0"/>
                <w:sz w:val="21"/>
              </w:rPr>
              <w:t>价值与运营</w:t>
            </w:r>
          </w:p>
        </w:tc>
        <w:tc>
          <w:tcPr>
            <w:tcW w:type="dxa" w:w="2699"/>
            <w:vAlign w:val="center"/>
          </w:tcPr>
          <w:p>
            <w:pPr>
              <w:keepNext w:val="0"/>
              <w:spacing w:line="320" w:lineRule="exact" w:after="0" w:before="0"/>
              <w:ind w:firstLine="0"/>
              <w:jc w:val="left"/>
            </w:pPr>
            <w:r>
              <w:rPr>
                <w:b w:val="0"/>
                <w:sz w:val="21"/>
              </w:rPr>
              <w:t>评估维度和内部运营流程</w:t>
            </w:r>
          </w:p>
        </w:tc>
        <w:tc>
          <w:tcPr>
            <w:tcW w:type="dxa" w:w="2409"/>
            <w:vAlign w:val="center"/>
          </w:tcPr>
          <w:p>
            <w:pPr>
              <w:keepNext w:val="0"/>
              <w:spacing w:line="320" w:lineRule="exact" w:after="0" w:before="0"/>
              <w:ind w:firstLine="0"/>
              <w:jc w:val="left"/>
            </w:pPr>
            <w:r>
              <w:rPr>
                <w:b w:val="0"/>
                <w:sz w:val="21"/>
              </w:rPr>
              <w:t>评价记录与服务关联</w:t>
            </w:r>
          </w:p>
        </w:tc>
        <w:tc>
          <w:tcPr>
            <w:tcW w:type="dxa" w:w="2891"/>
            <w:vAlign w:val="center"/>
          </w:tcPr>
          <w:p>
            <w:pPr>
              <w:keepNext w:val="0"/>
              <w:spacing w:line="320" w:lineRule="exact" w:after="0" w:before="0"/>
              <w:ind w:firstLine="0"/>
              <w:jc w:val="left"/>
            </w:pPr>
            <w:r>
              <w:rPr>
                <w:b w:val="0"/>
                <w:sz w:val="21"/>
              </w:rPr>
              <w:t>使用反馈与评估结果</w:t>
            </w:r>
          </w:p>
        </w:tc>
      </w:tr>
    </w:tbl>
    <w:p>
      <w:pPr>
        <w:spacing w:after="40" w:line="240" w:lineRule="auto"/>
        <w:ind w:firstLine="0"/>
      </w:pPr>
      <w:r>
        <w:rPr>
          <w:sz w:val="4"/>
        </w:rPr>
      </w:r>
    </w:p>
    <w:p>
      <w:pPr>
        <w:pStyle w:val="Heading2"/>
      </w:pPr>
      <w:r>
        <w:t>3.3 数据标准与质量管理</w:t>
      </w:r>
    </w:p>
    <w:p>
      <w:pPr>
        <w:jc w:val="both"/>
      </w:pPr>
      <w:r>
        <w:t>业务术语、主数据、参考数据、数据元和指标标准共同构成统一业务语义。业务术语记录定义、同义词、适用范围和业务负责人；主数据记录唯一标识、创建变更审批和分发关系；参考数据规定代码与值域；数据元明确名称、类型、格式、单位及取值约束；指标标准明确统计和计算逻辑。标准映射表连接源字段、治理字段、知识概念和样本标签。</w:t>
      </w:r>
    </w:p>
    <w:p>
      <w:pPr>
        <w:jc w:val="both"/>
      </w:pPr>
      <w:r>
        <w:t>主数据管理与现有主数据管理平台衔接，核对创建、变更、停用、合并及分发流程。历史编码保留有效期与映射关系，同名对象通过实际业务标识确认，跨系统重复对象经业务核实后归并。审批记录缺失按真实可恢复情况补充核验，后续业务按完整流程执行并留存记录。</w:t>
      </w:r>
    </w:p>
    <w:p>
      <w:pPr>
        <w:jc w:val="both"/>
      </w:pPr>
      <w:r>
        <w:t>业务数据质量按照完整性、准确性、一致性、唯一性、及时性和有效性六个维度组织规则。规则写明业务目的、检查对象、适用条件、判断逻辑、严重程度、执行周期和责任岗位。质量检查覆盖字段值、记录关系、对象关联和跨系统对账，自动检查发现的异常由业务岗位进一步确认其含义和影响。</w:t>
      </w:r>
    </w:p>
    <w:p>
      <w:pPr>
        <w:jc w:val="both"/>
      </w:pPr>
      <w:r>
        <w:t>质量问题按照上报、分派、整改、复核、归档执行。源头错误优先通过源业务流程修复，治理加工错误修正处理逻辑和相应批次，使用侧解释错误修正指标或服务说明。问题关闭需要修复证据和复核记录，重复问题分析共同原因，并回到制度、标准或系统配置完善。</w:t>
      </w:r>
    </w:p>
    <w:p>
      <w:pPr>
        <w:pStyle w:val="Heading2"/>
      </w:pPr>
      <w:r>
        <w:t>3.4 数据安全与生存周期管理</w:t>
      </w:r>
    </w:p>
    <w:p>
      <w:pPr>
        <w:jc w:val="both"/>
      </w:pPr>
      <w:r>
        <w:t>数据安全采用 L1 公开、L2 内部、L3 重要、L4 敏感、L5 机密五级分类分级体系，结合业务内容、影响范围、访问用途及保护要求确定控制措施。项目等级标签与具体资源、字段、文件和服务绑定；涉及重要数据等对象的识别依据和管理要求单独核查，标签名称本身不代替实质判断。</w:t>
      </w:r>
    </w:p>
    <w:p>
      <w:pPr>
        <w:jc w:val="both"/>
      </w:pPr>
      <w:r>
        <w:t>权限管理覆盖申请、审核、授权、生效、变更和回收，按岗位职责和实际用途确定可访问资源及操作。敏感内容采用去标识化、脱敏、水印等适用措施，脱敏后检查隐私残留与业务可用性。查询、修改、删除、接口调用及管理操作记录操作者、对象、时间、目的、授权依据和执行结果，审计人员在授权范围内查验。</w:t>
      </w:r>
    </w:p>
    <w:p>
      <w:pPr>
        <w:jc w:val="both"/>
      </w:pPr>
      <w:r>
        <w:t>数据生存周期从需求提交开始，经过评审、排期、设计开发、测试、发布、运行维护直至归档或销毁。数据需求记录业务目标、范围、时效、质量和权限条件；设计开发形成来源与目标映射、处理逻辑、接口和校验规则；运维监控采集失败、接口异常和数据延迟；退役前检查使用依赖、保存要求和替代方案。</w:t>
      </w:r>
    </w:p>
    <w:p>
      <w:pPr>
        <w:jc w:val="both"/>
      </w:pPr>
      <w:r>
        <w:t>退役实行申请、评估、审批、执行和验证。归档保留必要检索与恢复条件，销毁覆盖应处置的数据副本及相关载体，并保存执行证据。存在保留要求、争议或正在使用的数据先完成相应评估，按批准的处置方案执行。数据集历史版本及其关联模型、报告和服务同步检查影响，避免资源退役造成使用链路失效。</w:t>
      </w:r>
    </w:p>
    <w:p>
      <w:pPr>
        <w:pStyle w:val="Heading2"/>
      </w:pPr>
      <w:r>
        <w:t>3.5 数据应用流通与制度联动</w:t>
      </w:r>
    </w:p>
    <w:p>
      <w:pPr>
        <w:jc w:val="both"/>
      </w:pPr>
      <w:r>
        <w:t>数据应用按明确业务目标提出数据范围、时效和质量要求，治理侧提供符合条件的数据及使用说明。外部数据引入核查来源、许可、内容质量、更新机制和存储加工共享边界，经评估后纳入目录和授权管理。数据开放共享按申请、审批、授权、使用、监督和回收执行，内部使用与外部提供分别核验条件。</w:t>
      </w:r>
    </w:p>
    <w:p>
      <w:pPr>
        <w:jc w:val="both"/>
      </w:pPr>
      <w:r>
        <w:t>数据服务以固定接口和可核验结果供给业务，登记服务名称、数据对象、字段、参数、更新周期、质量状态和权限。服务变更检查调用方兼容性，重大口径变化以新版本发布。使用反馈关联资源和服务版本，质量问题返回相应责任岗位，授权失效或来源条件变化触发服务调整及接收方更新。</w:t>
      </w:r>
    </w:p>
    <w:p>
      <w:pPr>
        <w:jc w:val="both"/>
      </w:pPr>
      <w:r>
        <w:t>九项规划之间通过同一对象和同一规则版本协同。数据标准变化先评估模型、质量规则、指标计算和样本标签影响；资产用途变化复核授权和安全措施；质量问题影响指标时标明结果状态，并通知实际使用范围；数据退役核查目录、服务、数据集和知识库依赖。各项调整使用统一变更记录，业务确认与技术执行分别留痕。</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3" name="Picture 3"/>
            <wp:cNvGraphicFramePr>
              <a:graphicFrameLocks noChangeAspect="1"/>
            </wp:cNvGraphicFramePr>
            <a:graphic>
              <a:graphicData uri="http://schemas.openxmlformats.org/drawingml/2006/picture">
                <pic:pic>
                  <pic:nvPicPr>
                    <pic:cNvPr id="0" name="图3_规划落实.png"/>
                    <pic:cNvPicPr/>
                  </pic:nvPicPr>
                  <pic:blipFill>
                    <a:blip r:embed="rId13"/>
                    <a:stretch>
                      <a:fillRect/>
                    </a:stretch>
                  </pic:blipFill>
                  <pic:spPr>
                    <a:xfrm>
                      <a:off x="0" y="0"/>
                      <a:ext cx="6048000" cy="2477354"/>
                    </a:xfrm>
                    <a:prstGeom prst="rect"/>
                  </pic:spPr>
                </pic:pic>
              </a:graphicData>
            </a:graphic>
          </wp:inline>
        </w:drawing>
      </w:r>
    </w:p>
    <w:p>
      <w:pPr>
        <w:pStyle w:val="Caption"/>
        <w:jc w:val="center"/>
      </w:pPr>
      <w:r>
        <w:t>图3-1 九项治理规划的实施关系</w:t>
      </w:r>
    </w:p>
    <w:p>
      <w:pPr>
        <w:pStyle w:val="Heading2"/>
      </w:pPr>
      <w:r>
        <w:t>3.6 规划成果与实施配置对应</w:t>
      </w:r>
    </w:p>
    <w:p>
      <w:pPr>
        <w:jc w:val="both"/>
      </w:pPr>
      <w:r>
        <w:t>我方按招标列明的三十七项成果组织治理规划，满足不少于二十五份治理规划文档的要求。文档名称和组织方式在实施阶段按业务需要滚动优化，保留原要求与实际交付的逐项对应关系，文档调整经过评审并纳入成果清单。文档内容同时包含职责、流程、控制要求和运行记录要求，能够转化为平台配置及岗位操作。</w:t>
      </w:r>
    </w:p>
    <w:p>
      <w:pPr>
        <w:pStyle w:val="Caption"/>
        <w:keepNext/>
      </w:pPr>
      <w:r>
        <w:t>表3-2 规划成果与实施配置对应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6554"/>
        <w:gridCol w:w="964"/>
      </w:tblGrid>
      <w:tr>
        <w:trPr>
          <w:cantSplit/>
          <w:tblHeader/>
        </w:trPr>
        <w:tc>
          <w:tcPr>
            <w:tcW w:type="dxa" w:w="2120"/>
            <w:vAlign w:val="center"/>
            <w:shd w:fill="EDF1F3"/>
          </w:tcPr>
          <w:p>
            <w:pPr>
              <w:keepNext/>
              <w:spacing w:line="320" w:lineRule="exact" w:after="0" w:before="0"/>
              <w:ind w:firstLine="0"/>
              <w:jc w:val="center"/>
            </w:pPr>
            <w:r>
              <w:rPr>
                <w:b/>
                <w:sz w:val="21"/>
              </w:rPr>
              <w:t>规划方面</w:t>
            </w:r>
          </w:p>
        </w:tc>
        <w:tc>
          <w:tcPr>
            <w:tcW w:type="dxa" w:w="6554"/>
            <w:vAlign w:val="center"/>
            <w:shd w:fill="EDF1F3"/>
          </w:tcPr>
          <w:p>
            <w:pPr>
              <w:keepNext/>
              <w:spacing w:line="320" w:lineRule="exact" w:after="0" w:before="0"/>
              <w:ind w:firstLine="0"/>
              <w:jc w:val="center"/>
            </w:pPr>
            <w:r>
              <w:rPr>
                <w:b/>
                <w:sz w:val="21"/>
              </w:rPr>
              <w:t>交付成果</w:t>
            </w:r>
          </w:p>
        </w:tc>
        <w:tc>
          <w:tcPr>
            <w:tcW w:type="dxa" w:w="964"/>
            <w:vAlign w:val="center"/>
            <w:shd w:fill="EDF1F3"/>
          </w:tcPr>
          <w:p>
            <w:pPr>
              <w:keepNext/>
              <w:spacing w:line="320" w:lineRule="exact" w:after="0" w:before="0"/>
              <w:ind w:firstLine="0"/>
              <w:jc w:val="center"/>
            </w:pPr>
            <w:r>
              <w:rPr>
                <w:b/>
                <w:sz w:val="21"/>
              </w:rPr>
              <w:t>项数</w:t>
            </w:r>
          </w:p>
        </w:tc>
      </w:tr>
      <w:tr>
        <w:trPr>
          <w:cantSplit/>
        </w:trPr>
        <w:tc>
          <w:tcPr>
            <w:tcW w:type="dxa" w:w="2120"/>
            <w:vAlign w:val="center"/>
          </w:tcPr>
          <w:p>
            <w:pPr>
              <w:keepNext w:val="0"/>
              <w:spacing w:line="320" w:lineRule="exact" w:after="0" w:before="0"/>
              <w:ind w:firstLine="0"/>
              <w:jc w:val="left"/>
            </w:pPr>
            <w:r>
              <w:rPr>
                <w:b w:val="0"/>
                <w:sz w:val="21"/>
              </w:rPr>
              <w:t>数据战略</w:t>
            </w:r>
          </w:p>
        </w:tc>
        <w:tc>
          <w:tcPr>
            <w:tcW w:type="dxa" w:w="6554"/>
            <w:vAlign w:val="center"/>
          </w:tcPr>
          <w:p>
            <w:pPr>
              <w:keepNext w:val="0"/>
              <w:spacing w:line="320" w:lineRule="exact" w:after="0" w:before="0"/>
              <w:ind w:firstLine="0"/>
              <w:jc w:val="left"/>
            </w:pPr>
            <w:r>
              <w:rPr>
                <w:b w:val="0"/>
                <w:sz w:val="21"/>
              </w:rPr>
              <w:t>数据战略管理办法、数据战略规划、数据战略实施计划、战略评估报告</w:t>
            </w:r>
          </w:p>
        </w:tc>
        <w:tc>
          <w:tcPr>
            <w:tcW w:type="dxa" w:w="964"/>
            <w:vAlign w:val="center"/>
          </w:tcPr>
          <w:p>
            <w:pPr>
              <w:keepNext w:val="0"/>
              <w:spacing w:line="320" w:lineRule="exact" w:after="0" w:before="0"/>
              <w:ind w:firstLine="0"/>
              <w:jc w:val="center"/>
            </w:pPr>
            <w:r>
              <w:rPr>
                <w:b w:val="0"/>
                <w:sz w:val="21"/>
              </w:rPr>
              <w:t>4</w:t>
            </w:r>
          </w:p>
        </w:tc>
      </w:tr>
      <w:tr>
        <w:trPr>
          <w:cantSplit/>
        </w:trPr>
        <w:tc>
          <w:tcPr>
            <w:tcW w:type="dxa" w:w="2120"/>
            <w:vAlign w:val="center"/>
          </w:tcPr>
          <w:p>
            <w:pPr>
              <w:keepNext w:val="0"/>
              <w:spacing w:line="320" w:lineRule="exact" w:after="0" w:before="0"/>
              <w:ind w:firstLine="0"/>
              <w:jc w:val="left"/>
            </w:pPr>
            <w:r>
              <w:rPr>
                <w:b w:val="0"/>
                <w:sz w:val="21"/>
              </w:rPr>
              <w:t>数据治理</w:t>
            </w:r>
          </w:p>
        </w:tc>
        <w:tc>
          <w:tcPr>
            <w:tcW w:type="dxa" w:w="6554"/>
            <w:vAlign w:val="center"/>
          </w:tcPr>
          <w:p>
            <w:pPr>
              <w:keepNext w:val="0"/>
              <w:spacing w:line="320" w:lineRule="exact" w:after="0" w:before="0"/>
              <w:ind w:firstLine="0"/>
              <w:jc w:val="left"/>
            </w:pPr>
            <w:r>
              <w:rPr>
                <w:b w:val="0"/>
                <w:sz w:val="21"/>
              </w:rPr>
              <w:t>数据治理顶层规划方案、数据治理组织架构、全套数据治理顶层管理制度、数据文化建设方案</w:t>
            </w:r>
          </w:p>
        </w:tc>
        <w:tc>
          <w:tcPr>
            <w:tcW w:type="dxa" w:w="964"/>
            <w:vAlign w:val="center"/>
          </w:tcPr>
          <w:p>
            <w:pPr>
              <w:keepNext w:val="0"/>
              <w:spacing w:line="320" w:lineRule="exact" w:after="0" w:before="0"/>
              <w:ind w:firstLine="0"/>
              <w:jc w:val="center"/>
            </w:pPr>
            <w:r>
              <w:rPr>
                <w:b w:val="0"/>
                <w:sz w:val="21"/>
              </w:rPr>
              <w:t>4</w:t>
            </w:r>
          </w:p>
        </w:tc>
      </w:tr>
      <w:tr>
        <w:trPr>
          <w:cantSplit/>
        </w:trPr>
        <w:tc>
          <w:tcPr>
            <w:tcW w:type="dxa" w:w="2120"/>
            <w:vAlign w:val="center"/>
          </w:tcPr>
          <w:p>
            <w:pPr>
              <w:keepNext w:val="0"/>
              <w:spacing w:line="320" w:lineRule="exact" w:after="0" w:before="0"/>
              <w:ind w:firstLine="0"/>
              <w:jc w:val="left"/>
            </w:pPr>
            <w:r>
              <w:rPr>
                <w:b w:val="0"/>
                <w:sz w:val="21"/>
              </w:rPr>
              <w:t>数据架构</w:t>
            </w:r>
          </w:p>
        </w:tc>
        <w:tc>
          <w:tcPr>
            <w:tcW w:type="dxa" w:w="6554"/>
            <w:vAlign w:val="center"/>
          </w:tcPr>
          <w:p>
            <w:pPr>
              <w:keepNext w:val="0"/>
              <w:spacing w:line="320" w:lineRule="exact" w:after="0" w:before="0"/>
              <w:ind w:firstLine="0"/>
              <w:jc w:val="left"/>
            </w:pPr>
            <w:r>
              <w:rPr>
                <w:b w:val="0"/>
                <w:sz w:val="21"/>
              </w:rPr>
              <w:t>数据模型分层架构、数据分布及数据流图、数据集成共享管理规范、元数据管理办法</w:t>
            </w:r>
          </w:p>
        </w:tc>
        <w:tc>
          <w:tcPr>
            <w:tcW w:type="dxa" w:w="964"/>
            <w:vAlign w:val="center"/>
          </w:tcPr>
          <w:p>
            <w:pPr>
              <w:keepNext w:val="0"/>
              <w:spacing w:line="320" w:lineRule="exact" w:after="0" w:before="0"/>
              <w:ind w:firstLine="0"/>
              <w:jc w:val="center"/>
            </w:pPr>
            <w:r>
              <w:rPr>
                <w:b w:val="0"/>
                <w:sz w:val="21"/>
              </w:rPr>
              <w:t>4</w:t>
            </w:r>
          </w:p>
        </w:tc>
      </w:tr>
      <w:tr>
        <w:trPr>
          <w:cantSplit/>
        </w:trPr>
        <w:tc>
          <w:tcPr>
            <w:tcW w:type="dxa" w:w="2120"/>
            <w:vAlign w:val="center"/>
          </w:tcPr>
          <w:p>
            <w:pPr>
              <w:keepNext w:val="0"/>
              <w:spacing w:line="320" w:lineRule="exact" w:after="0" w:before="0"/>
              <w:ind w:firstLine="0"/>
              <w:jc w:val="left"/>
            </w:pPr>
            <w:r>
              <w:rPr>
                <w:b w:val="0"/>
                <w:sz w:val="21"/>
              </w:rPr>
              <w:t>数据资产</w:t>
            </w:r>
          </w:p>
        </w:tc>
        <w:tc>
          <w:tcPr>
            <w:tcW w:type="dxa" w:w="6554"/>
            <w:vAlign w:val="center"/>
          </w:tcPr>
          <w:p>
            <w:pPr>
              <w:keepNext w:val="0"/>
              <w:spacing w:line="320" w:lineRule="exact" w:after="0" w:before="0"/>
              <w:ind w:firstLine="0"/>
              <w:jc w:val="left"/>
            </w:pPr>
            <w:r>
              <w:rPr>
                <w:b w:val="0"/>
                <w:sz w:val="21"/>
              </w:rPr>
              <w:t>数据资产管理办法、数据资源目录、资产价值评估办法、数据资产运营流程规范</w:t>
            </w:r>
          </w:p>
        </w:tc>
        <w:tc>
          <w:tcPr>
            <w:tcW w:type="dxa" w:w="964"/>
            <w:vAlign w:val="center"/>
          </w:tcPr>
          <w:p>
            <w:pPr>
              <w:keepNext w:val="0"/>
              <w:spacing w:line="320" w:lineRule="exact" w:after="0" w:before="0"/>
              <w:ind w:firstLine="0"/>
              <w:jc w:val="center"/>
            </w:pPr>
            <w:r>
              <w:rPr>
                <w:b w:val="0"/>
                <w:sz w:val="21"/>
              </w:rPr>
              <w:t>4</w:t>
            </w:r>
          </w:p>
        </w:tc>
      </w:tr>
      <w:tr>
        <w:trPr>
          <w:cantSplit/>
        </w:trPr>
        <w:tc>
          <w:tcPr>
            <w:tcW w:type="dxa" w:w="2120"/>
            <w:vAlign w:val="center"/>
          </w:tcPr>
          <w:p>
            <w:pPr>
              <w:keepNext w:val="0"/>
              <w:spacing w:line="320" w:lineRule="exact" w:after="0" w:before="0"/>
              <w:ind w:firstLine="0"/>
              <w:jc w:val="left"/>
            </w:pPr>
            <w:r>
              <w:rPr>
                <w:b w:val="0"/>
                <w:sz w:val="21"/>
              </w:rPr>
              <w:t>数据标准</w:t>
            </w:r>
          </w:p>
        </w:tc>
        <w:tc>
          <w:tcPr>
            <w:tcW w:type="dxa" w:w="6554"/>
            <w:vAlign w:val="center"/>
          </w:tcPr>
          <w:p>
            <w:pPr>
              <w:keepNext w:val="0"/>
              <w:spacing w:line="320" w:lineRule="exact" w:after="0" w:before="0"/>
              <w:ind w:firstLine="0"/>
              <w:jc w:val="left"/>
            </w:pPr>
            <w:r>
              <w:rPr>
                <w:b w:val="0"/>
                <w:sz w:val="21"/>
              </w:rPr>
              <w:t>数据标准管理办法、业务术语标准、参考数据标准、数据元标准、指标标准、标准映射对照表</w:t>
            </w:r>
          </w:p>
        </w:tc>
        <w:tc>
          <w:tcPr>
            <w:tcW w:type="dxa" w:w="964"/>
            <w:vAlign w:val="center"/>
          </w:tcPr>
          <w:p>
            <w:pPr>
              <w:keepNext w:val="0"/>
              <w:spacing w:line="320" w:lineRule="exact" w:after="0" w:before="0"/>
              <w:ind w:firstLine="0"/>
              <w:jc w:val="center"/>
            </w:pPr>
            <w:r>
              <w:rPr>
                <w:b w:val="0"/>
                <w:sz w:val="21"/>
              </w:rPr>
              <w:t>6</w:t>
            </w:r>
          </w:p>
        </w:tc>
      </w:tr>
      <w:tr>
        <w:trPr>
          <w:cantSplit/>
        </w:trPr>
        <w:tc>
          <w:tcPr>
            <w:tcW w:type="dxa" w:w="2120"/>
            <w:vAlign w:val="center"/>
          </w:tcPr>
          <w:p>
            <w:pPr>
              <w:keepNext w:val="0"/>
              <w:spacing w:line="320" w:lineRule="exact" w:after="0" w:before="0"/>
              <w:ind w:firstLine="0"/>
              <w:jc w:val="left"/>
            </w:pPr>
            <w:r>
              <w:rPr>
                <w:b w:val="0"/>
                <w:sz w:val="21"/>
              </w:rPr>
              <w:t>数据质量</w:t>
            </w:r>
          </w:p>
        </w:tc>
        <w:tc>
          <w:tcPr>
            <w:tcW w:type="dxa" w:w="6554"/>
            <w:vAlign w:val="center"/>
          </w:tcPr>
          <w:p>
            <w:pPr>
              <w:keepNext w:val="0"/>
              <w:spacing w:line="320" w:lineRule="exact" w:after="0" w:before="0"/>
              <w:ind w:firstLine="0"/>
              <w:jc w:val="left"/>
            </w:pPr>
            <w:r>
              <w:rPr>
                <w:b w:val="0"/>
                <w:sz w:val="21"/>
              </w:rPr>
              <w:t>数据质量管理办法、数据质量需求清单、数据质量校验规则库、质量分析报告、质量问题整改台账</w:t>
            </w:r>
          </w:p>
        </w:tc>
        <w:tc>
          <w:tcPr>
            <w:tcW w:type="dxa" w:w="964"/>
            <w:vAlign w:val="center"/>
          </w:tcPr>
          <w:p>
            <w:pPr>
              <w:keepNext w:val="0"/>
              <w:spacing w:line="320" w:lineRule="exact" w:after="0" w:before="0"/>
              <w:ind w:firstLine="0"/>
              <w:jc w:val="center"/>
            </w:pPr>
            <w:r>
              <w:rPr>
                <w:b w:val="0"/>
                <w:sz w:val="21"/>
              </w:rPr>
              <w:t>5</w:t>
            </w:r>
          </w:p>
        </w:tc>
      </w:tr>
      <w:tr>
        <w:trPr>
          <w:cantSplit/>
        </w:trPr>
        <w:tc>
          <w:tcPr>
            <w:tcW w:type="dxa" w:w="2120"/>
            <w:vAlign w:val="center"/>
          </w:tcPr>
          <w:p>
            <w:pPr>
              <w:keepNext w:val="0"/>
              <w:spacing w:line="320" w:lineRule="exact" w:after="0" w:before="0"/>
              <w:ind w:firstLine="0"/>
              <w:jc w:val="left"/>
            </w:pPr>
            <w:r>
              <w:rPr>
                <w:b w:val="0"/>
                <w:sz w:val="21"/>
              </w:rPr>
              <w:t>数据安全</w:t>
            </w:r>
          </w:p>
        </w:tc>
        <w:tc>
          <w:tcPr>
            <w:tcW w:type="dxa" w:w="6554"/>
            <w:vAlign w:val="center"/>
          </w:tcPr>
          <w:p>
            <w:pPr>
              <w:keepNext w:val="0"/>
              <w:spacing w:line="320" w:lineRule="exact" w:after="0" w:before="0"/>
              <w:ind w:firstLine="0"/>
              <w:jc w:val="left"/>
            </w:pPr>
            <w:r>
              <w:rPr>
                <w:b w:val="0"/>
                <w:sz w:val="21"/>
              </w:rPr>
              <w:t>数据合规管理制度、数据安全管理办法、数据安全分级标准、数据权限管理规范</w:t>
            </w:r>
          </w:p>
        </w:tc>
        <w:tc>
          <w:tcPr>
            <w:tcW w:type="dxa" w:w="964"/>
            <w:vAlign w:val="center"/>
          </w:tcPr>
          <w:p>
            <w:pPr>
              <w:keepNext w:val="0"/>
              <w:spacing w:line="320" w:lineRule="exact" w:after="0" w:before="0"/>
              <w:ind w:firstLine="0"/>
              <w:jc w:val="center"/>
            </w:pPr>
            <w:r>
              <w:rPr>
                <w:b w:val="0"/>
                <w:sz w:val="21"/>
              </w:rPr>
              <w:t>4</w:t>
            </w:r>
          </w:p>
        </w:tc>
      </w:tr>
      <w:tr>
        <w:trPr>
          <w:cantSplit/>
        </w:trPr>
        <w:tc>
          <w:tcPr>
            <w:tcW w:type="dxa" w:w="2120"/>
            <w:vAlign w:val="center"/>
          </w:tcPr>
          <w:p>
            <w:pPr>
              <w:keepNext w:val="0"/>
              <w:spacing w:line="320" w:lineRule="exact" w:after="0" w:before="0"/>
              <w:ind w:firstLine="0"/>
              <w:jc w:val="left"/>
            </w:pPr>
            <w:r>
              <w:rPr>
                <w:b w:val="0"/>
                <w:sz w:val="21"/>
              </w:rPr>
              <w:t>数据生存周期</w:t>
            </w:r>
          </w:p>
        </w:tc>
        <w:tc>
          <w:tcPr>
            <w:tcW w:type="dxa" w:w="6554"/>
            <w:vAlign w:val="center"/>
          </w:tcPr>
          <w:p>
            <w:pPr>
              <w:keepNext w:val="0"/>
              <w:spacing w:line="320" w:lineRule="exact" w:after="0" w:before="0"/>
              <w:ind w:firstLine="0"/>
              <w:jc w:val="left"/>
            </w:pPr>
            <w:r>
              <w:rPr>
                <w:b w:val="0"/>
                <w:sz w:val="21"/>
              </w:rPr>
              <w:t>数据需求管理规范、数据设计开发规范、数据运维管理制度、数据退役管理规范</w:t>
            </w:r>
          </w:p>
        </w:tc>
        <w:tc>
          <w:tcPr>
            <w:tcW w:type="dxa" w:w="964"/>
            <w:vAlign w:val="center"/>
          </w:tcPr>
          <w:p>
            <w:pPr>
              <w:keepNext w:val="0"/>
              <w:spacing w:line="320" w:lineRule="exact" w:after="0" w:before="0"/>
              <w:ind w:firstLine="0"/>
              <w:jc w:val="center"/>
            </w:pPr>
            <w:r>
              <w:rPr>
                <w:b w:val="0"/>
                <w:sz w:val="21"/>
              </w:rPr>
              <w:t>4</w:t>
            </w:r>
          </w:p>
        </w:tc>
      </w:tr>
      <w:tr>
        <w:trPr>
          <w:cantSplit/>
        </w:trPr>
        <w:tc>
          <w:tcPr>
            <w:tcW w:type="dxa" w:w="2120"/>
            <w:vAlign w:val="center"/>
          </w:tcPr>
          <w:p>
            <w:pPr>
              <w:keepNext w:val="0"/>
              <w:spacing w:line="320" w:lineRule="exact" w:after="0" w:before="0"/>
              <w:ind w:firstLine="0"/>
              <w:jc w:val="left"/>
            </w:pPr>
            <w:r>
              <w:rPr>
                <w:b w:val="0"/>
                <w:sz w:val="21"/>
              </w:rPr>
              <w:t>数据应用流通</w:t>
            </w:r>
          </w:p>
        </w:tc>
        <w:tc>
          <w:tcPr>
            <w:tcW w:type="dxa" w:w="6554"/>
            <w:vAlign w:val="center"/>
          </w:tcPr>
          <w:p>
            <w:pPr>
              <w:keepNext w:val="0"/>
              <w:spacing w:line="320" w:lineRule="exact" w:after="0" w:before="0"/>
              <w:ind w:firstLine="0"/>
              <w:jc w:val="left"/>
            </w:pPr>
            <w:r>
              <w:rPr>
                <w:b w:val="0"/>
                <w:sz w:val="21"/>
              </w:rPr>
              <w:t>外部数据引入管理办法、数据开放共享管理规范</w:t>
            </w:r>
          </w:p>
        </w:tc>
        <w:tc>
          <w:tcPr>
            <w:tcW w:type="dxa" w:w="964"/>
            <w:vAlign w:val="center"/>
          </w:tcPr>
          <w:p>
            <w:pPr>
              <w:keepNext w:val="0"/>
              <w:spacing w:line="320" w:lineRule="exact" w:after="0" w:before="0"/>
              <w:ind w:firstLine="0"/>
              <w:jc w:val="center"/>
            </w:pPr>
            <w:r>
              <w:rPr>
                <w:b w:val="0"/>
                <w:sz w:val="21"/>
              </w:rPr>
              <w:t>2</w:t>
            </w:r>
          </w:p>
        </w:tc>
      </w:tr>
      <w:tr>
        <w:trPr>
          <w:cantSplit/>
        </w:trPr>
        <w:tc>
          <w:tcPr>
            <w:tcW w:type="dxa" w:w="2120"/>
            <w:vAlign w:val="center"/>
          </w:tcPr>
          <w:p>
            <w:pPr>
              <w:keepNext w:val="0"/>
              <w:spacing w:line="320" w:lineRule="exact" w:after="0" w:before="0"/>
              <w:ind w:firstLine="0"/>
              <w:jc w:val="left"/>
            </w:pPr>
            <w:r>
              <w:rPr>
                <w:b w:val="0"/>
                <w:sz w:val="21"/>
              </w:rPr>
              <w:t>合计</w:t>
            </w:r>
          </w:p>
        </w:tc>
        <w:tc>
          <w:tcPr>
            <w:tcW w:type="dxa" w:w="6554"/>
            <w:vAlign w:val="center"/>
          </w:tcPr>
          <w:p>
            <w:pPr>
              <w:keepNext w:val="0"/>
              <w:spacing w:line="320" w:lineRule="exact" w:after="0" w:before="0"/>
              <w:ind w:firstLine="0"/>
              <w:jc w:val="left"/>
            </w:pPr>
            <w:r>
              <w:rPr>
                <w:b w:val="0"/>
                <w:sz w:val="21"/>
              </w:rPr>
              <w:t>逐项登记交付内容及对应关系</w:t>
            </w:r>
          </w:p>
        </w:tc>
        <w:tc>
          <w:tcPr>
            <w:tcW w:type="dxa" w:w="964"/>
            <w:vAlign w:val="center"/>
          </w:tcPr>
          <w:p>
            <w:pPr>
              <w:keepNext w:val="0"/>
              <w:spacing w:line="320" w:lineRule="exact" w:after="0" w:before="0"/>
              <w:ind w:firstLine="0"/>
              <w:jc w:val="center"/>
            </w:pPr>
            <w:r>
              <w:rPr>
                <w:b w:val="0"/>
                <w:sz w:val="21"/>
              </w:rPr>
              <w:t>37</w:t>
            </w:r>
          </w:p>
        </w:tc>
      </w:tr>
    </w:tbl>
    <w:p>
      <w:pPr>
        <w:spacing w:after="40" w:line="240" w:lineRule="auto"/>
        <w:ind w:firstLine="0"/>
      </w:pPr>
      <w:r>
        <w:rPr>
          <w:sz w:val="4"/>
        </w:rPr>
      </w:r>
    </w:p>
    <w:p>
      <w:pPr>
        <w:jc w:val="both"/>
      </w:pPr>
      <w:r>
        <w:t>现状诊断报告和高质量数据集验证场景数据需求清单与规划成果分别登记。治理平台配置、实施记录、决策指标体系、培训材料、标准验证成果和评估证据按实际形成内容纳入交付，制度附件、运行表单和同一文档的多个版本保持从属关系，避免重复计算成果数量。</w:t>
      </w:r>
    </w:p>
    <w:p>
      <w:pPr>
        <w:pStyle w:val="Heading1"/>
      </w:pPr>
      <w:r>
        <w:t>4 九个业务域的治理落地</w:t>
      </w:r>
    </w:p>
    <w:p>
      <w:pPr>
        <w:pStyle w:val="Heading2"/>
      </w:pPr>
      <w:r>
        <w:t>4.1 业务域覆盖与实施台账</w:t>
      </w:r>
    </w:p>
    <w:p>
      <w:pPr>
        <w:jc w:val="both"/>
      </w:pPr>
      <w:r>
        <w:t>我方为九个业务域分别建立实施台账。台账连接业务流程、数据对象、来源系统、治理任务、应用需求和管理责任，同一业务对象跨系统流转时使用稳定标识及有效映射。实施前核对数据来源、更新方式、授权范围和质量基线，形成分批汇聚与治理计划；实施后以实际处理结果、业务复核和服务调用检查完成情况。</w:t>
      </w:r>
    </w:p>
    <w:p>
      <w:pPr>
        <w:jc w:val="both"/>
      </w:pPr>
      <w:r>
        <w:t>九项治理内容在各业务域落实到适用对象。数据汇聚记录接收与对账，数据处理记录标准化和关联，元数据记录对象含义与结构，资产管理记录责任和使用，标准管理记录映射和版本，质量管理记录检查整改，安全管理记录分类与授权，指标管理记录计算与业务确认，服务管理记录发布与调用。共用模块按照统一机制执行，各域保留自己的业务校验条件。</w:t>
      </w:r>
    </w:p>
    <w:p>
      <w:pPr>
        <w:pStyle w:val="Caption"/>
        <w:keepNext/>
      </w:pPr>
      <w:r>
        <w:t>表4-1 业务域覆盖与实施台账</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业务域</w:t>
            </w:r>
          </w:p>
        </w:tc>
        <w:tc>
          <w:tcPr>
            <w:tcW w:type="dxa" w:w="2699"/>
            <w:vAlign w:val="center"/>
            <w:shd w:fill="EDF1F3"/>
          </w:tcPr>
          <w:p>
            <w:pPr>
              <w:keepNext/>
              <w:spacing w:line="320" w:lineRule="exact" w:after="0" w:before="0"/>
              <w:ind w:firstLine="0"/>
              <w:jc w:val="center"/>
            </w:pPr>
            <w:r>
              <w:rPr>
                <w:b/>
                <w:sz w:val="21"/>
              </w:rPr>
              <w:t>重点数据对象</w:t>
            </w:r>
          </w:p>
        </w:tc>
        <w:tc>
          <w:tcPr>
            <w:tcW w:type="dxa" w:w="2409"/>
            <w:vAlign w:val="center"/>
            <w:shd w:fill="EDF1F3"/>
          </w:tcPr>
          <w:p>
            <w:pPr>
              <w:keepNext/>
              <w:spacing w:line="320" w:lineRule="exact" w:after="0" w:before="0"/>
              <w:ind w:firstLine="0"/>
              <w:jc w:val="center"/>
            </w:pPr>
            <w:r>
              <w:rPr>
                <w:b/>
                <w:sz w:val="21"/>
              </w:rPr>
              <w:t>跨域关联</w:t>
            </w:r>
          </w:p>
        </w:tc>
        <w:tc>
          <w:tcPr>
            <w:tcW w:type="dxa" w:w="2891"/>
            <w:vAlign w:val="center"/>
            <w:shd w:fill="EDF1F3"/>
          </w:tcPr>
          <w:p>
            <w:pPr>
              <w:keepNext/>
              <w:spacing w:line="320" w:lineRule="exact" w:after="0" w:before="0"/>
              <w:ind w:firstLine="0"/>
              <w:jc w:val="center"/>
            </w:pPr>
            <w:r>
              <w:rPr>
                <w:b/>
                <w:sz w:val="21"/>
              </w:rPr>
              <w:t>治理重点</w:t>
            </w:r>
          </w:p>
        </w:tc>
      </w:tr>
      <w:tr>
        <w:trPr>
          <w:cantSplit/>
        </w:trPr>
        <w:tc>
          <w:tcPr>
            <w:tcW w:type="dxa" w:w="1638"/>
            <w:vAlign w:val="center"/>
          </w:tcPr>
          <w:p>
            <w:pPr>
              <w:keepNext w:val="0"/>
              <w:spacing w:line="320" w:lineRule="exact" w:after="0" w:before="0"/>
              <w:ind w:firstLine="0"/>
              <w:jc w:val="left"/>
            </w:pPr>
            <w:r>
              <w:rPr>
                <w:b w:val="0"/>
                <w:sz w:val="21"/>
              </w:rPr>
              <w:t>人力资源</w:t>
            </w:r>
          </w:p>
        </w:tc>
        <w:tc>
          <w:tcPr>
            <w:tcW w:type="dxa" w:w="2699"/>
            <w:vAlign w:val="center"/>
          </w:tcPr>
          <w:p>
            <w:pPr>
              <w:keepNext w:val="0"/>
              <w:spacing w:line="320" w:lineRule="exact" w:after="0" w:before="0"/>
              <w:ind w:firstLine="0"/>
              <w:jc w:val="left"/>
            </w:pPr>
            <w:r>
              <w:rPr>
                <w:b w:val="0"/>
                <w:sz w:val="21"/>
              </w:rPr>
              <w:t>组织、岗位、人员及培训记录</w:t>
            </w:r>
          </w:p>
        </w:tc>
        <w:tc>
          <w:tcPr>
            <w:tcW w:type="dxa" w:w="2409"/>
            <w:vAlign w:val="center"/>
          </w:tcPr>
          <w:p>
            <w:pPr>
              <w:keepNext w:val="0"/>
              <w:spacing w:line="320" w:lineRule="exact" w:after="0" w:before="0"/>
              <w:ind w:firstLine="0"/>
              <w:jc w:val="left"/>
            </w:pPr>
            <w:r>
              <w:rPr>
                <w:b w:val="0"/>
                <w:sz w:val="21"/>
              </w:rPr>
              <w:t>业务责任和作业资格</w:t>
            </w:r>
          </w:p>
        </w:tc>
        <w:tc>
          <w:tcPr>
            <w:tcW w:type="dxa" w:w="2891"/>
            <w:vAlign w:val="center"/>
          </w:tcPr>
          <w:p>
            <w:pPr>
              <w:keepNext w:val="0"/>
              <w:spacing w:line="320" w:lineRule="exact" w:after="0" w:before="0"/>
              <w:ind w:firstLine="0"/>
              <w:jc w:val="left"/>
            </w:pPr>
            <w:r>
              <w:rPr>
                <w:b w:val="0"/>
                <w:sz w:val="21"/>
              </w:rPr>
              <w:t>有效期、权限、脱敏和统计范围</w:t>
            </w:r>
          </w:p>
        </w:tc>
      </w:tr>
      <w:tr>
        <w:trPr>
          <w:cantSplit/>
        </w:trPr>
        <w:tc>
          <w:tcPr>
            <w:tcW w:type="dxa" w:w="1638"/>
            <w:vAlign w:val="center"/>
          </w:tcPr>
          <w:p>
            <w:pPr>
              <w:keepNext w:val="0"/>
              <w:spacing w:line="320" w:lineRule="exact" w:after="0" w:before="0"/>
              <w:ind w:firstLine="0"/>
              <w:jc w:val="left"/>
            </w:pPr>
            <w:r>
              <w:rPr>
                <w:b w:val="0"/>
                <w:sz w:val="21"/>
              </w:rPr>
              <w:t>研发设计</w:t>
            </w:r>
          </w:p>
        </w:tc>
        <w:tc>
          <w:tcPr>
            <w:tcW w:type="dxa" w:w="2699"/>
            <w:vAlign w:val="center"/>
          </w:tcPr>
          <w:p>
            <w:pPr>
              <w:keepNext w:val="0"/>
              <w:spacing w:line="320" w:lineRule="exact" w:after="0" w:before="0"/>
              <w:ind w:firstLine="0"/>
              <w:jc w:val="left"/>
            </w:pPr>
            <w:r>
              <w:rPr>
                <w:b w:val="0"/>
                <w:sz w:val="21"/>
              </w:rPr>
              <w:t>产品、图纸、物料结构和工艺版本</w:t>
            </w:r>
          </w:p>
        </w:tc>
        <w:tc>
          <w:tcPr>
            <w:tcW w:type="dxa" w:w="2409"/>
            <w:vAlign w:val="center"/>
          </w:tcPr>
          <w:p>
            <w:pPr>
              <w:keepNext w:val="0"/>
              <w:spacing w:line="320" w:lineRule="exact" w:after="0" w:before="0"/>
              <w:ind w:firstLine="0"/>
              <w:jc w:val="left"/>
            </w:pPr>
            <w:r>
              <w:rPr>
                <w:b w:val="0"/>
                <w:sz w:val="21"/>
              </w:rPr>
              <w:t>生产工单、质量判据</w:t>
            </w:r>
          </w:p>
        </w:tc>
        <w:tc>
          <w:tcPr>
            <w:tcW w:type="dxa" w:w="2891"/>
            <w:vAlign w:val="center"/>
          </w:tcPr>
          <w:p>
            <w:pPr>
              <w:keepNext w:val="0"/>
              <w:spacing w:line="320" w:lineRule="exact" w:after="0" w:before="0"/>
              <w:ind w:firstLine="0"/>
              <w:jc w:val="left"/>
            </w:pPr>
            <w:r>
              <w:rPr>
                <w:b w:val="0"/>
                <w:sz w:val="21"/>
              </w:rPr>
              <w:t>版本、签发状态、图卡关联</w:t>
            </w:r>
          </w:p>
        </w:tc>
      </w:tr>
      <w:tr>
        <w:trPr>
          <w:cantSplit/>
        </w:trPr>
        <w:tc>
          <w:tcPr>
            <w:tcW w:type="dxa" w:w="1638"/>
            <w:vAlign w:val="center"/>
          </w:tcPr>
          <w:p>
            <w:pPr>
              <w:keepNext w:val="0"/>
              <w:spacing w:line="320" w:lineRule="exact" w:after="0" w:before="0"/>
              <w:ind w:firstLine="0"/>
              <w:jc w:val="left"/>
            </w:pPr>
            <w:r>
              <w:rPr>
                <w:b w:val="0"/>
                <w:sz w:val="21"/>
              </w:rPr>
              <w:t>生产制造</w:t>
            </w:r>
          </w:p>
        </w:tc>
        <w:tc>
          <w:tcPr>
            <w:tcW w:type="dxa" w:w="2699"/>
            <w:vAlign w:val="center"/>
          </w:tcPr>
          <w:p>
            <w:pPr>
              <w:keepNext w:val="0"/>
              <w:spacing w:line="320" w:lineRule="exact" w:after="0" w:before="0"/>
              <w:ind w:firstLine="0"/>
              <w:jc w:val="left"/>
            </w:pPr>
            <w:r>
              <w:rPr>
                <w:b w:val="0"/>
                <w:sz w:val="21"/>
              </w:rPr>
              <w:t>工单、工序、报工和过程参数</w:t>
            </w:r>
          </w:p>
        </w:tc>
        <w:tc>
          <w:tcPr>
            <w:tcW w:type="dxa" w:w="2409"/>
            <w:vAlign w:val="center"/>
          </w:tcPr>
          <w:p>
            <w:pPr>
              <w:keepNext w:val="0"/>
              <w:spacing w:line="320" w:lineRule="exact" w:after="0" w:before="0"/>
              <w:ind w:firstLine="0"/>
              <w:jc w:val="left"/>
            </w:pPr>
            <w:r>
              <w:rPr>
                <w:b w:val="0"/>
                <w:sz w:val="21"/>
              </w:rPr>
              <w:t>材料、设备、检验与交付</w:t>
            </w:r>
          </w:p>
        </w:tc>
        <w:tc>
          <w:tcPr>
            <w:tcW w:type="dxa" w:w="2891"/>
            <w:vAlign w:val="center"/>
          </w:tcPr>
          <w:p>
            <w:pPr>
              <w:keepNext w:val="0"/>
              <w:spacing w:line="320" w:lineRule="exact" w:after="0" w:before="0"/>
              <w:ind w:firstLine="0"/>
              <w:jc w:val="left"/>
            </w:pPr>
            <w:r>
              <w:rPr>
                <w:b w:val="0"/>
                <w:sz w:val="21"/>
              </w:rPr>
              <w:t>对象时间关联和执行状态</w:t>
            </w:r>
          </w:p>
        </w:tc>
      </w:tr>
      <w:tr>
        <w:trPr>
          <w:cantSplit/>
        </w:trPr>
        <w:tc>
          <w:tcPr>
            <w:tcW w:type="dxa" w:w="1638"/>
            <w:vAlign w:val="center"/>
          </w:tcPr>
          <w:p>
            <w:pPr>
              <w:keepNext w:val="0"/>
              <w:spacing w:line="320" w:lineRule="exact" w:after="0" w:before="0"/>
              <w:ind w:firstLine="0"/>
              <w:jc w:val="left"/>
            </w:pPr>
            <w:r>
              <w:rPr>
                <w:b w:val="0"/>
                <w:sz w:val="21"/>
              </w:rPr>
              <w:t>仓储物流</w:t>
            </w:r>
          </w:p>
        </w:tc>
        <w:tc>
          <w:tcPr>
            <w:tcW w:type="dxa" w:w="2699"/>
            <w:vAlign w:val="center"/>
          </w:tcPr>
          <w:p>
            <w:pPr>
              <w:keepNext w:val="0"/>
              <w:spacing w:line="320" w:lineRule="exact" w:after="0" w:before="0"/>
              <w:ind w:firstLine="0"/>
              <w:jc w:val="left"/>
            </w:pPr>
            <w:r>
              <w:rPr>
                <w:b w:val="0"/>
                <w:sz w:val="21"/>
              </w:rPr>
              <w:t>库存、批次、库位、出入库和在途</w:t>
            </w:r>
          </w:p>
        </w:tc>
        <w:tc>
          <w:tcPr>
            <w:tcW w:type="dxa" w:w="2409"/>
            <w:vAlign w:val="center"/>
          </w:tcPr>
          <w:p>
            <w:pPr>
              <w:keepNext w:val="0"/>
              <w:spacing w:line="320" w:lineRule="exact" w:after="0" w:before="0"/>
              <w:ind w:firstLine="0"/>
              <w:jc w:val="left"/>
            </w:pPr>
            <w:r>
              <w:rPr>
                <w:b w:val="0"/>
                <w:sz w:val="21"/>
              </w:rPr>
              <w:t>订单、采购与生产领用</w:t>
            </w:r>
          </w:p>
        </w:tc>
        <w:tc>
          <w:tcPr>
            <w:tcW w:type="dxa" w:w="2891"/>
            <w:vAlign w:val="center"/>
          </w:tcPr>
          <w:p>
            <w:pPr>
              <w:keepNext w:val="0"/>
              <w:spacing w:line="320" w:lineRule="exact" w:after="0" w:before="0"/>
              <w:ind w:firstLine="0"/>
              <w:jc w:val="left"/>
            </w:pPr>
            <w:r>
              <w:rPr>
                <w:b w:val="0"/>
                <w:sz w:val="21"/>
              </w:rPr>
              <w:t>时点、占用、计量与对账</w:t>
            </w:r>
          </w:p>
        </w:tc>
      </w:tr>
      <w:tr>
        <w:trPr>
          <w:cantSplit/>
        </w:trPr>
        <w:tc>
          <w:tcPr>
            <w:tcW w:type="dxa" w:w="1638"/>
            <w:vAlign w:val="center"/>
          </w:tcPr>
          <w:p>
            <w:pPr>
              <w:keepNext w:val="0"/>
              <w:spacing w:line="320" w:lineRule="exact" w:after="0" w:before="0"/>
              <w:ind w:firstLine="0"/>
              <w:jc w:val="left"/>
            </w:pPr>
            <w:r>
              <w:rPr>
                <w:b w:val="0"/>
                <w:sz w:val="21"/>
              </w:rPr>
              <w:t>财务管理</w:t>
            </w:r>
          </w:p>
        </w:tc>
        <w:tc>
          <w:tcPr>
            <w:tcW w:type="dxa" w:w="2699"/>
            <w:vAlign w:val="center"/>
          </w:tcPr>
          <w:p>
            <w:pPr>
              <w:keepNext w:val="0"/>
              <w:spacing w:line="320" w:lineRule="exact" w:after="0" w:before="0"/>
              <w:ind w:firstLine="0"/>
              <w:jc w:val="left"/>
            </w:pPr>
            <w:r>
              <w:rPr>
                <w:b w:val="0"/>
                <w:sz w:val="21"/>
              </w:rPr>
              <w:t>结算、成本、预算和凭证汇总</w:t>
            </w:r>
          </w:p>
        </w:tc>
        <w:tc>
          <w:tcPr>
            <w:tcW w:type="dxa" w:w="2409"/>
            <w:vAlign w:val="center"/>
          </w:tcPr>
          <w:p>
            <w:pPr>
              <w:keepNext w:val="0"/>
              <w:spacing w:line="320" w:lineRule="exact" w:after="0" w:before="0"/>
              <w:ind w:firstLine="0"/>
              <w:jc w:val="left"/>
            </w:pPr>
            <w:r>
              <w:rPr>
                <w:b w:val="0"/>
                <w:sz w:val="21"/>
              </w:rPr>
              <w:t>合同、项目及业务单据</w:t>
            </w:r>
          </w:p>
        </w:tc>
        <w:tc>
          <w:tcPr>
            <w:tcW w:type="dxa" w:w="2891"/>
            <w:vAlign w:val="center"/>
          </w:tcPr>
          <w:p>
            <w:pPr>
              <w:keepNext w:val="0"/>
              <w:spacing w:line="320" w:lineRule="exact" w:after="0" w:before="0"/>
              <w:ind w:firstLine="0"/>
              <w:jc w:val="left"/>
            </w:pPr>
            <w:r>
              <w:rPr>
                <w:b w:val="0"/>
                <w:sz w:val="21"/>
              </w:rPr>
              <w:t>核算范围、期间与口径</w:t>
            </w:r>
          </w:p>
        </w:tc>
      </w:tr>
      <w:tr>
        <w:trPr>
          <w:cantSplit/>
        </w:trPr>
        <w:tc>
          <w:tcPr>
            <w:tcW w:type="dxa" w:w="1638"/>
            <w:vAlign w:val="center"/>
          </w:tcPr>
          <w:p>
            <w:pPr>
              <w:keepNext w:val="0"/>
              <w:spacing w:line="320" w:lineRule="exact" w:after="0" w:before="0"/>
              <w:ind w:firstLine="0"/>
              <w:jc w:val="left"/>
            </w:pPr>
            <w:r>
              <w:rPr>
                <w:b w:val="0"/>
                <w:sz w:val="21"/>
              </w:rPr>
              <w:t>设备管理</w:t>
            </w:r>
          </w:p>
        </w:tc>
        <w:tc>
          <w:tcPr>
            <w:tcW w:type="dxa" w:w="2699"/>
            <w:vAlign w:val="center"/>
          </w:tcPr>
          <w:p>
            <w:pPr>
              <w:keepNext w:val="0"/>
              <w:spacing w:line="320" w:lineRule="exact" w:after="0" w:before="0"/>
              <w:ind w:firstLine="0"/>
              <w:jc w:val="left"/>
            </w:pPr>
            <w:r>
              <w:rPr>
                <w:b w:val="0"/>
                <w:sz w:val="21"/>
              </w:rPr>
              <w:t>设备、部件、测点、维修和校准</w:t>
            </w:r>
          </w:p>
        </w:tc>
        <w:tc>
          <w:tcPr>
            <w:tcW w:type="dxa" w:w="2409"/>
            <w:vAlign w:val="center"/>
          </w:tcPr>
          <w:p>
            <w:pPr>
              <w:keepNext w:val="0"/>
              <w:spacing w:line="320" w:lineRule="exact" w:after="0" w:before="0"/>
              <w:ind w:firstLine="0"/>
              <w:jc w:val="left"/>
            </w:pPr>
            <w:r>
              <w:rPr>
                <w:b w:val="0"/>
                <w:sz w:val="21"/>
              </w:rPr>
              <w:t>生产任务及故障事件</w:t>
            </w:r>
          </w:p>
        </w:tc>
        <w:tc>
          <w:tcPr>
            <w:tcW w:type="dxa" w:w="2891"/>
            <w:vAlign w:val="center"/>
          </w:tcPr>
          <w:p>
            <w:pPr>
              <w:keepNext w:val="0"/>
              <w:spacing w:line="320" w:lineRule="exact" w:after="0" w:before="0"/>
              <w:ind w:firstLine="0"/>
              <w:jc w:val="left"/>
            </w:pPr>
            <w:r>
              <w:rPr>
                <w:b w:val="0"/>
                <w:sz w:val="21"/>
              </w:rPr>
              <w:t>标识、工况、状态和维修证据</w:t>
            </w:r>
          </w:p>
        </w:tc>
      </w:tr>
      <w:tr>
        <w:trPr>
          <w:cantSplit/>
        </w:trPr>
        <w:tc>
          <w:tcPr>
            <w:tcW w:type="dxa" w:w="1638"/>
            <w:vAlign w:val="center"/>
          </w:tcPr>
          <w:p>
            <w:pPr>
              <w:keepNext w:val="0"/>
              <w:spacing w:line="320" w:lineRule="exact" w:after="0" w:before="0"/>
              <w:ind w:firstLine="0"/>
              <w:jc w:val="left"/>
            </w:pPr>
            <w:r>
              <w:rPr>
                <w:b w:val="0"/>
                <w:sz w:val="21"/>
              </w:rPr>
              <w:t>采购管理</w:t>
            </w:r>
          </w:p>
        </w:tc>
        <w:tc>
          <w:tcPr>
            <w:tcW w:type="dxa" w:w="2699"/>
            <w:vAlign w:val="center"/>
          </w:tcPr>
          <w:p>
            <w:pPr>
              <w:keepNext w:val="0"/>
              <w:spacing w:line="320" w:lineRule="exact" w:after="0" w:before="0"/>
              <w:ind w:firstLine="0"/>
              <w:jc w:val="left"/>
            </w:pPr>
            <w:r>
              <w:rPr>
                <w:b w:val="0"/>
                <w:sz w:val="21"/>
              </w:rPr>
              <w:t>采购订单、供应商、到货和验收</w:t>
            </w:r>
          </w:p>
        </w:tc>
        <w:tc>
          <w:tcPr>
            <w:tcW w:type="dxa" w:w="2409"/>
            <w:vAlign w:val="center"/>
          </w:tcPr>
          <w:p>
            <w:pPr>
              <w:keepNext w:val="0"/>
              <w:spacing w:line="320" w:lineRule="exact" w:after="0" w:before="0"/>
              <w:ind w:firstLine="0"/>
              <w:jc w:val="left"/>
            </w:pPr>
            <w:r>
              <w:rPr>
                <w:b w:val="0"/>
                <w:sz w:val="21"/>
              </w:rPr>
              <w:t>需求、库存、质检与结算</w:t>
            </w:r>
          </w:p>
        </w:tc>
        <w:tc>
          <w:tcPr>
            <w:tcW w:type="dxa" w:w="2891"/>
            <w:vAlign w:val="center"/>
          </w:tcPr>
          <w:p>
            <w:pPr>
              <w:keepNext w:val="0"/>
              <w:spacing w:line="320" w:lineRule="exact" w:after="0" w:before="0"/>
              <w:ind w:firstLine="0"/>
              <w:jc w:val="left"/>
            </w:pPr>
            <w:r>
              <w:rPr>
                <w:b w:val="0"/>
                <w:sz w:val="21"/>
              </w:rPr>
              <w:t>交期、变更和收货口径</w:t>
            </w:r>
          </w:p>
        </w:tc>
      </w:tr>
      <w:tr>
        <w:trPr>
          <w:cantSplit/>
        </w:trPr>
        <w:tc>
          <w:tcPr>
            <w:tcW w:type="dxa" w:w="1638"/>
            <w:vAlign w:val="center"/>
          </w:tcPr>
          <w:p>
            <w:pPr>
              <w:keepNext w:val="0"/>
              <w:spacing w:line="320" w:lineRule="exact" w:after="0" w:before="0"/>
              <w:ind w:firstLine="0"/>
              <w:jc w:val="left"/>
            </w:pPr>
            <w:r>
              <w:rPr>
                <w:b w:val="0"/>
                <w:sz w:val="21"/>
              </w:rPr>
              <w:t>营销管理</w:t>
            </w:r>
          </w:p>
        </w:tc>
        <w:tc>
          <w:tcPr>
            <w:tcW w:type="dxa" w:w="2699"/>
            <w:vAlign w:val="center"/>
          </w:tcPr>
          <w:p>
            <w:pPr>
              <w:keepNext w:val="0"/>
              <w:spacing w:line="320" w:lineRule="exact" w:after="0" w:before="0"/>
              <w:ind w:firstLine="0"/>
              <w:jc w:val="left"/>
            </w:pPr>
            <w:r>
              <w:rPr>
                <w:b w:val="0"/>
                <w:sz w:val="21"/>
              </w:rPr>
              <w:t>客户、商机、合同、订单和技术协议</w:t>
            </w:r>
          </w:p>
        </w:tc>
        <w:tc>
          <w:tcPr>
            <w:tcW w:type="dxa" w:w="2409"/>
            <w:vAlign w:val="center"/>
          </w:tcPr>
          <w:p>
            <w:pPr>
              <w:keepNext w:val="0"/>
              <w:spacing w:line="320" w:lineRule="exact" w:after="0" w:before="0"/>
              <w:ind w:firstLine="0"/>
              <w:jc w:val="left"/>
            </w:pPr>
            <w:r>
              <w:rPr>
                <w:b w:val="0"/>
                <w:sz w:val="21"/>
              </w:rPr>
              <w:t>产品、排产、交付及回款</w:t>
            </w:r>
          </w:p>
        </w:tc>
        <w:tc>
          <w:tcPr>
            <w:tcW w:type="dxa" w:w="2891"/>
            <w:vAlign w:val="center"/>
          </w:tcPr>
          <w:p>
            <w:pPr>
              <w:keepNext w:val="0"/>
              <w:spacing w:line="320" w:lineRule="exact" w:after="0" w:before="0"/>
              <w:ind w:firstLine="0"/>
              <w:jc w:val="left"/>
            </w:pPr>
            <w:r>
              <w:rPr>
                <w:b w:val="0"/>
                <w:sz w:val="21"/>
              </w:rPr>
              <w:t>主体、版本、履约与授权</w:t>
            </w:r>
          </w:p>
        </w:tc>
      </w:tr>
      <w:tr>
        <w:trPr>
          <w:cantSplit/>
        </w:trPr>
        <w:tc>
          <w:tcPr>
            <w:tcW w:type="dxa" w:w="1638"/>
            <w:vAlign w:val="center"/>
          </w:tcPr>
          <w:p>
            <w:pPr>
              <w:keepNext w:val="0"/>
              <w:spacing w:line="320" w:lineRule="exact" w:after="0" w:before="0"/>
              <w:ind w:firstLine="0"/>
              <w:jc w:val="left"/>
            </w:pPr>
            <w:r>
              <w:rPr>
                <w:b w:val="0"/>
                <w:sz w:val="21"/>
              </w:rPr>
              <w:t>质量管理</w:t>
            </w:r>
          </w:p>
        </w:tc>
        <w:tc>
          <w:tcPr>
            <w:tcW w:type="dxa" w:w="2699"/>
            <w:vAlign w:val="center"/>
          </w:tcPr>
          <w:p>
            <w:pPr>
              <w:keepNext w:val="0"/>
              <w:spacing w:line="320" w:lineRule="exact" w:after="0" w:before="0"/>
              <w:ind w:firstLine="0"/>
              <w:jc w:val="left"/>
            </w:pPr>
            <w:r>
              <w:rPr>
                <w:b w:val="0"/>
                <w:sz w:val="21"/>
              </w:rPr>
              <w:t>检验、缺陷、处置、返修和复检</w:t>
            </w:r>
          </w:p>
        </w:tc>
        <w:tc>
          <w:tcPr>
            <w:tcW w:type="dxa" w:w="2409"/>
            <w:vAlign w:val="center"/>
          </w:tcPr>
          <w:p>
            <w:pPr>
              <w:keepNext w:val="0"/>
              <w:spacing w:line="320" w:lineRule="exact" w:after="0" w:before="0"/>
              <w:ind w:firstLine="0"/>
              <w:jc w:val="left"/>
            </w:pPr>
            <w:r>
              <w:rPr>
                <w:b w:val="0"/>
                <w:sz w:val="21"/>
              </w:rPr>
              <w:t>图纸、工艺、材料与工件</w:t>
            </w:r>
          </w:p>
        </w:tc>
        <w:tc>
          <w:tcPr>
            <w:tcW w:type="dxa" w:w="2891"/>
            <w:vAlign w:val="center"/>
          </w:tcPr>
          <w:p>
            <w:pPr>
              <w:keepNext w:val="0"/>
              <w:spacing w:line="320" w:lineRule="exact" w:after="0" w:before="0"/>
              <w:ind w:firstLine="0"/>
              <w:jc w:val="left"/>
            </w:pPr>
            <w:r>
              <w:rPr>
                <w:b w:val="0"/>
                <w:sz w:val="21"/>
              </w:rPr>
              <w:t>判据、检测范围和追溯关系</w:t>
            </w:r>
          </w:p>
        </w:tc>
      </w:tr>
    </w:tbl>
    <w:p>
      <w:pPr>
        <w:spacing w:after="40" w:line="240" w:lineRule="auto"/>
        <w:ind w:firstLine="0"/>
      </w:pPr>
      <w:r>
        <w:rPr>
          <w:sz w:val="4"/>
        </w:rPr>
      </w:r>
    </w:p>
    <w:p>
      <w:pPr>
        <w:pStyle w:val="Heading2"/>
      </w:pPr>
      <w:r>
        <w:t>4.2 人力资源与组织责任数据</w:t>
      </w:r>
    </w:p>
    <w:p>
      <w:pPr>
        <w:jc w:val="both"/>
      </w:pPr>
      <w:r>
        <w:t>人力资源治理首先核对组织、岗位、人员与任职关系，分别记录有效开始时间、结束时间和变更依据。岗位调整、人员调动及组织更名保留历史关系，经营统计按指定期间使用对应组织结构。跨系统人员标识通过受控映射关联，展示与分析按业务需要采用去标识化标识或聚合数据。</w:t>
      </w:r>
    </w:p>
    <w:p>
      <w:pPr>
        <w:jc w:val="both"/>
      </w:pPr>
      <w:r>
        <w:t>数据治理岗位责任与组织数据衔接。资源负责人、指标负责人、审批人员和复核人员均关联有效职责及授权范围，人员变动触发任务交接和权限回收。历史审批保留当时有效授权，后续岗位变化不改写已完成的业务记录。临时授权明确对象、操作、期限和审批依据，到期复核实际使用情况。</w:t>
      </w:r>
    </w:p>
    <w:p>
      <w:pPr>
        <w:jc w:val="both"/>
      </w:pPr>
      <w:r>
        <w:t>培训和作业资格数据用于核验参与标注、专业审核、质量复核及数据管理人员的任务适配性。资格记录登记依据、适用专业、有效期与考核结果，作业分配引用有效状态。涉及个人信息的明细按授权访问，数据集样本中只保留任务所需的专业属性和责任标识。</w:t>
      </w:r>
    </w:p>
    <w:p>
      <w:pPr>
        <w:pStyle w:val="Heading2"/>
      </w:pPr>
      <w:r>
        <w:t>4.3 研发设计与生产制造数据</w:t>
      </w:r>
    </w:p>
    <w:p>
      <w:pPr>
        <w:jc w:val="both"/>
      </w:pPr>
      <w:r>
        <w:t>研发设计治理围绕产品型号、图纸、物料结构、工艺路线和技术变更建立关系。图号、版次、签发状态、适用产品和生效条件分别登记，历史版本与现行版本同时可追踪。图纸与工艺卡配对依据实际对象、版本和专业确认，解析出的图元、尺寸和技术要求保留原图位置及单位。</w:t>
      </w:r>
    </w:p>
    <w:p>
      <w:pPr>
        <w:jc w:val="both"/>
      </w:pPr>
      <w:r>
        <w:t>设计变更检查生产工单、工艺卡、检验要求、库存物料和已形成样本的影响。变更生效范围明确到产品、批次或时间，旧版与新版的适用条件分别保留。需要重新加工的数据通过任务记录生成后继版本，业务人员核查实际变化，质检人员复核标签和知识条目是否随之更新。</w:t>
      </w:r>
    </w:p>
    <w:p>
      <w:pPr>
        <w:jc w:val="both"/>
      </w:pPr>
      <w:r>
        <w:t>生产制造治理将计划、实际执行和结果反馈分开登记。工单与工序保留计划版本、执行时间、设备工装、材料批次、报工状态和异常处理。热处理按炉次、工件、程序和实际曲线关联，焊接按工单、部件、焊缝、焊道和工艺条件关联，质量反馈通过具体检验对象连接到相应过程。</w:t>
      </w:r>
    </w:p>
    <w:p>
      <w:pPr>
        <w:jc w:val="both"/>
      </w:pPr>
      <w:r>
        <w:t>生产事件存在补报、撤销或更正时，同时保留业务发生时间与记录时间。时间戳、时区、设备时钟偏移、采样频率和缺失区间纳入元数据，相关计算明确可用时间范围。异常波动先检查采集质量和工况变化，再进行专业判断，诊断标签保留对应证据和判定范围。</w:t>
      </w:r>
    </w:p>
    <w:p>
      <w:pPr>
        <w:pStyle w:val="Heading2"/>
      </w:pPr>
      <w:r>
        <w:t>4.4 仓储物流与采购数据</w:t>
      </w:r>
    </w:p>
    <w:p>
      <w:pPr>
        <w:jc w:val="both"/>
      </w:pPr>
      <w:r>
        <w:t>仓储物流治理统一物料、批次、库位和库存状态，明确账面量、实物量、已占用量、可用量、待检量和在途量的业务定义。库存快照保留统计时点及所含状态，出入库记录保持单据、对象、数量、单位和发生时间。计量单位转换使用受控换算关系，换算条件和精度随计算记录保存。</w:t>
      </w:r>
    </w:p>
    <w:p>
      <w:pPr>
        <w:jc w:val="both"/>
      </w:pPr>
      <w:r>
        <w:t>库存与销售订单、生产任务、生产领料和采购到货建立对应关系。订单取消、交期变更、替代料审批及库存冻结等事项同步反映到使用条件和指标计算。跨系统数量不一致时按单据与状态核查差异，区分时间延迟、业务未结和实际错误，处理结果返回责任环节并复核关联统计。</w:t>
      </w:r>
    </w:p>
    <w:p>
      <w:pPr>
        <w:jc w:val="both"/>
      </w:pPr>
      <w:r>
        <w:t>采购治理记录采购需求、供应商、订单、承诺交期、实际到货、验收和结算状态。供应商身份与历史名称统一映射，订单变更保留前后版本及审批依据；实际收货、验收合格和入库分别记录，指标计算引用正确的业务事件。预测性交期与实际交期分开保存，历史任务输入使用当时可获得的信息。</w:t>
      </w:r>
    </w:p>
    <w:p>
      <w:pPr>
        <w:jc w:val="both"/>
      </w:pPr>
      <w:r>
        <w:t>采购和仓储数据为供需计划与库存验证提供可复算的快照。样本引用订单、库存和在途数据时保持同一统计时点与对象范围，补货建议附带可用量、需求和提前期等计算依据。数据缺失或时间不一致先组织补齐和对账，修复后的快照重新发布并记录影响范围。</w:t>
      </w:r>
    </w:p>
    <w:p>
      <w:pPr>
        <w:pStyle w:val="Heading2"/>
      </w:pPr>
      <w:r>
        <w:t>4.5 财务管理与营销数据</w:t>
      </w:r>
    </w:p>
    <w:p>
      <w:pPr>
        <w:jc w:val="both"/>
      </w:pPr>
      <w:r>
        <w:t>财务数据治理明确会计期间、组织范围、项目、成本对象、币种、税口径及核算状态。业务发生、业务确认和财务入账分别保留日期，跨期调整与更正记录单独登记。经营分析使用的业务口径与财务核算口径建立映射，名称相近但含义不同的指标分别管理。</w:t>
      </w:r>
    </w:p>
    <w:p>
      <w:pPr>
        <w:jc w:val="both"/>
      </w:pPr>
      <w:r>
        <w:t>合同、订单、发货、验收、开票和回款通过业务标识关联，部分履约、分批交付、退货和折让等情况保留明细关系。统计值按指标口径使用相应状态及截止时点，避免把合同额直接作为已确认收入或把发货量等同于验收量。财务分析结果按授权提供适当粒度，敏感金额和交易主体信息受控使用。</w:t>
      </w:r>
    </w:p>
    <w:p>
      <w:pPr>
        <w:jc w:val="both"/>
      </w:pPr>
      <w:r>
        <w:t>营销治理围绕客户、项目、合同、技术协议和订单建立对象关系。客户主体、实际使用单位和项目地点分别登记；合同正文、补充协议、附件和技术条件维护版本与适用范围。产品选型所需工况和技术参数保留来源与确认状态，履约结果与签订阶段可见信息分离，供后续评价使用。</w:t>
      </w:r>
    </w:p>
    <w:p>
      <w:pPr>
        <w:jc w:val="both"/>
      </w:pPr>
      <w:r>
        <w:t>合同审查样本和指标查询涉及商业信息时，治理侧提供授权范围、脱敏规则和适用文档版本。原文引用定位到条款和附件，技术参数、付款条件、交货要求及变更记录保持语义完整。跨合同汇总分析固定统计范围与去重规则，合同撤销、替代和补充关系纳入计算。</w:t>
      </w:r>
    </w:p>
    <w:p>
      <w:pPr>
        <w:pStyle w:val="Heading2"/>
      </w:pPr>
      <w:r>
        <w:t>4.6 设备管理与质量管理数据</w:t>
      </w:r>
    </w:p>
    <w:p>
      <w:pPr>
        <w:jc w:val="both"/>
      </w:pPr>
      <w:r>
        <w:t>设备管理统一设备、部件、测点和运行位置标识，维护安装、调拨、改造、停用和报废的时间关系。测点登记物理量、单位、采样方式、量程、校准记录和关联部件，传感器更换保留前后映射。设备日志、报警、检查、维修和复测按事件关联，实际故障确认与未经确认的报警分别记录。</w:t>
      </w:r>
    </w:p>
    <w:p>
      <w:pPr>
        <w:jc w:val="both"/>
      </w:pPr>
      <w:r>
        <w:t>设备健康诊断使用的证据明确到时间窗口、工况、异常现象和检查结果。维修后的恢复状态作为结果反馈保存，诊断时点尚不可见的维修资料在训练和评测输入中按时间要求隔离。跨设备统计先检查型号、工况和测点可比性，保留差异条件及数据覆盖情况。</w:t>
      </w:r>
    </w:p>
    <w:p>
      <w:pPr>
        <w:jc w:val="both"/>
      </w:pPr>
      <w:r>
        <w:t>质量治理将原材料检验、过程检验、成品检验和质量追溯连接起来。每项检验记录对象、方法、条件、标准版本、测量值、单位、判定与检测范围。缺陷图像和检测资料保持位置对应，外观发现、无损检测指示和最终缺陷判定按实际证据分别表达。</w:t>
      </w:r>
    </w:p>
    <w:p>
      <w:pPr>
        <w:jc w:val="both"/>
      </w:pPr>
      <w:r>
        <w:t>质量判定与处置状态分开管理。不合格、返修、让步接收、复检和最终放行均保留各自依据及审批，后续结果关联原问题。质量追溯从工件或批次回查材料、工艺和过程参数，分析结论区分事实关联、候选原因与已确认原因。规则变更、检验报告更正或误标修复触发受影响样本和指标复核。</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4" name="Picture 4"/>
            <wp:cNvGraphicFramePr>
              <a:graphicFrameLocks noChangeAspect="1"/>
            </wp:cNvGraphicFramePr>
            <a:graphic>
              <a:graphicData uri="http://schemas.openxmlformats.org/drawingml/2006/picture">
                <pic:pic>
                  <pic:nvPicPr>
                    <pic:cNvPr id="0" name="图4_跨域关联.png"/>
                    <pic:cNvPicPr/>
                  </pic:nvPicPr>
                  <pic:blipFill>
                    <a:blip r:embed="rId14"/>
                    <a:stretch>
                      <a:fillRect/>
                    </a:stretch>
                  </pic:blipFill>
                  <pic:spPr>
                    <a:xfrm>
                      <a:off x="0" y="0"/>
                      <a:ext cx="6048000" cy="1942338"/>
                    </a:xfrm>
                    <a:prstGeom prst="rect"/>
                  </pic:spPr>
                </pic:pic>
              </a:graphicData>
            </a:graphic>
          </wp:inline>
        </w:drawing>
      </w:r>
    </w:p>
    <w:p>
      <w:pPr>
        <w:pStyle w:val="Caption"/>
        <w:jc w:val="center"/>
      </w:pPr>
      <w:r>
        <w:t>图4-1 跨域业务对象与关联核验</w:t>
      </w:r>
    </w:p>
    <w:p>
      <w:pPr>
        <w:pStyle w:val="Heading2"/>
      </w:pPr>
      <w:r>
        <w:t>4.7 跨域业务链与覆盖核验</w:t>
      </w:r>
    </w:p>
    <w:p>
      <w:pPr>
        <w:jc w:val="both"/>
      </w:pPr>
      <w:r>
        <w:t>跨域治理选择真实业务链开展贯通验证。供需链从客户需求和合同进入订单、采购、库存、生产与交付；工艺链从产品图纸进入工艺、工单、执行和检验；设备质量链从运行测点进入异常、维修、复测和质量分析。各链路验证对象关系、时间条件、状态变化、权限及质量规则，保留端到端记录。</w:t>
      </w:r>
    </w:p>
    <w:p>
      <w:pPr>
        <w:pStyle w:val="Caption"/>
        <w:keepNext/>
      </w:pPr>
      <w:r>
        <w:t>表4-2 跨域业务链与覆盖核验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业务链</w:t>
            </w:r>
          </w:p>
        </w:tc>
        <w:tc>
          <w:tcPr>
            <w:tcW w:type="dxa" w:w="3855"/>
            <w:vAlign w:val="center"/>
            <w:shd w:fill="EDF1F3"/>
          </w:tcPr>
          <w:p>
            <w:pPr>
              <w:keepNext/>
              <w:spacing w:line="320" w:lineRule="exact" w:after="0" w:before="0"/>
              <w:ind w:firstLine="0"/>
              <w:jc w:val="center"/>
            </w:pPr>
            <w:r>
              <w:rPr>
                <w:b/>
                <w:sz w:val="21"/>
              </w:rPr>
              <w:t>关键关联对象</w:t>
            </w:r>
          </w:p>
        </w:tc>
        <w:tc>
          <w:tcPr>
            <w:tcW w:type="dxa" w:w="3277"/>
            <w:vAlign w:val="center"/>
            <w:shd w:fill="EDF1F3"/>
          </w:tcPr>
          <w:p>
            <w:pPr>
              <w:keepNext/>
              <w:spacing w:line="320" w:lineRule="exact" w:after="0" w:before="0"/>
              <w:ind w:firstLine="0"/>
              <w:jc w:val="center"/>
            </w:pPr>
            <w:r>
              <w:rPr>
                <w:b/>
                <w:sz w:val="21"/>
              </w:rPr>
              <w:t>重点核验</w:t>
            </w:r>
          </w:p>
        </w:tc>
      </w:tr>
      <w:tr>
        <w:trPr>
          <w:cantSplit/>
        </w:trPr>
        <w:tc>
          <w:tcPr>
            <w:tcW w:type="dxa" w:w="2506"/>
            <w:vAlign w:val="center"/>
          </w:tcPr>
          <w:p>
            <w:pPr>
              <w:keepNext w:val="0"/>
              <w:spacing w:line="320" w:lineRule="exact" w:after="0" w:before="0"/>
              <w:ind w:firstLine="0"/>
              <w:jc w:val="left"/>
            </w:pPr>
            <w:r>
              <w:rPr>
                <w:b w:val="0"/>
                <w:sz w:val="21"/>
              </w:rPr>
              <w:t>需求至交付</w:t>
            </w:r>
          </w:p>
        </w:tc>
        <w:tc>
          <w:tcPr>
            <w:tcW w:type="dxa" w:w="3855"/>
            <w:vAlign w:val="center"/>
          </w:tcPr>
          <w:p>
            <w:pPr>
              <w:keepNext w:val="0"/>
              <w:spacing w:line="320" w:lineRule="exact" w:after="0" w:before="0"/>
              <w:ind w:firstLine="0"/>
              <w:jc w:val="left"/>
            </w:pPr>
            <w:r>
              <w:rPr>
                <w:b w:val="0"/>
                <w:sz w:val="21"/>
              </w:rPr>
              <w:t>客户、合同、订单、工单、发货与验收</w:t>
            </w:r>
          </w:p>
        </w:tc>
        <w:tc>
          <w:tcPr>
            <w:tcW w:type="dxa" w:w="3277"/>
            <w:vAlign w:val="center"/>
          </w:tcPr>
          <w:p>
            <w:pPr>
              <w:keepNext w:val="0"/>
              <w:spacing w:line="320" w:lineRule="exact" w:after="0" w:before="0"/>
              <w:ind w:firstLine="0"/>
              <w:jc w:val="left"/>
            </w:pPr>
            <w:r>
              <w:rPr>
                <w:b w:val="0"/>
                <w:sz w:val="21"/>
              </w:rPr>
              <w:t>主体一致、变更生效、数量及状态对应</w:t>
            </w:r>
          </w:p>
        </w:tc>
      </w:tr>
      <w:tr>
        <w:trPr>
          <w:cantSplit/>
        </w:trPr>
        <w:tc>
          <w:tcPr>
            <w:tcW w:type="dxa" w:w="2506"/>
            <w:vAlign w:val="center"/>
          </w:tcPr>
          <w:p>
            <w:pPr>
              <w:keepNext w:val="0"/>
              <w:spacing w:line="320" w:lineRule="exact" w:after="0" w:before="0"/>
              <w:ind w:firstLine="0"/>
              <w:jc w:val="left"/>
            </w:pPr>
            <w:r>
              <w:rPr>
                <w:b w:val="0"/>
                <w:sz w:val="21"/>
              </w:rPr>
              <w:t>采购至领用</w:t>
            </w:r>
          </w:p>
        </w:tc>
        <w:tc>
          <w:tcPr>
            <w:tcW w:type="dxa" w:w="3855"/>
            <w:vAlign w:val="center"/>
          </w:tcPr>
          <w:p>
            <w:pPr>
              <w:keepNext w:val="0"/>
              <w:spacing w:line="320" w:lineRule="exact" w:after="0" w:before="0"/>
              <w:ind w:firstLine="0"/>
              <w:jc w:val="left"/>
            </w:pPr>
            <w:r>
              <w:rPr>
                <w:b w:val="0"/>
                <w:sz w:val="21"/>
              </w:rPr>
              <w:t>需求、采购、到货、检验、库存与领料</w:t>
            </w:r>
          </w:p>
        </w:tc>
        <w:tc>
          <w:tcPr>
            <w:tcW w:type="dxa" w:w="3277"/>
            <w:vAlign w:val="center"/>
          </w:tcPr>
          <w:p>
            <w:pPr>
              <w:keepNext w:val="0"/>
              <w:spacing w:line="320" w:lineRule="exact" w:after="0" w:before="0"/>
              <w:ind w:firstLine="0"/>
              <w:jc w:val="left"/>
            </w:pPr>
            <w:r>
              <w:rPr>
                <w:b w:val="0"/>
                <w:sz w:val="21"/>
              </w:rPr>
              <w:t>批次可追溯、单位一致、时点可复算</w:t>
            </w:r>
          </w:p>
        </w:tc>
      </w:tr>
      <w:tr>
        <w:trPr>
          <w:cantSplit/>
        </w:trPr>
        <w:tc>
          <w:tcPr>
            <w:tcW w:type="dxa" w:w="2506"/>
            <w:vAlign w:val="center"/>
          </w:tcPr>
          <w:p>
            <w:pPr>
              <w:keepNext w:val="0"/>
              <w:spacing w:line="320" w:lineRule="exact" w:after="0" w:before="0"/>
              <w:ind w:firstLine="0"/>
              <w:jc w:val="left"/>
            </w:pPr>
            <w:r>
              <w:rPr>
                <w:b w:val="0"/>
                <w:sz w:val="21"/>
              </w:rPr>
              <w:t>图纸至成品</w:t>
            </w:r>
          </w:p>
        </w:tc>
        <w:tc>
          <w:tcPr>
            <w:tcW w:type="dxa" w:w="3855"/>
            <w:vAlign w:val="center"/>
          </w:tcPr>
          <w:p>
            <w:pPr>
              <w:keepNext w:val="0"/>
              <w:spacing w:line="320" w:lineRule="exact" w:after="0" w:before="0"/>
              <w:ind w:firstLine="0"/>
              <w:jc w:val="left"/>
            </w:pPr>
            <w:r>
              <w:rPr>
                <w:b w:val="0"/>
                <w:sz w:val="21"/>
              </w:rPr>
              <w:t>图纸、工艺、材料、工序及检验</w:t>
            </w:r>
          </w:p>
        </w:tc>
        <w:tc>
          <w:tcPr>
            <w:tcW w:type="dxa" w:w="3277"/>
            <w:vAlign w:val="center"/>
          </w:tcPr>
          <w:p>
            <w:pPr>
              <w:keepNext w:val="0"/>
              <w:spacing w:line="320" w:lineRule="exact" w:after="0" w:before="0"/>
              <w:ind w:firstLine="0"/>
              <w:jc w:val="left"/>
            </w:pPr>
            <w:r>
              <w:rPr>
                <w:b w:val="0"/>
                <w:sz w:val="21"/>
              </w:rPr>
              <w:t>版本适用、技术条件和检测范围一致</w:t>
            </w:r>
          </w:p>
        </w:tc>
      </w:tr>
      <w:tr>
        <w:trPr>
          <w:cantSplit/>
        </w:trPr>
        <w:tc>
          <w:tcPr>
            <w:tcW w:type="dxa" w:w="2506"/>
            <w:vAlign w:val="center"/>
          </w:tcPr>
          <w:p>
            <w:pPr>
              <w:keepNext w:val="0"/>
              <w:spacing w:line="320" w:lineRule="exact" w:after="0" w:before="0"/>
              <w:ind w:firstLine="0"/>
              <w:jc w:val="left"/>
            </w:pPr>
            <w:r>
              <w:rPr>
                <w:b w:val="0"/>
                <w:sz w:val="21"/>
              </w:rPr>
              <w:t>设备至维修</w:t>
            </w:r>
          </w:p>
        </w:tc>
        <w:tc>
          <w:tcPr>
            <w:tcW w:type="dxa" w:w="3855"/>
            <w:vAlign w:val="center"/>
          </w:tcPr>
          <w:p>
            <w:pPr>
              <w:keepNext w:val="0"/>
              <w:spacing w:line="320" w:lineRule="exact" w:after="0" w:before="0"/>
              <w:ind w:firstLine="0"/>
              <w:jc w:val="left"/>
            </w:pPr>
            <w:r>
              <w:rPr>
                <w:b w:val="0"/>
                <w:sz w:val="21"/>
              </w:rPr>
              <w:t>设备、测点、事件、工单及复测</w:t>
            </w:r>
          </w:p>
        </w:tc>
        <w:tc>
          <w:tcPr>
            <w:tcW w:type="dxa" w:w="3277"/>
            <w:vAlign w:val="center"/>
          </w:tcPr>
          <w:p>
            <w:pPr>
              <w:keepNext w:val="0"/>
              <w:spacing w:line="320" w:lineRule="exact" w:after="0" w:before="0"/>
              <w:ind w:firstLine="0"/>
              <w:jc w:val="left"/>
            </w:pPr>
            <w:r>
              <w:rPr>
                <w:b w:val="0"/>
                <w:sz w:val="21"/>
              </w:rPr>
              <w:t>工况明确、异常与故障证据对应</w:t>
            </w:r>
          </w:p>
        </w:tc>
      </w:tr>
      <w:tr>
        <w:trPr>
          <w:cantSplit/>
        </w:trPr>
        <w:tc>
          <w:tcPr>
            <w:tcW w:type="dxa" w:w="2506"/>
            <w:vAlign w:val="center"/>
          </w:tcPr>
          <w:p>
            <w:pPr>
              <w:keepNext w:val="0"/>
              <w:spacing w:line="320" w:lineRule="exact" w:after="0" w:before="0"/>
              <w:ind w:firstLine="0"/>
              <w:jc w:val="left"/>
            </w:pPr>
            <w:r>
              <w:rPr>
                <w:b w:val="0"/>
                <w:sz w:val="21"/>
              </w:rPr>
              <w:t>业务至指标</w:t>
            </w:r>
          </w:p>
        </w:tc>
        <w:tc>
          <w:tcPr>
            <w:tcW w:type="dxa" w:w="3855"/>
            <w:vAlign w:val="center"/>
          </w:tcPr>
          <w:p>
            <w:pPr>
              <w:keepNext w:val="0"/>
              <w:spacing w:line="320" w:lineRule="exact" w:after="0" w:before="0"/>
              <w:ind w:firstLine="0"/>
              <w:jc w:val="left"/>
            </w:pPr>
            <w:r>
              <w:rPr>
                <w:b w:val="0"/>
                <w:sz w:val="21"/>
              </w:rPr>
              <w:t>原始单据、明细、汇总及指标</w:t>
            </w:r>
          </w:p>
        </w:tc>
        <w:tc>
          <w:tcPr>
            <w:tcW w:type="dxa" w:w="3277"/>
            <w:vAlign w:val="center"/>
          </w:tcPr>
          <w:p>
            <w:pPr>
              <w:keepNext w:val="0"/>
              <w:spacing w:line="320" w:lineRule="exact" w:after="0" w:before="0"/>
              <w:ind w:firstLine="0"/>
              <w:jc w:val="left"/>
            </w:pPr>
            <w:r>
              <w:rPr>
                <w:b w:val="0"/>
                <w:sz w:val="21"/>
              </w:rPr>
              <w:t>计算口径、维度与截止时点一致</w:t>
            </w:r>
          </w:p>
        </w:tc>
      </w:tr>
      <w:tr>
        <w:trPr>
          <w:cantSplit/>
        </w:trPr>
        <w:tc>
          <w:tcPr>
            <w:tcW w:type="dxa" w:w="2506"/>
            <w:vAlign w:val="center"/>
          </w:tcPr>
          <w:p>
            <w:pPr>
              <w:keepNext w:val="0"/>
              <w:spacing w:line="320" w:lineRule="exact" w:after="0" w:before="0"/>
              <w:ind w:firstLine="0"/>
              <w:jc w:val="left"/>
            </w:pPr>
            <w:r>
              <w:rPr>
                <w:b w:val="0"/>
                <w:sz w:val="21"/>
              </w:rPr>
              <w:t>资源至数据集</w:t>
            </w:r>
          </w:p>
        </w:tc>
        <w:tc>
          <w:tcPr>
            <w:tcW w:type="dxa" w:w="3855"/>
            <w:vAlign w:val="center"/>
          </w:tcPr>
          <w:p>
            <w:pPr>
              <w:keepNext w:val="0"/>
              <w:spacing w:line="320" w:lineRule="exact" w:after="0" w:before="0"/>
              <w:ind w:firstLine="0"/>
              <w:jc w:val="left"/>
            </w:pPr>
            <w:r>
              <w:rPr>
                <w:b w:val="0"/>
                <w:sz w:val="21"/>
              </w:rPr>
              <w:t>来源、加工批次、样本及发布版本</w:t>
            </w:r>
          </w:p>
        </w:tc>
        <w:tc>
          <w:tcPr>
            <w:tcW w:type="dxa" w:w="3277"/>
            <w:vAlign w:val="center"/>
          </w:tcPr>
          <w:p>
            <w:pPr>
              <w:keepNext w:val="0"/>
              <w:spacing w:line="320" w:lineRule="exact" w:after="0" w:before="0"/>
              <w:ind w:firstLine="0"/>
              <w:jc w:val="left"/>
            </w:pPr>
            <w:r>
              <w:rPr>
                <w:b w:val="0"/>
                <w:sz w:val="21"/>
              </w:rPr>
              <w:t>许可有效、血缘完整、质量结论对应</w:t>
            </w:r>
          </w:p>
        </w:tc>
      </w:tr>
    </w:tbl>
    <w:p>
      <w:pPr>
        <w:spacing w:after="40" w:line="240" w:lineRule="auto"/>
        <w:ind w:firstLine="0"/>
      </w:pPr>
      <w:r>
        <w:rPr>
          <w:sz w:val="4"/>
        </w:rPr>
      </w:r>
    </w:p>
    <w:p>
      <w:pPr>
        <w:jc w:val="both"/>
      </w:pPr>
      <w:r>
        <w:t>覆盖检查按业务域与治理内容交叉展开，逐项确认实际对象和执行记录。某项能力由共用平台承载时，检查该域是否已经配置并实际使用；只有通用功能存在而该域尚未实施的，继续列入未完成任务。发现关联缺口时确定具体对象和责任岗位，修复后重新运行受影响链路，形成可核验的覆盖结果。</w:t>
      </w:r>
    </w:p>
    <w:p>
      <w:pPr>
        <w:pStyle w:val="Heading1"/>
      </w:pPr>
      <w:r>
        <w:t>5 数据治理平台与生产运营协同</w:t>
      </w:r>
    </w:p>
    <w:p>
      <w:pPr>
        <w:pStyle w:val="Heading2"/>
      </w:pPr>
      <w:r>
        <w:t>5.1 平台能力组织</w:t>
      </w:r>
    </w:p>
    <w:p>
      <w:pPr>
        <w:jc w:val="both"/>
      </w:pPr>
      <w:r>
        <w:t>数据治理平台作为神兽 OS 的治理能力组成，承载数据汇聚、数据处理、元数据、数据资产、数据标准、数据质量、数据安全、数据指标和数据服务管理。平台围绕统一资源目录和对象标识组织各项能力，业务规则通过审批后形成受控配置，运行结果自动关联任务、对象、版本和责任岗位。</w:t>
      </w:r>
    </w:p>
    <w:p>
      <w:pPr>
        <w:jc w:val="both"/>
      </w:pPr>
      <w:r>
        <w:t>平台按接入交换、治理作业、管理控制和数据服务组织逻辑能力。接入交换对接外围系统及离线资料，治理作业完成标准化、关联和校验，管理控制执行目录、标准、权限和变更管理，数据服务提供经核验的数据与指标。各能力结合部署环境落实计算、存储、网络、认证和审计配置，保留清楚的运维责任。</w:t>
      </w:r>
    </w:p>
    <w:p>
      <w:pPr>
        <w:jc w:val="both"/>
      </w:pPr>
      <w:r>
        <w:t>数据源接入首先建立连接、授权和对象配置，随后执行测试取数、结构核查及业务对账。首次汇聚形成基线，增量接收记录业务时间、接收时间、批次和处理状态。接收失败或结构变化按异常流程处理，对已收到的内容保留登记及问题记录，修复后重新核验。</w:t>
      </w:r>
    </w:p>
    <w:p>
      <w:pPr>
        <w:pStyle w:val="Heading2"/>
      </w:pPr>
      <w:r>
        <w:t>5.2 九项治理能力的实际执行</w:t>
      </w:r>
    </w:p>
    <w:p>
      <w:pPr>
        <w:jc w:val="both"/>
      </w:pPr>
      <w:r>
        <w:t>平台的数据处理围绕业务标准化和可复用数据供给配置任务。任务定义输入对象、字段映射、转换规则、关联条件、质量检查、输出结构与调度依赖，运行时绑定规则版本和输入批次。共享处理结果优先复用，差异用途通过明确配置形成不同产物，保持来源和处理差异可查。</w:t>
      </w:r>
    </w:p>
    <w:p>
      <w:pPr>
        <w:pStyle w:val="Caption"/>
        <w:keepNext/>
      </w:pPr>
      <w:r>
        <w:t>表5-1 九项治理能力的实际执行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能力</w:t>
            </w:r>
          </w:p>
        </w:tc>
        <w:tc>
          <w:tcPr>
            <w:tcW w:type="dxa" w:w="2699"/>
            <w:vAlign w:val="center"/>
            <w:shd w:fill="EDF1F3"/>
          </w:tcPr>
          <w:p>
            <w:pPr>
              <w:keepNext/>
              <w:spacing w:line="320" w:lineRule="exact" w:after="0" w:before="0"/>
              <w:ind w:firstLine="0"/>
              <w:jc w:val="center"/>
            </w:pPr>
            <w:r>
              <w:rPr>
                <w:b/>
                <w:sz w:val="21"/>
              </w:rPr>
              <w:t>输入与管理对象</w:t>
            </w:r>
          </w:p>
        </w:tc>
        <w:tc>
          <w:tcPr>
            <w:tcW w:type="dxa" w:w="2409"/>
            <w:vAlign w:val="center"/>
            <w:shd w:fill="EDF1F3"/>
          </w:tcPr>
          <w:p>
            <w:pPr>
              <w:keepNext/>
              <w:spacing w:line="320" w:lineRule="exact" w:after="0" w:before="0"/>
              <w:ind w:firstLine="0"/>
              <w:jc w:val="center"/>
            </w:pPr>
            <w:r>
              <w:rPr>
                <w:b/>
                <w:sz w:val="21"/>
              </w:rPr>
              <w:t>执行动作</w:t>
            </w:r>
          </w:p>
        </w:tc>
        <w:tc>
          <w:tcPr>
            <w:tcW w:type="dxa" w:w="2891"/>
            <w:vAlign w:val="center"/>
            <w:shd w:fill="EDF1F3"/>
          </w:tcPr>
          <w:p>
            <w:pPr>
              <w:keepNext/>
              <w:spacing w:line="320" w:lineRule="exact" w:after="0" w:before="0"/>
              <w:ind w:firstLine="0"/>
              <w:jc w:val="center"/>
            </w:pPr>
            <w:r>
              <w:rPr>
                <w:b/>
                <w:sz w:val="21"/>
              </w:rPr>
              <w:t>输出与检查</w:t>
            </w:r>
          </w:p>
        </w:tc>
      </w:tr>
      <w:tr>
        <w:trPr>
          <w:cantSplit/>
        </w:trPr>
        <w:tc>
          <w:tcPr>
            <w:tcW w:type="dxa" w:w="1638"/>
            <w:vAlign w:val="center"/>
          </w:tcPr>
          <w:p>
            <w:pPr>
              <w:keepNext w:val="0"/>
              <w:spacing w:line="320" w:lineRule="exact" w:after="0" w:before="0"/>
              <w:ind w:firstLine="0"/>
              <w:jc w:val="left"/>
            </w:pPr>
            <w:r>
              <w:rPr>
                <w:b w:val="0"/>
                <w:sz w:val="21"/>
              </w:rPr>
              <w:t>数据汇聚</w:t>
            </w:r>
          </w:p>
        </w:tc>
        <w:tc>
          <w:tcPr>
            <w:tcW w:type="dxa" w:w="2699"/>
            <w:vAlign w:val="center"/>
          </w:tcPr>
          <w:p>
            <w:pPr>
              <w:keepNext w:val="0"/>
              <w:spacing w:line="320" w:lineRule="exact" w:after="0" w:before="0"/>
              <w:ind w:firstLine="0"/>
              <w:jc w:val="left"/>
            </w:pPr>
            <w:r>
              <w:rPr>
                <w:b w:val="0"/>
                <w:sz w:val="21"/>
              </w:rPr>
              <w:t>系统接口、文件和离线资源</w:t>
            </w:r>
          </w:p>
        </w:tc>
        <w:tc>
          <w:tcPr>
            <w:tcW w:type="dxa" w:w="2409"/>
            <w:vAlign w:val="center"/>
          </w:tcPr>
          <w:p>
            <w:pPr>
              <w:keepNext w:val="0"/>
              <w:spacing w:line="320" w:lineRule="exact" w:after="0" w:before="0"/>
              <w:ind w:firstLine="0"/>
              <w:jc w:val="left"/>
            </w:pPr>
            <w:r>
              <w:rPr>
                <w:b w:val="0"/>
                <w:sz w:val="21"/>
              </w:rPr>
              <w:t>接收、登记、增量识别和对账</w:t>
            </w:r>
          </w:p>
        </w:tc>
        <w:tc>
          <w:tcPr>
            <w:tcW w:type="dxa" w:w="2891"/>
            <w:vAlign w:val="center"/>
          </w:tcPr>
          <w:p>
            <w:pPr>
              <w:keepNext w:val="0"/>
              <w:spacing w:line="320" w:lineRule="exact" w:after="0" w:before="0"/>
              <w:ind w:firstLine="0"/>
              <w:jc w:val="left"/>
            </w:pPr>
            <w:r>
              <w:rPr>
                <w:b w:val="0"/>
                <w:sz w:val="21"/>
              </w:rPr>
              <w:t>批次、差异及接收状态</w:t>
            </w:r>
          </w:p>
        </w:tc>
      </w:tr>
      <w:tr>
        <w:trPr>
          <w:cantSplit/>
        </w:trPr>
        <w:tc>
          <w:tcPr>
            <w:tcW w:type="dxa" w:w="1638"/>
            <w:vAlign w:val="center"/>
          </w:tcPr>
          <w:p>
            <w:pPr>
              <w:keepNext w:val="0"/>
              <w:spacing w:line="320" w:lineRule="exact" w:after="0" w:before="0"/>
              <w:ind w:firstLine="0"/>
              <w:jc w:val="left"/>
            </w:pPr>
            <w:r>
              <w:rPr>
                <w:b w:val="0"/>
                <w:sz w:val="21"/>
              </w:rPr>
              <w:t>数据处理</w:t>
            </w:r>
          </w:p>
        </w:tc>
        <w:tc>
          <w:tcPr>
            <w:tcW w:type="dxa" w:w="2699"/>
            <w:vAlign w:val="center"/>
          </w:tcPr>
          <w:p>
            <w:pPr>
              <w:keepNext w:val="0"/>
              <w:spacing w:line="320" w:lineRule="exact" w:after="0" w:before="0"/>
              <w:ind w:firstLine="0"/>
              <w:jc w:val="left"/>
            </w:pPr>
            <w:r>
              <w:rPr>
                <w:b w:val="0"/>
                <w:sz w:val="21"/>
              </w:rPr>
              <w:t>来源数据与处理规则</w:t>
            </w:r>
          </w:p>
        </w:tc>
        <w:tc>
          <w:tcPr>
            <w:tcW w:type="dxa" w:w="2409"/>
            <w:vAlign w:val="center"/>
          </w:tcPr>
          <w:p>
            <w:pPr>
              <w:keepNext w:val="0"/>
              <w:spacing w:line="320" w:lineRule="exact" w:after="0" w:before="0"/>
              <w:ind w:firstLine="0"/>
              <w:jc w:val="left"/>
            </w:pPr>
            <w:r>
              <w:rPr>
                <w:b w:val="0"/>
                <w:sz w:val="21"/>
              </w:rPr>
              <w:t>标准化、转换、关联和修复</w:t>
            </w:r>
          </w:p>
        </w:tc>
        <w:tc>
          <w:tcPr>
            <w:tcW w:type="dxa" w:w="2891"/>
            <w:vAlign w:val="center"/>
          </w:tcPr>
          <w:p>
            <w:pPr>
              <w:keepNext w:val="0"/>
              <w:spacing w:line="320" w:lineRule="exact" w:after="0" w:before="0"/>
              <w:ind w:firstLine="0"/>
              <w:jc w:val="left"/>
            </w:pPr>
            <w:r>
              <w:rPr>
                <w:b w:val="0"/>
                <w:sz w:val="21"/>
              </w:rPr>
              <w:t>结果、质量标记与处理记录</w:t>
            </w:r>
          </w:p>
        </w:tc>
      </w:tr>
      <w:tr>
        <w:trPr>
          <w:cantSplit/>
        </w:trPr>
        <w:tc>
          <w:tcPr>
            <w:tcW w:type="dxa" w:w="1638"/>
            <w:vAlign w:val="center"/>
          </w:tcPr>
          <w:p>
            <w:pPr>
              <w:keepNext w:val="0"/>
              <w:spacing w:line="320" w:lineRule="exact" w:after="0" w:before="0"/>
              <w:ind w:firstLine="0"/>
              <w:jc w:val="left"/>
            </w:pPr>
            <w:r>
              <w:rPr>
                <w:b w:val="0"/>
                <w:sz w:val="21"/>
              </w:rPr>
              <w:t>元数据管理</w:t>
            </w:r>
          </w:p>
        </w:tc>
        <w:tc>
          <w:tcPr>
            <w:tcW w:type="dxa" w:w="2699"/>
            <w:vAlign w:val="center"/>
          </w:tcPr>
          <w:p>
            <w:pPr>
              <w:keepNext w:val="0"/>
              <w:spacing w:line="320" w:lineRule="exact" w:after="0" w:before="0"/>
              <w:ind w:firstLine="0"/>
              <w:jc w:val="left"/>
            </w:pPr>
            <w:r>
              <w:rPr>
                <w:b w:val="0"/>
                <w:sz w:val="21"/>
              </w:rPr>
              <w:t>业务、技术和管理信息</w:t>
            </w:r>
          </w:p>
        </w:tc>
        <w:tc>
          <w:tcPr>
            <w:tcW w:type="dxa" w:w="2409"/>
            <w:vAlign w:val="center"/>
          </w:tcPr>
          <w:p>
            <w:pPr>
              <w:keepNext w:val="0"/>
              <w:spacing w:line="320" w:lineRule="exact" w:after="0" w:before="0"/>
              <w:ind w:firstLine="0"/>
              <w:jc w:val="left"/>
            </w:pPr>
            <w:r>
              <w:rPr>
                <w:b w:val="0"/>
                <w:sz w:val="21"/>
              </w:rPr>
              <w:t>采集、维护、关系识别和变更分析</w:t>
            </w:r>
          </w:p>
        </w:tc>
        <w:tc>
          <w:tcPr>
            <w:tcW w:type="dxa" w:w="2891"/>
            <w:vAlign w:val="center"/>
          </w:tcPr>
          <w:p>
            <w:pPr>
              <w:keepNext w:val="0"/>
              <w:spacing w:line="320" w:lineRule="exact" w:after="0" w:before="0"/>
              <w:ind w:firstLine="0"/>
              <w:jc w:val="left"/>
            </w:pPr>
            <w:r>
              <w:rPr>
                <w:b w:val="0"/>
                <w:sz w:val="21"/>
              </w:rPr>
              <w:t>目录、血缘与影响范围</w:t>
            </w:r>
          </w:p>
        </w:tc>
      </w:tr>
      <w:tr>
        <w:trPr>
          <w:cantSplit/>
        </w:trPr>
        <w:tc>
          <w:tcPr>
            <w:tcW w:type="dxa" w:w="1638"/>
            <w:vAlign w:val="center"/>
          </w:tcPr>
          <w:p>
            <w:pPr>
              <w:keepNext w:val="0"/>
              <w:spacing w:line="320" w:lineRule="exact" w:after="0" w:before="0"/>
              <w:ind w:firstLine="0"/>
              <w:jc w:val="left"/>
            </w:pPr>
            <w:r>
              <w:rPr>
                <w:b w:val="0"/>
                <w:sz w:val="21"/>
              </w:rPr>
              <w:t>数据资产管理</w:t>
            </w:r>
          </w:p>
        </w:tc>
        <w:tc>
          <w:tcPr>
            <w:tcW w:type="dxa" w:w="2699"/>
            <w:vAlign w:val="center"/>
          </w:tcPr>
          <w:p>
            <w:pPr>
              <w:keepNext w:val="0"/>
              <w:spacing w:line="320" w:lineRule="exact" w:after="0" w:before="0"/>
              <w:ind w:firstLine="0"/>
              <w:jc w:val="left"/>
            </w:pPr>
            <w:r>
              <w:rPr>
                <w:b w:val="0"/>
                <w:sz w:val="21"/>
              </w:rPr>
              <w:t>资源、责任与许可</w:t>
            </w:r>
          </w:p>
        </w:tc>
        <w:tc>
          <w:tcPr>
            <w:tcW w:type="dxa" w:w="2409"/>
            <w:vAlign w:val="center"/>
          </w:tcPr>
          <w:p>
            <w:pPr>
              <w:keepNext w:val="0"/>
              <w:spacing w:line="320" w:lineRule="exact" w:after="0" w:before="0"/>
              <w:ind w:firstLine="0"/>
              <w:jc w:val="left"/>
            </w:pPr>
            <w:r>
              <w:rPr>
                <w:b w:val="0"/>
                <w:sz w:val="21"/>
              </w:rPr>
              <w:t>登记、评价、申请及使用跟踪</w:t>
            </w:r>
          </w:p>
        </w:tc>
        <w:tc>
          <w:tcPr>
            <w:tcW w:type="dxa" w:w="2891"/>
            <w:vAlign w:val="center"/>
          </w:tcPr>
          <w:p>
            <w:pPr>
              <w:keepNext w:val="0"/>
              <w:spacing w:line="320" w:lineRule="exact" w:after="0" w:before="0"/>
              <w:ind w:firstLine="0"/>
              <w:jc w:val="left"/>
            </w:pPr>
            <w:r>
              <w:rPr>
                <w:b w:val="0"/>
                <w:sz w:val="21"/>
              </w:rPr>
              <w:t>资源目录和使用档案</w:t>
            </w:r>
          </w:p>
        </w:tc>
      </w:tr>
      <w:tr>
        <w:trPr>
          <w:cantSplit/>
        </w:trPr>
        <w:tc>
          <w:tcPr>
            <w:tcW w:type="dxa" w:w="1638"/>
            <w:vAlign w:val="center"/>
          </w:tcPr>
          <w:p>
            <w:pPr>
              <w:keepNext w:val="0"/>
              <w:spacing w:line="320" w:lineRule="exact" w:after="0" w:before="0"/>
              <w:ind w:firstLine="0"/>
              <w:jc w:val="left"/>
            </w:pPr>
            <w:r>
              <w:rPr>
                <w:b w:val="0"/>
                <w:sz w:val="21"/>
              </w:rPr>
              <w:t>数据标准管理</w:t>
            </w:r>
          </w:p>
        </w:tc>
        <w:tc>
          <w:tcPr>
            <w:tcW w:type="dxa" w:w="2699"/>
            <w:vAlign w:val="center"/>
          </w:tcPr>
          <w:p>
            <w:pPr>
              <w:keepNext w:val="0"/>
              <w:spacing w:line="320" w:lineRule="exact" w:after="0" w:before="0"/>
              <w:ind w:firstLine="0"/>
              <w:jc w:val="left"/>
            </w:pPr>
            <w:r>
              <w:rPr>
                <w:b w:val="0"/>
                <w:sz w:val="21"/>
              </w:rPr>
              <w:t>术语、数据元、代码及指标</w:t>
            </w:r>
          </w:p>
        </w:tc>
        <w:tc>
          <w:tcPr>
            <w:tcW w:type="dxa" w:w="2409"/>
            <w:vAlign w:val="center"/>
          </w:tcPr>
          <w:p>
            <w:pPr>
              <w:keepNext w:val="0"/>
              <w:spacing w:line="320" w:lineRule="exact" w:after="0" w:before="0"/>
              <w:ind w:firstLine="0"/>
              <w:jc w:val="left"/>
            </w:pPr>
            <w:r>
              <w:rPr>
                <w:b w:val="0"/>
                <w:sz w:val="21"/>
              </w:rPr>
              <w:t>审核、发布、映射和执行检查</w:t>
            </w:r>
          </w:p>
        </w:tc>
        <w:tc>
          <w:tcPr>
            <w:tcW w:type="dxa" w:w="2891"/>
            <w:vAlign w:val="center"/>
          </w:tcPr>
          <w:p>
            <w:pPr>
              <w:keepNext w:val="0"/>
              <w:spacing w:line="320" w:lineRule="exact" w:after="0" w:before="0"/>
              <w:ind w:firstLine="0"/>
              <w:jc w:val="left"/>
            </w:pPr>
            <w:r>
              <w:rPr>
                <w:b w:val="0"/>
                <w:sz w:val="21"/>
              </w:rPr>
              <w:t>生效标准及映射结果</w:t>
            </w:r>
          </w:p>
        </w:tc>
      </w:tr>
      <w:tr>
        <w:trPr>
          <w:cantSplit/>
        </w:trPr>
        <w:tc>
          <w:tcPr>
            <w:tcW w:type="dxa" w:w="1638"/>
            <w:vAlign w:val="center"/>
          </w:tcPr>
          <w:p>
            <w:pPr>
              <w:keepNext w:val="0"/>
              <w:spacing w:line="320" w:lineRule="exact" w:after="0" w:before="0"/>
              <w:ind w:firstLine="0"/>
              <w:jc w:val="left"/>
            </w:pPr>
            <w:r>
              <w:rPr>
                <w:b w:val="0"/>
                <w:sz w:val="21"/>
              </w:rPr>
              <w:t>数据质量管理</w:t>
            </w:r>
          </w:p>
        </w:tc>
        <w:tc>
          <w:tcPr>
            <w:tcW w:type="dxa" w:w="2699"/>
            <w:vAlign w:val="center"/>
          </w:tcPr>
          <w:p>
            <w:pPr>
              <w:keepNext w:val="0"/>
              <w:spacing w:line="320" w:lineRule="exact" w:after="0" w:before="0"/>
              <w:ind w:firstLine="0"/>
              <w:jc w:val="left"/>
            </w:pPr>
            <w:r>
              <w:rPr>
                <w:b w:val="0"/>
                <w:sz w:val="21"/>
              </w:rPr>
              <w:t>质量需求和规则库</w:t>
            </w:r>
          </w:p>
        </w:tc>
        <w:tc>
          <w:tcPr>
            <w:tcW w:type="dxa" w:w="2409"/>
            <w:vAlign w:val="center"/>
          </w:tcPr>
          <w:p>
            <w:pPr>
              <w:keepNext w:val="0"/>
              <w:spacing w:line="320" w:lineRule="exact" w:after="0" w:before="0"/>
              <w:ind w:firstLine="0"/>
              <w:jc w:val="left"/>
            </w:pPr>
            <w:r>
              <w:rPr>
                <w:b w:val="0"/>
                <w:sz w:val="21"/>
              </w:rPr>
              <w:t>稽核、分析、分派及复核</w:t>
            </w:r>
          </w:p>
        </w:tc>
        <w:tc>
          <w:tcPr>
            <w:tcW w:type="dxa" w:w="2891"/>
            <w:vAlign w:val="center"/>
          </w:tcPr>
          <w:p>
            <w:pPr>
              <w:keepNext w:val="0"/>
              <w:spacing w:line="320" w:lineRule="exact" w:after="0" w:before="0"/>
              <w:ind w:firstLine="0"/>
              <w:jc w:val="left"/>
            </w:pPr>
            <w:r>
              <w:rPr>
                <w:b w:val="0"/>
                <w:sz w:val="21"/>
              </w:rPr>
              <w:t>问题台账和质量结果</w:t>
            </w:r>
          </w:p>
        </w:tc>
      </w:tr>
      <w:tr>
        <w:trPr>
          <w:cantSplit/>
        </w:trPr>
        <w:tc>
          <w:tcPr>
            <w:tcW w:type="dxa" w:w="1638"/>
            <w:vAlign w:val="center"/>
          </w:tcPr>
          <w:p>
            <w:pPr>
              <w:keepNext w:val="0"/>
              <w:spacing w:line="320" w:lineRule="exact" w:after="0" w:before="0"/>
              <w:ind w:firstLine="0"/>
              <w:jc w:val="left"/>
            </w:pPr>
            <w:r>
              <w:rPr>
                <w:b w:val="0"/>
                <w:sz w:val="21"/>
              </w:rPr>
              <w:t>数据安全管理</w:t>
            </w:r>
          </w:p>
        </w:tc>
        <w:tc>
          <w:tcPr>
            <w:tcW w:type="dxa" w:w="2699"/>
            <w:vAlign w:val="center"/>
          </w:tcPr>
          <w:p>
            <w:pPr>
              <w:keepNext w:val="0"/>
              <w:spacing w:line="320" w:lineRule="exact" w:after="0" w:before="0"/>
              <w:ind w:firstLine="0"/>
              <w:jc w:val="left"/>
            </w:pPr>
            <w:r>
              <w:rPr>
                <w:b w:val="0"/>
                <w:sz w:val="21"/>
              </w:rPr>
              <w:t>等级、角色、用途和权限</w:t>
            </w:r>
          </w:p>
        </w:tc>
        <w:tc>
          <w:tcPr>
            <w:tcW w:type="dxa" w:w="2409"/>
            <w:vAlign w:val="center"/>
          </w:tcPr>
          <w:p>
            <w:pPr>
              <w:keepNext w:val="0"/>
              <w:spacing w:line="320" w:lineRule="exact" w:after="0" w:before="0"/>
              <w:ind w:firstLine="0"/>
              <w:jc w:val="left"/>
            </w:pPr>
            <w:r>
              <w:rPr>
                <w:b w:val="0"/>
                <w:sz w:val="21"/>
              </w:rPr>
              <w:t>审批、校验、脱敏和审计</w:t>
            </w:r>
          </w:p>
        </w:tc>
        <w:tc>
          <w:tcPr>
            <w:tcW w:type="dxa" w:w="2891"/>
            <w:vAlign w:val="center"/>
          </w:tcPr>
          <w:p>
            <w:pPr>
              <w:keepNext w:val="0"/>
              <w:spacing w:line="320" w:lineRule="exact" w:after="0" w:before="0"/>
              <w:ind w:firstLine="0"/>
              <w:jc w:val="left"/>
            </w:pPr>
            <w:r>
              <w:rPr>
                <w:b w:val="0"/>
                <w:sz w:val="21"/>
              </w:rPr>
              <w:t>授权记录及安全检查</w:t>
            </w:r>
          </w:p>
        </w:tc>
      </w:tr>
      <w:tr>
        <w:trPr>
          <w:cantSplit/>
        </w:trPr>
        <w:tc>
          <w:tcPr>
            <w:tcW w:type="dxa" w:w="1638"/>
            <w:vAlign w:val="center"/>
          </w:tcPr>
          <w:p>
            <w:pPr>
              <w:keepNext w:val="0"/>
              <w:spacing w:line="320" w:lineRule="exact" w:after="0" w:before="0"/>
              <w:ind w:firstLine="0"/>
              <w:jc w:val="left"/>
            </w:pPr>
            <w:r>
              <w:rPr>
                <w:b w:val="0"/>
                <w:sz w:val="21"/>
              </w:rPr>
              <w:t>数据指标管理</w:t>
            </w:r>
          </w:p>
        </w:tc>
        <w:tc>
          <w:tcPr>
            <w:tcW w:type="dxa" w:w="2699"/>
            <w:vAlign w:val="center"/>
          </w:tcPr>
          <w:p>
            <w:pPr>
              <w:keepNext w:val="0"/>
              <w:spacing w:line="320" w:lineRule="exact" w:after="0" w:before="0"/>
              <w:ind w:firstLine="0"/>
              <w:jc w:val="left"/>
            </w:pPr>
            <w:r>
              <w:rPr>
                <w:b w:val="0"/>
                <w:sz w:val="21"/>
              </w:rPr>
              <w:t>指标口径与业务数据</w:t>
            </w:r>
          </w:p>
        </w:tc>
        <w:tc>
          <w:tcPr>
            <w:tcW w:type="dxa" w:w="2409"/>
            <w:vAlign w:val="center"/>
          </w:tcPr>
          <w:p>
            <w:pPr>
              <w:keepNext w:val="0"/>
              <w:spacing w:line="320" w:lineRule="exact" w:after="0" w:before="0"/>
              <w:ind w:firstLine="0"/>
              <w:jc w:val="left"/>
            </w:pPr>
            <w:r>
              <w:rPr>
                <w:b w:val="0"/>
                <w:sz w:val="21"/>
              </w:rPr>
              <w:t>计算、对账、版本和结果发布</w:t>
            </w:r>
          </w:p>
        </w:tc>
        <w:tc>
          <w:tcPr>
            <w:tcW w:type="dxa" w:w="2891"/>
            <w:vAlign w:val="center"/>
          </w:tcPr>
          <w:p>
            <w:pPr>
              <w:keepNext w:val="0"/>
              <w:spacing w:line="320" w:lineRule="exact" w:after="0" w:before="0"/>
              <w:ind w:firstLine="0"/>
              <w:jc w:val="left"/>
            </w:pPr>
            <w:r>
              <w:rPr>
                <w:b w:val="0"/>
                <w:sz w:val="21"/>
              </w:rPr>
              <w:t>指标卡及计算证据</w:t>
            </w:r>
          </w:p>
        </w:tc>
      </w:tr>
      <w:tr>
        <w:trPr>
          <w:cantSplit/>
        </w:trPr>
        <w:tc>
          <w:tcPr>
            <w:tcW w:type="dxa" w:w="1638"/>
            <w:vAlign w:val="center"/>
          </w:tcPr>
          <w:p>
            <w:pPr>
              <w:keepNext w:val="0"/>
              <w:spacing w:line="320" w:lineRule="exact" w:after="0" w:before="0"/>
              <w:ind w:firstLine="0"/>
              <w:jc w:val="left"/>
            </w:pPr>
            <w:r>
              <w:rPr>
                <w:b w:val="0"/>
                <w:sz w:val="21"/>
              </w:rPr>
              <w:t>数据服务管理</w:t>
            </w:r>
          </w:p>
        </w:tc>
        <w:tc>
          <w:tcPr>
            <w:tcW w:type="dxa" w:w="2699"/>
            <w:vAlign w:val="center"/>
          </w:tcPr>
          <w:p>
            <w:pPr>
              <w:keepNext w:val="0"/>
              <w:spacing w:line="320" w:lineRule="exact" w:after="0" w:before="0"/>
              <w:ind w:firstLine="0"/>
              <w:jc w:val="left"/>
            </w:pPr>
            <w:r>
              <w:rPr>
                <w:b w:val="0"/>
                <w:sz w:val="21"/>
              </w:rPr>
              <w:t>数据、接口和使用需求</w:t>
            </w:r>
          </w:p>
        </w:tc>
        <w:tc>
          <w:tcPr>
            <w:tcW w:type="dxa" w:w="2409"/>
            <w:vAlign w:val="center"/>
          </w:tcPr>
          <w:p>
            <w:pPr>
              <w:keepNext w:val="0"/>
              <w:spacing w:line="320" w:lineRule="exact" w:after="0" w:before="0"/>
              <w:ind w:firstLine="0"/>
              <w:jc w:val="left"/>
            </w:pPr>
            <w:r>
              <w:rPr>
                <w:b w:val="0"/>
                <w:sz w:val="21"/>
              </w:rPr>
              <w:t>发布、授权、调用和回收</w:t>
            </w:r>
          </w:p>
        </w:tc>
        <w:tc>
          <w:tcPr>
            <w:tcW w:type="dxa" w:w="2891"/>
            <w:vAlign w:val="center"/>
          </w:tcPr>
          <w:p>
            <w:pPr>
              <w:keepNext w:val="0"/>
              <w:spacing w:line="320" w:lineRule="exact" w:after="0" w:before="0"/>
              <w:ind w:firstLine="0"/>
              <w:jc w:val="left"/>
            </w:pPr>
            <w:r>
              <w:rPr>
                <w:b w:val="0"/>
                <w:sz w:val="21"/>
              </w:rPr>
              <w:t>服务目录及运行记录</w:t>
            </w:r>
          </w:p>
        </w:tc>
      </w:tr>
    </w:tbl>
    <w:p>
      <w:pPr>
        <w:spacing w:after="40" w:line="240" w:lineRule="auto"/>
        <w:ind w:firstLine="0"/>
      </w:pPr>
      <w:r>
        <w:rPr>
          <w:sz w:val="4"/>
        </w:rPr>
      </w:r>
    </w:p>
    <w:p>
      <w:pPr>
        <w:jc w:val="both"/>
      </w:pPr>
      <w:r>
        <w:t>调度按数据依赖和质量条件执行。上游批次尚未完成或关键校验失败时，相关下游任务保持等待或隔离状态，并提示原因与责任岗位。异常修复后从受影响节点重跑，重复接收采用任务标识和批次标识控制幂等，避免同一业务记录因重试被重复计量。</w:t>
      </w:r>
    </w:p>
    <w:p>
      <w:pPr>
        <w:pStyle w:val="Heading2"/>
      </w:pPr>
      <w:r>
        <w:t>5.3 治理平台与加工生产平台的衔接</w:t>
      </w:r>
    </w:p>
    <w:p>
      <w:pPr>
        <w:jc w:val="both"/>
      </w:pPr>
      <w:r>
        <w:t>治理平台提供生效术语、数据元、参考代码、主数据映射、分类分级、质量规则及授权条件；加工生产平台据此组织具体加工任务。每个生产批次登记采用的治理规则版本，专业本体和知识库引用统一业务定义，经专业终审后用于标注和合成。新增业务概念先经过专业审核，再按标准管理流程形成正式定义。</w:t>
      </w:r>
    </w:p>
    <w:p>
      <w:pPr>
        <w:jc w:val="both"/>
      </w:pPr>
      <w:r>
        <w:t>加工侧返回样本来源、处理环节、规则版本、质量结果、错样归因和数据集版本关系。治理侧使用这些记录分析源数据问题、标准适配问题和跨域关联缺口。源头问题由业务责任岗位处置，生产规则问题由加工岗位修复，标准问题经评审修改；处理结果沿相应关系返回受影响批次。</w:t>
      </w:r>
    </w:p>
    <w:p>
      <w:pPr>
        <w:jc w:val="both"/>
      </w:pPr>
      <w:r>
        <w:t>数据治理质量、数据集生产质检和第三方评测各自保存检查对象与方法。业务字段检查通过后，样本仍需通过专业标注、内容和任务适配检查；数据集生产质检通过后，正式评测按规定执行。平台通过指标映射共享证据，保留每次检查的真实结论及适用范围。</w:t>
      </w:r>
    </w:p>
    <w:p>
      <w:pPr>
        <w:pStyle w:val="Caption"/>
        <w:keepNext/>
      </w:pPr>
      <w:r>
        <w:t>表5-2 治理平台与加工生产平台的衔接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交接方向</w:t>
            </w:r>
          </w:p>
        </w:tc>
        <w:tc>
          <w:tcPr>
            <w:tcW w:type="dxa" w:w="2699"/>
            <w:vAlign w:val="center"/>
            <w:shd w:fill="EDF1F3"/>
          </w:tcPr>
          <w:p>
            <w:pPr>
              <w:keepNext/>
              <w:spacing w:line="320" w:lineRule="exact" w:after="0" w:before="0"/>
              <w:ind w:firstLine="0"/>
              <w:jc w:val="center"/>
            </w:pPr>
            <w:r>
              <w:rPr>
                <w:b/>
                <w:sz w:val="21"/>
              </w:rPr>
              <w:t>交接内容</w:t>
            </w:r>
          </w:p>
        </w:tc>
        <w:tc>
          <w:tcPr>
            <w:tcW w:type="dxa" w:w="2409"/>
            <w:vAlign w:val="center"/>
            <w:shd w:fill="EDF1F3"/>
          </w:tcPr>
          <w:p>
            <w:pPr>
              <w:keepNext/>
              <w:spacing w:line="320" w:lineRule="exact" w:after="0" w:before="0"/>
              <w:ind w:firstLine="0"/>
              <w:jc w:val="center"/>
            </w:pPr>
            <w:r>
              <w:rPr>
                <w:b/>
                <w:sz w:val="21"/>
              </w:rPr>
              <w:t>接收检查</w:t>
            </w:r>
          </w:p>
        </w:tc>
        <w:tc>
          <w:tcPr>
            <w:tcW w:type="dxa" w:w="2891"/>
            <w:vAlign w:val="center"/>
            <w:shd w:fill="EDF1F3"/>
          </w:tcPr>
          <w:p>
            <w:pPr>
              <w:keepNext/>
              <w:spacing w:line="320" w:lineRule="exact" w:after="0" w:before="0"/>
              <w:ind w:firstLine="0"/>
              <w:jc w:val="center"/>
            </w:pPr>
            <w:r>
              <w:rPr>
                <w:b/>
                <w:sz w:val="21"/>
              </w:rPr>
              <w:t>异常处理</w:t>
            </w:r>
          </w:p>
        </w:tc>
      </w:tr>
      <w:tr>
        <w:trPr>
          <w:cantSplit/>
        </w:trPr>
        <w:tc>
          <w:tcPr>
            <w:tcW w:type="dxa" w:w="1638"/>
            <w:vAlign w:val="center"/>
          </w:tcPr>
          <w:p>
            <w:pPr>
              <w:keepNext w:val="0"/>
              <w:spacing w:line="320" w:lineRule="exact" w:after="0" w:before="0"/>
              <w:ind w:firstLine="0"/>
              <w:jc w:val="left"/>
            </w:pPr>
            <w:r>
              <w:rPr>
                <w:b w:val="0"/>
                <w:sz w:val="21"/>
              </w:rPr>
              <w:t>治理至接入</w:t>
            </w:r>
          </w:p>
        </w:tc>
        <w:tc>
          <w:tcPr>
            <w:tcW w:type="dxa" w:w="2699"/>
            <w:vAlign w:val="center"/>
          </w:tcPr>
          <w:p>
            <w:pPr>
              <w:keepNext w:val="0"/>
              <w:spacing w:line="320" w:lineRule="exact" w:after="0" w:before="0"/>
              <w:ind w:firstLine="0"/>
              <w:jc w:val="left"/>
            </w:pPr>
            <w:r>
              <w:rPr>
                <w:b w:val="0"/>
                <w:sz w:val="21"/>
              </w:rPr>
              <w:t>来源、字段、权限及对账规则</w:t>
            </w:r>
          </w:p>
        </w:tc>
        <w:tc>
          <w:tcPr>
            <w:tcW w:type="dxa" w:w="2409"/>
            <w:vAlign w:val="center"/>
          </w:tcPr>
          <w:p>
            <w:pPr>
              <w:keepNext w:val="0"/>
              <w:spacing w:line="320" w:lineRule="exact" w:after="0" w:before="0"/>
              <w:ind w:firstLine="0"/>
              <w:jc w:val="left"/>
            </w:pPr>
            <w:r>
              <w:rPr>
                <w:b w:val="0"/>
                <w:sz w:val="21"/>
              </w:rPr>
              <w:t>对象范围和授权有效</w:t>
            </w:r>
          </w:p>
        </w:tc>
        <w:tc>
          <w:tcPr>
            <w:tcW w:type="dxa" w:w="2891"/>
            <w:vAlign w:val="center"/>
          </w:tcPr>
          <w:p>
            <w:pPr>
              <w:keepNext w:val="0"/>
              <w:spacing w:line="320" w:lineRule="exact" w:after="0" w:before="0"/>
              <w:ind w:firstLine="0"/>
              <w:jc w:val="left"/>
            </w:pPr>
            <w:r>
              <w:rPr>
                <w:b w:val="0"/>
                <w:sz w:val="21"/>
              </w:rPr>
              <w:t>修正配置并重新试取</w:t>
            </w:r>
          </w:p>
        </w:tc>
      </w:tr>
      <w:tr>
        <w:trPr>
          <w:cantSplit/>
        </w:trPr>
        <w:tc>
          <w:tcPr>
            <w:tcW w:type="dxa" w:w="1638"/>
            <w:vAlign w:val="center"/>
          </w:tcPr>
          <w:p>
            <w:pPr>
              <w:keepNext w:val="0"/>
              <w:spacing w:line="320" w:lineRule="exact" w:after="0" w:before="0"/>
              <w:ind w:firstLine="0"/>
              <w:jc w:val="left"/>
            </w:pPr>
            <w:r>
              <w:rPr>
                <w:b w:val="0"/>
                <w:sz w:val="21"/>
              </w:rPr>
              <w:t>治理至知识建设</w:t>
            </w:r>
          </w:p>
        </w:tc>
        <w:tc>
          <w:tcPr>
            <w:tcW w:type="dxa" w:w="2699"/>
            <w:vAlign w:val="center"/>
          </w:tcPr>
          <w:p>
            <w:pPr>
              <w:keepNext w:val="0"/>
              <w:spacing w:line="320" w:lineRule="exact" w:after="0" w:before="0"/>
              <w:ind w:firstLine="0"/>
              <w:jc w:val="left"/>
            </w:pPr>
            <w:r>
              <w:rPr>
                <w:b w:val="0"/>
                <w:sz w:val="21"/>
              </w:rPr>
              <w:t>术语、标准、主数据与指标口径</w:t>
            </w:r>
          </w:p>
        </w:tc>
        <w:tc>
          <w:tcPr>
            <w:tcW w:type="dxa" w:w="2409"/>
            <w:vAlign w:val="center"/>
          </w:tcPr>
          <w:p>
            <w:pPr>
              <w:keepNext w:val="0"/>
              <w:spacing w:line="320" w:lineRule="exact" w:after="0" w:before="0"/>
              <w:ind w:firstLine="0"/>
              <w:jc w:val="left"/>
            </w:pPr>
            <w:r>
              <w:rPr>
                <w:b w:val="0"/>
                <w:sz w:val="21"/>
              </w:rPr>
              <w:t>版本、适用条件和专业审核</w:t>
            </w:r>
          </w:p>
        </w:tc>
        <w:tc>
          <w:tcPr>
            <w:tcW w:type="dxa" w:w="2891"/>
            <w:vAlign w:val="center"/>
          </w:tcPr>
          <w:p>
            <w:pPr>
              <w:keepNext w:val="0"/>
              <w:spacing w:line="320" w:lineRule="exact" w:after="0" w:before="0"/>
              <w:ind w:firstLine="0"/>
              <w:jc w:val="left"/>
            </w:pPr>
            <w:r>
              <w:rPr>
                <w:b w:val="0"/>
                <w:sz w:val="21"/>
              </w:rPr>
              <w:t>退回冲突条目核定</w:t>
            </w:r>
          </w:p>
        </w:tc>
      </w:tr>
      <w:tr>
        <w:trPr>
          <w:cantSplit/>
        </w:trPr>
        <w:tc>
          <w:tcPr>
            <w:tcW w:type="dxa" w:w="1638"/>
            <w:vAlign w:val="center"/>
          </w:tcPr>
          <w:p>
            <w:pPr>
              <w:keepNext w:val="0"/>
              <w:spacing w:line="320" w:lineRule="exact" w:after="0" w:before="0"/>
              <w:ind w:firstLine="0"/>
              <w:jc w:val="left"/>
            </w:pPr>
            <w:r>
              <w:rPr>
                <w:b w:val="0"/>
                <w:sz w:val="21"/>
              </w:rPr>
              <w:t>治理至加工</w:t>
            </w:r>
          </w:p>
        </w:tc>
        <w:tc>
          <w:tcPr>
            <w:tcW w:type="dxa" w:w="2699"/>
            <w:vAlign w:val="center"/>
          </w:tcPr>
          <w:p>
            <w:pPr>
              <w:keepNext w:val="0"/>
              <w:spacing w:line="320" w:lineRule="exact" w:after="0" w:before="0"/>
              <w:ind w:firstLine="0"/>
              <w:jc w:val="left"/>
            </w:pPr>
            <w:r>
              <w:rPr>
                <w:b w:val="0"/>
                <w:sz w:val="21"/>
              </w:rPr>
              <w:t>映射、质量规则与分级策略</w:t>
            </w:r>
          </w:p>
        </w:tc>
        <w:tc>
          <w:tcPr>
            <w:tcW w:type="dxa" w:w="2409"/>
            <w:vAlign w:val="center"/>
          </w:tcPr>
          <w:p>
            <w:pPr>
              <w:keepNext w:val="0"/>
              <w:spacing w:line="320" w:lineRule="exact" w:after="0" w:before="0"/>
              <w:ind w:firstLine="0"/>
              <w:jc w:val="left"/>
            </w:pPr>
            <w:r>
              <w:rPr>
                <w:b w:val="0"/>
                <w:sz w:val="21"/>
              </w:rPr>
              <w:t>规则可执行、任务引用一致</w:t>
            </w:r>
          </w:p>
        </w:tc>
        <w:tc>
          <w:tcPr>
            <w:tcW w:type="dxa" w:w="2891"/>
            <w:vAlign w:val="center"/>
          </w:tcPr>
          <w:p>
            <w:pPr>
              <w:keepNext w:val="0"/>
              <w:spacing w:line="320" w:lineRule="exact" w:after="0" w:before="0"/>
              <w:ind w:firstLine="0"/>
              <w:jc w:val="left"/>
            </w:pPr>
            <w:r>
              <w:rPr>
                <w:b w:val="0"/>
                <w:sz w:val="21"/>
              </w:rPr>
              <w:t>暂停受影响批次并修复</w:t>
            </w:r>
          </w:p>
        </w:tc>
      </w:tr>
      <w:tr>
        <w:trPr>
          <w:cantSplit/>
        </w:trPr>
        <w:tc>
          <w:tcPr>
            <w:tcW w:type="dxa" w:w="1638"/>
            <w:vAlign w:val="center"/>
          </w:tcPr>
          <w:p>
            <w:pPr>
              <w:keepNext w:val="0"/>
              <w:spacing w:line="320" w:lineRule="exact" w:after="0" w:before="0"/>
              <w:ind w:firstLine="0"/>
              <w:jc w:val="left"/>
            </w:pPr>
            <w:r>
              <w:rPr>
                <w:b w:val="0"/>
                <w:sz w:val="21"/>
              </w:rPr>
              <w:t>加工至治理</w:t>
            </w:r>
          </w:p>
        </w:tc>
        <w:tc>
          <w:tcPr>
            <w:tcW w:type="dxa" w:w="2699"/>
            <w:vAlign w:val="center"/>
          </w:tcPr>
          <w:p>
            <w:pPr>
              <w:keepNext w:val="0"/>
              <w:spacing w:line="320" w:lineRule="exact" w:after="0" w:before="0"/>
              <w:ind w:firstLine="0"/>
              <w:jc w:val="left"/>
            </w:pPr>
            <w:r>
              <w:rPr>
                <w:b w:val="0"/>
                <w:sz w:val="21"/>
              </w:rPr>
              <w:t>质量问题、血缘及来源反馈</w:t>
            </w:r>
          </w:p>
        </w:tc>
        <w:tc>
          <w:tcPr>
            <w:tcW w:type="dxa" w:w="2409"/>
            <w:vAlign w:val="center"/>
          </w:tcPr>
          <w:p>
            <w:pPr>
              <w:keepNext w:val="0"/>
              <w:spacing w:line="320" w:lineRule="exact" w:after="0" w:before="0"/>
              <w:ind w:firstLine="0"/>
              <w:jc w:val="left"/>
            </w:pPr>
            <w:r>
              <w:rPr>
                <w:b w:val="0"/>
                <w:sz w:val="21"/>
              </w:rPr>
              <w:t>问题可定位到真实对象</w:t>
            </w:r>
          </w:p>
        </w:tc>
        <w:tc>
          <w:tcPr>
            <w:tcW w:type="dxa" w:w="2891"/>
            <w:vAlign w:val="center"/>
          </w:tcPr>
          <w:p>
            <w:pPr>
              <w:keepNext w:val="0"/>
              <w:spacing w:line="320" w:lineRule="exact" w:after="0" w:before="0"/>
              <w:ind w:firstLine="0"/>
              <w:jc w:val="left"/>
            </w:pPr>
            <w:r>
              <w:rPr>
                <w:b w:val="0"/>
                <w:sz w:val="21"/>
              </w:rPr>
              <w:t>分派源头或规则责任</w:t>
            </w:r>
          </w:p>
        </w:tc>
      </w:tr>
      <w:tr>
        <w:trPr>
          <w:cantSplit/>
        </w:trPr>
        <w:tc>
          <w:tcPr>
            <w:tcW w:type="dxa" w:w="1638"/>
            <w:vAlign w:val="center"/>
          </w:tcPr>
          <w:p>
            <w:pPr>
              <w:keepNext w:val="0"/>
              <w:spacing w:line="320" w:lineRule="exact" w:after="0" w:before="0"/>
              <w:ind w:firstLine="0"/>
              <w:jc w:val="left"/>
            </w:pPr>
            <w:r>
              <w:rPr>
                <w:b w:val="0"/>
                <w:sz w:val="21"/>
              </w:rPr>
              <w:t>验证至治理</w:t>
            </w:r>
          </w:p>
        </w:tc>
        <w:tc>
          <w:tcPr>
            <w:tcW w:type="dxa" w:w="2699"/>
            <w:vAlign w:val="center"/>
          </w:tcPr>
          <w:p>
            <w:pPr>
              <w:keepNext w:val="0"/>
              <w:spacing w:line="320" w:lineRule="exact" w:after="0" w:before="0"/>
              <w:ind w:firstLine="0"/>
              <w:jc w:val="left"/>
            </w:pPr>
            <w:r>
              <w:rPr>
                <w:b w:val="0"/>
                <w:sz w:val="21"/>
              </w:rPr>
              <w:t>场景缺口和业务口径问题</w:t>
            </w:r>
          </w:p>
        </w:tc>
        <w:tc>
          <w:tcPr>
            <w:tcW w:type="dxa" w:w="2409"/>
            <w:vAlign w:val="center"/>
          </w:tcPr>
          <w:p>
            <w:pPr>
              <w:keepNext w:val="0"/>
              <w:spacing w:line="320" w:lineRule="exact" w:after="0" w:before="0"/>
              <w:ind w:firstLine="0"/>
              <w:jc w:val="left"/>
            </w:pPr>
            <w:r>
              <w:rPr>
                <w:b w:val="0"/>
                <w:sz w:val="21"/>
              </w:rPr>
              <w:t>实验条件与输入版本明确</w:t>
            </w:r>
          </w:p>
        </w:tc>
        <w:tc>
          <w:tcPr>
            <w:tcW w:type="dxa" w:w="2891"/>
            <w:vAlign w:val="center"/>
          </w:tcPr>
          <w:p>
            <w:pPr>
              <w:keepNext w:val="0"/>
              <w:spacing w:line="320" w:lineRule="exact" w:after="0" w:before="0"/>
              <w:ind w:firstLine="0"/>
              <w:jc w:val="left"/>
            </w:pPr>
            <w:r>
              <w:rPr>
                <w:b w:val="0"/>
                <w:sz w:val="21"/>
              </w:rPr>
              <w:t>组织补采、口径复核或整改</w:t>
            </w:r>
          </w:p>
        </w:tc>
      </w:tr>
      <w:tr>
        <w:trPr>
          <w:cantSplit/>
        </w:trPr>
        <w:tc>
          <w:tcPr>
            <w:tcW w:type="dxa" w:w="1638"/>
            <w:vAlign w:val="center"/>
          </w:tcPr>
          <w:p>
            <w:pPr>
              <w:keepNext w:val="0"/>
              <w:spacing w:line="320" w:lineRule="exact" w:after="0" w:before="0"/>
              <w:ind w:firstLine="0"/>
              <w:jc w:val="left"/>
            </w:pPr>
            <w:r>
              <w:rPr>
                <w:b w:val="0"/>
                <w:sz w:val="21"/>
              </w:rPr>
              <w:t>治理至运营</w:t>
            </w:r>
          </w:p>
        </w:tc>
        <w:tc>
          <w:tcPr>
            <w:tcW w:type="dxa" w:w="2699"/>
            <w:vAlign w:val="center"/>
          </w:tcPr>
          <w:p>
            <w:pPr>
              <w:keepNext w:val="0"/>
              <w:spacing w:line="320" w:lineRule="exact" w:after="0" w:before="0"/>
              <w:ind w:firstLine="0"/>
              <w:jc w:val="left"/>
            </w:pPr>
            <w:r>
              <w:rPr>
                <w:b w:val="0"/>
                <w:sz w:val="21"/>
              </w:rPr>
              <w:t>身份、权属、许可和服务条件</w:t>
            </w:r>
          </w:p>
        </w:tc>
        <w:tc>
          <w:tcPr>
            <w:tcW w:type="dxa" w:w="2409"/>
            <w:vAlign w:val="center"/>
          </w:tcPr>
          <w:p>
            <w:pPr>
              <w:keepNext w:val="0"/>
              <w:spacing w:line="320" w:lineRule="exact" w:after="0" w:before="0"/>
              <w:ind w:firstLine="0"/>
              <w:jc w:val="left"/>
            </w:pPr>
            <w:r>
              <w:rPr>
                <w:b w:val="0"/>
                <w:sz w:val="21"/>
              </w:rPr>
              <w:t>目录与实际数据一致</w:t>
            </w:r>
          </w:p>
        </w:tc>
        <w:tc>
          <w:tcPr>
            <w:tcW w:type="dxa" w:w="2891"/>
            <w:vAlign w:val="center"/>
          </w:tcPr>
          <w:p>
            <w:pPr>
              <w:keepNext w:val="0"/>
              <w:spacing w:line="320" w:lineRule="exact" w:after="0" w:before="0"/>
              <w:ind w:firstLine="0"/>
              <w:jc w:val="left"/>
            </w:pPr>
            <w:r>
              <w:rPr>
                <w:b w:val="0"/>
                <w:sz w:val="21"/>
              </w:rPr>
              <w:t>补齐材料后发布</w:t>
            </w:r>
          </w:p>
        </w:tc>
      </w:tr>
    </w:tbl>
    <w:p>
      <w:pPr>
        <w:spacing w:after="40" w:line="240" w:lineRule="auto"/>
        <w:ind w:firstLine="0"/>
      </w:pPr>
      <w:r>
        <w:rPr>
          <w:sz w:val="4"/>
        </w:rPr>
      </w:r>
    </w:p>
    <w:p>
      <w:pPr>
        <w:pStyle w:val="Heading2"/>
      </w:pPr>
      <w:r>
        <w:t>5.4 运营目录与授权一致性</w:t>
      </w:r>
    </w:p>
    <w:p>
      <w:pPr>
        <w:jc w:val="both"/>
      </w:pPr>
      <w:r>
        <w:t>治理资产目录与运营数据集目录通过稳定标识连接。治理目录记录企业数据资源及其责任和使用条件，运营目录记录可发布的数据集及服务版本，二者保留来源与派生关系。数据集卡片、质量报告和发布包指向同一正式版本，目录页面展示状态与实际下载权限同步更新。</w:t>
      </w:r>
    </w:p>
    <w:p>
      <w:pPr>
        <w:jc w:val="both"/>
      </w:pPr>
      <w:r>
        <w:t>发布前检查来源许可、商业使用条件、敏感等级、数据质量和验证状态。对外服务按批准用途、对象、范围和期限实施授权，下载与接口调用均核验权限。挂牌展示、登记注册、确权和交易管理使用经过核验的资料，公开展示内容与受限数据分开管理。</w:t>
      </w:r>
    </w:p>
    <w:p>
      <w:pPr>
        <w:jc w:val="both"/>
      </w:pPr>
      <w:r>
        <w:t>授权变更需要同时检查目录、接口、下载包、缓存和使用记录。来源许可撤回、数据更正或权限到期时，按影响范围暂停或调整服务，通知实际接收范围并记录处理结果。历史发布和访问记录继续保存，后继版本与原版本保持明确关系。</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5" name="Picture 5"/>
            <wp:cNvGraphicFramePr>
              <a:graphicFrameLocks noChangeAspect="1"/>
            </wp:cNvGraphicFramePr>
            <a:graphic>
              <a:graphicData uri="http://schemas.openxmlformats.org/drawingml/2006/picture">
                <pic:pic>
                  <pic:nvPicPr>
                    <pic:cNvPr id="0" name="图5_平台协同.png"/>
                    <pic:cNvPicPr/>
                  </pic:nvPicPr>
                  <pic:blipFill>
                    <a:blip r:embed="rId15"/>
                    <a:stretch>
                      <a:fillRect/>
                    </a:stretch>
                  </pic:blipFill>
                  <pic:spPr>
                    <a:xfrm>
                      <a:off x="0" y="0"/>
                      <a:ext cx="6048000" cy="2477354"/>
                    </a:xfrm>
                    <a:prstGeom prst="rect"/>
                  </pic:spPr>
                </pic:pic>
              </a:graphicData>
            </a:graphic>
          </wp:inline>
        </w:drawing>
      </w:r>
    </w:p>
    <w:p>
      <w:pPr>
        <w:pStyle w:val="Caption"/>
        <w:jc w:val="center"/>
      </w:pPr>
      <w:r>
        <w:t>图5-1 治理加工验证与运营协同</w:t>
      </w:r>
    </w:p>
    <w:p>
      <w:pPr>
        <w:pStyle w:val="Heading2"/>
      </w:pPr>
      <w:r>
        <w:t>5.5 统一标识与版本血缘</w:t>
      </w:r>
    </w:p>
    <w:p>
      <w:pPr>
        <w:jc w:val="both"/>
      </w:pPr>
      <w:r>
        <w:t>平台为源资源、业务对象、处理批次、规则、知识条目、样本、数据集和服务分别设置稳定标识。标识用途和编码规则写入元数据规范，显示名称、存储路径和版本号作为独立属性。跨系统使用映射表连接不同标识，映射保留来源、依据、有效期和核验状态。</w:t>
      </w:r>
    </w:p>
    <w:p>
      <w:pPr>
        <w:jc w:val="both"/>
      </w:pPr>
      <w:r>
        <w:t>血缘记录输入对象及版本、处理任务及规则、执行时间、输出对象及版本和质量结果。已冻结节点保留原记录，修复或重跑形成新节点并关联前序版本；业务循环通过新的事件和版本表达。平台可从指标或样本回查源对象，也可从源对象变化查找受影响的数据集、报告、知识库及服务。</w:t>
      </w:r>
    </w:p>
    <w:p>
      <w:pPr>
        <w:jc w:val="both"/>
      </w:pPr>
      <w:r>
        <w:t>版本发布采用内容、元数据、规则和证据共同绑定的方式。正式版本包含必要的说明、校验信息和使用条件，内容摘要用于核验数据是否被替换。质检和验证报告绑定被检查的数据内容，最终封装再登记卡片及报告等配套资料，摘要计算范围及排除项固定，避免依赖关系形成循环。</w:t>
      </w:r>
    </w:p>
    <w:p>
      <w:pPr>
        <w:pStyle w:val="Heading2"/>
      </w:pPr>
      <w:r>
        <w:t>5.6 接口契约与异常对账</w:t>
      </w:r>
    </w:p>
    <w:p>
      <w:pPr>
        <w:jc w:val="both"/>
      </w:pPr>
      <w:r>
        <w:t>各平台之间的数据交换建立接口契约，明确对象标识、字段类型、必填项、编码、单位、时间格式、版本、权限和错误处理。业务数据、治理规则、质量问题和审计事件分别定义消息结构及接收确认方式，接口变更经过兼容性检查和联合测试后发布。</w:t>
      </w:r>
    </w:p>
    <w:p>
      <w:pPr>
        <w:jc w:val="both"/>
      </w:pPr>
      <w:r>
        <w:t>接口失败分为连接失败、权限失败、结构不兼容、业务校验失败和重复提交。每类失败返回可定位原因，保留请求标识、批次和处理状态；自动重试只针对允许重试的情况，并控制重复执行。业务错误修正后重新提交，原失败记录与后续成功记录关联。</w:t>
      </w:r>
    </w:p>
    <w:p>
      <w:pPr>
        <w:jc w:val="both"/>
      </w:pPr>
      <w:r>
        <w:t>跨平台对账检查对象数量、关键字段、状态、版本和内容摘要。数量一致还需抽查语义及关联，文件可打开还需验证资源能够支撑任务。接口回执与实际入库结果不一致时暂停该批次下游发布，核实存储、处理和确认环节后恢复，防止接口显示成功而业务数据并未落地。</w:t>
      </w:r>
    </w:p>
    <w:p>
      <w:pPr>
        <w:pStyle w:val="Heading2"/>
      </w:pPr>
      <w:r>
        <w:t>5.7 部署运维与接收验证</w:t>
      </w:r>
    </w:p>
    <w:p>
      <w:pPr>
        <w:jc w:val="both"/>
      </w:pPr>
      <w:r>
        <w:t>部署前核对服务器资源、网络连通、存储路径、时间同步、身份认证和安全设备接口。配置环境与生产环境分开管理，正式发布由审批后的配置及程序形成可追踪版本。升级前评估数据结构、规则和调用方影响，保留恢复方案和验证条件，升级后检查关键业务链和运行记录。</w:t>
      </w:r>
    </w:p>
    <w:p>
      <w:pPr>
        <w:jc w:val="both"/>
      </w:pPr>
      <w:r>
        <w:t>运维监控覆盖采集延迟、处理失败、质量异常、权限错误、服务响应和存储容量。告警关联实际任务和对象，受理后核查原因、影响范围及处理优先级；恢复操作保留记录，数据补偿完成后重新对账。备份包含必要数据、元数据、规则、权限配置与运行档案，恢复演练检查可读、可算和可继续执行。</w:t>
      </w:r>
    </w:p>
    <w:p>
      <w:pPr>
        <w:jc w:val="both"/>
      </w:pPr>
      <w:r>
        <w:t>平台接收验证采用真实业务对象及受控测试数据，覆盖九项能力、跨平台接口和异常流程。检查正常接入、重复提交、规则变化、质量失败、权限到期、服务停用及历史追溯等情况。每项验证记录输入、步骤、预期、实际结果和问题处置，形成平台功能、业务实施和运维接收共同构成的验收资料。</w:t>
      </w:r>
    </w:p>
    <w:p>
      <w:pPr>
        <w:pStyle w:val="Heading1"/>
      </w:pPr>
      <w:r>
        <w:t>6 决策数据指标体系与场景供给</w:t>
      </w:r>
    </w:p>
    <w:p>
      <w:pPr>
        <w:pStyle w:val="Heading2"/>
      </w:pPr>
      <w:r>
        <w:t>6.1 指标需求与形成节点</w:t>
      </w:r>
    </w:p>
    <w:p>
      <w:pPr>
        <w:jc w:val="both"/>
      </w:pPr>
      <w:r>
        <w:t>我方从经营管理决策和九个业务域的实际用数需求出发，梳理指标对象、分析问题、使用人员、统计周期、可用数据和管理规则。需求调研、资料收集和候选指标整理与治理诊断同步开展；正式指标体系在治理规划完成、指标标准及计算口径确认后形成。每项指标进入正式计算前完成业务定义、数据映射与复算检查。</w:t>
      </w:r>
    </w:p>
    <w:p>
      <w:pPr>
        <w:jc w:val="both"/>
      </w:pPr>
      <w:r>
        <w:t>指标工作设置需求确认、口径确认、计算核验和发布接收四个控制节点。需求确认明确业务用途与对象范围；口径确认固定公式、维度和业务条件；计算核验对照原始记录及既有业务报表分析差异；发布接收形成指标卡、数据服务和知识库引用。尚未完成确认的指标保留任务状态并持续推进，正式验证使用已经确认且可复算的指标。</w:t>
      </w:r>
    </w:p>
    <w:p>
      <w:pPr>
        <w:jc w:val="both"/>
      </w:pPr>
      <w:r>
        <w:t>决策数据问答验证的排期与指标体系交付衔接。治理规划阶段形成指标规范和数据需求，实施阶段完成计算及对账，正式指标体系发布后组织对应知识库和场景验证。口径确认延迟时明确具体阻塞项、责任岗位和补齐时间，优先推进具备条件的指标，同时保留其余指标的合同实施任务。</w:t>
      </w:r>
    </w:p>
    <w:p>
      <w:pPr>
        <w:pStyle w:val="Caption"/>
        <w:keepNext/>
      </w:pPr>
      <w:r>
        <w:t>表6-1 指标需求与形成节点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控制节点</w:t>
            </w:r>
          </w:p>
        </w:tc>
        <w:tc>
          <w:tcPr>
            <w:tcW w:type="dxa" w:w="2699"/>
            <w:vAlign w:val="center"/>
            <w:shd w:fill="EDF1F3"/>
          </w:tcPr>
          <w:p>
            <w:pPr>
              <w:keepNext/>
              <w:spacing w:line="320" w:lineRule="exact" w:after="0" w:before="0"/>
              <w:ind w:firstLine="0"/>
              <w:jc w:val="center"/>
            </w:pPr>
            <w:r>
              <w:rPr>
                <w:b/>
                <w:sz w:val="21"/>
              </w:rPr>
              <w:t>完成条件</w:t>
            </w:r>
          </w:p>
        </w:tc>
        <w:tc>
          <w:tcPr>
            <w:tcW w:type="dxa" w:w="2409"/>
            <w:vAlign w:val="center"/>
            <w:shd w:fill="EDF1F3"/>
          </w:tcPr>
          <w:p>
            <w:pPr>
              <w:keepNext/>
              <w:spacing w:line="320" w:lineRule="exact" w:after="0" w:before="0"/>
              <w:ind w:firstLine="0"/>
              <w:jc w:val="center"/>
            </w:pPr>
            <w:r>
              <w:rPr>
                <w:b/>
                <w:sz w:val="21"/>
              </w:rPr>
              <w:t>交付内容</w:t>
            </w:r>
          </w:p>
        </w:tc>
        <w:tc>
          <w:tcPr>
            <w:tcW w:type="dxa" w:w="2891"/>
            <w:vAlign w:val="center"/>
            <w:shd w:fill="EDF1F3"/>
          </w:tcPr>
          <w:p>
            <w:pPr>
              <w:keepNext/>
              <w:spacing w:line="320" w:lineRule="exact" w:after="0" w:before="0"/>
              <w:ind w:firstLine="0"/>
              <w:jc w:val="center"/>
            </w:pPr>
            <w:r>
              <w:rPr>
                <w:b/>
                <w:sz w:val="21"/>
              </w:rPr>
              <w:t>下游使用</w:t>
            </w:r>
          </w:p>
        </w:tc>
      </w:tr>
      <w:tr>
        <w:trPr>
          <w:cantSplit/>
        </w:trPr>
        <w:tc>
          <w:tcPr>
            <w:tcW w:type="dxa" w:w="1638"/>
            <w:vAlign w:val="center"/>
          </w:tcPr>
          <w:p>
            <w:pPr>
              <w:keepNext w:val="0"/>
              <w:spacing w:line="320" w:lineRule="exact" w:after="0" w:before="0"/>
              <w:ind w:firstLine="0"/>
              <w:jc w:val="left"/>
            </w:pPr>
            <w:r>
              <w:rPr>
                <w:b w:val="0"/>
                <w:sz w:val="21"/>
              </w:rPr>
              <w:t>需求确认</w:t>
            </w:r>
          </w:p>
        </w:tc>
        <w:tc>
          <w:tcPr>
            <w:tcW w:type="dxa" w:w="2699"/>
            <w:vAlign w:val="center"/>
          </w:tcPr>
          <w:p>
            <w:pPr>
              <w:keepNext w:val="0"/>
              <w:spacing w:line="320" w:lineRule="exact" w:after="0" w:before="0"/>
              <w:ind w:firstLine="0"/>
              <w:jc w:val="left"/>
            </w:pPr>
            <w:r>
              <w:rPr>
                <w:b w:val="0"/>
                <w:sz w:val="21"/>
              </w:rPr>
              <w:t>业务问题、对象及数据范围明确</w:t>
            </w:r>
          </w:p>
        </w:tc>
        <w:tc>
          <w:tcPr>
            <w:tcW w:type="dxa" w:w="2409"/>
            <w:vAlign w:val="center"/>
          </w:tcPr>
          <w:p>
            <w:pPr>
              <w:keepNext w:val="0"/>
              <w:spacing w:line="320" w:lineRule="exact" w:after="0" w:before="0"/>
              <w:ind w:firstLine="0"/>
              <w:jc w:val="left"/>
            </w:pPr>
            <w:r>
              <w:rPr>
                <w:b w:val="0"/>
                <w:sz w:val="21"/>
              </w:rPr>
              <w:t>九域指标需求清单</w:t>
            </w:r>
          </w:p>
        </w:tc>
        <w:tc>
          <w:tcPr>
            <w:tcW w:type="dxa" w:w="2891"/>
            <w:vAlign w:val="center"/>
          </w:tcPr>
          <w:p>
            <w:pPr>
              <w:keepNext w:val="0"/>
              <w:spacing w:line="320" w:lineRule="exact" w:after="0" w:before="0"/>
              <w:ind w:firstLine="0"/>
              <w:jc w:val="left"/>
            </w:pPr>
            <w:r>
              <w:rPr>
                <w:b w:val="0"/>
                <w:sz w:val="21"/>
              </w:rPr>
              <w:t>盘点、补采和模型设计</w:t>
            </w:r>
          </w:p>
        </w:tc>
      </w:tr>
      <w:tr>
        <w:trPr>
          <w:cantSplit/>
        </w:trPr>
        <w:tc>
          <w:tcPr>
            <w:tcW w:type="dxa" w:w="1638"/>
            <w:vAlign w:val="center"/>
          </w:tcPr>
          <w:p>
            <w:pPr>
              <w:keepNext w:val="0"/>
              <w:spacing w:line="320" w:lineRule="exact" w:after="0" w:before="0"/>
              <w:ind w:firstLine="0"/>
              <w:jc w:val="left"/>
            </w:pPr>
            <w:r>
              <w:rPr>
                <w:b w:val="0"/>
                <w:sz w:val="21"/>
              </w:rPr>
              <w:t>口径确认</w:t>
            </w:r>
          </w:p>
        </w:tc>
        <w:tc>
          <w:tcPr>
            <w:tcW w:type="dxa" w:w="2699"/>
            <w:vAlign w:val="center"/>
          </w:tcPr>
          <w:p>
            <w:pPr>
              <w:keepNext w:val="0"/>
              <w:spacing w:line="320" w:lineRule="exact" w:after="0" w:before="0"/>
              <w:ind w:firstLine="0"/>
              <w:jc w:val="left"/>
            </w:pPr>
            <w:r>
              <w:rPr>
                <w:b w:val="0"/>
                <w:sz w:val="21"/>
              </w:rPr>
              <w:t>业务含义与计算规则经确认</w:t>
            </w:r>
          </w:p>
        </w:tc>
        <w:tc>
          <w:tcPr>
            <w:tcW w:type="dxa" w:w="2409"/>
            <w:vAlign w:val="center"/>
          </w:tcPr>
          <w:p>
            <w:pPr>
              <w:keepNext w:val="0"/>
              <w:spacing w:line="320" w:lineRule="exact" w:after="0" w:before="0"/>
              <w:ind w:firstLine="0"/>
              <w:jc w:val="left"/>
            </w:pPr>
            <w:r>
              <w:rPr>
                <w:b w:val="0"/>
                <w:sz w:val="21"/>
              </w:rPr>
              <w:t>指标标准和指标卡</w:t>
            </w:r>
          </w:p>
        </w:tc>
        <w:tc>
          <w:tcPr>
            <w:tcW w:type="dxa" w:w="2891"/>
            <w:vAlign w:val="center"/>
          </w:tcPr>
          <w:p>
            <w:pPr>
              <w:keepNext w:val="0"/>
              <w:spacing w:line="320" w:lineRule="exact" w:after="0" w:before="0"/>
              <w:ind w:firstLine="0"/>
              <w:jc w:val="left"/>
            </w:pPr>
            <w:r>
              <w:rPr>
                <w:b w:val="0"/>
                <w:sz w:val="21"/>
              </w:rPr>
              <w:t>开发配置及知识条目编制</w:t>
            </w:r>
          </w:p>
        </w:tc>
      </w:tr>
      <w:tr>
        <w:trPr>
          <w:cantSplit/>
        </w:trPr>
        <w:tc>
          <w:tcPr>
            <w:tcW w:type="dxa" w:w="1638"/>
            <w:vAlign w:val="center"/>
          </w:tcPr>
          <w:p>
            <w:pPr>
              <w:keepNext w:val="0"/>
              <w:spacing w:line="320" w:lineRule="exact" w:after="0" w:before="0"/>
              <w:ind w:firstLine="0"/>
              <w:jc w:val="left"/>
            </w:pPr>
            <w:r>
              <w:rPr>
                <w:b w:val="0"/>
                <w:sz w:val="21"/>
              </w:rPr>
              <w:t>计算核验</w:t>
            </w:r>
          </w:p>
        </w:tc>
        <w:tc>
          <w:tcPr>
            <w:tcW w:type="dxa" w:w="2699"/>
            <w:vAlign w:val="center"/>
          </w:tcPr>
          <w:p>
            <w:pPr>
              <w:keepNext w:val="0"/>
              <w:spacing w:line="320" w:lineRule="exact" w:after="0" w:before="0"/>
              <w:ind w:firstLine="0"/>
              <w:jc w:val="left"/>
            </w:pPr>
            <w:r>
              <w:rPr>
                <w:b w:val="0"/>
                <w:sz w:val="21"/>
              </w:rPr>
              <w:t>输入、逻辑与结果对账通过</w:t>
            </w:r>
          </w:p>
        </w:tc>
        <w:tc>
          <w:tcPr>
            <w:tcW w:type="dxa" w:w="2409"/>
            <w:vAlign w:val="center"/>
          </w:tcPr>
          <w:p>
            <w:pPr>
              <w:keepNext w:val="0"/>
              <w:spacing w:line="320" w:lineRule="exact" w:after="0" w:before="0"/>
              <w:ind w:firstLine="0"/>
              <w:jc w:val="left"/>
            </w:pPr>
            <w:r>
              <w:rPr>
                <w:b w:val="0"/>
                <w:sz w:val="21"/>
              </w:rPr>
              <w:t>计算记录和差异处置</w:t>
            </w:r>
          </w:p>
        </w:tc>
        <w:tc>
          <w:tcPr>
            <w:tcW w:type="dxa" w:w="2891"/>
            <w:vAlign w:val="center"/>
          </w:tcPr>
          <w:p>
            <w:pPr>
              <w:keepNext w:val="0"/>
              <w:spacing w:line="320" w:lineRule="exact" w:after="0" w:before="0"/>
              <w:ind w:firstLine="0"/>
              <w:jc w:val="left"/>
            </w:pPr>
            <w:r>
              <w:rPr>
                <w:b w:val="0"/>
                <w:sz w:val="21"/>
              </w:rPr>
              <w:t>服务测试及验证数据准备</w:t>
            </w:r>
          </w:p>
        </w:tc>
      </w:tr>
      <w:tr>
        <w:trPr>
          <w:cantSplit/>
        </w:trPr>
        <w:tc>
          <w:tcPr>
            <w:tcW w:type="dxa" w:w="1638"/>
            <w:vAlign w:val="center"/>
          </w:tcPr>
          <w:p>
            <w:pPr>
              <w:keepNext w:val="0"/>
              <w:spacing w:line="320" w:lineRule="exact" w:after="0" w:before="0"/>
              <w:ind w:firstLine="0"/>
              <w:jc w:val="left"/>
            </w:pPr>
            <w:r>
              <w:rPr>
                <w:b w:val="0"/>
                <w:sz w:val="21"/>
              </w:rPr>
              <w:t>发布接收</w:t>
            </w:r>
          </w:p>
        </w:tc>
        <w:tc>
          <w:tcPr>
            <w:tcW w:type="dxa" w:w="2699"/>
            <w:vAlign w:val="center"/>
          </w:tcPr>
          <w:p>
            <w:pPr>
              <w:keepNext w:val="0"/>
              <w:spacing w:line="320" w:lineRule="exact" w:after="0" w:before="0"/>
              <w:ind w:firstLine="0"/>
              <w:jc w:val="left"/>
            </w:pPr>
            <w:r>
              <w:rPr>
                <w:b w:val="0"/>
                <w:sz w:val="21"/>
              </w:rPr>
              <w:t>版本、权限及使用条件齐备</w:t>
            </w:r>
          </w:p>
        </w:tc>
        <w:tc>
          <w:tcPr>
            <w:tcW w:type="dxa" w:w="2409"/>
            <w:vAlign w:val="center"/>
          </w:tcPr>
          <w:p>
            <w:pPr>
              <w:keepNext w:val="0"/>
              <w:spacing w:line="320" w:lineRule="exact" w:after="0" w:before="0"/>
              <w:ind w:firstLine="0"/>
              <w:jc w:val="left"/>
            </w:pPr>
            <w:r>
              <w:rPr>
                <w:b w:val="0"/>
                <w:sz w:val="21"/>
              </w:rPr>
              <w:t>正式指标体系与服务</w:t>
            </w:r>
          </w:p>
        </w:tc>
        <w:tc>
          <w:tcPr>
            <w:tcW w:type="dxa" w:w="2891"/>
            <w:vAlign w:val="center"/>
          </w:tcPr>
          <w:p>
            <w:pPr>
              <w:keepNext w:val="0"/>
              <w:spacing w:line="320" w:lineRule="exact" w:after="0" w:before="0"/>
              <w:ind w:firstLine="0"/>
              <w:jc w:val="left"/>
            </w:pPr>
            <w:r>
              <w:rPr>
                <w:b w:val="0"/>
                <w:sz w:val="21"/>
              </w:rPr>
              <w:t>决策问答和经营分析验证</w:t>
            </w:r>
          </w:p>
        </w:tc>
      </w:tr>
    </w:tbl>
    <w:p>
      <w:pPr>
        <w:spacing w:after="40" w:line="240" w:lineRule="auto"/>
        <w:ind w:firstLine="0"/>
      </w:pPr>
      <w:r>
        <w:rPr>
          <w:sz w:val="4"/>
        </w:rPr>
      </w:r>
    </w:p>
    <w:p>
      <w:pPr>
        <w:pStyle w:val="Heading2"/>
      </w:pPr>
      <w:r>
        <w:t>6.2 指标卡与业务口径</w:t>
      </w:r>
    </w:p>
    <w:p>
      <w:pPr>
        <w:jc w:val="both"/>
      </w:pPr>
      <w:r>
        <w:t>每项指标建立唯一标识及版本，登记名称、描述、业务限定、统计范围、统计周期、分析维度、计量单位、计算逻辑、数据来源、过滤条件、责任岗位和生效时间。业务限定明确包含和排除的状态，统计范围明确组织、产品、项目或设备边界，时间口径明确按发生、确认、入账或快照时间取数。</w:t>
      </w:r>
    </w:p>
    <w:p>
      <w:pPr>
        <w:jc w:val="both"/>
      </w:pPr>
      <w:r>
        <w:t>指标分为可直接计量的基础指标、依赖其他指标或明细计算的派生指标，以及面向特定管理主题的组合指标。依赖关系登记在册，派生计算引用固定口径版本。指标展示名称可服务于业务理解，实际调用使用稳定标识和明确参数，避免自然语言别名混淆统计条件。</w:t>
      </w:r>
    </w:p>
    <w:p>
      <w:pPr>
        <w:pStyle w:val="Caption"/>
        <w:keepNext/>
      </w:pPr>
      <w:r>
        <w:t>表6-2 指标卡与业务口径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指标卡信息</w:t>
            </w:r>
          </w:p>
        </w:tc>
        <w:tc>
          <w:tcPr>
            <w:tcW w:type="dxa" w:w="3855"/>
            <w:vAlign w:val="center"/>
            <w:shd w:fill="EDF1F3"/>
          </w:tcPr>
          <w:p>
            <w:pPr>
              <w:keepNext/>
              <w:spacing w:line="320" w:lineRule="exact" w:after="0" w:before="0"/>
              <w:ind w:firstLine="0"/>
              <w:jc w:val="center"/>
            </w:pPr>
            <w:r>
              <w:rPr>
                <w:b/>
                <w:sz w:val="21"/>
              </w:rPr>
              <w:t>必须明确的内容</w:t>
            </w:r>
          </w:p>
        </w:tc>
        <w:tc>
          <w:tcPr>
            <w:tcW w:type="dxa" w:w="3277"/>
            <w:vAlign w:val="center"/>
            <w:shd w:fill="EDF1F3"/>
          </w:tcPr>
          <w:p>
            <w:pPr>
              <w:keepNext/>
              <w:spacing w:line="320" w:lineRule="exact" w:after="0" w:before="0"/>
              <w:ind w:firstLine="0"/>
              <w:jc w:val="center"/>
            </w:pPr>
            <w:r>
              <w:rPr>
                <w:b/>
                <w:sz w:val="21"/>
              </w:rPr>
              <w:t>复核重点</w:t>
            </w:r>
          </w:p>
        </w:tc>
      </w:tr>
      <w:tr>
        <w:trPr>
          <w:cantSplit/>
        </w:trPr>
        <w:tc>
          <w:tcPr>
            <w:tcW w:type="dxa" w:w="2506"/>
            <w:vAlign w:val="center"/>
          </w:tcPr>
          <w:p>
            <w:pPr>
              <w:keepNext w:val="0"/>
              <w:spacing w:line="320" w:lineRule="exact" w:after="0" w:before="0"/>
              <w:ind w:firstLine="0"/>
              <w:jc w:val="left"/>
            </w:pPr>
            <w:r>
              <w:rPr>
                <w:b w:val="0"/>
                <w:sz w:val="21"/>
              </w:rPr>
              <w:t>身份与业务含义</w:t>
            </w:r>
          </w:p>
        </w:tc>
        <w:tc>
          <w:tcPr>
            <w:tcW w:type="dxa" w:w="3855"/>
            <w:vAlign w:val="center"/>
          </w:tcPr>
          <w:p>
            <w:pPr>
              <w:keepNext w:val="0"/>
              <w:spacing w:line="320" w:lineRule="exact" w:after="0" w:before="0"/>
              <w:ind w:firstLine="0"/>
              <w:jc w:val="left"/>
            </w:pPr>
            <w:r>
              <w:rPr>
                <w:b w:val="0"/>
                <w:sz w:val="21"/>
              </w:rPr>
              <w:t>标识、名称、定义、用途及版本</w:t>
            </w:r>
          </w:p>
        </w:tc>
        <w:tc>
          <w:tcPr>
            <w:tcW w:type="dxa" w:w="3277"/>
            <w:vAlign w:val="center"/>
          </w:tcPr>
          <w:p>
            <w:pPr>
              <w:keepNext w:val="0"/>
              <w:spacing w:line="320" w:lineRule="exact" w:after="0" w:before="0"/>
              <w:ind w:firstLine="0"/>
              <w:jc w:val="left"/>
            </w:pPr>
            <w:r>
              <w:rPr>
                <w:b w:val="0"/>
                <w:sz w:val="21"/>
              </w:rPr>
              <w:t>同名异义和别名映射</w:t>
            </w:r>
          </w:p>
        </w:tc>
      </w:tr>
      <w:tr>
        <w:trPr>
          <w:cantSplit/>
        </w:trPr>
        <w:tc>
          <w:tcPr>
            <w:tcW w:type="dxa" w:w="2506"/>
            <w:vAlign w:val="center"/>
          </w:tcPr>
          <w:p>
            <w:pPr>
              <w:keepNext w:val="0"/>
              <w:spacing w:line="320" w:lineRule="exact" w:after="0" w:before="0"/>
              <w:ind w:firstLine="0"/>
              <w:jc w:val="left"/>
            </w:pPr>
            <w:r>
              <w:rPr>
                <w:b w:val="0"/>
                <w:sz w:val="21"/>
              </w:rPr>
              <w:t>统计对象</w:t>
            </w:r>
          </w:p>
        </w:tc>
        <w:tc>
          <w:tcPr>
            <w:tcW w:type="dxa" w:w="3855"/>
            <w:vAlign w:val="center"/>
          </w:tcPr>
          <w:p>
            <w:pPr>
              <w:keepNext w:val="0"/>
              <w:spacing w:line="320" w:lineRule="exact" w:after="0" w:before="0"/>
              <w:ind w:firstLine="0"/>
              <w:jc w:val="left"/>
            </w:pPr>
            <w:r>
              <w:rPr>
                <w:b w:val="0"/>
                <w:sz w:val="21"/>
              </w:rPr>
              <w:t>组织、项目、产品、设备及业务状态</w:t>
            </w:r>
          </w:p>
        </w:tc>
        <w:tc>
          <w:tcPr>
            <w:tcW w:type="dxa" w:w="3277"/>
            <w:vAlign w:val="center"/>
          </w:tcPr>
          <w:p>
            <w:pPr>
              <w:keepNext w:val="0"/>
              <w:spacing w:line="320" w:lineRule="exact" w:after="0" w:before="0"/>
              <w:ind w:firstLine="0"/>
              <w:jc w:val="left"/>
            </w:pPr>
            <w:r>
              <w:rPr>
                <w:b w:val="0"/>
                <w:sz w:val="21"/>
              </w:rPr>
              <w:t>分子分母处于相同适用范围</w:t>
            </w:r>
          </w:p>
        </w:tc>
      </w:tr>
      <w:tr>
        <w:trPr>
          <w:cantSplit/>
        </w:trPr>
        <w:tc>
          <w:tcPr>
            <w:tcW w:type="dxa" w:w="2506"/>
            <w:vAlign w:val="center"/>
          </w:tcPr>
          <w:p>
            <w:pPr>
              <w:keepNext w:val="0"/>
              <w:spacing w:line="320" w:lineRule="exact" w:after="0" w:before="0"/>
              <w:ind w:firstLine="0"/>
              <w:jc w:val="left"/>
            </w:pPr>
            <w:r>
              <w:rPr>
                <w:b w:val="0"/>
                <w:sz w:val="21"/>
              </w:rPr>
              <w:t>时间条件</w:t>
            </w:r>
          </w:p>
        </w:tc>
        <w:tc>
          <w:tcPr>
            <w:tcW w:type="dxa" w:w="3855"/>
            <w:vAlign w:val="center"/>
          </w:tcPr>
          <w:p>
            <w:pPr>
              <w:keepNext w:val="0"/>
              <w:spacing w:line="320" w:lineRule="exact" w:after="0" w:before="0"/>
              <w:ind w:firstLine="0"/>
              <w:jc w:val="left"/>
            </w:pPr>
            <w:r>
              <w:rPr>
                <w:b w:val="0"/>
                <w:sz w:val="21"/>
              </w:rPr>
              <w:t>周期、起止点、截止时间和数据日期</w:t>
            </w:r>
          </w:p>
        </w:tc>
        <w:tc>
          <w:tcPr>
            <w:tcW w:type="dxa" w:w="3277"/>
            <w:vAlign w:val="center"/>
          </w:tcPr>
          <w:p>
            <w:pPr>
              <w:keepNext w:val="0"/>
              <w:spacing w:line="320" w:lineRule="exact" w:after="0" w:before="0"/>
              <w:ind w:firstLine="0"/>
              <w:jc w:val="left"/>
            </w:pPr>
            <w:r>
              <w:rPr>
                <w:b w:val="0"/>
                <w:sz w:val="21"/>
              </w:rPr>
              <w:t>跨期、补录和迟到数据</w:t>
            </w:r>
          </w:p>
        </w:tc>
      </w:tr>
      <w:tr>
        <w:trPr>
          <w:cantSplit/>
        </w:trPr>
        <w:tc>
          <w:tcPr>
            <w:tcW w:type="dxa" w:w="2506"/>
            <w:vAlign w:val="center"/>
          </w:tcPr>
          <w:p>
            <w:pPr>
              <w:keepNext w:val="0"/>
              <w:spacing w:line="320" w:lineRule="exact" w:after="0" w:before="0"/>
              <w:ind w:firstLine="0"/>
              <w:jc w:val="left"/>
            </w:pPr>
            <w:r>
              <w:rPr>
                <w:b w:val="0"/>
                <w:sz w:val="21"/>
              </w:rPr>
              <w:t>计算逻辑</w:t>
            </w:r>
          </w:p>
        </w:tc>
        <w:tc>
          <w:tcPr>
            <w:tcW w:type="dxa" w:w="3855"/>
            <w:vAlign w:val="center"/>
          </w:tcPr>
          <w:p>
            <w:pPr>
              <w:keepNext w:val="0"/>
              <w:spacing w:line="320" w:lineRule="exact" w:after="0" w:before="0"/>
              <w:ind w:firstLine="0"/>
              <w:jc w:val="left"/>
            </w:pPr>
            <w:r>
              <w:rPr>
                <w:b w:val="0"/>
                <w:sz w:val="21"/>
              </w:rPr>
              <w:t>公式、过滤、关联、去重和精度</w:t>
            </w:r>
          </w:p>
        </w:tc>
        <w:tc>
          <w:tcPr>
            <w:tcW w:type="dxa" w:w="3277"/>
            <w:vAlign w:val="center"/>
          </w:tcPr>
          <w:p>
            <w:pPr>
              <w:keepNext w:val="0"/>
              <w:spacing w:line="320" w:lineRule="exact" w:after="0" w:before="0"/>
              <w:ind w:firstLine="0"/>
              <w:jc w:val="left"/>
            </w:pPr>
            <w:r>
              <w:rPr>
                <w:b w:val="0"/>
                <w:sz w:val="21"/>
              </w:rPr>
              <w:t>原始明细能够独立复算</w:t>
            </w:r>
          </w:p>
        </w:tc>
      </w:tr>
      <w:tr>
        <w:trPr>
          <w:cantSplit/>
        </w:trPr>
        <w:tc>
          <w:tcPr>
            <w:tcW w:type="dxa" w:w="2506"/>
            <w:vAlign w:val="center"/>
          </w:tcPr>
          <w:p>
            <w:pPr>
              <w:keepNext w:val="0"/>
              <w:spacing w:line="320" w:lineRule="exact" w:after="0" w:before="0"/>
              <w:ind w:firstLine="0"/>
              <w:jc w:val="left"/>
            </w:pPr>
            <w:r>
              <w:rPr>
                <w:b w:val="0"/>
                <w:sz w:val="21"/>
              </w:rPr>
              <w:t>维度与单位</w:t>
            </w:r>
          </w:p>
        </w:tc>
        <w:tc>
          <w:tcPr>
            <w:tcW w:type="dxa" w:w="3855"/>
            <w:vAlign w:val="center"/>
          </w:tcPr>
          <w:p>
            <w:pPr>
              <w:keepNext w:val="0"/>
              <w:spacing w:line="320" w:lineRule="exact" w:after="0" w:before="0"/>
              <w:ind w:firstLine="0"/>
              <w:jc w:val="left"/>
            </w:pPr>
            <w:r>
              <w:rPr>
                <w:b w:val="0"/>
                <w:sz w:val="21"/>
              </w:rPr>
              <w:t>维度层级、计量单位和转换条件</w:t>
            </w:r>
          </w:p>
        </w:tc>
        <w:tc>
          <w:tcPr>
            <w:tcW w:type="dxa" w:w="3277"/>
            <w:vAlign w:val="center"/>
          </w:tcPr>
          <w:p>
            <w:pPr>
              <w:keepNext w:val="0"/>
              <w:spacing w:line="320" w:lineRule="exact" w:after="0" w:before="0"/>
              <w:ind w:firstLine="0"/>
              <w:jc w:val="left"/>
            </w:pPr>
            <w:r>
              <w:rPr>
                <w:b w:val="0"/>
                <w:sz w:val="21"/>
              </w:rPr>
              <w:t>聚合方式符合业务含义</w:t>
            </w:r>
          </w:p>
        </w:tc>
      </w:tr>
      <w:tr>
        <w:trPr>
          <w:cantSplit/>
        </w:trPr>
        <w:tc>
          <w:tcPr>
            <w:tcW w:type="dxa" w:w="2506"/>
            <w:vAlign w:val="center"/>
          </w:tcPr>
          <w:p>
            <w:pPr>
              <w:keepNext w:val="0"/>
              <w:spacing w:line="320" w:lineRule="exact" w:after="0" w:before="0"/>
              <w:ind w:firstLine="0"/>
              <w:jc w:val="left"/>
            </w:pPr>
            <w:r>
              <w:rPr>
                <w:b w:val="0"/>
                <w:sz w:val="21"/>
              </w:rPr>
              <w:t>来源与血缘</w:t>
            </w:r>
          </w:p>
        </w:tc>
        <w:tc>
          <w:tcPr>
            <w:tcW w:type="dxa" w:w="3855"/>
            <w:vAlign w:val="center"/>
          </w:tcPr>
          <w:p>
            <w:pPr>
              <w:keepNext w:val="0"/>
              <w:spacing w:line="320" w:lineRule="exact" w:after="0" w:before="0"/>
              <w:ind w:firstLine="0"/>
              <w:jc w:val="left"/>
            </w:pPr>
            <w:r>
              <w:rPr>
                <w:b w:val="0"/>
                <w:sz w:val="21"/>
              </w:rPr>
              <w:t>系统、对象、字段和加工版本</w:t>
            </w:r>
          </w:p>
        </w:tc>
        <w:tc>
          <w:tcPr>
            <w:tcW w:type="dxa" w:w="3277"/>
            <w:vAlign w:val="center"/>
          </w:tcPr>
          <w:p>
            <w:pPr>
              <w:keepNext w:val="0"/>
              <w:spacing w:line="320" w:lineRule="exact" w:after="0" w:before="0"/>
              <w:ind w:firstLine="0"/>
              <w:jc w:val="left"/>
            </w:pPr>
            <w:r>
              <w:rPr>
                <w:b w:val="0"/>
                <w:sz w:val="21"/>
              </w:rPr>
              <w:t>结果能追查到源记录</w:t>
            </w:r>
          </w:p>
        </w:tc>
      </w:tr>
      <w:tr>
        <w:trPr>
          <w:cantSplit/>
        </w:trPr>
        <w:tc>
          <w:tcPr>
            <w:tcW w:type="dxa" w:w="2506"/>
            <w:vAlign w:val="center"/>
          </w:tcPr>
          <w:p>
            <w:pPr>
              <w:keepNext w:val="0"/>
              <w:spacing w:line="320" w:lineRule="exact" w:after="0" w:before="0"/>
              <w:ind w:firstLine="0"/>
              <w:jc w:val="left"/>
            </w:pPr>
            <w:r>
              <w:rPr>
                <w:b w:val="0"/>
                <w:sz w:val="21"/>
              </w:rPr>
              <w:t>使用与权限</w:t>
            </w:r>
          </w:p>
        </w:tc>
        <w:tc>
          <w:tcPr>
            <w:tcW w:type="dxa" w:w="3855"/>
            <w:vAlign w:val="center"/>
          </w:tcPr>
          <w:p>
            <w:pPr>
              <w:keepNext w:val="0"/>
              <w:spacing w:line="320" w:lineRule="exact" w:after="0" w:before="0"/>
              <w:ind w:firstLine="0"/>
              <w:jc w:val="left"/>
            </w:pPr>
            <w:r>
              <w:rPr>
                <w:b w:val="0"/>
                <w:sz w:val="21"/>
              </w:rPr>
              <w:t>岗位、用途、可见粒度和限制</w:t>
            </w:r>
          </w:p>
        </w:tc>
        <w:tc>
          <w:tcPr>
            <w:tcW w:type="dxa" w:w="3277"/>
            <w:vAlign w:val="center"/>
          </w:tcPr>
          <w:p>
            <w:pPr>
              <w:keepNext w:val="0"/>
              <w:spacing w:line="320" w:lineRule="exact" w:after="0" w:before="0"/>
              <w:ind w:firstLine="0"/>
              <w:jc w:val="left"/>
            </w:pPr>
            <w:r>
              <w:rPr>
                <w:b w:val="0"/>
                <w:sz w:val="21"/>
              </w:rPr>
              <w:t>展示、下载与接口一致</w:t>
            </w:r>
          </w:p>
        </w:tc>
      </w:tr>
      <w:tr>
        <w:trPr>
          <w:cantSplit/>
        </w:trPr>
        <w:tc>
          <w:tcPr>
            <w:tcW w:type="dxa" w:w="2506"/>
            <w:vAlign w:val="center"/>
          </w:tcPr>
          <w:p>
            <w:pPr>
              <w:keepNext w:val="0"/>
              <w:spacing w:line="320" w:lineRule="exact" w:after="0" w:before="0"/>
              <w:ind w:firstLine="0"/>
              <w:jc w:val="left"/>
            </w:pPr>
            <w:r>
              <w:rPr>
                <w:b w:val="0"/>
                <w:sz w:val="21"/>
              </w:rPr>
              <w:t>发布与维护</w:t>
            </w:r>
          </w:p>
        </w:tc>
        <w:tc>
          <w:tcPr>
            <w:tcW w:type="dxa" w:w="3855"/>
            <w:vAlign w:val="center"/>
          </w:tcPr>
          <w:p>
            <w:pPr>
              <w:keepNext w:val="0"/>
              <w:spacing w:line="320" w:lineRule="exact" w:after="0" w:before="0"/>
              <w:ind w:firstLine="0"/>
              <w:jc w:val="left"/>
            </w:pPr>
            <w:r>
              <w:rPr>
                <w:b w:val="0"/>
                <w:sz w:val="21"/>
              </w:rPr>
              <w:t>审核、生效、变更和历史状态</w:t>
            </w:r>
          </w:p>
        </w:tc>
        <w:tc>
          <w:tcPr>
            <w:tcW w:type="dxa" w:w="3277"/>
            <w:vAlign w:val="center"/>
          </w:tcPr>
          <w:p>
            <w:pPr>
              <w:keepNext w:val="0"/>
              <w:spacing w:line="320" w:lineRule="exact" w:after="0" w:before="0"/>
              <w:ind w:firstLine="0"/>
              <w:jc w:val="left"/>
            </w:pPr>
            <w:r>
              <w:rPr>
                <w:b w:val="0"/>
                <w:sz w:val="21"/>
              </w:rPr>
              <w:t>新旧口径及结果适用明确</w:t>
            </w:r>
          </w:p>
        </w:tc>
      </w:tr>
    </w:tbl>
    <w:p>
      <w:pPr>
        <w:spacing w:after="40" w:line="240" w:lineRule="auto"/>
        <w:ind w:firstLine="0"/>
      </w:pPr>
      <w:r>
        <w:rPr>
          <w:sz w:val="4"/>
        </w:rPr>
      </w:r>
    </w:p>
    <w:p>
      <w:pPr>
        <w:jc w:val="both"/>
      </w:pPr>
      <w:r>
        <w:t>指标空值、零值、负值和不适用分别定义。分母为零的比例结果按业务规则显示状态，缺失数据保留质量标记；数据尚未到齐时标明统计截止点和完整状态。展示层四舍五入与底层计算精度分开保存，比例和环比等衍生结果采用规定的原始数值计算。</w:t>
      </w:r>
    </w:p>
    <w:p>
      <w:pPr>
        <w:pStyle w:val="Heading2"/>
      </w:pPr>
      <w:r>
        <w:t>6.3 九域指标组织</w:t>
      </w:r>
    </w:p>
    <w:p>
      <w:pPr>
        <w:jc w:val="both"/>
      </w:pPr>
      <w:r>
        <w:t>人力资源指标围绕组织与岗位配置、有效人员、能力培训和作业资格组织，明确人员状态及期间口径；研发设计指标围绕设计任务、版本变更、工艺审核和技术资料完整性组织，区分任务数、产品数、图纸数及变更次数；生产制造指标围绕计划执行、工序进度、完工和异常处置组织，区分计划量、报工量和已确认完成量。</w:t>
      </w:r>
    </w:p>
    <w:p>
      <w:pPr>
        <w:jc w:val="both"/>
      </w:pPr>
      <w:r>
        <w:t>仓储物流指标围绕库存状态、出入库、占用和周转组织，明确快照与期间流量的区别；财务指标围绕预算、成本、结算和经营结果组织，以甲方确认的核算及管理口径为依据；设备指标围绕运行、停机、维护和故障组织，明确观察时间、工况及有效事件的判定。</w:t>
      </w:r>
    </w:p>
    <w:p>
      <w:pPr>
        <w:jc w:val="both"/>
      </w:pPr>
      <w:r>
        <w:t>采购指标围绕需求响应、交期、到货与验收组织，明确订单行、批次和数量等统计粒度；营销指标围绕合同、订单、交付和回款组织，区分签订、履约和财务确认阶段；质量指标围绕检验、缺陷、不合格处置和复检组织，明确受检对象、检验次数与缺陷数量之间的关系。</w:t>
      </w:r>
    </w:p>
    <w:p>
      <w:pPr>
        <w:pStyle w:val="Caption"/>
        <w:keepNext/>
      </w:pPr>
      <w:r>
        <w:t>表6-3 九域指标组织</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业务域</w:t>
            </w:r>
          </w:p>
        </w:tc>
        <w:tc>
          <w:tcPr>
            <w:tcW w:type="dxa" w:w="3855"/>
            <w:vAlign w:val="center"/>
            <w:shd w:fill="EDF1F3"/>
          </w:tcPr>
          <w:p>
            <w:pPr>
              <w:keepNext/>
              <w:spacing w:line="320" w:lineRule="exact" w:after="0" w:before="0"/>
              <w:ind w:firstLine="0"/>
              <w:jc w:val="center"/>
            </w:pPr>
            <w:r>
              <w:rPr>
                <w:b/>
                <w:sz w:val="21"/>
              </w:rPr>
              <w:t>主要指标主题</w:t>
            </w:r>
          </w:p>
        </w:tc>
        <w:tc>
          <w:tcPr>
            <w:tcW w:type="dxa" w:w="3277"/>
            <w:vAlign w:val="center"/>
            <w:shd w:fill="EDF1F3"/>
          </w:tcPr>
          <w:p>
            <w:pPr>
              <w:keepNext/>
              <w:spacing w:line="320" w:lineRule="exact" w:after="0" w:before="0"/>
              <w:ind w:firstLine="0"/>
              <w:jc w:val="center"/>
            </w:pPr>
            <w:r>
              <w:rPr>
                <w:b/>
                <w:sz w:val="21"/>
              </w:rPr>
              <w:t>关键口径条件</w:t>
            </w:r>
          </w:p>
        </w:tc>
      </w:tr>
      <w:tr>
        <w:trPr>
          <w:cantSplit/>
        </w:trPr>
        <w:tc>
          <w:tcPr>
            <w:tcW w:type="dxa" w:w="2506"/>
            <w:vAlign w:val="center"/>
          </w:tcPr>
          <w:p>
            <w:pPr>
              <w:keepNext w:val="0"/>
              <w:spacing w:line="320" w:lineRule="exact" w:after="0" w:before="0"/>
              <w:ind w:firstLine="0"/>
              <w:jc w:val="left"/>
            </w:pPr>
            <w:r>
              <w:rPr>
                <w:b w:val="0"/>
                <w:sz w:val="21"/>
              </w:rPr>
              <w:t>人力资源</w:t>
            </w:r>
          </w:p>
        </w:tc>
        <w:tc>
          <w:tcPr>
            <w:tcW w:type="dxa" w:w="3855"/>
            <w:vAlign w:val="center"/>
          </w:tcPr>
          <w:p>
            <w:pPr>
              <w:keepNext w:val="0"/>
              <w:spacing w:line="320" w:lineRule="exact" w:after="0" w:before="0"/>
              <w:ind w:firstLine="0"/>
              <w:jc w:val="left"/>
            </w:pPr>
            <w:r>
              <w:rPr>
                <w:b w:val="0"/>
                <w:sz w:val="21"/>
              </w:rPr>
              <w:t>岗位配置、培训及有效资格</w:t>
            </w:r>
          </w:p>
        </w:tc>
        <w:tc>
          <w:tcPr>
            <w:tcW w:type="dxa" w:w="3277"/>
            <w:vAlign w:val="center"/>
          </w:tcPr>
          <w:p>
            <w:pPr>
              <w:keepNext w:val="0"/>
              <w:spacing w:line="320" w:lineRule="exact" w:after="0" w:before="0"/>
              <w:ind w:firstLine="0"/>
              <w:jc w:val="left"/>
            </w:pPr>
            <w:r>
              <w:rPr>
                <w:b w:val="0"/>
                <w:sz w:val="21"/>
              </w:rPr>
              <w:t>人员状态、任职期间和去重范围</w:t>
            </w:r>
          </w:p>
        </w:tc>
      </w:tr>
      <w:tr>
        <w:trPr>
          <w:cantSplit/>
        </w:trPr>
        <w:tc>
          <w:tcPr>
            <w:tcW w:type="dxa" w:w="2506"/>
            <w:vAlign w:val="center"/>
          </w:tcPr>
          <w:p>
            <w:pPr>
              <w:keepNext w:val="0"/>
              <w:spacing w:line="320" w:lineRule="exact" w:after="0" w:before="0"/>
              <w:ind w:firstLine="0"/>
              <w:jc w:val="left"/>
            </w:pPr>
            <w:r>
              <w:rPr>
                <w:b w:val="0"/>
                <w:sz w:val="21"/>
              </w:rPr>
              <w:t>研发设计</w:t>
            </w:r>
          </w:p>
        </w:tc>
        <w:tc>
          <w:tcPr>
            <w:tcW w:type="dxa" w:w="3855"/>
            <w:vAlign w:val="center"/>
          </w:tcPr>
          <w:p>
            <w:pPr>
              <w:keepNext w:val="0"/>
              <w:spacing w:line="320" w:lineRule="exact" w:after="0" w:before="0"/>
              <w:ind w:firstLine="0"/>
              <w:jc w:val="left"/>
            </w:pPr>
            <w:r>
              <w:rPr>
                <w:b w:val="0"/>
                <w:sz w:val="21"/>
              </w:rPr>
              <w:t>任务执行、变更与资料质量</w:t>
            </w:r>
          </w:p>
        </w:tc>
        <w:tc>
          <w:tcPr>
            <w:tcW w:type="dxa" w:w="3277"/>
            <w:vAlign w:val="center"/>
          </w:tcPr>
          <w:p>
            <w:pPr>
              <w:keepNext w:val="0"/>
              <w:spacing w:line="320" w:lineRule="exact" w:after="0" w:before="0"/>
              <w:ind w:firstLine="0"/>
              <w:jc w:val="left"/>
            </w:pPr>
            <w:r>
              <w:rPr>
                <w:b w:val="0"/>
                <w:sz w:val="21"/>
              </w:rPr>
              <w:t>产品或图纸粒度、有效版本与签发状态</w:t>
            </w:r>
          </w:p>
        </w:tc>
      </w:tr>
      <w:tr>
        <w:trPr>
          <w:cantSplit/>
        </w:trPr>
        <w:tc>
          <w:tcPr>
            <w:tcW w:type="dxa" w:w="2506"/>
            <w:vAlign w:val="center"/>
          </w:tcPr>
          <w:p>
            <w:pPr>
              <w:keepNext w:val="0"/>
              <w:spacing w:line="320" w:lineRule="exact" w:after="0" w:before="0"/>
              <w:ind w:firstLine="0"/>
              <w:jc w:val="left"/>
            </w:pPr>
            <w:r>
              <w:rPr>
                <w:b w:val="0"/>
                <w:sz w:val="21"/>
              </w:rPr>
              <w:t>生产制造</w:t>
            </w:r>
          </w:p>
        </w:tc>
        <w:tc>
          <w:tcPr>
            <w:tcW w:type="dxa" w:w="3855"/>
            <w:vAlign w:val="center"/>
          </w:tcPr>
          <w:p>
            <w:pPr>
              <w:keepNext w:val="0"/>
              <w:spacing w:line="320" w:lineRule="exact" w:after="0" w:before="0"/>
              <w:ind w:firstLine="0"/>
              <w:jc w:val="left"/>
            </w:pPr>
            <w:r>
              <w:rPr>
                <w:b w:val="0"/>
                <w:sz w:val="21"/>
              </w:rPr>
              <w:t>计划、完工、工序进度和异常</w:t>
            </w:r>
          </w:p>
        </w:tc>
        <w:tc>
          <w:tcPr>
            <w:tcW w:type="dxa" w:w="3277"/>
            <w:vAlign w:val="center"/>
          </w:tcPr>
          <w:p>
            <w:pPr>
              <w:keepNext w:val="0"/>
              <w:spacing w:line="320" w:lineRule="exact" w:after="0" w:before="0"/>
              <w:ind w:firstLine="0"/>
              <w:jc w:val="left"/>
            </w:pPr>
            <w:r>
              <w:rPr>
                <w:b w:val="0"/>
                <w:sz w:val="21"/>
              </w:rPr>
              <w:t>计划版本、报工确认及工单状态</w:t>
            </w:r>
          </w:p>
        </w:tc>
      </w:tr>
      <w:tr>
        <w:trPr>
          <w:cantSplit/>
        </w:trPr>
        <w:tc>
          <w:tcPr>
            <w:tcW w:type="dxa" w:w="2506"/>
            <w:vAlign w:val="center"/>
          </w:tcPr>
          <w:p>
            <w:pPr>
              <w:keepNext w:val="0"/>
              <w:spacing w:line="320" w:lineRule="exact" w:after="0" w:before="0"/>
              <w:ind w:firstLine="0"/>
              <w:jc w:val="left"/>
            </w:pPr>
            <w:r>
              <w:rPr>
                <w:b w:val="0"/>
                <w:sz w:val="21"/>
              </w:rPr>
              <w:t>仓储物流</w:t>
            </w:r>
          </w:p>
        </w:tc>
        <w:tc>
          <w:tcPr>
            <w:tcW w:type="dxa" w:w="3855"/>
            <w:vAlign w:val="center"/>
          </w:tcPr>
          <w:p>
            <w:pPr>
              <w:keepNext w:val="0"/>
              <w:spacing w:line="320" w:lineRule="exact" w:after="0" w:before="0"/>
              <w:ind w:firstLine="0"/>
              <w:jc w:val="left"/>
            </w:pPr>
            <w:r>
              <w:rPr>
                <w:b w:val="0"/>
                <w:sz w:val="21"/>
              </w:rPr>
              <w:t>库存、占用、收发和周转</w:t>
            </w:r>
          </w:p>
        </w:tc>
        <w:tc>
          <w:tcPr>
            <w:tcW w:type="dxa" w:w="3277"/>
            <w:vAlign w:val="center"/>
          </w:tcPr>
          <w:p>
            <w:pPr>
              <w:keepNext w:val="0"/>
              <w:spacing w:line="320" w:lineRule="exact" w:after="0" w:before="0"/>
              <w:ind w:firstLine="0"/>
              <w:jc w:val="left"/>
            </w:pPr>
            <w:r>
              <w:rPr>
                <w:b w:val="0"/>
                <w:sz w:val="21"/>
              </w:rPr>
              <w:t>快照时点、库存类别和计量单位</w:t>
            </w:r>
          </w:p>
        </w:tc>
      </w:tr>
      <w:tr>
        <w:trPr>
          <w:cantSplit/>
        </w:trPr>
        <w:tc>
          <w:tcPr>
            <w:tcW w:type="dxa" w:w="2506"/>
            <w:vAlign w:val="center"/>
          </w:tcPr>
          <w:p>
            <w:pPr>
              <w:keepNext w:val="0"/>
              <w:spacing w:line="320" w:lineRule="exact" w:after="0" w:before="0"/>
              <w:ind w:firstLine="0"/>
              <w:jc w:val="left"/>
            </w:pPr>
            <w:r>
              <w:rPr>
                <w:b w:val="0"/>
                <w:sz w:val="21"/>
              </w:rPr>
              <w:t>财务管理</w:t>
            </w:r>
          </w:p>
        </w:tc>
        <w:tc>
          <w:tcPr>
            <w:tcW w:type="dxa" w:w="3855"/>
            <w:vAlign w:val="center"/>
          </w:tcPr>
          <w:p>
            <w:pPr>
              <w:keepNext w:val="0"/>
              <w:spacing w:line="320" w:lineRule="exact" w:after="0" w:before="0"/>
              <w:ind w:firstLine="0"/>
              <w:jc w:val="left"/>
            </w:pPr>
            <w:r>
              <w:rPr>
                <w:b w:val="0"/>
                <w:sz w:val="21"/>
              </w:rPr>
              <w:t>预算、成本、结算和经营结果</w:t>
            </w:r>
          </w:p>
        </w:tc>
        <w:tc>
          <w:tcPr>
            <w:tcW w:type="dxa" w:w="3277"/>
            <w:vAlign w:val="center"/>
          </w:tcPr>
          <w:p>
            <w:pPr>
              <w:keepNext w:val="0"/>
              <w:spacing w:line="320" w:lineRule="exact" w:after="0" w:before="0"/>
              <w:ind w:firstLine="0"/>
              <w:jc w:val="left"/>
            </w:pPr>
            <w:r>
              <w:rPr>
                <w:b w:val="0"/>
                <w:sz w:val="21"/>
              </w:rPr>
              <w:t>核算期间、组织范围及业务确认</w:t>
            </w:r>
          </w:p>
        </w:tc>
      </w:tr>
      <w:tr>
        <w:trPr>
          <w:cantSplit/>
        </w:trPr>
        <w:tc>
          <w:tcPr>
            <w:tcW w:type="dxa" w:w="2506"/>
            <w:vAlign w:val="center"/>
          </w:tcPr>
          <w:p>
            <w:pPr>
              <w:keepNext w:val="0"/>
              <w:spacing w:line="320" w:lineRule="exact" w:after="0" w:before="0"/>
              <w:ind w:firstLine="0"/>
              <w:jc w:val="left"/>
            </w:pPr>
            <w:r>
              <w:rPr>
                <w:b w:val="0"/>
                <w:sz w:val="21"/>
              </w:rPr>
              <w:t>设备管理</w:t>
            </w:r>
          </w:p>
        </w:tc>
        <w:tc>
          <w:tcPr>
            <w:tcW w:type="dxa" w:w="3855"/>
            <w:vAlign w:val="center"/>
          </w:tcPr>
          <w:p>
            <w:pPr>
              <w:keepNext w:val="0"/>
              <w:spacing w:line="320" w:lineRule="exact" w:after="0" w:before="0"/>
              <w:ind w:firstLine="0"/>
              <w:jc w:val="left"/>
            </w:pPr>
            <w:r>
              <w:rPr>
                <w:b w:val="0"/>
                <w:sz w:val="21"/>
              </w:rPr>
              <w:t>运行、故障、维修和维护</w:t>
            </w:r>
          </w:p>
        </w:tc>
        <w:tc>
          <w:tcPr>
            <w:tcW w:type="dxa" w:w="3277"/>
            <w:vAlign w:val="center"/>
          </w:tcPr>
          <w:p>
            <w:pPr>
              <w:keepNext w:val="0"/>
              <w:spacing w:line="320" w:lineRule="exact" w:after="0" w:before="0"/>
              <w:ind w:firstLine="0"/>
              <w:jc w:val="left"/>
            </w:pPr>
            <w:r>
              <w:rPr>
                <w:b w:val="0"/>
                <w:sz w:val="21"/>
              </w:rPr>
              <w:t>工况、观察区间和事件归并</w:t>
            </w:r>
          </w:p>
        </w:tc>
      </w:tr>
      <w:tr>
        <w:trPr>
          <w:cantSplit/>
        </w:trPr>
        <w:tc>
          <w:tcPr>
            <w:tcW w:type="dxa" w:w="2506"/>
            <w:vAlign w:val="center"/>
          </w:tcPr>
          <w:p>
            <w:pPr>
              <w:keepNext w:val="0"/>
              <w:spacing w:line="320" w:lineRule="exact" w:after="0" w:before="0"/>
              <w:ind w:firstLine="0"/>
              <w:jc w:val="left"/>
            </w:pPr>
            <w:r>
              <w:rPr>
                <w:b w:val="0"/>
                <w:sz w:val="21"/>
              </w:rPr>
              <w:t>采购管理</w:t>
            </w:r>
          </w:p>
        </w:tc>
        <w:tc>
          <w:tcPr>
            <w:tcW w:type="dxa" w:w="3855"/>
            <w:vAlign w:val="center"/>
          </w:tcPr>
          <w:p>
            <w:pPr>
              <w:keepNext w:val="0"/>
              <w:spacing w:line="320" w:lineRule="exact" w:after="0" w:before="0"/>
              <w:ind w:firstLine="0"/>
              <w:jc w:val="left"/>
            </w:pPr>
            <w:r>
              <w:rPr>
                <w:b w:val="0"/>
                <w:sz w:val="21"/>
              </w:rPr>
              <w:t>订单履约、交期与验收</w:t>
            </w:r>
          </w:p>
        </w:tc>
        <w:tc>
          <w:tcPr>
            <w:tcW w:type="dxa" w:w="3277"/>
            <w:vAlign w:val="center"/>
          </w:tcPr>
          <w:p>
            <w:pPr>
              <w:keepNext w:val="0"/>
              <w:spacing w:line="320" w:lineRule="exact" w:after="0" w:before="0"/>
              <w:ind w:firstLine="0"/>
              <w:jc w:val="left"/>
            </w:pPr>
            <w:r>
              <w:rPr>
                <w:b w:val="0"/>
                <w:sz w:val="21"/>
              </w:rPr>
              <w:t>订单行、承诺版本和实际收验事件</w:t>
            </w:r>
          </w:p>
        </w:tc>
      </w:tr>
      <w:tr>
        <w:trPr>
          <w:cantSplit/>
        </w:trPr>
        <w:tc>
          <w:tcPr>
            <w:tcW w:type="dxa" w:w="2506"/>
            <w:vAlign w:val="center"/>
          </w:tcPr>
          <w:p>
            <w:pPr>
              <w:keepNext w:val="0"/>
              <w:spacing w:line="320" w:lineRule="exact" w:after="0" w:before="0"/>
              <w:ind w:firstLine="0"/>
              <w:jc w:val="left"/>
            </w:pPr>
            <w:r>
              <w:rPr>
                <w:b w:val="0"/>
                <w:sz w:val="21"/>
              </w:rPr>
              <w:t>营销管理</w:t>
            </w:r>
          </w:p>
        </w:tc>
        <w:tc>
          <w:tcPr>
            <w:tcW w:type="dxa" w:w="3855"/>
            <w:vAlign w:val="center"/>
          </w:tcPr>
          <w:p>
            <w:pPr>
              <w:keepNext w:val="0"/>
              <w:spacing w:line="320" w:lineRule="exact" w:after="0" w:before="0"/>
              <w:ind w:firstLine="0"/>
              <w:jc w:val="left"/>
            </w:pPr>
            <w:r>
              <w:rPr>
                <w:b w:val="0"/>
                <w:sz w:val="21"/>
              </w:rPr>
              <w:t>合同、订单、交付与回款</w:t>
            </w:r>
          </w:p>
        </w:tc>
        <w:tc>
          <w:tcPr>
            <w:tcW w:type="dxa" w:w="3277"/>
            <w:vAlign w:val="center"/>
          </w:tcPr>
          <w:p>
            <w:pPr>
              <w:keepNext w:val="0"/>
              <w:spacing w:line="320" w:lineRule="exact" w:after="0" w:before="0"/>
              <w:ind w:firstLine="0"/>
              <w:jc w:val="left"/>
            </w:pPr>
            <w:r>
              <w:rPr>
                <w:b w:val="0"/>
                <w:sz w:val="21"/>
              </w:rPr>
              <w:t>主体、履约状态及金额口径</w:t>
            </w:r>
          </w:p>
        </w:tc>
      </w:tr>
      <w:tr>
        <w:trPr>
          <w:cantSplit/>
        </w:trPr>
        <w:tc>
          <w:tcPr>
            <w:tcW w:type="dxa" w:w="2506"/>
            <w:vAlign w:val="center"/>
          </w:tcPr>
          <w:p>
            <w:pPr>
              <w:keepNext w:val="0"/>
              <w:spacing w:line="320" w:lineRule="exact" w:after="0" w:before="0"/>
              <w:ind w:firstLine="0"/>
              <w:jc w:val="left"/>
            </w:pPr>
            <w:r>
              <w:rPr>
                <w:b w:val="0"/>
                <w:sz w:val="21"/>
              </w:rPr>
              <w:t>质量管理</w:t>
            </w:r>
          </w:p>
        </w:tc>
        <w:tc>
          <w:tcPr>
            <w:tcW w:type="dxa" w:w="3855"/>
            <w:vAlign w:val="center"/>
          </w:tcPr>
          <w:p>
            <w:pPr>
              <w:keepNext w:val="0"/>
              <w:spacing w:line="320" w:lineRule="exact" w:after="0" w:before="0"/>
              <w:ind w:firstLine="0"/>
              <w:jc w:val="left"/>
            </w:pPr>
            <w:r>
              <w:rPr>
                <w:b w:val="0"/>
                <w:sz w:val="21"/>
              </w:rPr>
              <w:t>检验、缺陷、处置和复检</w:t>
            </w:r>
          </w:p>
        </w:tc>
        <w:tc>
          <w:tcPr>
            <w:tcW w:type="dxa" w:w="3277"/>
            <w:vAlign w:val="center"/>
          </w:tcPr>
          <w:p>
            <w:pPr>
              <w:keepNext w:val="0"/>
              <w:spacing w:line="320" w:lineRule="exact" w:after="0" w:before="0"/>
              <w:ind w:firstLine="0"/>
              <w:jc w:val="left"/>
            </w:pPr>
            <w:r>
              <w:rPr>
                <w:b w:val="0"/>
                <w:sz w:val="21"/>
              </w:rPr>
              <w:t>受检对象、检测范围及判定版本</w:t>
            </w:r>
          </w:p>
        </w:tc>
      </w:tr>
    </w:tbl>
    <w:p>
      <w:pPr>
        <w:spacing w:after="40" w:line="240" w:lineRule="auto"/>
        <w:ind w:firstLine="0"/>
      </w:pPr>
      <w:r>
        <w:rPr>
          <w:sz w:val="4"/>
        </w:rPr>
      </w:r>
    </w:p>
    <w:p>
      <w:pPr>
        <w:jc w:val="both"/>
      </w:pPr>
      <w:r>
        <w:t>指标主题细化为实际清单时，由业务岗位确认定义和使用条件，技术岗位核对来源与计算可行性。源数据暂时缺失的指标形成补采和数据治理任务，数据齐备后再完成正式计算；通过替代指标辅助分析时单独标明其业务含义和适用范围。</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6" name="Picture 6"/>
            <wp:cNvGraphicFramePr>
              <a:graphicFrameLocks noChangeAspect="1"/>
            </wp:cNvGraphicFramePr>
            <a:graphic>
              <a:graphicData uri="http://schemas.openxmlformats.org/drawingml/2006/picture">
                <pic:pic>
                  <pic:nvPicPr>
                    <pic:cNvPr id="0" name="图6_指标形成.png"/>
                    <pic:cNvPicPr/>
                  </pic:nvPicPr>
                  <pic:blipFill>
                    <a:blip r:embed="rId16"/>
                    <a:stretch>
                      <a:fillRect/>
                    </a:stretch>
                  </pic:blipFill>
                  <pic:spPr>
                    <a:xfrm>
                      <a:off x="0" y="0"/>
                      <a:ext cx="6048000" cy="1942338"/>
                    </a:xfrm>
                    <a:prstGeom prst="rect"/>
                  </pic:spPr>
                </pic:pic>
              </a:graphicData>
            </a:graphic>
          </wp:inline>
        </w:drawing>
      </w:r>
    </w:p>
    <w:p>
      <w:pPr>
        <w:pStyle w:val="Caption"/>
        <w:jc w:val="center"/>
      </w:pPr>
      <w:r>
        <w:t>图6-1 决策指标形成与验证流程</w:t>
      </w:r>
    </w:p>
    <w:p>
      <w:pPr>
        <w:pStyle w:val="Heading2"/>
      </w:pPr>
      <w:r>
        <w:t>6.4 计算开发与独立复算</w:t>
      </w:r>
    </w:p>
    <w:p>
      <w:pPr>
        <w:jc w:val="both"/>
      </w:pPr>
      <w:r>
        <w:t>指标计算从已治理明细和统一维度取数，固定关联键、过滤条件和聚合方式。多表关联先检查一对一、一对多或多对多关系，必要时在适当粒度归并后再计算，防止关联放大金额和数量。相同对象在多个系统出现时按归属与去重规则处理，记录重复对象的识别依据。</w:t>
      </w:r>
    </w:p>
    <w:p>
      <w:pPr>
        <w:jc w:val="both"/>
      </w:pPr>
      <w:r>
        <w:t>库存余额等时点指标按指定快照计算，期间收入、收发和作业次数等流量指标按相应事件时间汇总。比率跨组织汇总时先核对分子分母再重新计算，不能直接平均各单位比例。不同计量单位、币种或业务状态的数值按确认规则换算或分列，转换依据和中间结果可查。</w:t>
      </w:r>
    </w:p>
    <w:p>
      <w:pPr>
        <w:jc w:val="both"/>
      </w:pPr>
      <w:r>
        <w:t>独立复算使用相同输入范围和生效口径，由不同执行人员或独立程序重新计算关键结果。差异按来源、字段、关联、过滤、时间和精度分类定位，核实后修正根本原因。最终结果与计算明细、规则版本、运行时间和复核记录共同保存，指标卡引用同一发布记录。</w:t>
      </w:r>
    </w:p>
    <w:p>
      <w:pPr>
        <w:pStyle w:val="Heading2"/>
      </w:pPr>
      <w:r>
        <w:t>6.5 指标知识库与自然语言使用</w:t>
      </w:r>
    </w:p>
    <w:p>
      <w:pPr>
        <w:jc w:val="both"/>
      </w:pPr>
      <w:r>
        <w:t>指标知识库保存指标定义、业务限定、维度、周期、范围、单位和计算逻辑，业务概念知识库保存专业术语与别名，规则知识库保存业务边界、来源、过滤及加工规则，分析报告知识库归集月度、季度、年度和专题分析资料。四类知识通过指标与对象标识关联，知识条目经业务专家终审后用于场景验证。</w:t>
      </w:r>
    </w:p>
    <w:p>
      <w:pPr>
        <w:jc w:val="both"/>
      </w:pPr>
      <w:r>
        <w:t>自然语言查询先识别指标、对象、时间、维度和单位，再映射到经过授权的服务参数。用户表达存在多种业务含义时，按可用定义提出具体澄清，确认后执行。查询结果带有适用口径、统计时间和来源信息，后续追问继承已确认条件，条件变化时重新核验权限及计算范围。</w:t>
      </w:r>
    </w:p>
    <w:p>
      <w:pPr>
        <w:jc w:val="both"/>
      </w:pPr>
      <w:r>
        <w:t>图表与文字分析使用同一结果集，展示单位、期间和聚合方式保持一致。异动归因从指标变化追查明细和影响因素，区分数据延迟、口径变化、组织调整和实际业务变化。仅有相关性时保留其分析范围，确定原因须有业务事件或其他有效证据支持。</w:t>
      </w:r>
    </w:p>
    <w:p>
      <w:pPr>
        <w:pStyle w:val="Heading2"/>
      </w:pPr>
      <w:r>
        <w:t>6.6 指标变更与验证要求</w:t>
      </w:r>
    </w:p>
    <w:p>
      <w:pPr>
        <w:jc w:val="both"/>
      </w:pPr>
      <w:r>
        <w:t>指标变更记录原因、旧版、新版、适用日期和影响对象。口径变更与源数据更正分别管理，重新计算历史结果时保留原发布结果及修订关系，说明结果适用期间。业务报表、知识库、数据服务和验证题目同步检查，更新后核对引用版本和实际计算。</w:t>
      </w:r>
    </w:p>
    <w:p>
      <w:pPr>
        <w:jc w:val="both"/>
      </w:pPr>
      <w:r>
        <w:t>决策数据场景验证覆盖知识查询、自然语言查数、图表生成、多维分析、异动归因和多轮问答。题目按九个业务域及关键业务条件组织，标准结果依据已确认口径和冻结输入形成。验证分别检查指标映射、条件继承、计算正确性、权限执行和解释依据，错误返回相应指标、规则、数据或知识条目修复。</w:t>
      </w:r>
    </w:p>
    <w:p>
      <w:pPr>
        <w:jc w:val="both"/>
      </w:pPr>
      <w:r>
        <w:t>指标体系交付包含清单、指标卡、计算配置、来源映射、复算结果、服务说明和知识引用关系。接收方在授权环境中按照固定条件重新计算代表性指标，核对图表和文字解释。指标服务在后续运行中继续监控数据到达、质量状态和使用反馈，相关问题进入治理问题台账。</w:t>
      </w:r>
    </w:p>
    <w:p>
      <w:pPr>
        <w:pStyle w:val="Heading1"/>
      </w:pPr>
      <w:r>
        <w:t>7 高质量数据集与治理质量协同</w:t>
      </w:r>
    </w:p>
    <w:p>
      <w:pPr>
        <w:pStyle w:val="Heading2"/>
      </w:pPr>
      <w:r>
        <w:t>7.1 四大数据集的治理输入</w:t>
      </w:r>
    </w:p>
    <w:p>
      <w:pPr>
        <w:jc w:val="both"/>
      </w:pPr>
      <w:r>
        <w:t>治理侧为四大数据集提供已核验来源、业务定义、主数据关系、质量规则及安全条件。供需计划重点核对客户、合同、订单、库存和采购之间的对象与时间关系；产品工艺设计重点核对图纸、工艺卡、材料和工序之间的版本与约束；制造过程重点核对设备、测点、工件、工况与事件；产品质量重点核对检测对象、方法、判据、结果及处置记录。</w:t>
      </w:r>
    </w:p>
    <w:p>
      <w:pPr>
        <w:jc w:val="both"/>
      </w:pPr>
      <w:r>
        <w:t>数据集加工计划以有效交付规模组织。四域分别建设预训练二百七十六亿、七十亿、一百零五亿和一百六十四亿 Token，指令微调四十万、十万、十五万和二十四万条，偏好对齐三点二万、零点八万、一万和一点六万组，基准评测四千、一千、两千和两千五百条。合计六百一十五亿 Token、八十九万条指令、六点六万组偏好及九千五百条基准评测样本，按各域各用途分别核验。</w:t>
      </w:r>
    </w:p>
    <w:p>
      <w:pPr>
        <w:jc w:val="both"/>
      </w:pPr>
      <w:r>
        <w:t>规模统计引用冻结清单及统一计量规则，治理侧记录来源可用量、质量损耗和补齐任务，生产侧记录合格样本及 Token。修复、重复接收和多次审核保留过程记录，完成量按净合格产出计量。源头数据不足、对象关联失败或质量剔除造成的缺口，分别形成真实来源补充和重新加工任务。</w:t>
      </w:r>
    </w:p>
    <w:p>
      <w:pPr>
        <w:pStyle w:val="Heading2"/>
      </w:pPr>
      <w:r>
        <w:t>7.2 三套质量体系的对象对应</w:t>
      </w:r>
    </w:p>
    <w:p>
      <w:pPr>
        <w:jc w:val="both"/>
      </w:pPr>
      <w:r>
        <w:t>业务数据治理使用完整性、准确性、一致性、唯一性、及时性和有效性六个维度；数据集生产质检按保真、完备、规整、均衡、可用和可信组织；正式质量评测采用说明文档、数据质量和模型应用三个维度。三者检查对象、方法和用途分别登记，通过同一数据版本与问题标识共享证据。</w:t>
      </w:r>
    </w:p>
    <w:p>
      <w:pPr>
        <w:jc w:val="both"/>
      </w:pPr>
      <w:r>
        <w:t>业务数据完整并不直接证明标注正确，格式符合规范并不直接证明专业内容真实，生产质检通过也不能代替实际模型训练与场景验证。治理侧负责提供标准和源头整改，生产侧负责具体样本质量，评测侧按规定检查数据集及实际应用能力。问题可跨体系引用，分值和通过结论分别计算。</w:t>
      </w:r>
    </w:p>
    <w:p>
      <w:pPr>
        <w:pStyle w:val="Caption"/>
        <w:keepNext/>
      </w:pPr>
      <w:r>
        <w:t>表7-1 三套质量体系的对象对应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体系</w:t>
            </w:r>
          </w:p>
        </w:tc>
        <w:tc>
          <w:tcPr>
            <w:tcW w:type="dxa" w:w="2699"/>
            <w:vAlign w:val="center"/>
            <w:shd w:fill="EDF1F3"/>
          </w:tcPr>
          <w:p>
            <w:pPr>
              <w:keepNext/>
              <w:spacing w:line="320" w:lineRule="exact" w:after="0" w:before="0"/>
              <w:ind w:firstLine="0"/>
              <w:jc w:val="center"/>
            </w:pPr>
            <w:r>
              <w:rPr>
                <w:b/>
                <w:sz w:val="21"/>
              </w:rPr>
              <w:t>检查对象</w:t>
            </w:r>
          </w:p>
        </w:tc>
        <w:tc>
          <w:tcPr>
            <w:tcW w:type="dxa" w:w="2409"/>
            <w:vAlign w:val="center"/>
            <w:shd w:fill="EDF1F3"/>
          </w:tcPr>
          <w:p>
            <w:pPr>
              <w:keepNext/>
              <w:spacing w:line="320" w:lineRule="exact" w:after="0" w:before="0"/>
              <w:ind w:firstLine="0"/>
              <w:jc w:val="center"/>
            </w:pPr>
            <w:r>
              <w:rPr>
                <w:b/>
                <w:sz w:val="21"/>
              </w:rPr>
              <w:t>主要依据</w:t>
            </w:r>
          </w:p>
        </w:tc>
        <w:tc>
          <w:tcPr>
            <w:tcW w:type="dxa" w:w="2891"/>
            <w:vAlign w:val="center"/>
            <w:shd w:fill="EDF1F3"/>
          </w:tcPr>
          <w:p>
            <w:pPr>
              <w:keepNext/>
              <w:spacing w:line="320" w:lineRule="exact" w:after="0" w:before="0"/>
              <w:ind w:firstLine="0"/>
              <w:jc w:val="center"/>
            </w:pPr>
            <w:r>
              <w:rPr>
                <w:b/>
                <w:sz w:val="21"/>
              </w:rPr>
              <w:t>结果使用</w:t>
            </w:r>
          </w:p>
        </w:tc>
      </w:tr>
      <w:tr>
        <w:trPr>
          <w:cantSplit/>
        </w:trPr>
        <w:tc>
          <w:tcPr>
            <w:tcW w:type="dxa" w:w="1638"/>
            <w:vAlign w:val="center"/>
          </w:tcPr>
          <w:p>
            <w:pPr>
              <w:keepNext w:val="0"/>
              <w:spacing w:line="320" w:lineRule="exact" w:after="0" w:before="0"/>
              <w:ind w:firstLine="0"/>
              <w:jc w:val="left"/>
            </w:pPr>
            <w:r>
              <w:rPr>
                <w:b w:val="0"/>
                <w:sz w:val="21"/>
              </w:rPr>
              <w:t>业务数据治理</w:t>
            </w:r>
          </w:p>
        </w:tc>
        <w:tc>
          <w:tcPr>
            <w:tcW w:type="dxa" w:w="2699"/>
            <w:vAlign w:val="center"/>
          </w:tcPr>
          <w:p>
            <w:pPr>
              <w:keepNext w:val="0"/>
              <w:spacing w:line="320" w:lineRule="exact" w:after="0" w:before="0"/>
              <w:ind w:firstLine="0"/>
              <w:jc w:val="left"/>
            </w:pPr>
            <w:r>
              <w:rPr>
                <w:b w:val="0"/>
                <w:sz w:val="21"/>
              </w:rPr>
              <w:t>源字段、业务记录和关联结果</w:t>
            </w:r>
          </w:p>
        </w:tc>
        <w:tc>
          <w:tcPr>
            <w:tcW w:type="dxa" w:w="2409"/>
            <w:vAlign w:val="center"/>
          </w:tcPr>
          <w:p>
            <w:pPr>
              <w:keepNext w:val="0"/>
              <w:spacing w:line="320" w:lineRule="exact" w:after="0" w:before="0"/>
              <w:ind w:firstLine="0"/>
              <w:jc w:val="left"/>
            </w:pPr>
            <w:r>
              <w:rPr>
                <w:b w:val="0"/>
                <w:sz w:val="21"/>
              </w:rPr>
              <w:t>六维质量需求与规则库</w:t>
            </w:r>
          </w:p>
        </w:tc>
        <w:tc>
          <w:tcPr>
            <w:tcW w:type="dxa" w:w="2891"/>
            <w:vAlign w:val="center"/>
          </w:tcPr>
          <w:p>
            <w:pPr>
              <w:keepNext w:val="0"/>
              <w:spacing w:line="320" w:lineRule="exact" w:after="0" w:before="0"/>
              <w:ind w:firstLine="0"/>
              <w:jc w:val="left"/>
            </w:pPr>
            <w:r>
              <w:rPr>
                <w:b w:val="0"/>
                <w:sz w:val="21"/>
              </w:rPr>
              <w:t>源头修复和可用数据供给</w:t>
            </w:r>
          </w:p>
        </w:tc>
      </w:tr>
      <w:tr>
        <w:trPr>
          <w:cantSplit/>
        </w:trPr>
        <w:tc>
          <w:tcPr>
            <w:tcW w:type="dxa" w:w="1638"/>
            <w:vAlign w:val="center"/>
          </w:tcPr>
          <w:p>
            <w:pPr>
              <w:keepNext w:val="0"/>
              <w:spacing w:line="320" w:lineRule="exact" w:after="0" w:before="0"/>
              <w:ind w:firstLine="0"/>
              <w:jc w:val="left"/>
            </w:pPr>
            <w:r>
              <w:rPr>
                <w:b w:val="0"/>
                <w:sz w:val="21"/>
              </w:rPr>
              <w:t>数据集生产质检</w:t>
            </w:r>
          </w:p>
        </w:tc>
        <w:tc>
          <w:tcPr>
            <w:tcW w:type="dxa" w:w="2699"/>
            <w:vAlign w:val="center"/>
          </w:tcPr>
          <w:p>
            <w:pPr>
              <w:keepNext w:val="0"/>
              <w:spacing w:line="320" w:lineRule="exact" w:after="0" w:before="0"/>
              <w:ind w:firstLine="0"/>
              <w:jc w:val="left"/>
            </w:pPr>
            <w:r>
              <w:rPr>
                <w:b w:val="0"/>
                <w:sz w:val="21"/>
              </w:rPr>
              <w:t>加工批次、样本和用途子集</w:t>
            </w:r>
          </w:p>
        </w:tc>
        <w:tc>
          <w:tcPr>
            <w:tcW w:type="dxa" w:w="2409"/>
            <w:vAlign w:val="center"/>
          </w:tcPr>
          <w:p>
            <w:pPr>
              <w:keepNext w:val="0"/>
              <w:spacing w:line="320" w:lineRule="exact" w:after="0" w:before="0"/>
              <w:ind w:firstLine="0"/>
              <w:jc w:val="left"/>
            </w:pPr>
            <w:r>
              <w:rPr>
                <w:b w:val="0"/>
                <w:sz w:val="21"/>
              </w:rPr>
              <w:t>六项生产质量要求及标注规范</w:t>
            </w:r>
          </w:p>
        </w:tc>
        <w:tc>
          <w:tcPr>
            <w:tcW w:type="dxa" w:w="2891"/>
            <w:vAlign w:val="center"/>
          </w:tcPr>
          <w:p>
            <w:pPr>
              <w:keepNext w:val="0"/>
              <w:spacing w:line="320" w:lineRule="exact" w:after="0" w:before="0"/>
              <w:ind w:firstLine="0"/>
              <w:jc w:val="left"/>
            </w:pPr>
            <w:r>
              <w:rPr>
                <w:b w:val="0"/>
                <w:sz w:val="21"/>
              </w:rPr>
              <w:t>批次放行、返工和版本冻结</w:t>
            </w:r>
          </w:p>
        </w:tc>
      </w:tr>
      <w:tr>
        <w:trPr>
          <w:cantSplit/>
        </w:trPr>
        <w:tc>
          <w:tcPr>
            <w:tcW w:type="dxa" w:w="1638"/>
            <w:vAlign w:val="center"/>
          </w:tcPr>
          <w:p>
            <w:pPr>
              <w:keepNext w:val="0"/>
              <w:spacing w:line="320" w:lineRule="exact" w:after="0" w:before="0"/>
              <w:ind w:firstLine="0"/>
              <w:jc w:val="left"/>
            </w:pPr>
            <w:r>
              <w:rPr>
                <w:b w:val="0"/>
                <w:sz w:val="21"/>
              </w:rPr>
              <w:t>数据集质量评测</w:t>
            </w:r>
          </w:p>
        </w:tc>
        <w:tc>
          <w:tcPr>
            <w:tcW w:type="dxa" w:w="2699"/>
            <w:vAlign w:val="center"/>
          </w:tcPr>
          <w:p>
            <w:pPr>
              <w:keepNext w:val="0"/>
              <w:spacing w:line="320" w:lineRule="exact" w:after="0" w:before="0"/>
              <w:ind w:firstLine="0"/>
              <w:jc w:val="left"/>
            </w:pPr>
            <w:r>
              <w:rPr>
                <w:b w:val="0"/>
                <w:sz w:val="21"/>
              </w:rPr>
              <w:t>正式受评版本及配套材料</w:t>
            </w:r>
          </w:p>
        </w:tc>
        <w:tc>
          <w:tcPr>
            <w:tcW w:type="dxa" w:w="2409"/>
            <w:vAlign w:val="center"/>
          </w:tcPr>
          <w:p>
            <w:pPr>
              <w:keepNext w:val="0"/>
              <w:spacing w:line="320" w:lineRule="exact" w:after="0" w:before="0"/>
              <w:ind w:firstLine="0"/>
              <w:jc w:val="left"/>
            </w:pPr>
            <w:r>
              <w:rPr>
                <w:b w:val="0"/>
                <w:sz w:val="21"/>
              </w:rPr>
              <w:t>说明文档、数据质量、模型应用指标</w:t>
            </w:r>
          </w:p>
        </w:tc>
        <w:tc>
          <w:tcPr>
            <w:tcW w:type="dxa" w:w="2891"/>
            <w:vAlign w:val="center"/>
          </w:tcPr>
          <w:p>
            <w:pPr>
              <w:keepNext w:val="0"/>
              <w:spacing w:line="320" w:lineRule="exact" w:after="0" w:before="0"/>
              <w:ind w:firstLine="0"/>
              <w:jc w:val="left"/>
            </w:pPr>
            <w:r>
              <w:rPr>
                <w:b w:val="0"/>
                <w:sz w:val="21"/>
              </w:rPr>
              <w:t>正式报告、整改复测和验收</w:t>
            </w:r>
          </w:p>
        </w:tc>
      </w:tr>
      <w:tr>
        <w:trPr>
          <w:cantSplit/>
        </w:trPr>
        <w:tc>
          <w:tcPr>
            <w:tcW w:type="dxa" w:w="1638"/>
            <w:vAlign w:val="center"/>
          </w:tcPr>
          <w:p>
            <w:pPr>
              <w:keepNext w:val="0"/>
              <w:spacing w:line="320" w:lineRule="exact" w:after="0" w:before="0"/>
              <w:ind w:firstLine="0"/>
              <w:jc w:val="left"/>
            </w:pPr>
            <w:r>
              <w:rPr>
                <w:b w:val="0"/>
                <w:sz w:val="21"/>
              </w:rPr>
              <w:t>场景验证</w:t>
            </w:r>
          </w:p>
        </w:tc>
        <w:tc>
          <w:tcPr>
            <w:tcW w:type="dxa" w:w="2699"/>
            <w:vAlign w:val="center"/>
          </w:tcPr>
          <w:p>
            <w:pPr>
              <w:keepNext w:val="0"/>
              <w:spacing w:line="320" w:lineRule="exact" w:after="0" w:before="0"/>
              <w:ind w:firstLine="0"/>
              <w:jc w:val="left"/>
            </w:pPr>
            <w:r>
              <w:rPr>
                <w:b w:val="0"/>
                <w:sz w:val="21"/>
              </w:rPr>
              <w:t>业务任务、输入及实际运行结果</w:t>
            </w:r>
          </w:p>
        </w:tc>
        <w:tc>
          <w:tcPr>
            <w:tcW w:type="dxa" w:w="2409"/>
            <w:vAlign w:val="center"/>
          </w:tcPr>
          <w:p>
            <w:pPr>
              <w:keepNext w:val="0"/>
              <w:spacing w:line="320" w:lineRule="exact" w:after="0" w:before="0"/>
              <w:ind w:firstLine="0"/>
              <w:jc w:val="left"/>
            </w:pPr>
            <w:r>
              <w:rPr>
                <w:b w:val="0"/>
                <w:sz w:val="21"/>
              </w:rPr>
              <w:t>场景要求、题目和评分规则</w:t>
            </w:r>
          </w:p>
        </w:tc>
        <w:tc>
          <w:tcPr>
            <w:tcW w:type="dxa" w:w="2891"/>
            <w:vAlign w:val="center"/>
          </w:tcPr>
          <w:p>
            <w:pPr>
              <w:keepNext w:val="0"/>
              <w:spacing w:line="320" w:lineRule="exact" w:after="0" w:before="0"/>
              <w:ind w:firstLine="0"/>
              <w:jc w:val="left"/>
            </w:pPr>
            <w:r>
              <w:rPr>
                <w:b w:val="0"/>
                <w:sz w:val="21"/>
              </w:rPr>
              <w:t>适用性判断及定向改进</w:t>
            </w:r>
          </w:p>
        </w:tc>
      </w:tr>
    </w:tbl>
    <w:p>
      <w:pPr>
        <w:spacing w:after="40" w:line="240" w:lineRule="auto"/>
        <w:ind w:firstLine="0"/>
      </w:pPr>
      <w:r>
        <w:rPr>
          <w:sz w:val="4"/>
        </w:rPr>
      </w:r>
    </w:p>
    <w:p>
      <w:pPr>
        <w:jc w:val="both"/>
      </w:pPr>
      <w:r>
        <w:t>正式评测完成首轮全量评测、缺陷整改和复测，输出正式盖章评测报告并形成完整数据质量档案。说明文档、数据质量和模型应用三个维度分别达到要求，综合得分不低于八十五分；高风险缺陷清零，中低风险缺陷整改完成率达到百分之百。治理平台保存相关问题及源头处理证据，支撑受评版本与最终交付版本一致。</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7" name="Picture 7"/>
            <wp:cNvGraphicFramePr>
              <a:graphicFrameLocks noChangeAspect="1"/>
            </wp:cNvGraphicFramePr>
            <a:graphic>
              <a:graphicData uri="http://schemas.openxmlformats.org/drawingml/2006/picture">
                <pic:pic>
                  <pic:nvPicPr>
                    <pic:cNvPr id="0" name="图7_质量衔接.png"/>
                    <pic:cNvPicPr/>
                  </pic:nvPicPr>
                  <pic:blipFill>
                    <a:blip r:embed="rId17"/>
                    <a:stretch>
                      <a:fillRect/>
                    </a:stretch>
                  </pic:blipFill>
                  <pic:spPr>
                    <a:xfrm>
                      <a:off x="0" y="0"/>
                      <a:ext cx="6048000" cy="2477354"/>
                    </a:xfrm>
                    <a:prstGeom prst="rect"/>
                  </pic:spPr>
                </pic:pic>
              </a:graphicData>
            </a:graphic>
          </wp:inline>
        </w:drawing>
      </w:r>
    </w:p>
    <w:p>
      <w:pPr>
        <w:pStyle w:val="Caption"/>
        <w:jc w:val="center"/>
      </w:pPr>
      <w:r>
        <w:t>图7-1 三套质量体系与场景反馈</w:t>
      </w:r>
    </w:p>
    <w:p>
      <w:pPr>
        <w:pStyle w:val="Heading2"/>
      </w:pPr>
      <w:r>
        <w:t>7.3 多模态与时效性控制</w:t>
      </w:r>
    </w:p>
    <w:p>
      <w:pPr>
        <w:jc w:val="both"/>
      </w:pPr>
      <w:r>
        <w:t>治理目录登记文本、图像、时序、视频等实际模态，文件格式作为独立属性保存。图纸、表格、扫描文件和文档属于业务载体，模态认定依据实际有效内容。多模态样本检查对象、时间、版本、位置和业务关系，存在多个资源文件时逐一核验可读取性、质量和用途许可。</w:t>
      </w:r>
    </w:p>
    <w:p>
      <w:pPr>
        <w:jc w:val="both"/>
      </w:pPr>
      <w:r>
        <w:t>项目总体形成四种模态，各正式交付数据集不少于三种有效模态，多模态数据条数占比不低于百分之四十，近三年内时效性数据条数占比不低于百分之四十。统计对象包括预训练有效语义记录、指令完整任务、偏好完整组和基准完整题目，数量取自实际冻结清单，保持统计粒度一致。</w:t>
      </w:r>
    </w:p>
    <w:p>
      <w:pPr>
        <w:jc w:val="both"/>
      </w:pPr>
      <w:r>
        <w:t>近三年以正式版本发布日期向前推三十六个自然月计算。业务发生时间、资料形成时间、入库时间、扫描时间和加工时间分别登记，时效性认定采用可核验的业务或资料形成依据。时间不明的有效记录保留在总量统计中，补齐证据后按规则更新近期认定；新增合成或增强记录继承真实来源时间条件。</w:t>
      </w:r>
    </w:p>
    <w:p>
      <w:pPr>
        <w:jc w:val="both"/>
      </w:pPr>
      <w:r>
        <w:t>治理监控同时保存单模态出现统计和互斥模态组合统计。前者允许一条样本进入多个模态，后者每条记录归入一个实际组合；多模态份额按符合条件的记录数与同一范围总记录数计算。发现比例缺口时，按来源、对象和时间形成补采计划，补采后的有效净增量重新参与规模与比例核验。</w:t>
      </w:r>
    </w:p>
    <w:p>
      <w:pPr>
        <w:pStyle w:val="Heading2"/>
      </w:pPr>
      <w:r>
        <w:t>7.4 合成增强与来源许可管理</w:t>
      </w:r>
    </w:p>
    <w:p>
      <w:pPr>
        <w:jc w:val="both"/>
      </w:pPr>
      <w:r>
        <w:t>来源管理区分真实来源与合成来源，增强处理作为独立属性登记。合成内容记录种子来源、生成方法、模型及配置版本、业务审核、许可条件和质量检查；增强内容记录处理算子、参数、标签同步和来源继承。治理规则向生产任务提供许可与比例限制，生产统计返回实际执行情况。</w:t>
      </w:r>
    </w:p>
    <w:p>
      <w:pPr>
        <w:jc w:val="both"/>
      </w:pPr>
      <w:r>
        <w:t>预训练的合成及增强来源内容合计不超过去重后有效 Token 的百分之二十；指令微调合成来源总体不超过百分之四十五，真实样本充足任务不超过百分之三十，推理与长尾任务不超过百分之六十且服从总体限制；偏好对齐中含合成任务或合成回答及其派生内容的组不超过百分之五十。基准评测使用真实独立来源，合成占比为零。</w:t>
      </w:r>
    </w:p>
    <w:p>
      <w:pPr>
        <w:jc w:val="both"/>
      </w:pPr>
      <w:r>
        <w:t>商业使用条件贯穿数据、工具、模型和内容加工过程。来源授权记录覆盖训练、加工、验证、交付和实际运营用途，存在用途限制的对象按批准条件管理。个人信息、敏感地理信息、重要行业数据和企业秘密数据实施适用的去标识化或脱敏处理，授权依据与脱敏结果分别核验。</w:t>
      </w:r>
    </w:p>
    <w:p>
      <w:pPr>
        <w:jc w:val="both"/>
      </w:pPr>
      <w:r>
        <w:t>基准来源在生产前按来源家族隔离，关联文档、图纸不同版本、同工件图像和相邻时序窗口纳入同源检查。数据集划分变化通过版本记录管理，已暴露题目按实际使用情况退出独立验证用途。治理侧维护来源与使用历史，为去重、污染检查和正式评测提供可核验依据。</w:t>
      </w:r>
    </w:p>
    <w:p>
      <w:pPr>
        <w:pStyle w:val="Heading2"/>
      </w:pPr>
      <w:r>
        <w:t>7.5 质量问题追溯与联动整改</w:t>
      </w:r>
    </w:p>
    <w:p>
      <w:pPr>
        <w:jc w:val="both"/>
      </w:pPr>
      <w:r>
        <w:t>质量问题从发现处定位到样本、批次、规则和源对象。格式问题核查解析和转换，业务内容错误核查原始资料及专业标签，关联错误核查主数据映射和时间条件，应用错误核查输入能力、知识引用和任务适配。问题分类保留事实证据，责任分派按根本原因确定。</w:t>
      </w:r>
    </w:p>
    <w:p>
      <w:pPr>
        <w:jc w:val="both"/>
      </w:pPr>
      <w:r>
        <w:t>整改任务明确修复对象、方法、责任岗位、计划时间、复核范围及受影响版本。源系统修复后重新采集并对账，规则修复后重跑受影响批次，标签修复后重新质检，涉及应用能力的调整重新开展必要验证。原失败结果和新复核结果共同保存，后继版本引用修复记录。</w:t>
      </w:r>
    </w:p>
    <w:p>
      <w:pPr>
        <w:pStyle w:val="Caption"/>
        <w:keepNext/>
      </w:pPr>
      <w:r>
        <w:t>表7-2 质量问题追溯与联动整改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问题类型</w:t>
            </w:r>
          </w:p>
        </w:tc>
        <w:tc>
          <w:tcPr>
            <w:tcW w:type="dxa" w:w="2699"/>
            <w:vAlign w:val="center"/>
            <w:shd w:fill="EDF1F3"/>
          </w:tcPr>
          <w:p>
            <w:pPr>
              <w:keepNext/>
              <w:spacing w:line="320" w:lineRule="exact" w:after="0" w:before="0"/>
              <w:ind w:firstLine="0"/>
              <w:jc w:val="center"/>
            </w:pPr>
            <w:r>
              <w:rPr>
                <w:b/>
                <w:sz w:val="21"/>
              </w:rPr>
              <w:t>主要定位依据</w:t>
            </w:r>
          </w:p>
        </w:tc>
        <w:tc>
          <w:tcPr>
            <w:tcW w:type="dxa" w:w="2409"/>
            <w:vAlign w:val="center"/>
            <w:shd w:fill="EDF1F3"/>
          </w:tcPr>
          <w:p>
            <w:pPr>
              <w:keepNext/>
              <w:spacing w:line="320" w:lineRule="exact" w:after="0" w:before="0"/>
              <w:ind w:firstLine="0"/>
              <w:jc w:val="center"/>
            </w:pPr>
            <w:r>
              <w:rPr>
                <w:b/>
                <w:sz w:val="21"/>
              </w:rPr>
              <w:t>整改动作</w:t>
            </w:r>
          </w:p>
        </w:tc>
        <w:tc>
          <w:tcPr>
            <w:tcW w:type="dxa" w:w="2891"/>
            <w:vAlign w:val="center"/>
            <w:shd w:fill="EDF1F3"/>
          </w:tcPr>
          <w:p>
            <w:pPr>
              <w:keepNext/>
              <w:spacing w:line="320" w:lineRule="exact" w:after="0" w:before="0"/>
              <w:ind w:firstLine="0"/>
              <w:jc w:val="center"/>
            </w:pPr>
            <w:r>
              <w:rPr>
                <w:b/>
                <w:sz w:val="21"/>
              </w:rPr>
              <w:t>关闭条件</w:t>
            </w:r>
          </w:p>
        </w:tc>
      </w:tr>
      <w:tr>
        <w:trPr>
          <w:cantSplit/>
        </w:trPr>
        <w:tc>
          <w:tcPr>
            <w:tcW w:type="dxa" w:w="1638"/>
            <w:vAlign w:val="center"/>
          </w:tcPr>
          <w:p>
            <w:pPr>
              <w:keepNext w:val="0"/>
              <w:spacing w:line="320" w:lineRule="exact" w:after="0" w:before="0"/>
              <w:ind w:firstLine="0"/>
              <w:jc w:val="left"/>
            </w:pPr>
            <w:r>
              <w:rPr>
                <w:b w:val="0"/>
                <w:sz w:val="21"/>
              </w:rPr>
              <w:t>源头缺失或错误</w:t>
            </w:r>
          </w:p>
        </w:tc>
        <w:tc>
          <w:tcPr>
            <w:tcW w:type="dxa" w:w="2699"/>
            <w:vAlign w:val="center"/>
          </w:tcPr>
          <w:p>
            <w:pPr>
              <w:keepNext w:val="0"/>
              <w:spacing w:line="320" w:lineRule="exact" w:after="0" w:before="0"/>
              <w:ind w:firstLine="0"/>
              <w:jc w:val="left"/>
            </w:pPr>
            <w:r>
              <w:rPr>
                <w:b w:val="0"/>
                <w:sz w:val="21"/>
              </w:rPr>
              <w:t>原单据、字段和业务事件</w:t>
            </w:r>
          </w:p>
        </w:tc>
        <w:tc>
          <w:tcPr>
            <w:tcW w:type="dxa" w:w="2409"/>
            <w:vAlign w:val="center"/>
          </w:tcPr>
          <w:p>
            <w:pPr>
              <w:keepNext w:val="0"/>
              <w:spacing w:line="320" w:lineRule="exact" w:after="0" w:before="0"/>
              <w:ind w:firstLine="0"/>
              <w:jc w:val="left"/>
            </w:pPr>
            <w:r>
              <w:rPr>
                <w:b w:val="0"/>
                <w:sz w:val="21"/>
              </w:rPr>
              <w:t>补充或纠正源数据</w:t>
            </w:r>
          </w:p>
        </w:tc>
        <w:tc>
          <w:tcPr>
            <w:tcW w:type="dxa" w:w="2891"/>
            <w:vAlign w:val="center"/>
          </w:tcPr>
          <w:p>
            <w:pPr>
              <w:keepNext w:val="0"/>
              <w:spacing w:line="320" w:lineRule="exact" w:after="0" w:before="0"/>
              <w:ind w:firstLine="0"/>
              <w:jc w:val="left"/>
            </w:pPr>
            <w:r>
              <w:rPr>
                <w:b w:val="0"/>
                <w:sz w:val="21"/>
              </w:rPr>
              <w:t>业务确认及接收对账通过</w:t>
            </w:r>
          </w:p>
        </w:tc>
      </w:tr>
      <w:tr>
        <w:trPr>
          <w:cantSplit/>
        </w:trPr>
        <w:tc>
          <w:tcPr>
            <w:tcW w:type="dxa" w:w="1638"/>
            <w:vAlign w:val="center"/>
          </w:tcPr>
          <w:p>
            <w:pPr>
              <w:keepNext w:val="0"/>
              <w:spacing w:line="320" w:lineRule="exact" w:after="0" w:before="0"/>
              <w:ind w:firstLine="0"/>
              <w:jc w:val="left"/>
            </w:pPr>
            <w:r>
              <w:rPr>
                <w:b w:val="0"/>
                <w:sz w:val="21"/>
              </w:rPr>
              <w:t>标准映射错误</w:t>
            </w:r>
          </w:p>
        </w:tc>
        <w:tc>
          <w:tcPr>
            <w:tcW w:type="dxa" w:w="2699"/>
            <w:vAlign w:val="center"/>
          </w:tcPr>
          <w:p>
            <w:pPr>
              <w:keepNext w:val="0"/>
              <w:spacing w:line="320" w:lineRule="exact" w:after="0" w:before="0"/>
              <w:ind w:firstLine="0"/>
              <w:jc w:val="left"/>
            </w:pPr>
            <w:r>
              <w:rPr>
                <w:b w:val="0"/>
                <w:sz w:val="21"/>
              </w:rPr>
              <w:t>数据元、值域和字段映射</w:t>
            </w:r>
          </w:p>
        </w:tc>
        <w:tc>
          <w:tcPr>
            <w:tcW w:type="dxa" w:w="2409"/>
            <w:vAlign w:val="center"/>
          </w:tcPr>
          <w:p>
            <w:pPr>
              <w:keepNext w:val="0"/>
              <w:spacing w:line="320" w:lineRule="exact" w:after="0" w:before="0"/>
              <w:ind w:firstLine="0"/>
              <w:jc w:val="left"/>
            </w:pPr>
            <w:r>
              <w:rPr>
                <w:b w:val="0"/>
                <w:sz w:val="21"/>
              </w:rPr>
              <w:t>修正规则并重算</w:t>
            </w:r>
          </w:p>
        </w:tc>
        <w:tc>
          <w:tcPr>
            <w:tcW w:type="dxa" w:w="2891"/>
            <w:vAlign w:val="center"/>
          </w:tcPr>
          <w:p>
            <w:pPr>
              <w:keepNext w:val="0"/>
              <w:spacing w:line="320" w:lineRule="exact" w:after="0" w:before="0"/>
              <w:ind w:firstLine="0"/>
              <w:jc w:val="left"/>
            </w:pPr>
            <w:r>
              <w:rPr>
                <w:b w:val="0"/>
                <w:sz w:val="21"/>
              </w:rPr>
              <w:t>映射复核及质量检查通过</w:t>
            </w:r>
          </w:p>
        </w:tc>
      </w:tr>
      <w:tr>
        <w:trPr>
          <w:cantSplit/>
        </w:trPr>
        <w:tc>
          <w:tcPr>
            <w:tcW w:type="dxa" w:w="1638"/>
            <w:vAlign w:val="center"/>
          </w:tcPr>
          <w:p>
            <w:pPr>
              <w:keepNext w:val="0"/>
              <w:spacing w:line="320" w:lineRule="exact" w:after="0" w:before="0"/>
              <w:ind w:firstLine="0"/>
              <w:jc w:val="left"/>
            </w:pPr>
            <w:r>
              <w:rPr>
                <w:b w:val="0"/>
                <w:sz w:val="21"/>
              </w:rPr>
              <w:t>多模态关联错误</w:t>
            </w:r>
          </w:p>
        </w:tc>
        <w:tc>
          <w:tcPr>
            <w:tcW w:type="dxa" w:w="2699"/>
            <w:vAlign w:val="center"/>
          </w:tcPr>
          <w:p>
            <w:pPr>
              <w:keepNext w:val="0"/>
              <w:spacing w:line="320" w:lineRule="exact" w:after="0" w:before="0"/>
              <w:ind w:firstLine="0"/>
              <w:jc w:val="left"/>
            </w:pPr>
            <w:r>
              <w:rPr>
                <w:b w:val="0"/>
                <w:sz w:val="21"/>
              </w:rPr>
              <w:t>对象、位置、时间和版本</w:t>
            </w:r>
          </w:p>
        </w:tc>
        <w:tc>
          <w:tcPr>
            <w:tcW w:type="dxa" w:w="2409"/>
            <w:vAlign w:val="center"/>
          </w:tcPr>
          <w:p>
            <w:pPr>
              <w:keepNext w:val="0"/>
              <w:spacing w:line="320" w:lineRule="exact" w:after="0" w:before="0"/>
              <w:ind w:firstLine="0"/>
              <w:jc w:val="left"/>
            </w:pPr>
            <w:r>
              <w:rPr>
                <w:b w:val="0"/>
                <w:sz w:val="21"/>
              </w:rPr>
              <w:t>重新配对或补齐资源</w:t>
            </w:r>
          </w:p>
        </w:tc>
        <w:tc>
          <w:tcPr>
            <w:tcW w:type="dxa" w:w="2891"/>
            <w:vAlign w:val="center"/>
          </w:tcPr>
          <w:p>
            <w:pPr>
              <w:keepNext w:val="0"/>
              <w:spacing w:line="320" w:lineRule="exact" w:after="0" w:before="0"/>
              <w:ind w:firstLine="0"/>
              <w:jc w:val="left"/>
            </w:pPr>
            <w:r>
              <w:rPr>
                <w:b w:val="0"/>
                <w:sz w:val="21"/>
              </w:rPr>
              <w:t>关联证据与任务输入一致</w:t>
            </w:r>
          </w:p>
        </w:tc>
      </w:tr>
      <w:tr>
        <w:trPr>
          <w:cantSplit/>
        </w:trPr>
        <w:tc>
          <w:tcPr>
            <w:tcW w:type="dxa" w:w="1638"/>
            <w:vAlign w:val="center"/>
          </w:tcPr>
          <w:p>
            <w:pPr>
              <w:keepNext w:val="0"/>
              <w:spacing w:line="320" w:lineRule="exact" w:after="0" w:before="0"/>
              <w:ind w:firstLine="0"/>
              <w:jc w:val="left"/>
            </w:pPr>
            <w:r>
              <w:rPr>
                <w:b w:val="0"/>
                <w:sz w:val="21"/>
              </w:rPr>
              <w:t>标签或知识错误</w:t>
            </w:r>
          </w:p>
        </w:tc>
        <w:tc>
          <w:tcPr>
            <w:tcW w:type="dxa" w:w="2699"/>
            <w:vAlign w:val="center"/>
          </w:tcPr>
          <w:p>
            <w:pPr>
              <w:keepNext w:val="0"/>
              <w:spacing w:line="320" w:lineRule="exact" w:after="0" w:before="0"/>
              <w:ind w:firstLine="0"/>
              <w:jc w:val="left"/>
            </w:pPr>
            <w:r>
              <w:rPr>
                <w:b w:val="0"/>
                <w:sz w:val="21"/>
              </w:rPr>
              <w:t>专业依据、规范及审核记录</w:t>
            </w:r>
          </w:p>
        </w:tc>
        <w:tc>
          <w:tcPr>
            <w:tcW w:type="dxa" w:w="2409"/>
            <w:vAlign w:val="center"/>
          </w:tcPr>
          <w:p>
            <w:pPr>
              <w:keepNext w:val="0"/>
              <w:spacing w:line="320" w:lineRule="exact" w:after="0" w:before="0"/>
              <w:ind w:firstLine="0"/>
              <w:jc w:val="left"/>
            </w:pPr>
            <w:r>
              <w:rPr>
                <w:b w:val="0"/>
                <w:sz w:val="21"/>
              </w:rPr>
              <w:t>重标或修订知识条目</w:t>
            </w:r>
          </w:p>
        </w:tc>
        <w:tc>
          <w:tcPr>
            <w:tcW w:type="dxa" w:w="2891"/>
            <w:vAlign w:val="center"/>
          </w:tcPr>
          <w:p>
            <w:pPr>
              <w:keepNext w:val="0"/>
              <w:spacing w:line="320" w:lineRule="exact" w:after="0" w:before="0"/>
              <w:ind w:firstLine="0"/>
              <w:jc w:val="left"/>
            </w:pPr>
            <w:r>
              <w:rPr>
                <w:b w:val="0"/>
                <w:sz w:val="21"/>
              </w:rPr>
              <w:t>专业复核和样本质检通过</w:t>
            </w:r>
          </w:p>
        </w:tc>
      </w:tr>
      <w:tr>
        <w:trPr>
          <w:cantSplit/>
        </w:trPr>
        <w:tc>
          <w:tcPr>
            <w:tcW w:type="dxa" w:w="1638"/>
            <w:vAlign w:val="center"/>
          </w:tcPr>
          <w:p>
            <w:pPr>
              <w:keepNext w:val="0"/>
              <w:spacing w:line="320" w:lineRule="exact" w:after="0" w:before="0"/>
              <w:ind w:firstLine="0"/>
              <w:jc w:val="left"/>
            </w:pPr>
            <w:r>
              <w:rPr>
                <w:b w:val="0"/>
                <w:sz w:val="21"/>
              </w:rPr>
              <w:t>指标结果错误</w:t>
            </w:r>
          </w:p>
        </w:tc>
        <w:tc>
          <w:tcPr>
            <w:tcW w:type="dxa" w:w="2699"/>
            <w:vAlign w:val="center"/>
          </w:tcPr>
          <w:p>
            <w:pPr>
              <w:keepNext w:val="0"/>
              <w:spacing w:line="320" w:lineRule="exact" w:after="0" w:before="0"/>
              <w:ind w:firstLine="0"/>
              <w:jc w:val="left"/>
            </w:pPr>
            <w:r>
              <w:rPr>
                <w:b w:val="0"/>
                <w:sz w:val="21"/>
              </w:rPr>
              <w:t>口径、明细和计算记录</w:t>
            </w:r>
          </w:p>
        </w:tc>
        <w:tc>
          <w:tcPr>
            <w:tcW w:type="dxa" w:w="2409"/>
            <w:vAlign w:val="center"/>
          </w:tcPr>
          <w:p>
            <w:pPr>
              <w:keepNext w:val="0"/>
              <w:spacing w:line="320" w:lineRule="exact" w:after="0" w:before="0"/>
              <w:ind w:firstLine="0"/>
              <w:jc w:val="left"/>
            </w:pPr>
            <w:r>
              <w:rPr>
                <w:b w:val="0"/>
                <w:sz w:val="21"/>
              </w:rPr>
              <w:t>修正来源或逻辑</w:t>
            </w:r>
          </w:p>
        </w:tc>
        <w:tc>
          <w:tcPr>
            <w:tcW w:type="dxa" w:w="2891"/>
            <w:vAlign w:val="center"/>
          </w:tcPr>
          <w:p>
            <w:pPr>
              <w:keepNext w:val="0"/>
              <w:spacing w:line="320" w:lineRule="exact" w:after="0" w:before="0"/>
              <w:ind w:firstLine="0"/>
              <w:jc w:val="left"/>
            </w:pPr>
            <w:r>
              <w:rPr>
                <w:b w:val="0"/>
                <w:sz w:val="21"/>
              </w:rPr>
              <w:t>独立复算及业务确认通过</w:t>
            </w:r>
          </w:p>
        </w:tc>
      </w:tr>
      <w:tr>
        <w:trPr>
          <w:cantSplit/>
        </w:trPr>
        <w:tc>
          <w:tcPr>
            <w:tcW w:type="dxa" w:w="1638"/>
            <w:vAlign w:val="center"/>
          </w:tcPr>
          <w:p>
            <w:pPr>
              <w:keepNext w:val="0"/>
              <w:spacing w:line="320" w:lineRule="exact" w:after="0" w:before="0"/>
              <w:ind w:firstLine="0"/>
              <w:jc w:val="left"/>
            </w:pPr>
            <w:r>
              <w:rPr>
                <w:b w:val="0"/>
                <w:sz w:val="21"/>
              </w:rPr>
              <w:t>权限或许可失效</w:t>
            </w:r>
          </w:p>
        </w:tc>
        <w:tc>
          <w:tcPr>
            <w:tcW w:type="dxa" w:w="2699"/>
            <w:vAlign w:val="center"/>
          </w:tcPr>
          <w:p>
            <w:pPr>
              <w:keepNext w:val="0"/>
              <w:spacing w:line="320" w:lineRule="exact" w:after="0" w:before="0"/>
              <w:ind w:firstLine="0"/>
              <w:jc w:val="left"/>
            </w:pPr>
            <w:r>
              <w:rPr>
                <w:b w:val="0"/>
                <w:sz w:val="21"/>
              </w:rPr>
              <w:t>授权记录及使用范围</w:t>
            </w:r>
          </w:p>
        </w:tc>
        <w:tc>
          <w:tcPr>
            <w:tcW w:type="dxa" w:w="2409"/>
            <w:vAlign w:val="center"/>
          </w:tcPr>
          <w:p>
            <w:pPr>
              <w:keepNext w:val="0"/>
              <w:spacing w:line="320" w:lineRule="exact" w:after="0" w:before="0"/>
              <w:ind w:firstLine="0"/>
              <w:jc w:val="left"/>
            </w:pPr>
            <w:r>
              <w:rPr>
                <w:b w:val="0"/>
                <w:sz w:val="21"/>
              </w:rPr>
              <w:t>隔离、回收和替换</w:t>
            </w:r>
          </w:p>
        </w:tc>
        <w:tc>
          <w:tcPr>
            <w:tcW w:type="dxa" w:w="2891"/>
            <w:vAlign w:val="center"/>
          </w:tcPr>
          <w:p>
            <w:pPr>
              <w:keepNext w:val="0"/>
              <w:spacing w:line="320" w:lineRule="exact" w:after="0" w:before="0"/>
              <w:ind w:firstLine="0"/>
              <w:jc w:val="left"/>
            </w:pPr>
            <w:r>
              <w:rPr>
                <w:b w:val="0"/>
                <w:sz w:val="21"/>
              </w:rPr>
              <w:t>实际访问检查及影响处置完成</w:t>
            </w:r>
          </w:p>
        </w:tc>
      </w:tr>
    </w:tbl>
    <w:p>
      <w:pPr>
        <w:spacing w:after="40" w:line="240" w:lineRule="auto"/>
        <w:ind w:firstLine="0"/>
      </w:pPr>
      <w:r>
        <w:rPr>
          <w:sz w:val="4"/>
        </w:rPr>
      </w:r>
    </w:p>
    <w:p>
      <w:pPr>
        <w:jc w:val="both"/>
      </w:pPr>
      <w:r>
        <w:t>问题归档后继续观察同类规则和来源，统计重复发生情况及影响。反复出现的人工错误通过培训与操作约束改进，系统性错误修正流程或配置。治理评审根据实际问题调整标准、质量规则和采集条件，改进结果在后续业务批次验证。</w:t>
      </w:r>
    </w:p>
    <w:p>
      <w:pPr>
        <w:pStyle w:val="Heading2"/>
      </w:pPr>
      <w:r>
        <w:t>7.6 十一个场景的治理供给</w:t>
      </w:r>
    </w:p>
    <w:p>
      <w:pPr>
        <w:jc w:val="both"/>
      </w:pPr>
      <w:r>
        <w:t>专业场景按业务任务配置治理输入。产品选型使用经核验的工况、产品参数、配置和技术约束；板材备料工艺设计使用适用图纸、工序、材料、工装与计算依据；库存控制使用统一时点的订单、库存和采购信息；热处理与焊接监控使用对象、时间及工艺条件明确的过程数据；健康诊断使用设备、测点、事件和维修证据。</w:t>
      </w:r>
    </w:p>
    <w:p>
      <w:pPr>
        <w:jc w:val="both"/>
      </w:pPr>
      <w:r>
        <w:t>通用场景使用受控知识和业务数据。管理制度问答保留制度层级、生效范围及条款关系；技术标准问答保留标准版本和适用条件；标书问答保留技术资料、资质和业绩材料的真实性及授权；决策数据问答使用已确认指标与计算服务；合同审查使用有效合同、附件、模板和相关业务规则。</w:t>
      </w:r>
    </w:p>
    <w:p>
      <w:pPr>
        <w:jc w:val="both"/>
      </w:pPr>
      <w:r>
        <w:t>场景数据需求清单逐项登记输入资源、输出用途、质量条件、时间条件、权限、更新方式和验收证据。供给前核查实际资源是否满足任务，验证后将缺口、错误和新增需求返回治理台账。业务输入不足时组织补采或规则修订，并重新验证相应任务，持续完成全部场景的数据支撑要求。</w:t>
      </w:r>
    </w:p>
    <w:p>
      <w:pPr>
        <w:pStyle w:val="Heading1"/>
      </w:pPr>
      <w:r>
        <w:t>8 技术标准验证与标注规范管理</w:t>
      </w:r>
    </w:p>
    <w:p>
      <w:pPr>
        <w:pStyle w:val="Heading2"/>
      </w:pPr>
      <w:r>
        <w:t>8.1 标准验证组织与实施计划</w:t>
      </w:r>
    </w:p>
    <w:p>
      <w:pPr>
        <w:jc w:val="both"/>
      </w:pPr>
      <w:r>
        <w:t>我方结合矿山装备制造行业特点和高质量数据集建设实践，积极参与全国数标委标准验证及试点应用工作。项目内建立标准验证事项清单，登记标准名称与版本、拟验证要求、适用数据类型、业务对象、验证方法、执行岗位和成果形式。验证内容与实际生产、质量评测和场景应用过程衔接，保留可复查的原始记录。</w:t>
      </w:r>
    </w:p>
    <w:p>
      <w:pPr>
        <w:jc w:val="both"/>
      </w:pPr>
      <w:r>
        <w:t>标准验证从适用性、可执行性、结果稳定性和业务效果组织检查。对于同一指标在不同模态上的执行差异，分别核对对象定义、采样方法、计量单位和判定规则；对于专业符号、工况划分和跨模态关联等事项，结合实际资料记录适用条件。结论以实测与专业审核为依据，发现不适配时形成具体问题及改进建议。</w:t>
      </w:r>
    </w:p>
    <w:p>
      <w:pPr>
        <w:jc w:val="both"/>
      </w:pPr>
      <w:r>
        <w:t>参与外部标准工作前检查数据许可、敏感信息、知识产权和公开范围，提供经过授权的材料。项目内原始证据在受控环境保存，对外材料使用可公开内容及必要统计结果，保留两者之间的核验关系。标准化工作反馈纳入治理改进任务，经过评审后更新相关规范和配置。</w:t>
      </w:r>
    </w:p>
    <w:p>
      <w:pPr>
        <w:pStyle w:val="Heading2"/>
      </w:pPr>
      <w:r>
        <w:t>8.2 验证内容与方法</w:t>
      </w:r>
    </w:p>
    <w:p>
      <w:pPr>
        <w:jc w:val="both"/>
      </w:pPr>
      <w:r>
        <w:t>文档与图纸类验证检查结构解析、技术符号、表格关系、条款引用和版本表达。原图及原文作为核验依据，统计缺失、错位、单位错误和语义损失，按文档类型与质量条件分别报告。图纸尺寸、形位要求和工艺限制由专业人员复核，解析结果与实际用途共同检查。</w:t>
      </w:r>
    </w:p>
    <w:p>
      <w:pPr>
        <w:jc w:val="both"/>
      </w:pPr>
      <w:r>
        <w:t>图像、时序和视频类验证检查资源质量、对象标识、坐标、采样、时间同步和事件边界。对齐误差以实际任务容忍条件和证据进行评价，按工况、设备和资源质量分层观察；增强处理同时核查标签和跨模态关系是否保持有效。误差来源区分采集条件、转换过程和人工标注。</w:t>
      </w:r>
    </w:p>
    <w:p>
      <w:pPr>
        <w:jc w:val="both"/>
      </w:pPr>
      <w:r>
        <w:t>数据集类验证检查规模计量、分布、重复、近期数据认定、说明文档及模型适配。保持输入版本和统计规则固定，验证结果能够回到逐条记录和运行日志。模型应用验证保存实际训练或评测条件、数据版本和结果，结合错样归因分析标准要求在专业业务中的适用性。</w:t>
      </w:r>
    </w:p>
    <w:p>
      <w:pPr>
        <w:pStyle w:val="Caption"/>
        <w:keepNext/>
      </w:pPr>
      <w:r>
        <w:t>表8-1 验证内容与方法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验证对象</w:t>
            </w:r>
          </w:p>
        </w:tc>
        <w:tc>
          <w:tcPr>
            <w:tcW w:type="dxa" w:w="3855"/>
            <w:vAlign w:val="center"/>
            <w:shd w:fill="EDF1F3"/>
          </w:tcPr>
          <w:p>
            <w:pPr>
              <w:keepNext/>
              <w:spacing w:line="320" w:lineRule="exact" w:after="0" w:before="0"/>
              <w:ind w:firstLine="0"/>
              <w:jc w:val="center"/>
            </w:pPr>
            <w:r>
              <w:rPr>
                <w:b/>
                <w:sz w:val="21"/>
              </w:rPr>
              <w:t>验证重点</w:t>
            </w:r>
          </w:p>
        </w:tc>
        <w:tc>
          <w:tcPr>
            <w:tcW w:type="dxa" w:w="3277"/>
            <w:vAlign w:val="center"/>
            <w:shd w:fill="EDF1F3"/>
          </w:tcPr>
          <w:p>
            <w:pPr>
              <w:keepNext/>
              <w:spacing w:line="320" w:lineRule="exact" w:after="0" w:before="0"/>
              <w:ind w:firstLine="0"/>
              <w:jc w:val="center"/>
            </w:pPr>
            <w:r>
              <w:rPr>
                <w:b/>
                <w:sz w:val="21"/>
              </w:rPr>
              <w:t>记录内容</w:t>
            </w:r>
          </w:p>
        </w:tc>
      </w:tr>
      <w:tr>
        <w:trPr>
          <w:cantSplit/>
        </w:trPr>
        <w:tc>
          <w:tcPr>
            <w:tcW w:type="dxa" w:w="2506"/>
            <w:vAlign w:val="center"/>
          </w:tcPr>
          <w:p>
            <w:pPr>
              <w:keepNext w:val="0"/>
              <w:spacing w:line="320" w:lineRule="exact" w:after="0" w:before="0"/>
              <w:ind w:firstLine="0"/>
              <w:jc w:val="left"/>
            </w:pPr>
            <w:r>
              <w:rPr>
                <w:b w:val="0"/>
                <w:sz w:val="21"/>
              </w:rPr>
              <w:t>文档与图纸</w:t>
            </w:r>
          </w:p>
        </w:tc>
        <w:tc>
          <w:tcPr>
            <w:tcW w:type="dxa" w:w="3855"/>
            <w:vAlign w:val="center"/>
          </w:tcPr>
          <w:p>
            <w:pPr>
              <w:keepNext w:val="0"/>
              <w:spacing w:line="320" w:lineRule="exact" w:after="0" w:before="0"/>
              <w:ind w:firstLine="0"/>
              <w:jc w:val="left"/>
            </w:pPr>
            <w:r>
              <w:rPr>
                <w:b w:val="0"/>
                <w:sz w:val="21"/>
              </w:rPr>
              <w:t>结构、符号、语义和版本</w:t>
            </w:r>
          </w:p>
        </w:tc>
        <w:tc>
          <w:tcPr>
            <w:tcW w:type="dxa" w:w="3277"/>
            <w:vAlign w:val="center"/>
          </w:tcPr>
          <w:p>
            <w:pPr>
              <w:keepNext w:val="0"/>
              <w:spacing w:line="320" w:lineRule="exact" w:after="0" w:before="0"/>
              <w:ind w:firstLine="0"/>
              <w:jc w:val="left"/>
            </w:pPr>
            <w:r>
              <w:rPr>
                <w:b w:val="0"/>
                <w:sz w:val="21"/>
              </w:rPr>
              <w:t>原件定位、处理方法与差异</w:t>
            </w:r>
          </w:p>
        </w:tc>
      </w:tr>
      <w:tr>
        <w:trPr>
          <w:cantSplit/>
        </w:trPr>
        <w:tc>
          <w:tcPr>
            <w:tcW w:type="dxa" w:w="2506"/>
            <w:vAlign w:val="center"/>
          </w:tcPr>
          <w:p>
            <w:pPr>
              <w:keepNext w:val="0"/>
              <w:spacing w:line="320" w:lineRule="exact" w:after="0" w:before="0"/>
              <w:ind w:firstLine="0"/>
              <w:jc w:val="left"/>
            </w:pPr>
            <w:r>
              <w:rPr>
                <w:b w:val="0"/>
                <w:sz w:val="21"/>
              </w:rPr>
              <w:t>图像与标签</w:t>
            </w:r>
          </w:p>
        </w:tc>
        <w:tc>
          <w:tcPr>
            <w:tcW w:type="dxa" w:w="3855"/>
            <w:vAlign w:val="center"/>
          </w:tcPr>
          <w:p>
            <w:pPr>
              <w:keepNext w:val="0"/>
              <w:spacing w:line="320" w:lineRule="exact" w:after="0" w:before="0"/>
              <w:ind w:firstLine="0"/>
              <w:jc w:val="left"/>
            </w:pPr>
            <w:r>
              <w:rPr>
                <w:b w:val="0"/>
                <w:sz w:val="21"/>
              </w:rPr>
              <w:t>目标、位置、类别和可见条件</w:t>
            </w:r>
          </w:p>
        </w:tc>
        <w:tc>
          <w:tcPr>
            <w:tcW w:type="dxa" w:w="3277"/>
            <w:vAlign w:val="center"/>
          </w:tcPr>
          <w:p>
            <w:pPr>
              <w:keepNext w:val="0"/>
              <w:spacing w:line="320" w:lineRule="exact" w:after="0" w:before="0"/>
              <w:ind w:firstLine="0"/>
              <w:jc w:val="left"/>
            </w:pPr>
            <w:r>
              <w:rPr>
                <w:b w:val="0"/>
                <w:sz w:val="21"/>
              </w:rPr>
              <w:t>标注依据、错误及复核结果</w:t>
            </w:r>
          </w:p>
        </w:tc>
      </w:tr>
      <w:tr>
        <w:trPr>
          <w:cantSplit/>
        </w:trPr>
        <w:tc>
          <w:tcPr>
            <w:tcW w:type="dxa" w:w="2506"/>
            <w:vAlign w:val="center"/>
          </w:tcPr>
          <w:p>
            <w:pPr>
              <w:keepNext w:val="0"/>
              <w:spacing w:line="320" w:lineRule="exact" w:after="0" w:before="0"/>
              <w:ind w:firstLine="0"/>
              <w:jc w:val="left"/>
            </w:pPr>
            <w:r>
              <w:rPr>
                <w:b w:val="0"/>
                <w:sz w:val="21"/>
              </w:rPr>
              <w:t>时序与事件</w:t>
            </w:r>
          </w:p>
        </w:tc>
        <w:tc>
          <w:tcPr>
            <w:tcW w:type="dxa" w:w="3855"/>
            <w:vAlign w:val="center"/>
          </w:tcPr>
          <w:p>
            <w:pPr>
              <w:keepNext w:val="0"/>
              <w:spacing w:line="320" w:lineRule="exact" w:after="0" w:before="0"/>
              <w:ind w:firstLine="0"/>
              <w:jc w:val="left"/>
            </w:pPr>
            <w:r>
              <w:rPr>
                <w:b w:val="0"/>
                <w:sz w:val="21"/>
              </w:rPr>
              <w:t>采样、工况、区间和异常</w:t>
            </w:r>
          </w:p>
        </w:tc>
        <w:tc>
          <w:tcPr>
            <w:tcW w:type="dxa" w:w="3277"/>
            <w:vAlign w:val="center"/>
          </w:tcPr>
          <w:p>
            <w:pPr>
              <w:keepNext w:val="0"/>
              <w:spacing w:line="320" w:lineRule="exact" w:after="0" w:before="0"/>
              <w:ind w:firstLine="0"/>
              <w:jc w:val="left"/>
            </w:pPr>
            <w:r>
              <w:rPr>
                <w:b w:val="0"/>
                <w:sz w:val="21"/>
              </w:rPr>
              <w:t>原始序列、时间关系与判定</w:t>
            </w:r>
          </w:p>
        </w:tc>
      </w:tr>
      <w:tr>
        <w:trPr>
          <w:cantSplit/>
        </w:trPr>
        <w:tc>
          <w:tcPr>
            <w:tcW w:type="dxa" w:w="2506"/>
            <w:vAlign w:val="center"/>
          </w:tcPr>
          <w:p>
            <w:pPr>
              <w:keepNext w:val="0"/>
              <w:spacing w:line="320" w:lineRule="exact" w:after="0" w:before="0"/>
              <w:ind w:firstLine="0"/>
              <w:jc w:val="left"/>
            </w:pPr>
            <w:r>
              <w:rPr>
                <w:b w:val="0"/>
                <w:sz w:val="21"/>
              </w:rPr>
              <w:t>视频与文本</w:t>
            </w:r>
          </w:p>
        </w:tc>
        <w:tc>
          <w:tcPr>
            <w:tcW w:type="dxa" w:w="3855"/>
            <w:vAlign w:val="center"/>
          </w:tcPr>
          <w:p>
            <w:pPr>
              <w:keepNext w:val="0"/>
              <w:spacing w:line="320" w:lineRule="exact" w:after="0" w:before="0"/>
              <w:ind w:firstLine="0"/>
              <w:jc w:val="left"/>
            </w:pPr>
            <w:r>
              <w:rPr>
                <w:b w:val="0"/>
                <w:sz w:val="21"/>
              </w:rPr>
              <w:t>时间定位、步骤及语义对应</w:t>
            </w:r>
          </w:p>
        </w:tc>
        <w:tc>
          <w:tcPr>
            <w:tcW w:type="dxa" w:w="3277"/>
            <w:vAlign w:val="center"/>
          </w:tcPr>
          <w:p>
            <w:pPr>
              <w:keepNext w:val="0"/>
              <w:spacing w:line="320" w:lineRule="exact" w:after="0" w:before="0"/>
              <w:ind w:firstLine="0"/>
              <w:jc w:val="left"/>
            </w:pPr>
            <w:r>
              <w:rPr>
                <w:b w:val="0"/>
                <w:sz w:val="21"/>
              </w:rPr>
              <w:t>帧区间、说明及对齐误差</w:t>
            </w:r>
          </w:p>
        </w:tc>
      </w:tr>
      <w:tr>
        <w:trPr>
          <w:cantSplit/>
        </w:trPr>
        <w:tc>
          <w:tcPr>
            <w:tcW w:type="dxa" w:w="2506"/>
            <w:vAlign w:val="center"/>
          </w:tcPr>
          <w:p>
            <w:pPr>
              <w:keepNext w:val="0"/>
              <w:spacing w:line="320" w:lineRule="exact" w:after="0" w:before="0"/>
              <w:ind w:firstLine="0"/>
              <w:jc w:val="left"/>
            </w:pPr>
            <w:r>
              <w:rPr>
                <w:b w:val="0"/>
                <w:sz w:val="21"/>
              </w:rPr>
              <w:t>数据集统计</w:t>
            </w:r>
          </w:p>
        </w:tc>
        <w:tc>
          <w:tcPr>
            <w:tcW w:type="dxa" w:w="3855"/>
            <w:vAlign w:val="center"/>
          </w:tcPr>
          <w:p>
            <w:pPr>
              <w:keepNext w:val="0"/>
              <w:spacing w:line="320" w:lineRule="exact" w:after="0" w:before="0"/>
              <w:ind w:firstLine="0"/>
              <w:jc w:val="left"/>
            </w:pPr>
            <w:r>
              <w:rPr>
                <w:b w:val="0"/>
                <w:sz w:val="21"/>
              </w:rPr>
              <w:t>计量、分布、来源与独立性</w:t>
            </w:r>
          </w:p>
        </w:tc>
        <w:tc>
          <w:tcPr>
            <w:tcW w:type="dxa" w:w="3277"/>
            <w:vAlign w:val="center"/>
          </w:tcPr>
          <w:p>
            <w:pPr>
              <w:keepNext w:val="0"/>
              <w:spacing w:line="320" w:lineRule="exact" w:after="0" w:before="0"/>
              <w:ind w:firstLine="0"/>
              <w:jc w:val="left"/>
            </w:pPr>
            <w:r>
              <w:rPr>
                <w:b w:val="0"/>
                <w:sz w:val="21"/>
              </w:rPr>
              <w:t>冻结清单、规则和复算结果</w:t>
            </w:r>
          </w:p>
        </w:tc>
      </w:tr>
      <w:tr>
        <w:trPr>
          <w:cantSplit/>
        </w:trPr>
        <w:tc>
          <w:tcPr>
            <w:tcW w:type="dxa" w:w="2506"/>
            <w:vAlign w:val="center"/>
          </w:tcPr>
          <w:p>
            <w:pPr>
              <w:keepNext w:val="0"/>
              <w:spacing w:line="320" w:lineRule="exact" w:after="0" w:before="0"/>
              <w:ind w:firstLine="0"/>
              <w:jc w:val="left"/>
            </w:pPr>
            <w:r>
              <w:rPr>
                <w:b w:val="0"/>
                <w:sz w:val="21"/>
              </w:rPr>
              <w:t>场景应用</w:t>
            </w:r>
          </w:p>
        </w:tc>
        <w:tc>
          <w:tcPr>
            <w:tcW w:type="dxa" w:w="3855"/>
            <w:vAlign w:val="center"/>
          </w:tcPr>
          <w:p>
            <w:pPr>
              <w:keepNext w:val="0"/>
              <w:spacing w:line="320" w:lineRule="exact" w:after="0" w:before="0"/>
              <w:ind w:firstLine="0"/>
              <w:jc w:val="left"/>
            </w:pPr>
            <w:r>
              <w:rPr>
                <w:b w:val="0"/>
                <w:sz w:val="21"/>
              </w:rPr>
              <w:t>输入适配和业务效果</w:t>
            </w:r>
          </w:p>
        </w:tc>
        <w:tc>
          <w:tcPr>
            <w:tcW w:type="dxa" w:w="3277"/>
            <w:vAlign w:val="center"/>
          </w:tcPr>
          <w:p>
            <w:pPr>
              <w:keepNext w:val="0"/>
              <w:spacing w:line="320" w:lineRule="exact" w:after="0" w:before="0"/>
              <w:ind w:firstLine="0"/>
              <w:jc w:val="left"/>
            </w:pPr>
            <w:r>
              <w:rPr>
                <w:b w:val="0"/>
                <w:sz w:val="21"/>
              </w:rPr>
              <w:t>实验条件、结果及错样归因</w:t>
            </w:r>
          </w:p>
        </w:tc>
      </w:tr>
    </w:tbl>
    <w:p>
      <w:pPr>
        <w:spacing w:after="40" w:line="240" w:lineRule="auto"/>
        <w:ind w:firstLine="0"/>
      </w:pPr>
      <w:r>
        <w:rPr>
          <w:sz w:val="4"/>
        </w:rPr>
      </w:r>
    </w:p>
    <w:p>
      <w:pPr>
        <w:pStyle w:val="Heading2"/>
      </w:pPr>
      <w:r>
        <w:t>8.3 标准验证成果与专家机制</w:t>
      </w:r>
    </w:p>
    <w:p>
      <w:pPr>
        <w:jc w:val="both"/>
      </w:pPr>
      <w:r>
        <w:t>标准验证形成适用性验证报告、技术指标实测记录及统计附表、规范完善建议和试点应用材料。报告逐项记载验证对象、条件、方法、结果、问题和建议，统计附表保留分母、样本范围及计算方式。行业特点通过具体对象和实测差异表达，规范建议明确拟调整内容和适用范围。</w:t>
      </w:r>
    </w:p>
    <w:p>
      <w:pPr>
        <w:jc w:val="both"/>
      </w:pPr>
      <w:r>
        <w:t>数据标准专家库按业务与专业能力组织专家类别，明确建设原则、入库标准、遴选流程、工作职责和考核机制。工艺、质量、设备、数据标准、数据安全及模型应用等专业按任务需要参与审核。专家意见保存依据与分歧，涉及多专业的事项组织联合评审，裁定结论进入规范或问题处理记录。</w:t>
      </w:r>
    </w:p>
    <w:p>
      <w:pPr>
        <w:jc w:val="both"/>
      </w:pPr>
      <w:r>
        <w:t>专家工作与治理管理衔接。标准发布前核查专业正确性和可执行性，重大质量问题处理中核查证据与标签，标准验证中复核实验设计及结论，培训中解释业务规则和典型错误。考核关注任务完成、意见质量、响应及复核结果，专家调整保留历史审核记录和职责交接。</w:t>
      </w:r>
    </w:p>
    <w:p>
      <w:pPr>
        <w:jc w:val="both"/>
      </w:pPr>
      <w:r>
        <w:t>标准验证成果与项目知识产权工作建立对应关系。论文、发明专利和软件著作权以实际研究、技术方案和软件成果为基础，分别完成不少于五篇高质量论文、三项发明专利申请和六项软件著作权取得的项目要求。治理侧保存成果来源、贡献记录、使用许可和保密审核，成果公开按授权程序执行。</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8" name="Picture 8"/>
            <wp:cNvGraphicFramePr>
              <a:graphicFrameLocks noChangeAspect="1"/>
            </wp:cNvGraphicFramePr>
            <a:graphic>
              <a:graphicData uri="http://schemas.openxmlformats.org/drawingml/2006/picture">
                <pic:pic>
                  <pic:nvPicPr>
                    <pic:cNvPr id="0" name="图8_规范验证.png"/>
                    <pic:cNvPicPr/>
                  </pic:nvPicPr>
                  <pic:blipFill>
                    <a:blip r:embed="rId18"/>
                    <a:stretch>
                      <a:fillRect/>
                    </a:stretch>
                  </pic:blipFill>
                  <pic:spPr>
                    <a:xfrm>
                      <a:off x="0" y="0"/>
                      <a:ext cx="6048000" cy="1942338"/>
                    </a:xfrm>
                    <a:prstGeom prst="rect"/>
                  </pic:spPr>
                </pic:pic>
              </a:graphicData>
            </a:graphic>
          </wp:inline>
        </w:drawing>
      </w:r>
    </w:p>
    <w:p>
      <w:pPr>
        <w:pStyle w:val="Caption"/>
        <w:jc w:val="center"/>
      </w:pPr>
      <w:r>
        <w:t>图8-1 标准验证与规范持续完善</w:t>
      </w:r>
    </w:p>
    <w:p>
      <w:pPr>
        <w:pStyle w:val="Heading2"/>
      </w:pPr>
      <w:r>
        <w:t>8.4 标注规范体系</w:t>
      </w:r>
    </w:p>
    <w:p>
      <w:pPr>
        <w:jc w:val="both"/>
      </w:pPr>
      <w:r>
        <w:t>我方建设覆盖不同数据类型和用途子集的标注规范。规范由通用要求、专业分册、一致性校验和质量衔接要求组成，规定对象定义、标签体系、标注粒度、依据、操作流程、复核、争议处理、版本和交付结构。标签来源连接业务术语、参考数据、数据元、工艺与质量规则，专业新增标签经过审核后发布。</w:t>
      </w:r>
    </w:p>
    <w:p>
      <w:pPr>
        <w:jc w:val="both"/>
      </w:pPr>
      <w:r>
        <w:t>标注规范分册按文本与文档、图纸与工艺图、图像、时序、视频、对话与工单、专业推理过程组织。业务载体与模态分别登记，同一分册可覆盖相关载体，不据此改变数据集模态统计。每个分册同时规定可标注条件、信息不足的处理、专业证据要求和错误修复方式。</w:t>
      </w:r>
    </w:p>
    <w:p>
      <w:pPr>
        <w:pStyle w:val="Caption"/>
        <w:keepNext/>
      </w:pPr>
      <w:r>
        <w:t>表8-2 标注规范体系</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规范组成</w:t>
            </w:r>
          </w:p>
        </w:tc>
        <w:tc>
          <w:tcPr>
            <w:tcW w:type="dxa" w:w="3855"/>
            <w:vAlign w:val="center"/>
            <w:shd w:fill="EDF1F3"/>
          </w:tcPr>
          <w:p>
            <w:pPr>
              <w:keepNext/>
              <w:spacing w:line="320" w:lineRule="exact" w:after="0" w:before="0"/>
              <w:ind w:firstLine="0"/>
              <w:jc w:val="center"/>
            </w:pPr>
            <w:r>
              <w:rPr>
                <w:b/>
                <w:sz w:val="21"/>
              </w:rPr>
              <w:t>核心要求</w:t>
            </w:r>
          </w:p>
        </w:tc>
        <w:tc>
          <w:tcPr>
            <w:tcW w:type="dxa" w:w="3277"/>
            <w:vAlign w:val="center"/>
            <w:shd w:fill="EDF1F3"/>
          </w:tcPr>
          <w:p>
            <w:pPr>
              <w:keepNext/>
              <w:spacing w:line="320" w:lineRule="exact" w:after="0" w:before="0"/>
              <w:ind w:firstLine="0"/>
              <w:jc w:val="center"/>
            </w:pPr>
            <w:r>
              <w:rPr>
                <w:b/>
                <w:sz w:val="21"/>
              </w:rPr>
              <w:t>关联依据</w:t>
            </w:r>
          </w:p>
        </w:tc>
      </w:tr>
      <w:tr>
        <w:trPr>
          <w:cantSplit/>
        </w:trPr>
        <w:tc>
          <w:tcPr>
            <w:tcW w:type="dxa" w:w="2506"/>
            <w:vAlign w:val="center"/>
          </w:tcPr>
          <w:p>
            <w:pPr>
              <w:keepNext w:val="0"/>
              <w:spacing w:line="320" w:lineRule="exact" w:after="0" w:before="0"/>
              <w:ind w:firstLine="0"/>
              <w:jc w:val="left"/>
            </w:pPr>
            <w:r>
              <w:rPr>
                <w:b w:val="0"/>
                <w:sz w:val="21"/>
              </w:rPr>
              <w:t>标注通用要求</w:t>
            </w:r>
          </w:p>
        </w:tc>
        <w:tc>
          <w:tcPr>
            <w:tcW w:type="dxa" w:w="3855"/>
            <w:vAlign w:val="center"/>
          </w:tcPr>
          <w:p>
            <w:pPr>
              <w:keepNext w:val="0"/>
              <w:spacing w:line="320" w:lineRule="exact" w:after="0" w:before="0"/>
              <w:ind w:firstLine="0"/>
              <w:jc w:val="left"/>
            </w:pPr>
            <w:r>
              <w:rPr>
                <w:b w:val="0"/>
                <w:sz w:val="21"/>
              </w:rPr>
              <w:t>角色、流程、准入、审核、版本和交付</w:t>
            </w:r>
          </w:p>
        </w:tc>
        <w:tc>
          <w:tcPr>
            <w:tcW w:type="dxa" w:w="3277"/>
            <w:vAlign w:val="center"/>
          </w:tcPr>
          <w:p>
            <w:pPr>
              <w:keepNext w:val="0"/>
              <w:spacing w:line="320" w:lineRule="exact" w:after="0" w:before="0"/>
              <w:ind w:firstLine="0"/>
              <w:jc w:val="left"/>
            </w:pPr>
            <w:r>
              <w:rPr>
                <w:b w:val="0"/>
                <w:sz w:val="21"/>
              </w:rPr>
              <w:t>治理制度及数据标准</w:t>
            </w:r>
          </w:p>
        </w:tc>
      </w:tr>
      <w:tr>
        <w:trPr>
          <w:cantSplit/>
        </w:trPr>
        <w:tc>
          <w:tcPr>
            <w:tcW w:type="dxa" w:w="2506"/>
            <w:vAlign w:val="center"/>
          </w:tcPr>
          <w:p>
            <w:pPr>
              <w:keepNext w:val="0"/>
              <w:spacing w:line="320" w:lineRule="exact" w:after="0" w:before="0"/>
              <w:ind w:firstLine="0"/>
              <w:jc w:val="left"/>
            </w:pPr>
            <w:r>
              <w:rPr>
                <w:b w:val="0"/>
                <w:sz w:val="21"/>
              </w:rPr>
              <w:t>文本与文档</w:t>
            </w:r>
          </w:p>
        </w:tc>
        <w:tc>
          <w:tcPr>
            <w:tcW w:type="dxa" w:w="3855"/>
            <w:vAlign w:val="center"/>
          </w:tcPr>
          <w:p>
            <w:pPr>
              <w:keepNext w:val="0"/>
              <w:spacing w:line="320" w:lineRule="exact" w:after="0" w:before="0"/>
              <w:ind w:firstLine="0"/>
              <w:jc w:val="left"/>
            </w:pPr>
            <w:r>
              <w:rPr>
                <w:b w:val="0"/>
                <w:sz w:val="21"/>
              </w:rPr>
              <w:t>条款边界、实体、关系、引用及权限</w:t>
            </w:r>
          </w:p>
        </w:tc>
        <w:tc>
          <w:tcPr>
            <w:tcW w:type="dxa" w:w="3277"/>
            <w:vAlign w:val="center"/>
          </w:tcPr>
          <w:p>
            <w:pPr>
              <w:keepNext w:val="0"/>
              <w:spacing w:line="320" w:lineRule="exact" w:after="0" w:before="0"/>
              <w:ind w:firstLine="0"/>
              <w:jc w:val="left"/>
            </w:pPr>
            <w:r>
              <w:rPr>
                <w:b w:val="0"/>
                <w:sz w:val="21"/>
              </w:rPr>
              <w:t>业务术语与有效制度标准</w:t>
            </w:r>
          </w:p>
        </w:tc>
      </w:tr>
      <w:tr>
        <w:trPr>
          <w:cantSplit/>
        </w:trPr>
        <w:tc>
          <w:tcPr>
            <w:tcW w:type="dxa" w:w="2506"/>
            <w:vAlign w:val="center"/>
          </w:tcPr>
          <w:p>
            <w:pPr>
              <w:keepNext w:val="0"/>
              <w:spacing w:line="320" w:lineRule="exact" w:after="0" w:before="0"/>
              <w:ind w:firstLine="0"/>
              <w:jc w:val="left"/>
            </w:pPr>
            <w:r>
              <w:rPr>
                <w:b w:val="0"/>
                <w:sz w:val="21"/>
              </w:rPr>
              <w:t>图纸与工艺图</w:t>
            </w:r>
          </w:p>
        </w:tc>
        <w:tc>
          <w:tcPr>
            <w:tcW w:type="dxa" w:w="3855"/>
            <w:vAlign w:val="center"/>
          </w:tcPr>
          <w:p>
            <w:pPr>
              <w:keepNext w:val="0"/>
              <w:spacing w:line="320" w:lineRule="exact" w:after="0" w:before="0"/>
              <w:ind w:firstLine="0"/>
              <w:jc w:val="left"/>
            </w:pPr>
            <w:r>
              <w:rPr>
                <w:b w:val="0"/>
                <w:sz w:val="21"/>
              </w:rPr>
              <w:t>图元、尺寸、符号、工序与图卡关系</w:t>
            </w:r>
          </w:p>
        </w:tc>
        <w:tc>
          <w:tcPr>
            <w:tcW w:type="dxa" w:w="3277"/>
            <w:vAlign w:val="center"/>
          </w:tcPr>
          <w:p>
            <w:pPr>
              <w:keepNext w:val="0"/>
              <w:spacing w:line="320" w:lineRule="exact" w:after="0" w:before="0"/>
              <w:ind w:firstLine="0"/>
              <w:jc w:val="left"/>
            </w:pPr>
            <w:r>
              <w:rPr>
                <w:b w:val="0"/>
                <w:sz w:val="21"/>
              </w:rPr>
              <w:t>图纸版本及工艺规则</w:t>
            </w:r>
          </w:p>
        </w:tc>
      </w:tr>
      <w:tr>
        <w:trPr>
          <w:cantSplit/>
        </w:trPr>
        <w:tc>
          <w:tcPr>
            <w:tcW w:type="dxa" w:w="2506"/>
            <w:vAlign w:val="center"/>
          </w:tcPr>
          <w:p>
            <w:pPr>
              <w:keepNext w:val="0"/>
              <w:spacing w:line="320" w:lineRule="exact" w:after="0" w:before="0"/>
              <w:ind w:firstLine="0"/>
              <w:jc w:val="left"/>
            </w:pPr>
            <w:r>
              <w:rPr>
                <w:b w:val="0"/>
                <w:sz w:val="21"/>
              </w:rPr>
              <w:t>图像</w:t>
            </w:r>
          </w:p>
        </w:tc>
        <w:tc>
          <w:tcPr>
            <w:tcW w:type="dxa" w:w="3855"/>
            <w:vAlign w:val="center"/>
          </w:tcPr>
          <w:p>
            <w:pPr>
              <w:keepNext w:val="0"/>
              <w:spacing w:line="320" w:lineRule="exact" w:after="0" w:before="0"/>
              <w:ind w:firstLine="0"/>
              <w:jc w:val="left"/>
            </w:pPr>
            <w:r>
              <w:rPr>
                <w:b w:val="0"/>
                <w:sz w:val="21"/>
              </w:rPr>
              <w:t>类别、位置、区域与可见条件</w:t>
            </w:r>
          </w:p>
        </w:tc>
        <w:tc>
          <w:tcPr>
            <w:tcW w:type="dxa" w:w="3277"/>
            <w:vAlign w:val="center"/>
          </w:tcPr>
          <w:p>
            <w:pPr>
              <w:keepNext w:val="0"/>
              <w:spacing w:line="320" w:lineRule="exact" w:after="0" w:before="0"/>
              <w:ind w:firstLine="0"/>
              <w:jc w:val="left"/>
            </w:pPr>
            <w:r>
              <w:rPr>
                <w:b w:val="0"/>
                <w:sz w:val="21"/>
              </w:rPr>
              <w:t>缺陷字典和检测依据</w:t>
            </w:r>
          </w:p>
        </w:tc>
      </w:tr>
      <w:tr>
        <w:trPr>
          <w:cantSplit/>
        </w:trPr>
        <w:tc>
          <w:tcPr>
            <w:tcW w:type="dxa" w:w="2506"/>
            <w:vAlign w:val="center"/>
          </w:tcPr>
          <w:p>
            <w:pPr>
              <w:keepNext w:val="0"/>
              <w:spacing w:line="320" w:lineRule="exact" w:after="0" w:before="0"/>
              <w:ind w:firstLine="0"/>
              <w:jc w:val="left"/>
            </w:pPr>
            <w:r>
              <w:rPr>
                <w:b w:val="0"/>
                <w:sz w:val="21"/>
              </w:rPr>
              <w:t>时序</w:t>
            </w:r>
          </w:p>
        </w:tc>
        <w:tc>
          <w:tcPr>
            <w:tcW w:type="dxa" w:w="3855"/>
            <w:vAlign w:val="center"/>
          </w:tcPr>
          <w:p>
            <w:pPr>
              <w:keepNext w:val="0"/>
              <w:spacing w:line="320" w:lineRule="exact" w:after="0" w:before="0"/>
              <w:ind w:firstLine="0"/>
              <w:jc w:val="left"/>
            </w:pPr>
            <w:r>
              <w:rPr>
                <w:b w:val="0"/>
                <w:sz w:val="21"/>
              </w:rPr>
              <w:t>测点、工况、事件与缺失状态</w:t>
            </w:r>
          </w:p>
        </w:tc>
        <w:tc>
          <w:tcPr>
            <w:tcW w:type="dxa" w:w="3277"/>
            <w:vAlign w:val="center"/>
          </w:tcPr>
          <w:p>
            <w:pPr>
              <w:keepNext w:val="0"/>
              <w:spacing w:line="320" w:lineRule="exact" w:after="0" w:before="0"/>
              <w:ind w:firstLine="0"/>
              <w:jc w:val="left"/>
            </w:pPr>
            <w:r>
              <w:rPr>
                <w:b w:val="0"/>
                <w:sz w:val="21"/>
              </w:rPr>
              <w:t>采样元数据及运行记录</w:t>
            </w:r>
          </w:p>
        </w:tc>
      </w:tr>
      <w:tr>
        <w:trPr>
          <w:cantSplit/>
        </w:trPr>
        <w:tc>
          <w:tcPr>
            <w:tcW w:type="dxa" w:w="2506"/>
            <w:vAlign w:val="center"/>
          </w:tcPr>
          <w:p>
            <w:pPr>
              <w:keepNext w:val="0"/>
              <w:spacing w:line="320" w:lineRule="exact" w:after="0" w:before="0"/>
              <w:ind w:firstLine="0"/>
              <w:jc w:val="left"/>
            </w:pPr>
            <w:r>
              <w:rPr>
                <w:b w:val="0"/>
                <w:sz w:val="21"/>
              </w:rPr>
              <w:t>视频</w:t>
            </w:r>
          </w:p>
        </w:tc>
        <w:tc>
          <w:tcPr>
            <w:tcW w:type="dxa" w:w="3855"/>
            <w:vAlign w:val="center"/>
          </w:tcPr>
          <w:p>
            <w:pPr>
              <w:keepNext w:val="0"/>
              <w:spacing w:line="320" w:lineRule="exact" w:after="0" w:before="0"/>
              <w:ind w:firstLine="0"/>
              <w:jc w:val="left"/>
            </w:pPr>
            <w:r>
              <w:rPr>
                <w:b w:val="0"/>
                <w:sz w:val="21"/>
              </w:rPr>
              <w:t>步骤、动作、区间和文本对应</w:t>
            </w:r>
          </w:p>
        </w:tc>
        <w:tc>
          <w:tcPr>
            <w:tcW w:type="dxa" w:w="3277"/>
            <w:vAlign w:val="center"/>
          </w:tcPr>
          <w:p>
            <w:pPr>
              <w:keepNext w:val="0"/>
              <w:spacing w:line="320" w:lineRule="exact" w:after="0" w:before="0"/>
              <w:ind w:firstLine="0"/>
              <w:jc w:val="left"/>
            </w:pPr>
            <w:r>
              <w:rPr>
                <w:b w:val="0"/>
                <w:sz w:val="21"/>
              </w:rPr>
              <w:t>作业流程及时间依据</w:t>
            </w:r>
          </w:p>
        </w:tc>
      </w:tr>
      <w:tr>
        <w:trPr>
          <w:cantSplit/>
        </w:trPr>
        <w:tc>
          <w:tcPr>
            <w:tcW w:type="dxa" w:w="2506"/>
            <w:vAlign w:val="center"/>
          </w:tcPr>
          <w:p>
            <w:pPr>
              <w:keepNext w:val="0"/>
              <w:spacing w:line="320" w:lineRule="exact" w:after="0" w:before="0"/>
              <w:ind w:firstLine="0"/>
              <w:jc w:val="left"/>
            </w:pPr>
            <w:r>
              <w:rPr>
                <w:b w:val="0"/>
                <w:sz w:val="21"/>
              </w:rPr>
              <w:t>对话与工单</w:t>
            </w:r>
          </w:p>
        </w:tc>
        <w:tc>
          <w:tcPr>
            <w:tcW w:type="dxa" w:w="3855"/>
            <w:vAlign w:val="center"/>
          </w:tcPr>
          <w:p>
            <w:pPr>
              <w:keepNext w:val="0"/>
              <w:spacing w:line="320" w:lineRule="exact" w:after="0" w:before="0"/>
              <w:ind w:firstLine="0"/>
              <w:jc w:val="left"/>
            </w:pPr>
            <w:r>
              <w:rPr>
                <w:b w:val="0"/>
                <w:sz w:val="21"/>
              </w:rPr>
              <w:t>意图、轮次、条件与业务状态</w:t>
            </w:r>
          </w:p>
        </w:tc>
        <w:tc>
          <w:tcPr>
            <w:tcW w:type="dxa" w:w="3277"/>
            <w:vAlign w:val="center"/>
          </w:tcPr>
          <w:p>
            <w:pPr>
              <w:keepNext w:val="0"/>
              <w:spacing w:line="320" w:lineRule="exact" w:after="0" w:before="0"/>
              <w:ind w:firstLine="0"/>
              <w:jc w:val="left"/>
            </w:pPr>
            <w:r>
              <w:rPr>
                <w:b w:val="0"/>
                <w:sz w:val="21"/>
              </w:rPr>
              <w:t>原始工单和知识条目</w:t>
            </w:r>
          </w:p>
        </w:tc>
      </w:tr>
      <w:tr>
        <w:trPr>
          <w:cantSplit/>
        </w:trPr>
        <w:tc>
          <w:tcPr>
            <w:tcW w:type="dxa" w:w="2506"/>
            <w:vAlign w:val="center"/>
          </w:tcPr>
          <w:p>
            <w:pPr>
              <w:keepNext w:val="0"/>
              <w:spacing w:line="320" w:lineRule="exact" w:after="0" w:before="0"/>
              <w:ind w:firstLine="0"/>
              <w:jc w:val="left"/>
            </w:pPr>
            <w:r>
              <w:rPr>
                <w:b w:val="0"/>
                <w:sz w:val="21"/>
              </w:rPr>
              <w:t>专业推理过程</w:t>
            </w:r>
          </w:p>
        </w:tc>
        <w:tc>
          <w:tcPr>
            <w:tcW w:type="dxa" w:w="3855"/>
            <w:vAlign w:val="center"/>
          </w:tcPr>
          <w:p>
            <w:pPr>
              <w:keepNext w:val="0"/>
              <w:spacing w:line="320" w:lineRule="exact" w:after="0" w:before="0"/>
              <w:ind w:firstLine="0"/>
              <w:jc w:val="left"/>
            </w:pPr>
            <w:r>
              <w:rPr>
                <w:b w:val="0"/>
                <w:sz w:val="21"/>
              </w:rPr>
              <w:t>已知条件、推导、依据及结论范围</w:t>
            </w:r>
          </w:p>
        </w:tc>
        <w:tc>
          <w:tcPr>
            <w:tcW w:type="dxa" w:w="3277"/>
            <w:vAlign w:val="center"/>
          </w:tcPr>
          <w:p>
            <w:pPr>
              <w:keepNext w:val="0"/>
              <w:spacing w:line="320" w:lineRule="exact" w:after="0" w:before="0"/>
              <w:ind w:firstLine="0"/>
              <w:jc w:val="left"/>
            </w:pPr>
            <w:r>
              <w:rPr>
                <w:b w:val="0"/>
                <w:sz w:val="21"/>
              </w:rPr>
              <w:t>业务规则和可复算过程</w:t>
            </w:r>
          </w:p>
        </w:tc>
      </w:tr>
      <w:tr>
        <w:trPr>
          <w:cantSplit/>
        </w:trPr>
        <w:tc>
          <w:tcPr>
            <w:tcW w:type="dxa" w:w="2506"/>
            <w:vAlign w:val="center"/>
          </w:tcPr>
          <w:p>
            <w:pPr>
              <w:keepNext w:val="0"/>
              <w:spacing w:line="320" w:lineRule="exact" w:after="0" w:before="0"/>
              <w:ind w:firstLine="0"/>
              <w:jc w:val="left"/>
            </w:pPr>
            <w:r>
              <w:rPr>
                <w:b w:val="0"/>
                <w:sz w:val="21"/>
              </w:rPr>
              <w:t>一致性校验</w:t>
            </w:r>
          </w:p>
        </w:tc>
        <w:tc>
          <w:tcPr>
            <w:tcW w:type="dxa" w:w="3855"/>
            <w:vAlign w:val="center"/>
          </w:tcPr>
          <w:p>
            <w:pPr>
              <w:keepNext w:val="0"/>
              <w:spacing w:line="320" w:lineRule="exact" w:after="0" w:before="0"/>
              <w:ind w:firstLine="0"/>
              <w:jc w:val="left"/>
            </w:pPr>
            <w:r>
              <w:rPr>
                <w:b w:val="0"/>
                <w:sz w:val="21"/>
              </w:rPr>
              <w:t>独立标注、分歧、裁定和复核</w:t>
            </w:r>
          </w:p>
        </w:tc>
        <w:tc>
          <w:tcPr>
            <w:tcW w:type="dxa" w:w="3277"/>
            <w:vAlign w:val="center"/>
          </w:tcPr>
          <w:p>
            <w:pPr>
              <w:keepNext w:val="0"/>
              <w:spacing w:line="320" w:lineRule="exact" w:after="0" w:before="0"/>
              <w:ind w:firstLine="0"/>
              <w:jc w:val="left"/>
            </w:pPr>
            <w:r>
              <w:rPr>
                <w:b w:val="0"/>
                <w:sz w:val="21"/>
              </w:rPr>
              <w:t>标签定义及任务判据</w:t>
            </w:r>
          </w:p>
        </w:tc>
      </w:tr>
      <w:tr>
        <w:trPr>
          <w:cantSplit/>
        </w:trPr>
        <w:tc>
          <w:tcPr>
            <w:tcW w:type="dxa" w:w="2506"/>
            <w:vAlign w:val="center"/>
          </w:tcPr>
          <w:p>
            <w:pPr>
              <w:keepNext w:val="0"/>
              <w:spacing w:line="320" w:lineRule="exact" w:after="0" w:before="0"/>
              <w:ind w:firstLine="0"/>
              <w:jc w:val="left"/>
            </w:pPr>
            <w:r>
              <w:rPr>
                <w:b w:val="0"/>
                <w:sz w:val="21"/>
              </w:rPr>
              <w:t>质量衔接要求</w:t>
            </w:r>
          </w:p>
        </w:tc>
        <w:tc>
          <w:tcPr>
            <w:tcW w:type="dxa" w:w="3855"/>
            <w:vAlign w:val="center"/>
          </w:tcPr>
          <w:p>
            <w:pPr>
              <w:keepNext w:val="0"/>
              <w:spacing w:line="320" w:lineRule="exact" w:after="0" w:before="0"/>
              <w:ind w:firstLine="0"/>
              <w:jc w:val="left"/>
            </w:pPr>
            <w:r>
              <w:rPr>
                <w:b w:val="0"/>
                <w:sz w:val="21"/>
              </w:rPr>
              <w:t>提交条件、抽检、返工及错样追溯</w:t>
            </w:r>
          </w:p>
        </w:tc>
        <w:tc>
          <w:tcPr>
            <w:tcW w:type="dxa" w:w="3277"/>
            <w:vAlign w:val="center"/>
          </w:tcPr>
          <w:p>
            <w:pPr>
              <w:keepNext w:val="0"/>
              <w:spacing w:line="320" w:lineRule="exact" w:after="0" w:before="0"/>
              <w:ind w:firstLine="0"/>
              <w:jc w:val="left"/>
            </w:pPr>
            <w:r>
              <w:rPr>
                <w:b w:val="0"/>
                <w:sz w:val="21"/>
              </w:rPr>
              <w:t>质量规则和用途要求</w:t>
            </w:r>
          </w:p>
        </w:tc>
      </w:tr>
    </w:tbl>
    <w:p>
      <w:pPr>
        <w:spacing w:after="40" w:line="240" w:lineRule="auto"/>
        <w:ind w:firstLine="0"/>
      </w:pPr>
      <w:r>
        <w:rPr>
          <w:sz w:val="4"/>
        </w:rPr>
      </w:r>
    </w:p>
    <w:p>
      <w:pPr>
        <w:jc w:val="both"/>
      </w:pPr>
      <w:r>
        <w:t>规范评审使用实际样本试标。业务专家检查标签语义与专业判断，标注人员检查操作可执行性，质量人员检查检验方法及错误分级，技术人员检查结构和工具实现。试标产生的分歧用于修正规范，生效后组织培训和准入考核，正式作业引用固定版本。</w:t>
      </w:r>
    </w:p>
    <w:p>
      <w:pPr>
        <w:pStyle w:val="Heading2"/>
      </w:pPr>
      <w:r>
        <w:t>8.5 规范执行与变更控制</w:t>
      </w:r>
    </w:p>
    <w:p>
      <w:pPr>
        <w:jc w:val="both"/>
      </w:pPr>
      <w:r>
        <w:t>标注任务发布时绑定对象范围、规范版本、标签字典、参考知识、审核要求和输出格式。预标注结果保留其来源和状态，经人工或规定流程审核后形成正式标签；关键专业判断由相应人员终审。缺少依据的内容保留信息不足状态并形成补充任务，不能通过强制选择标签掩盖证据缺口。</w:t>
      </w:r>
    </w:p>
    <w:p>
      <w:pPr>
        <w:jc w:val="both"/>
      </w:pPr>
      <w:r>
        <w:t>一致性评价依据不同任务分别设置方法。类别任务比较标签和混淆情况，位置任务检查匹配与边界，时序和视频任务检查区间及事件，文本抽取检查字段与引用，专业推理检查依据和步骤。首轮试标用于校验规范清晰度和方法适用性，检查门限及返工规则在正式任务下发前明确，并满足招标与质量评测要求。</w:t>
      </w:r>
    </w:p>
    <w:p>
      <w:pPr>
        <w:jc w:val="both"/>
      </w:pPr>
      <w:r>
        <w:t>规范变更先评估已完成样本、黄金集、基准题目、知识库和工具配置影响。语义改变、标签合并或拆分、单位与坐标变化分别设置处理任务，必要时重新标注和验证。旧规范与其执行结果保留，后续批次使用新版本，过渡期间明确每批次适用规范和兼容关系。</w:t>
      </w:r>
    </w:p>
    <w:p>
      <w:pPr>
        <w:pStyle w:val="Heading2"/>
      </w:pPr>
      <w:r>
        <w:t>8.6 配套机制与运行管理</w:t>
      </w:r>
    </w:p>
    <w:p>
      <w:pPr>
        <w:jc w:val="both"/>
      </w:pPr>
      <w:r>
        <w:t>治理制度、标准专家机制、标注规范、数据协同和运营管理与项目约三十余项软建设配套措施衔接。项目内部管理制度不少于七份，覆盖组织实施、进度、质量、安全、变更、文档及沟通等管理要求，明确办理流程与记录。不同制度作用范围分别登记，共用审批和台账在统一流程中执行。</w:t>
      </w:r>
    </w:p>
    <w:p>
      <w:pPr>
        <w:jc w:val="both"/>
      </w:pPr>
      <w:r>
        <w:t>制度执行形成任务受理、评审意见、版本发布、岗位培训、质量检查、异常处置和管理评审记录。每次检查根据实际问题调整规则和培训重点，重大事项按授权层级处理。新增机制先通过实际业务验证可执行性，再纳入常态运行，实施记录为能力评估与项目验收提供依据。</w:t>
      </w:r>
    </w:p>
    <w:p>
      <w:pPr>
        <w:pStyle w:val="Heading1"/>
      </w:pPr>
      <w:r>
        <w:t>9 实施计划与成果验收</w:t>
      </w:r>
    </w:p>
    <w:p>
      <w:pPr>
        <w:pStyle w:val="Heading2"/>
      </w:pPr>
      <w:r>
        <w:t>9.1 阶段安排与关键依赖</w:t>
      </w:r>
    </w:p>
    <w:p>
      <w:pPr>
        <w:jc w:val="both"/>
      </w:pPr>
      <w:r>
        <w:t>治理实施纳入项目建设周期至二〇二八年五月的总体计划，按诊断准备、规划确认、试点贯通、分域推广、评估验收及运行移交组织任务。每阶段明确成果、责任岗位、前置条件和检查标准，源数据接入、标准发布、平台配置、样本加工与场景验证之间保持进度关联。</w:t>
      </w:r>
    </w:p>
    <w:p>
      <w:pPr>
        <w:jc w:val="both"/>
      </w:pPr>
      <w:r>
        <w:t>诊断阶段完成全域调研、资源盘点、差距分析和场景数据需求识别。规划阶段形成组织职责、制度、标准、架构及实施路线，优先发布首批生产所需的来源、字段、权限和质量要求。试点阶段选择实际跨域业务链贯通接入、处理、治理、加工与服务，复核规则和方法后按域推广。</w:t>
      </w:r>
    </w:p>
    <w:p>
      <w:pPr>
        <w:jc w:val="both"/>
      </w:pPr>
      <w:r>
        <w:t>推广阶段同步落实九个业务域和九项治理内容，按业务对象形成可核验结果。决策指标体系在治理规划完成和口径确认后发布，支撑对应知识库和场景验证。评估验收阶段完成治理能力检查、贯标支撑、平台接收、资料核验和问题整改，运行移交阶段完成岗位交接、培训和维护安排。</w:t>
      </w:r>
    </w:p>
    <w:p>
      <w:pPr>
        <w:pStyle w:val="Caption"/>
        <w:keepNext/>
      </w:pPr>
      <w:r>
        <w:t>表9-1 阶段安排与关键依赖</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阶段</w:t>
            </w:r>
          </w:p>
        </w:tc>
        <w:tc>
          <w:tcPr>
            <w:tcW w:type="dxa" w:w="2699"/>
            <w:vAlign w:val="center"/>
            <w:shd w:fill="EDF1F3"/>
          </w:tcPr>
          <w:p>
            <w:pPr>
              <w:keepNext/>
              <w:spacing w:line="320" w:lineRule="exact" w:after="0" w:before="0"/>
              <w:ind w:firstLine="0"/>
              <w:jc w:val="center"/>
            </w:pPr>
            <w:r>
              <w:rPr>
                <w:b/>
                <w:sz w:val="21"/>
              </w:rPr>
              <w:t>主要工作</w:t>
            </w:r>
          </w:p>
        </w:tc>
        <w:tc>
          <w:tcPr>
            <w:tcW w:type="dxa" w:w="2409"/>
            <w:vAlign w:val="center"/>
            <w:shd w:fill="EDF1F3"/>
          </w:tcPr>
          <w:p>
            <w:pPr>
              <w:keepNext/>
              <w:spacing w:line="320" w:lineRule="exact" w:after="0" w:before="0"/>
              <w:ind w:firstLine="0"/>
              <w:jc w:val="center"/>
            </w:pPr>
            <w:r>
              <w:rPr>
                <w:b/>
                <w:sz w:val="21"/>
              </w:rPr>
              <w:t>核心成果</w:t>
            </w:r>
          </w:p>
        </w:tc>
        <w:tc>
          <w:tcPr>
            <w:tcW w:type="dxa" w:w="2891"/>
            <w:vAlign w:val="center"/>
            <w:shd w:fill="EDF1F3"/>
          </w:tcPr>
          <w:p>
            <w:pPr>
              <w:keepNext/>
              <w:spacing w:line="320" w:lineRule="exact" w:after="0" w:before="0"/>
              <w:ind w:firstLine="0"/>
              <w:jc w:val="center"/>
            </w:pPr>
            <w:r>
              <w:rPr>
                <w:b/>
                <w:sz w:val="21"/>
              </w:rPr>
              <w:t>完成检查</w:t>
            </w:r>
          </w:p>
        </w:tc>
      </w:tr>
      <w:tr>
        <w:trPr>
          <w:cantSplit/>
        </w:trPr>
        <w:tc>
          <w:tcPr>
            <w:tcW w:type="dxa" w:w="1638"/>
            <w:vAlign w:val="center"/>
          </w:tcPr>
          <w:p>
            <w:pPr>
              <w:keepNext w:val="0"/>
              <w:spacing w:line="320" w:lineRule="exact" w:after="0" w:before="0"/>
              <w:ind w:firstLine="0"/>
              <w:jc w:val="left"/>
            </w:pPr>
            <w:r>
              <w:rPr>
                <w:b w:val="0"/>
                <w:sz w:val="21"/>
              </w:rPr>
              <w:t>诊断准备</w:t>
            </w:r>
          </w:p>
        </w:tc>
        <w:tc>
          <w:tcPr>
            <w:tcW w:type="dxa" w:w="2699"/>
            <w:vAlign w:val="center"/>
          </w:tcPr>
          <w:p>
            <w:pPr>
              <w:keepNext w:val="0"/>
              <w:spacing w:line="320" w:lineRule="exact" w:after="0" w:before="0"/>
              <w:ind w:firstLine="0"/>
              <w:jc w:val="left"/>
            </w:pPr>
            <w:r>
              <w:rPr>
                <w:b w:val="0"/>
                <w:sz w:val="21"/>
              </w:rPr>
              <w:t>组织调查、资源盘点、需求与差距识别</w:t>
            </w:r>
          </w:p>
        </w:tc>
        <w:tc>
          <w:tcPr>
            <w:tcW w:type="dxa" w:w="2409"/>
            <w:vAlign w:val="center"/>
          </w:tcPr>
          <w:p>
            <w:pPr>
              <w:keepNext w:val="0"/>
              <w:spacing w:line="320" w:lineRule="exact" w:after="0" w:before="0"/>
              <w:ind w:firstLine="0"/>
              <w:jc w:val="left"/>
            </w:pPr>
            <w:r>
              <w:rPr>
                <w:b w:val="0"/>
                <w:sz w:val="21"/>
              </w:rPr>
              <w:t>诊断报告、资源清单和场景需求</w:t>
            </w:r>
          </w:p>
        </w:tc>
        <w:tc>
          <w:tcPr>
            <w:tcW w:type="dxa" w:w="2891"/>
            <w:vAlign w:val="center"/>
          </w:tcPr>
          <w:p>
            <w:pPr>
              <w:keepNext w:val="0"/>
              <w:spacing w:line="320" w:lineRule="exact" w:after="0" w:before="0"/>
              <w:ind w:firstLine="0"/>
              <w:jc w:val="left"/>
            </w:pPr>
            <w:r>
              <w:rPr>
                <w:b w:val="0"/>
                <w:sz w:val="21"/>
              </w:rPr>
              <w:t>事实与证据对应、范围完整</w:t>
            </w:r>
          </w:p>
        </w:tc>
      </w:tr>
      <w:tr>
        <w:trPr>
          <w:cantSplit/>
        </w:trPr>
        <w:tc>
          <w:tcPr>
            <w:tcW w:type="dxa" w:w="1638"/>
            <w:vAlign w:val="center"/>
          </w:tcPr>
          <w:p>
            <w:pPr>
              <w:keepNext w:val="0"/>
              <w:spacing w:line="320" w:lineRule="exact" w:after="0" w:before="0"/>
              <w:ind w:firstLine="0"/>
              <w:jc w:val="left"/>
            </w:pPr>
            <w:r>
              <w:rPr>
                <w:b w:val="0"/>
                <w:sz w:val="21"/>
              </w:rPr>
              <w:t>规划确认</w:t>
            </w:r>
          </w:p>
        </w:tc>
        <w:tc>
          <w:tcPr>
            <w:tcW w:type="dxa" w:w="2699"/>
            <w:vAlign w:val="center"/>
          </w:tcPr>
          <w:p>
            <w:pPr>
              <w:keepNext w:val="0"/>
              <w:spacing w:line="320" w:lineRule="exact" w:after="0" w:before="0"/>
              <w:ind w:firstLine="0"/>
              <w:jc w:val="left"/>
            </w:pPr>
            <w:r>
              <w:rPr>
                <w:b w:val="0"/>
                <w:sz w:val="21"/>
              </w:rPr>
              <w:t>九项规划、组织职责、制度和标准</w:t>
            </w:r>
          </w:p>
        </w:tc>
        <w:tc>
          <w:tcPr>
            <w:tcW w:type="dxa" w:w="2409"/>
            <w:vAlign w:val="center"/>
          </w:tcPr>
          <w:p>
            <w:pPr>
              <w:keepNext w:val="0"/>
              <w:spacing w:line="320" w:lineRule="exact" w:after="0" w:before="0"/>
              <w:ind w:firstLine="0"/>
              <w:jc w:val="left"/>
            </w:pPr>
            <w:r>
              <w:rPr>
                <w:b w:val="0"/>
                <w:sz w:val="21"/>
              </w:rPr>
              <w:t>规划文档及实施计划</w:t>
            </w:r>
          </w:p>
        </w:tc>
        <w:tc>
          <w:tcPr>
            <w:tcW w:type="dxa" w:w="2891"/>
            <w:vAlign w:val="center"/>
          </w:tcPr>
          <w:p>
            <w:pPr>
              <w:keepNext w:val="0"/>
              <w:spacing w:line="320" w:lineRule="exact" w:after="0" w:before="0"/>
              <w:ind w:firstLine="0"/>
              <w:jc w:val="left"/>
            </w:pPr>
            <w:r>
              <w:rPr>
                <w:b w:val="0"/>
                <w:sz w:val="21"/>
              </w:rPr>
              <w:t>业务适用、责任明确、可配置</w:t>
            </w:r>
          </w:p>
        </w:tc>
      </w:tr>
      <w:tr>
        <w:trPr>
          <w:cantSplit/>
        </w:trPr>
        <w:tc>
          <w:tcPr>
            <w:tcW w:type="dxa" w:w="1638"/>
            <w:vAlign w:val="center"/>
          </w:tcPr>
          <w:p>
            <w:pPr>
              <w:keepNext w:val="0"/>
              <w:spacing w:line="320" w:lineRule="exact" w:after="0" w:before="0"/>
              <w:ind w:firstLine="0"/>
              <w:jc w:val="left"/>
            </w:pPr>
            <w:r>
              <w:rPr>
                <w:b w:val="0"/>
                <w:sz w:val="21"/>
              </w:rPr>
              <w:t>试点贯通</w:t>
            </w:r>
          </w:p>
        </w:tc>
        <w:tc>
          <w:tcPr>
            <w:tcW w:type="dxa" w:w="2699"/>
            <w:vAlign w:val="center"/>
          </w:tcPr>
          <w:p>
            <w:pPr>
              <w:keepNext w:val="0"/>
              <w:spacing w:line="320" w:lineRule="exact" w:after="0" w:before="0"/>
              <w:ind w:firstLine="0"/>
              <w:jc w:val="left"/>
            </w:pPr>
            <w:r>
              <w:rPr>
                <w:b w:val="0"/>
                <w:sz w:val="21"/>
              </w:rPr>
              <w:t>平台配置、数据治理和跨域验证</w:t>
            </w:r>
          </w:p>
        </w:tc>
        <w:tc>
          <w:tcPr>
            <w:tcW w:type="dxa" w:w="2409"/>
            <w:vAlign w:val="center"/>
          </w:tcPr>
          <w:p>
            <w:pPr>
              <w:keepNext w:val="0"/>
              <w:spacing w:line="320" w:lineRule="exact" w:after="0" w:before="0"/>
              <w:ind w:firstLine="0"/>
              <w:jc w:val="left"/>
            </w:pPr>
            <w:r>
              <w:rPr>
                <w:b w:val="0"/>
                <w:sz w:val="21"/>
              </w:rPr>
              <w:t>首批对象、规则和运行记录</w:t>
            </w:r>
          </w:p>
        </w:tc>
        <w:tc>
          <w:tcPr>
            <w:tcW w:type="dxa" w:w="2891"/>
            <w:vAlign w:val="center"/>
          </w:tcPr>
          <w:p>
            <w:pPr>
              <w:keepNext w:val="0"/>
              <w:spacing w:line="320" w:lineRule="exact" w:after="0" w:before="0"/>
              <w:ind w:firstLine="0"/>
              <w:jc w:val="left"/>
            </w:pPr>
            <w:r>
              <w:rPr>
                <w:b w:val="0"/>
                <w:sz w:val="21"/>
              </w:rPr>
              <w:t>业务链可执行、问题已处理</w:t>
            </w:r>
          </w:p>
        </w:tc>
      </w:tr>
      <w:tr>
        <w:trPr>
          <w:cantSplit/>
        </w:trPr>
        <w:tc>
          <w:tcPr>
            <w:tcW w:type="dxa" w:w="1638"/>
            <w:vAlign w:val="center"/>
          </w:tcPr>
          <w:p>
            <w:pPr>
              <w:keepNext w:val="0"/>
              <w:spacing w:line="320" w:lineRule="exact" w:after="0" w:before="0"/>
              <w:ind w:firstLine="0"/>
              <w:jc w:val="left"/>
            </w:pPr>
            <w:r>
              <w:rPr>
                <w:b w:val="0"/>
                <w:sz w:val="21"/>
              </w:rPr>
              <w:t>分域推广</w:t>
            </w:r>
          </w:p>
        </w:tc>
        <w:tc>
          <w:tcPr>
            <w:tcW w:type="dxa" w:w="2699"/>
            <w:vAlign w:val="center"/>
          </w:tcPr>
          <w:p>
            <w:pPr>
              <w:keepNext w:val="0"/>
              <w:spacing w:line="320" w:lineRule="exact" w:after="0" w:before="0"/>
              <w:ind w:firstLine="0"/>
              <w:jc w:val="left"/>
            </w:pPr>
            <w:r>
              <w:rPr>
                <w:b w:val="0"/>
                <w:sz w:val="21"/>
              </w:rPr>
              <w:t>九域实施、指标与数据服务</w:t>
            </w:r>
          </w:p>
        </w:tc>
        <w:tc>
          <w:tcPr>
            <w:tcW w:type="dxa" w:w="2409"/>
            <w:vAlign w:val="center"/>
          </w:tcPr>
          <w:p>
            <w:pPr>
              <w:keepNext w:val="0"/>
              <w:spacing w:line="320" w:lineRule="exact" w:after="0" w:before="0"/>
              <w:ind w:firstLine="0"/>
              <w:jc w:val="left"/>
            </w:pPr>
            <w:r>
              <w:rPr>
                <w:b w:val="0"/>
                <w:sz w:val="21"/>
              </w:rPr>
              <w:t>治理结果、指标体系和服务目录</w:t>
            </w:r>
          </w:p>
        </w:tc>
        <w:tc>
          <w:tcPr>
            <w:tcW w:type="dxa" w:w="2891"/>
            <w:vAlign w:val="center"/>
          </w:tcPr>
          <w:p>
            <w:pPr>
              <w:keepNext w:val="0"/>
              <w:spacing w:line="320" w:lineRule="exact" w:after="0" w:before="0"/>
              <w:ind w:firstLine="0"/>
              <w:jc w:val="left"/>
            </w:pPr>
            <w:r>
              <w:rPr>
                <w:b w:val="0"/>
                <w:sz w:val="21"/>
              </w:rPr>
              <w:t>覆盖、质量与权限通过检查</w:t>
            </w:r>
          </w:p>
        </w:tc>
      </w:tr>
      <w:tr>
        <w:trPr>
          <w:cantSplit/>
        </w:trPr>
        <w:tc>
          <w:tcPr>
            <w:tcW w:type="dxa" w:w="1638"/>
            <w:vAlign w:val="center"/>
          </w:tcPr>
          <w:p>
            <w:pPr>
              <w:keepNext w:val="0"/>
              <w:spacing w:line="320" w:lineRule="exact" w:after="0" w:before="0"/>
              <w:ind w:firstLine="0"/>
              <w:jc w:val="left"/>
            </w:pPr>
            <w:r>
              <w:rPr>
                <w:b w:val="0"/>
                <w:sz w:val="21"/>
              </w:rPr>
              <w:t>评估验收</w:t>
            </w:r>
          </w:p>
        </w:tc>
        <w:tc>
          <w:tcPr>
            <w:tcW w:type="dxa" w:w="2699"/>
            <w:vAlign w:val="center"/>
          </w:tcPr>
          <w:p>
            <w:pPr>
              <w:keepNext w:val="0"/>
              <w:spacing w:line="320" w:lineRule="exact" w:after="0" w:before="0"/>
              <w:ind w:firstLine="0"/>
              <w:jc w:val="left"/>
            </w:pPr>
            <w:r>
              <w:rPr>
                <w:b w:val="0"/>
                <w:sz w:val="21"/>
              </w:rPr>
              <w:t>预评估、评估支撑、接收及整改</w:t>
            </w:r>
          </w:p>
        </w:tc>
        <w:tc>
          <w:tcPr>
            <w:tcW w:type="dxa" w:w="2409"/>
            <w:vAlign w:val="center"/>
          </w:tcPr>
          <w:p>
            <w:pPr>
              <w:keepNext w:val="0"/>
              <w:spacing w:line="320" w:lineRule="exact" w:after="0" w:before="0"/>
              <w:ind w:firstLine="0"/>
              <w:jc w:val="left"/>
            </w:pPr>
            <w:r>
              <w:rPr>
                <w:b w:val="0"/>
                <w:sz w:val="21"/>
              </w:rPr>
              <w:t>评估资料与验收档案</w:t>
            </w:r>
          </w:p>
        </w:tc>
        <w:tc>
          <w:tcPr>
            <w:tcW w:type="dxa" w:w="2891"/>
            <w:vAlign w:val="center"/>
          </w:tcPr>
          <w:p>
            <w:pPr>
              <w:keepNext w:val="0"/>
              <w:spacing w:line="320" w:lineRule="exact" w:after="0" w:before="0"/>
              <w:ind w:firstLine="0"/>
              <w:jc w:val="left"/>
            </w:pPr>
            <w:r>
              <w:rPr>
                <w:b w:val="0"/>
                <w:sz w:val="21"/>
              </w:rPr>
              <w:t>交付要求逐项满足</w:t>
            </w:r>
          </w:p>
        </w:tc>
      </w:tr>
      <w:tr>
        <w:trPr>
          <w:cantSplit/>
        </w:trPr>
        <w:tc>
          <w:tcPr>
            <w:tcW w:type="dxa" w:w="1638"/>
            <w:vAlign w:val="center"/>
          </w:tcPr>
          <w:p>
            <w:pPr>
              <w:keepNext w:val="0"/>
              <w:spacing w:line="320" w:lineRule="exact" w:after="0" w:before="0"/>
              <w:ind w:firstLine="0"/>
              <w:jc w:val="left"/>
            </w:pPr>
            <w:r>
              <w:rPr>
                <w:b w:val="0"/>
                <w:sz w:val="21"/>
              </w:rPr>
              <w:t>运行移交</w:t>
            </w:r>
          </w:p>
        </w:tc>
        <w:tc>
          <w:tcPr>
            <w:tcW w:type="dxa" w:w="2699"/>
            <w:vAlign w:val="center"/>
          </w:tcPr>
          <w:p>
            <w:pPr>
              <w:keepNext w:val="0"/>
              <w:spacing w:line="320" w:lineRule="exact" w:after="0" w:before="0"/>
              <w:ind w:firstLine="0"/>
              <w:jc w:val="left"/>
            </w:pPr>
            <w:r>
              <w:rPr>
                <w:b w:val="0"/>
                <w:sz w:val="21"/>
              </w:rPr>
              <w:t>岗位交接、培训和维护</w:t>
            </w:r>
          </w:p>
        </w:tc>
        <w:tc>
          <w:tcPr>
            <w:tcW w:type="dxa" w:w="2409"/>
            <w:vAlign w:val="center"/>
          </w:tcPr>
          <w:p>
            <w:pPr>
              <w:keepNext w:val="0"/>
              <w:spacing w:line="320" w:lineRule="exact" w:after="0" w:before="0"/>
              <w:ind w:firstLine="0"/>
              <w:jc w:val="left"/>
            </w:pPr>
            <w:r>
              <w:rPr>
                <w:b w:val="0"/>
                <w:sz w:val="21"/>
              </w:rPr>
              <w:t>操作资料、配置和维护记录</w:t>
            </w:r>
          </w:p>
        </w:tc>
        <w:tc>
          <w:tcPr>
            <w:tcW w:type="dxa" w:w="2891"/>
            <w:vAlign w:val="center"/>
          </w:tcPr>
          <w:p>
            <w:pPr>
              <w:keepNext w:val="0"/>
              <w:spacing w:line="320" w:lineRule="exact" w:after="0" w:before="0"/>
              <w:ind w:firstLine="0"/>
              <w:jc w:val="left"/>
            </w:pPr>
            <w:r>
              <w:rPr>
                <w:b w:val="0"/>
                <w:sz w:val="21"/>
              </w:rPr>
              <w:t>接收方能够持续执行</w:t>
            </w:r>
          </w:p>
        </w:tc>
      </w:tr>
    </w:tbl>
    <w:p>
      <w:pPr>
        <w:spacing w:after="40" w:line="240" w:lineRule="auto"/>
        <w:ind w:firstLine="0"/>
      </w:pPr>
      <w:r>
        <w:rPr>
          <w:sz w:val="4"/>
        </w:rPr>
      </w:r>
    </w:p>
    <w:p>
      <w:pPr>
        <w:jc w:val="both"/>
      </w:pPr>
      <w:r>
        <w:t>阶段资源根据实际工作量和专业需求配置。源数据补采与授权、复杂图纸专业审核、关键指标口径确认和跨平台联调设置提前完成节点。计划变化时分析下游影响，调整资源、批次和作业顺序，保持合同范围、质量要求及总体建设目标。</w:t>
      </w:r>
    </w:p>
    <w:p>
      <w:pPr>
        <w:pStyle w:val="Heading2"/>
      </w:pPr>
      <w:r>
        <w:t>9.2 项目协同与责任落实</w:t>
      </w:r>
    </w:p>
    <w:p>
      <w:pPr>
        <w:jc w:val="both"/>
      </w:pPr>
      <w:r>
        <w:t>项目负责人统筹治理计划、平台实施、数据生产及验证衔接，治理负责人组织制度与标准，业务域负责人核定本域规则和问题，技术负责人落实配置及集成，质量岗位独立复核，安全岗位核验分级、权限与使用条件。各责任落实到具体任务和记录，交接时检查输入完整性和完成条件。</w:t>
      </w:r>
    </w:p>
    <w:p>
      <w:pPr>
        <w:jc w:val="both"/>
      </w:pPr>
      <w:r>
        <w:t>日常协同处理任务执行和异常问题，周度检查跨域依赖、来源缺口、质量整改和指标确认，阶段评审检查目标达成、风险及资源安排。会议形成明确决议、责任、时间和验证要求，后续检查跟踪实际完成情况。重大业务口径、权属和安全事项按授权程序审批。</w:t>
      </w:r>
    </w:p>
    <w:p>
      <w:pPr>
        <w:jc w:val="both"/>
      </w:pPr>
      <w:r>
        <w:t>争议处理首先核查事实、规则版本和业务条件。专业判断分歧由相应专家审核，跨域口径冲突由业务责任岗位联合确认，涉及企业管理要求的事项提交管理层裁定。原始意见、裁定依据和执行结果分别保存，裁定后的规则同步到平台、知识库和操作指引。</w:t>
      </w:r>
    </w:p>
    <w:p>
      <w:pPr>
        <w:pStyle w:val="Heading2"/>
      </w:pPr>
      <w:r>
        <w:t>9.3 进度与成效监控</w:t>
      </w:r>
    </w:p>
    <w:p>
      <w:pPr>
        <w:jc w:val="both"/>
      </w:pPr>
      <w:r>
        <w:t>治理进度以实际完成对象和通过复核的成果统计。文档记录编制、评审、生效及执行状态；平台记录配置、测试、业务使用及移交状态；数据记录接收、处理、质量检查及可用状态；问题记录分派、修复、复核及关闭状态。不同状态分别展示，完成率分母使用已确认任务范围并保留变更历史。</w:t>
      </w:r>
    </w:p>
    <w:p>
      <w:pPr>
        <w:jc w:val="both"/>
      </w:pPr>
      <w:r>
        <w:t>治理成效围绕数据供给、质量提升、标准执行、问题处理和服务使用检查。质量改善比较相同规则、相同对象范围和可比时间段，新增数据或范围变化另行说明；问题关闭检查实际修复与复核，重复发生情况独立统计。服务使用量、业务反馈与数据质量共同用于评价实际作用。</w:t>
      </w:r>
    </w:p>
    <w:p>
      <w:pPr>
        <w:pStyle w:val="Caption"/>
        <w:keepNext/>
      </w:pPr>
      <w:r>
        <w:t>表9-2 进度与成效监控</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监控事项</w:t>
            </w:r>
          </w:p>
        </w:tc>
        <w:tc>
          <w:tcPr>
            <w:tcW w:type="dxa" w:w="3855"/>
            <w:vAlign w:val="center"/>
            <w:shd w:fill="EDF1F3"/>
          </w:tcPr>
          <w:p>
            <w:pPr>
              <w:keepNext/>
              <w:spacing w:line="320" w:lineRule="exact" w:after="0" w:before="0"/>
              <w:ind w:firstLine="0"/>
              <w:jc w:val="center"/>
            </w:pPr>
            <w:r>
              <w:rPr>
                <w:b/>
                <w:sz w:val="21"/>
              </w:rPr>
              <w:t>统计依据</w:t>
            </w:r>
          </w:p>
        </w:tc>
        <w:tc>
          <w:tcPr>
            <w:tcW w:type="dxa" w:w="3277"/>
            <w:vAlign w:val="center"/>
            <w:shd w:fill="EDF1F3"/>
          </w:tcPr>
          <w:p>
            <w:pPr>
              <w:keepNext/>
              <w:spacing w:line="320" w:lineRule="exact" w:after="0" w:before="0"/>
              <w:ind w:firstLine="0"/>
              <w:jc w:val="center"/>
            </w:pPr>
            <w:r>
              <w:rPr>
                <w:b/>
                <w:sz w:val="21"/>
              </w:rPr>
              <w:t>处理动作</w:t>
            </w:r>
          </w:p>
        </w:tc>
      </w:tr>
      <w:tr>
        <w:trPr>
          <w:cantSplit/>
        </w:trPr>
        <w:tc>
          <w:tcPr>
            <w:tcW w:type="dxa" w:w="2506"/>
            <w:vAlign w:val="center"/>
          </w:tcPr>
          <w:p>
            <w:pPr>
              <w:keepNext w:val="0"/>
              <w:spacing w:line="320" w:lineRule="exact" w:after="0" w:before="0"/>
              <w:ind w:firstLine="0"/>
              <w:jc w:val="left"/>
            </w:pPr>
            <w:r>
              <w:rPr>
                <w:b w:val="0"/>
                <w:sz w:val="21"/>
              </w:rPr>
              <w:t>资源盘点与接入</w:t>
            </w:r>
          </w:p>
        </w:tc>
        <w:tc>
          <w:tcPr>
            <w:tcW w:type="dxa" w:w="3855"/>
            <w:vAlign w:val="center"/>
          </w:tcPr>
          <w:p>
            <w:pPr>
              <w:keepNext w:val="0"/>
              <w:spacing w:line="320" w:lineRule="exact" w:after="0" w:before="0"/>
              <w:ind w:firstLine="0"/>
              <w:jc w:val="left"/>
            </w:pPr>
            <w:r>
              <w:rPr>
                <w:b w:val="0"/>
                <w:sz w:val="21"/>
              </w:rPr>
              <w:t>对象清单、授权及接收记录</w:t>
            </w:r>
          </w:p>
        </w:tc>
        <w:tc>
          <w:tcPr>
            <w:tcW w:type="dxa" w:w="3277"/>
            <w:vAlign w:val="center"/>
          </w:tcPr>
          <w:p>
            <w:pPr>
              <w:keepNext w:val="0"/>
              <w:spacing w:line="320" w:lineRule="exact" w:after="0" w:before="0"/>
              <w:ind w:firstLine="0"/>
              <w:jc w:val="left"/>
            </w:pPr>
            <w:r>
              <w:rPr>
                <w:b w:val="0"/>
                <w:sz w:val="21"/>
              </w:rPr>
              <w:t>补充遗漏对象和解决接口依赖</w:t>
            </w:r>
          </w:p>
        </w:tc>
      </w:tr>
      <w:tr>
        <w:trPr>
          <w:cantSplit/>
        </w:trPr>
        <w:tc>
          <w:tcPr>
            <w:tcW w:type="dxa" w:w="2506"/>
            <w:vAlign w:val="center"/>
          </w:tcPr>
          <w:p>
            <w:pPr>
              <w:keepNext w:val="0"/>
              <w:spacing w:line="320" w:lineRule="exact" w:after="0" w:before="0"/>
              <w:ind w:firstLine="0"/>
              <w:jc w:val="left"/>
            </w:pPr>
            <w:r>
              <w:rPr>
                <w:b w:val="0"/>
                <w:sz w:val="21"/>
              </w:rPr>
              <w:t>标准落实</w:t>
            </w:r>
          </w:p>
        </w:tc>
        <w:tc>
          <w:tcPr>
            <w:tcW w:type="dxa" w:w="3855"/>
            <w:vAlign w:val="center"/>
          </w:tcPr>
          <w:p>
            <w:pPr>
              <w:keepNext w:val="0"/>
              <w:spacing w:line="320" w:lineRule="exact" w:after="0" w:before="0"/>
              <w:ind w:firstLine="0"/>
              <w:jc w:val="left"/>
            </w:pPr>
            <w:r>
              <w:rPr>
                <w:b w:val="0"/>
                <w:sz w:val="21"/>
              </w:rPr>
              <w:t>生效标准、映射和执行结果</w:t>
            </w:r>
          </w:p>
        </w:tc>
        <w:tc>
          <w:tcPr>
            <w:tcW w:type="dxa" w:w="3277"/>
            <w:vAlign w:val="center"/>
          </w:tcPr>
          <w:p>
            <w:pPr>
              <w:keepNext w:val="0"/>
              <w:spacing w:line="320" w:lineRule="exact" w:after="0" w:before="0"/>
              <w:ind w:firstLine="0"/>
              <w:jc w:val="left"/>
            </w:pPr>
            <w:r>
              <w:rPr>
                <w:b w:val="0"/>
                <w:sz w:val="21"/>
              </w:rPr>
              <w:t>修正冲突或缺失映射</w:t>
            </w:r>
          </w:p>
        </w:tc>
      </w:tr>
      <w:tr>
        <w:trPr>
          <w:cantSplit/>
        </w:trPr>
        <w:tc>
          <w:tcPr>
            <w:tcW w:type="dxa" w:w="2506"/>
            <w:vAlign w:val="center"/>
          </w:tcPr>
          <w:p>
            <w:pPr>
              <w:keepNext w:val="0"/>
              <w:spacing w:line="320" w:lineRule="exact" w:after="0" w:before="0"/>
              <w:ind w:firstLine="0"/>
              <w:jc w:val="left"/>
            </w:pPr>
            <w:r>
              <w:rPr>
                <w:b w:val="0"/>
                <w:sz w:val="21"/>
              </w:rPr>
              <w:t>质量整改</w:t>
            </w:r>
          </w:p>
        </w:tc>
        <w:tc>
          <w:tcPr>
            <w:tcW w:type="dxa" w:w="3855"/>
            <w:vAlign w:val="center"/>
          </w:tcPr>
          <w:p>
            <w:pPr>
              <w:keepNext w:val="0"/>
              <w:spacing w:line="320" w:lineRule="exact" w:after="0" w:before="0"/>
              <w:ind w:firstLine="0"/>
              <w:jc w:val="left"/>
            </w:pPr>
            <w:r>
              <w:rPr>
                <w:b w:val="0"/>
                <w:sz w:val="21"/>
              </w:rPr>
              <w:t>原始问题、修复及复核</w:t>
            </w:r>
          </w:p>
        </w:tc>
        <w:tc>
          <w:tcPr>
            <w:tcW w:type="dxa" w:w="3277"/>
            <w:vAlign w:val="center"/>
          </w:tcPr>
          <w:p>
            <w:pPr>
              <w:keepNext w:val="0"/>
              <w:spacing w:line="320" w:lineRule="exact" w:after="0" w:before="0"/>
              <w:ind w:firstLine="0"/>
              <w:jc w:val="left"/>
            </w:pPr>
            <w:r>
              <w:rPr>
                <w:b w:val="0"/>
                <w:sz w:val="21"/>
              </w:rPr>
              <w:t>处理逾期和重复问题</w:t>
            </w:r>
          </w:p>
        </w:tc>
      </w:tr>
      <w:tr>
        <w:trPr>
          <w:cantSplit/>
        </w:trPr>
        <w:tc>
          <w:tcPr>
            <w:tcW w:type="dxa" w:w="2506"/>
            <w:vAlign w:val="center"/>
          </w:tcPr>
          <w:p>
            <w:pPr>
              <w:keepNext w:val="0"/>
              <w:spacing w:line="320" w:lineRule="exact" w:after="0" w:before="0"/>
              <w:ind w:firstLine="0"/>
              <w:jc w:val="left"/>
            </w:pPr>
            <w:r>
              <w:rPr>
                <w:b w:val="0"/>
                <w:sz w:val="21"/>
              </w:rPr>
              <w:t>指标体系</w:t>
            </w:r>
          </w:p>
        </w:tc>
        <w:tc>
          <w:tcPr>
            <w:tcW w:type="dxa" w:w="3855"/>
            <w:vAlign w:val="center"/>
          </w:tcPr>
          <w:p>
            <w:pPr>
              <w:keepNext w:val="0"/>
              <w:spacing w:line="320" w:lineRule="exact" w:after="0" w:before="0"/>
              <w:ind w:firstLine="0"/>
              <w:jc w:val="left"/>
            </w:pPr>
            <w:r>
              <w:rPr>
                <w:b w:val="0"/>
                <w:sz w:val="21"/>
              </w:rPr>
              <w:t>需求、口径、计算和确认状态</w:t>
            </w:r>
          </w:p>
        </w:tc>
        <w:tc>
          <w:tcPr>
            <w:tcW w:type="dxa" w:w="3277"/>
            <w:vAlign w:val="center"/>
          </w:tcPr>
          <w:p>
            <w:pPr>
              <w:keepNext w:val="0"/>
              <w:spacing w:line="320" w:lineRule="exact" w:after="0" w:before="0"/>
              <w:ind w:firstLine="0"/>
              <w:jc w:val="left"/>
            </w:pPr>
            <w:r>
              <w:rPr>
                <w:b w:val="0"/>
                <w:sz w:val="21"/>
              </w:rPr>
              <w:t>推进业务确认和独立对账</w:t>
            </w:r>
          </w:p>
        </w:tc>
      </w:tr>
      <w:tr>
        <w:trPr>
          <w:cantSplit/>
        </w:trPr>
        <w:tc>
          <w:tcPr>
            <w:tcW w:type="dxa" w:w="2506"/>
            <w:vAlign w:val="center"/>
          </w:tcPr>
          <w:p>
            <w:pPr>
              <w:keepNext w:val="0"/>
              <w:spacing w:line="320" w:lineRule="exact" w:after="0" w:before="0"/>
              <w:ind w:firstLine="0"/>
              <w:jc w:val="left"/>
            </w:pPr>
            <w:r>
              <w:rPr>
                <w:b w:val="0"/>
                <w:sz w:val="21"/>
              </w:rPr>
              <w:t>平台覆盖</w:t>
            </w:r>
          </w:p>
        </w:tc>
        <w:tc>
          <w:tcPr>
            <w:tcW w:type="dxa" w:w="3855"/>
            <w:vAlign w:val="center"/>
          </w:tcPr>
          <w:p>
            <w:pPr>
              <w:keepNext w:val="0"/>
              <w:spacing w:line="320" w:lineRule="exact" w:after="0" w:before="0"/>
              <w:ind w:firstLine="0"/>
              <w:jc w:val="left"/>
            </w:pPr>
            <w:r>
              <w:rPr>
                <w:b w:val="0"/>
                <w:sz w:val="21"/>
              </w:rPr>
              <w:t>九域九项内容的实际运行证据</w:t>
            </w:r>
          </w:p>
        </w:tc>
        <w:tc>
          <w:tcPr>
            <w:tcW w:type="dxa" w:w="3277"/>
            <w:vAlign w:val="center"/>
          </w:tcPr>
          <w:p>
            <w:pPr>
              <w:keepNext w:val="0"/>
              <w:spacing w:line="320" w:lineRule="exact" w:after="0" w:before="0"/>
              <w:ind w:firstLine="0"/>
              <w:jc w:val="left"/>
            </w:pPr>
            <w:r>
              <w:rPr>
                <w:b w:val="0"/>
                <w:sz w:val="21"/>
              </w:rPr>
              <w:t>补齐未实施对象和流程</w:t>
            </w:r>
          </w:p>
        </w:tc>
      </w:tr>
      <w:tr>
        <w:trPr>
          <w:cantSplit/>
        </w:trPr>
        <w:tc>
          <w:tcPr>
            <w:tcW w:type="dxa" w:w="2506"/>
            <w:vAlign w:val="center"/>
          </w:tcPr>
          <w:p>
            <w:pPr>
              <w:keepNext w:val="0"/>
              <w:spacing w:line="320" w:lineRule="exact" w:after="0" w:before="0"/>
              <w:ind w:firstLine="0"/>
              <w:jc w:val="left"/>
            </w:pPr>
            <w:r>
              <w:rPr>
                <w:b w:val="0"/>
                <w:sz w:val="21"/>
              </w:rPr>
              <w:t>贯标准备</w:t>
            </w:r>
          </w:p>
        </w:tc>
        <w:tc>
          <w:tcPr>
            <w:tcW w:type="dxa" w:w="3855"/>
            <w:vAlign w:val="center"/>
          </w:tcPr>
          <w:p>
            <w:pPr>
              <w:keepNext w:val="0"/>
              <w:spacing w:line="320" w:lineRule="exact" w:after="0" w:before="0"/>
              <w:ind w:firstLine="0"/>
              <w:jc w:val="left"/>
            </w:pPr>
            <w:r>
              <w:rPr>
                <w:b w:val="0"/>
                <w:sz w:val="21"/>
              </w:rPr>
              <w:t>能力要求及真实证据目录</w:t>
            </w:r>
          </w:p>
        </w:tc>
        <w:tc>
          <w:tcPr>
            <w:tcW w:type="dxa" w:w="3277"/>
            <w:vAlign w:val="center"/>
          </w:tcPr>
          <w:p>
            <w:pPr>
              <w:keepNext w:val="0"/>
              <w:spacing w:line="320" w:lineRule="exact" w:after="0" w:before="0"/>
              <w:ind w:firstLine="0"/>
              <w:jc w:val="left"/>
            </w:pPr>
            <w:r>
              <w:rPr>
                <w:b w:val="0"/>
                <w:sz w:val="21"/>
              </w:rPr>
              <w:t>补充执行与整改验证</w:t>
            </w:r>
          </w:p>
        </w:tc>
      </w:tr>
      <w:tr>
        <w:trPr>
          <w:cantSplit/>
        </w:trPr>
        <w:tc>
          <w:tcPr>
            <w:tcW w:type="dxa" w:w="2506"/>
            <w:vAlign w:val="center"/>
          </w:tcPr>
          <w:p>
            <w:pPr>
              <w:keepNext w:val="0"/>
              <w:spacing w:line="320" w:lineRule="exact" w:after="0" w:before="0"/>
              <w:ind w:firstLine="0"/>
              <w:jc w:val="left"/>
            </w:pPr>
            <w:r>
              <w:rPr>
                <w:b w:val="0"/>
                <w:sz w:val="21"/>
              </w:rPr>
              <w:t>数据集供给</w:t>
            </w:r>
          </w:p>
        </w:tc>
        <w:tc>
          <w:tcPr>
            <w:tcW w:type="dxa" w:w="3855"/>
            <w:vAlign w:val="center"/>
          </w:tcPr>
          <w:p>
            <w:pPr>
              <w:keepNext w:val="0"/>
              <w:spacing w:line="320" w:lineRule="exact" w:after="0" w:before="0"/>
              <w:ind w:firstLine="0"/>
              <w:jc w:val="left"/>
            </w:pPr>
            <w:r>
              <w:rPr>
                <w:b w:val="0"/>
                <w:sz w:val="21"/>
              </w:rPr>
              <w:t>净合格规模、许可和时间分布</w:t>
            </w:r>
          </w:p>
        </w:tc>
        <w:tc>
          <w:tcPr>
            <w:tcW w:type="dxa" w:w="3277"/>
            <w:vAlign w:val="center"/>
          </w:tcPr>
          <w:p>
            <w:pPr>
              <w:keepNext w:val="0"/>
              <w:spacing w:line="320" w:lineRule="exact" w:after="0" w:before="0"/>
              <w:ind w:firstLine="0"/>
              <w:jc w:val="left"/>
            </w:pPr>
            <w:r>
              <w:rPr>
                <w:b w:val="0"/>
                <w:sz w:val="21"/>
              </w:rPr>
              <w:t>组织补采、重标和重新验证</w:t>
            </w:r>
          </w:p>
        </w:tc>
      </w:tr>
    </w:tbl>
    <w:p>
      <w:pPr>
        <w:spacing w:after="40" w:line="240" w:lineRule="auto"/>
        <w:ind w:firstLine="0"/>
      </w:pPr>
      <w:r>
        <w:rPr>
          <w:sz w:val="4"/>
        </w:rPr>
      </w:r>
    </w:p>
    <w:p>
      <w:pPr>
        <w:jc w:val="both"/>
      </w:pPr>
      <w:r>
        <w:t>监控发现偏差后先确认范围和原因。源系统改造、权限办理、规则不清、专业人员不足和平台故障分别制定措施，责任岗位按计划落实。调整结果在后续运行检查，保留原始问题与措施效果之间的对应关系。</w:t>
      </w:r>
    </w:p>
    <w:p>
      <w:pPr>
        <w:pStyle w:val="Heading2"/>
      </w:pPr>
      <w:r>
        <w:t>9.4 实施异常与恢复措施</w:t>
      </w:r>
    </w:p>
    <w:p>
      <w:pPr>
        <w:jc w:val="both"/>
      </w:pPr>
      <w:r>
        <w:t>源系统接口尚未具备接入条件时，核实授权和可用交换方式，在批准范围内组织文件交换或其他合规接收方式，并保持来源、批次和对账要求。过渡方式纳入接口台账及后续衔接计划，正式接口启用后检查重复、遗漏和历史一致性。未取得授权的数据继续推进授权与合规处理任务。</w:t>
      </w:r>
    </w:p>
    <w:p>
      <w:pPr>
        <w:jc w:val="both"/>
      </w:pPr>
      <w:r>
        <w:t>业务口径存在分歧时，保留不同定义及其适用条件，组织归口岗位核验原始制度、单据和管理目的。已经形成的草案留在受控评审状态，正式生产和服务使用生效口径。问题解决后更新标准映射、指标计算、知识条目和验证数据，复核历史结果受影响范围。</w:t>
      </w:r>
    </w:p>
    <w:p>
      <w:pPr>
        <w:jc w:val="both"/>
      </w:pPr>
      <w:r>
        <w:t>历史数据质量不足时，按照问题类型开展原件回查、补采、对象关联、人工专业复核和重新加工。无法从原记录恢复的事实保留缺失及适用限制，计划中安排真实数据补充。质量规则调整需要经过业务审核，不能通过放宽必需条件将不合格数据转为合格交付。</w:t>
      </w:r>
    </w:p>
    <w:p>
      <w:pPr>
        <w:jc w:val="both"/>
      </w:pPr>
      <w:r>
        <w:t>权限或敏感信息问题立即定位实际对象和使用范围，隔离受影响数据及服务，保留审计记录，组织修复和复核。修复措施检查目录、下载、接口、缓存和已生成产物，必要时更新数据集及通知实际接收范围。恢复发布前重新核查来源、权限和质量条件。</w:t>
      </w:r>
    </w:p>
    <w:p>
      <w:pPr>
        <w:jc w:val="both"/>
      </w:pPr>
      <w:r>
        <w:t>平台异常按影响程度组织处理。关键接入或处理任务失败时优先恢复受影响链路，补偿数据后对账；存储或服务故障按照批准恢复方案执行，并验证规则、元数据和业务结果一致。故障关闭记录原因、处理、恢复验证和后续改进，重大问题组织复盘并更新运维要求。</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9" name="Picture 9"/>
            <wp:cNvGraphicFramePr>
              <a:graphicFrameLocks noChangeAspect="1"/>
            </wp:cNvGraphicFramePr>
            <a:graphic>
              <a:graphicData uri="http://schemas.openxmlformats.org/drawingml/2006/picture">
                <pic:pic>
                  <pic:nvPicPr>
                    <pic:cNvPr id="0" name="图9_交付核验.png"/>
                    <pic:cNvPicPr/>
                  </pic:nvPicPr>
                  <pic:blipFill>
                    <a:blip r:embed="rId19"/>
                    <a:stretch>
                      <a:fillRect/>
                    </a:stretch>
                  </pic:blipFill>
                  <pic:spPr>
                    <a:xfrm>
                      <a:off x="0" y="0"/>
                      <a:ext cx="6048000" cy="1942338"/>
                    </a:xfrm>
                    <a:prstGeom prst="rect"/>
                  </pic:spPr>
                </pic:pic>
              </a:graphicData>
            </a:graphic>
          </wp:inline>
        </w:drawing>
      </w:r>
    </w:p>
    <w:p>
      <w:pPr>
        <w:pStyle w:val="Caption"/>
        <w:jc w:val="center"/>
      </w:pPr>
      <w:r>
        <w:t>图9-1 成果核验与运行移交</w:t>
      </w:r>
    </w:p>
    <w:p>
      <w:pPr>
        <w:pStyle w:val="Heading2"/>
      </w:pPr>
      <w:r>
        <w:t>9.5 成果交付与逐项核验</w:t>
      </w:r>
    </w:p>
    <w:p>
      <w:pPr>
        <w:jc w:val="both"/>
      </w:pPr>
      <w:r>
        <w:t>治理交付包含现状诊断及场景需求、九项规划成果、治理平台及配置、九个业务域实施记录、决策指标体系、数据标准与标注规范、标准验证成果、培训运维资料和贯标评估支撑材料。每项成果列明名称、版本、内容范围、责任、状态及配套证据，文档、配置和实际运行结果保持一致。</w:t>
      </w:r>
    </w:p>
    <w:p>
      <w:pPr>
        <w:jc w:val="both"/>
      </w:pPr>
      <w:r>
        <w:t>文档验收检查内容完整、职责明确、流程可执行、规则可核验及版本一致。平台验收检查九项能力和跨平台协同，业务实施验收检查九个业务域实际对象与运行证据，指标验收检查口径确认和独立复算，资料验收检查可读取性、引用和交接完整性。缺项和不一致形成整改任务，复核通过后归档。</w:t>
      </w:r>
    </w:p>
    <w:p>
      <w:pPr>
        <w:pStyle w:val="Caption"/>
        <w:keepNext/>
      </w:pPr>
      <w:r>
        <w:t>表9-3 成果交付与逐项核验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交付类别</w:t>
            </w:r>
          </w:p>
        </w:tc>
        <w:tc>
          <w:tcPr>
            <w:tcW w:type="dxa" w:w="3855"/>
            <w:vAlign w:val="center"/>
            <w:shd w:fill="EDF1F3"/>
          </w:tcPr>
          <w:p>
            <w:pPr>
              <w:keepNext/>
              <w:spacing w:line="320" w:lineRule="exact" w:after="0" w:before="0"/>
              <w:ind w:firstLine="0"/>
              <w:jc w:val="center"/>
            </w:pPr>
            <w:r>
              <w:rPr>
                <w:b/>
                <w:sz w:val="21"/>
              </w:rPr>
              <w:t>主要内容</w:t>
            </w:r>
          </w:p>
        </w:tc>
        <w:tc>
          <w:tcPr>
            <w:tcW w:type="dxa" w:w="3277"/>
            <w:vAlign w:val="center"/>
            <w:shd w:fill="EDF1F3"/>
          </w:tcPr>
          <w:p>
            <w:pPr>
              <w:keepNext/>
              <w:spacing w:line="320" w:lineRule="exact" w:after="0" w:before="0"/>
              <w:ind w:firstLine="0"/>
              <w:jc w:val="center"/>
            </w:pPr>
            <w:r>
              <w:rPr>
                <w:b/>
                <w:sz w:val="21"/>
              </w:rPr>
              <w:t>接收核验方法</w:t>
            </w:r>
          </w:p>
        </w:tc>
      </w:tr>
      <w:tr>
        <w:trPr>
          <w:cantSplit/>
        </w:trPr>
        <w:tc>
          <w:tcPr>
            <w:tcW w:type="dxa" w:w="2506"/>
            <w:vAlign w:val="center"/>
          </w:tcPr>
          <w:p>
            <w:pPr>
              <w:keepNext w:val="0"/>
              <w:spacing w:line="320" w:lineRule="exact" w:after="0" w:before="0"/>
              <w:ind w:firstLine="0"/>
              <w:jc w:val="left"/>
            </w:pPr>
            <w:r>
              <w:rPr>
                <w:b w:val="0"/>
                <w:sz w:val="21"/>
              </w:rPr>
              <w:t>现状诊断</w:t>
            </w:r>
          </w:p>
        </w:tc>
        <w:tc>
          <w:tcPr>
            <w:tcW w:type="dxa" w:w="3855"/>
            <w:vAlign w:val="center"/>
          </w:tcPr>
          <w:p>
            <w:pPr>
              <w:keepNext w:val="0"/>
              <w:spacing w:line="320" w:lineRule="exact" w:after="0" w:before="0"/>
              <w:ind w:firstLine="0"/>
              <w:jc w:val="left"/>
            </w:pPr>
            <w:r>
              <w:rPr>
                <w:b w:val="0"/>
                <w:sz w:val="21"/>
              </w:rPr>
              <w:t>诊断报告、差距及场景数据需求</w:t>
            </w:r>
          </w:p>
        </w:tc>
        <w:tc>
          <w:tcPr>
            <w:tcW w:type="dxa" w:w="3277"/>
            <w:vAlign w:val="center"/>
          </w:tcPr>
          <w:p>
            <w:pPr>
              <w:keepNext w:val="0"/>
              <w:spacing w:line="320" w:lineRule="exact" w:after="0" w:before="0"/>
              <w:ind w:firstLine="0"/>
              <w:jc w:val="left"/>
            </w:pPr>
            <w:r>
              <w:rPr>
                <w:b w:val="0"/>
                <w:sz w:val="21"/>
              </w:rPr>
              <w:t>对照调研、资源与证据检查</w:t>
            </w:r>
          </w:p>
        </w:tc>
      </w:tr>
      <w:tr>
        <w:trPr>
          <w:cantSplit/>
        </w:trPr>
        <w:tc>
          <w:tcPr>
            <w:tcW w:type="dxa" w:w="2506"/>
            <w:vAlign w:val="center"/>
          </w:tcPr>
          <w:p>
            <w:pPr>
              <w:keepNext w:val="0"/>
              <w:spacing w:line="320" w:lineRule="exact" w:after="0" w:before="0"/>
              <w:ind w:firstLine="0"/>
              <w:jc w:val="left"/>
            </w:pPr>
            <w:r>
              <w:rPr>
                <w:b w:val="0"/>
                <w:sz w:val="21"/>
              </w:rPr>
              <w:t>治理规划</w:t>
            </w:r>
          </w:p>
        </w:tc>
        <w:tc>
          <w:tcPr>
            <w:tcW w:type="dxa" w:w="3855"/>
            <w:vAlign w:val="center"/>
          </w:tcPr>
          <w:p>
            <w:pPr>
              <w:keepNext w:val="0"/>
              <w:spacing w:line="320" w:lineRule="exact" w:after="0" w:before="0"/>
              <w:ind w:firstLine="0"/>
              <w:jc w:val="left"/>
            </w:pPr>
            <w:r>
              <w:rPr>
                <w:b w:val="0"/>
                <w:sz w:val="21"/>
              </w:rPr>
              <w:t>三十七项要求对应文档及配套内容</w:t>
            </w:r>
          </w:p>
        </w:tc>
        <w:tc>
          <w:tcPr>
            <w:tcW w:type="dxa" w:w="3277"/>
            <w:vAlign w:val="center"/>
          </w:tcPr>
          <w:p>
            <w:pPr>
              <w:keepNext w:val="0"/>
              <w:spacing w:line="320" w:lineRule="exact" w:after="0" w:before="0"/>
              <w:ind w:firstLine="0"/>
              <w:jc w:val="left"/>
            </w:pPr>
            <w:r>
              <w:rPr>
                <w:b w:val="0"/>
                <w:sz w:val="21"/>
              </w:rPr>
              <w:t>逐项核查职责、流程和落地规则</w:t>
            </w:r>
          </w:p>
        </w:tc>
      </w:tr>
      <w:tr>
        <w:trPr>
          <w:cantSplit/>
        </w:trPr>
        <w:tc>
          <w:tcPr>
            <w:tcW w:type="dxa" w:w="2506"/>
            <w:vAlign w:val="center"/>
          </w:tcPr>
          <w:p>
            <w:pPr>
              <w:keepNext w:val="0"/>
              <w:spacing w:line="320" w:lineRule="exact" w:after="0" w:before="0"/>
              <w:ind w:firstLine="0"/>
              <w:jc w:val="left"/>
            </w:pPr>
            <w:r>
              <w:rPr>
                <w:b w:val="0"/>
                <w:sz w:val="21"/>
              </w:rPr>
              <w:t>治理平台</w:t>
            </w:r>
          </w:p>
        </w:tc>
        <w:tc>
          <w:tcPr>
            <w:tcW w:type="dxa" w:w="3855"/>
            <w:vAlign w:val="center"/>
          </w:tcPr>
          <w:p>
            <w:pPr>
              <w:keepNext w:val="0"/>
              <w:spacing w:line="320" w:lineRule="exact" w:after="0" w:before="0"/>
              <w:ind w:firstLine="0"/>
              <w:jc w:val="left"/>
            </w:pPr>
            <w:r>
              <w:rPr>
                <w:b w:val="0"/>
                <w:sz w:val="21"/>
              </w:rPr>
              <w:t>功能、配置、接口和运行环境</w:t>
            </w:r>
          </w:p>
        </w:tc>
        <w:tc>
          <w:tcPr>
            <w:tcW w:type="dxa" w:w="3277"/>
            <w:vAlign w:val="center"/>
          </w:tcPr>
          <w:p>
            <w:pPr>
              <w:keepNext w:val="0"/>
              <w:spacing w:line="320" w:lineRule="exact" w:after="0" w:before="0"/>
              <w:ind w:firstLine="0"/>
              <w:jc w:val="left"/>
            </w:pPr>
            <w:r>
              <w:rPr>
                <w:b w:val="0"/>
                <w:sz w:val="21"/>
              </w:rPr>
              <w:t>正常及异常业务执行验证</w:t>
            </w:r>
          </w:p>
        </w:tc>
      </w:tr>
      <w:tr>
        <w:trPr>
          <w:cantSplit/>
        </w:trPr>
        <w:tc>
          <w:tcPr>
            <w:tcW w:type="dxa" w:w="2506"/>
            <w:vAlign w:val="center"/>
          </w:tcPr>
          <w:p>
            <w:pPr>
              <w:keepNext w:val="0"/>
              <w:spacing w:line="320" w:lineRule="exact" w:after="0" w:before="0"/>
              <w:ind w:firstLine="0"/>
              <w:jc w:val="left"/>
            </w:pPr>
            <w:r>
              <w:rPr>
                <w:b w:val="0"/>
                <w:sz w:val="21"/>
              </w:rPr>
              <w:t>九域实施</w:t>
            </w:r>
          </w:p>
        </w:tc>
        <w:tc>
          <w:tcPr>
            <w:tcW w:type="dxa" w:w="3855"/>
            <w:vAlign w:val="center"/>
          </w:tcPr>
          <w:p>
            <w:pPr>
              <w:keepNext w:val="0"/>
              <w:spacing w:line="320" w:lineRule="exact" w:after="0" w:before="0"/>
              <w:ind w:firstLine="0"/>
              <w:jc w:val="left"/>
            </w:pPr>
            <w:r>
              <w:rPr>
                <w:b w:val="0"/>
                <w:sz w:val="21"/>
              </w:rPr>
              <w:t>对象、规则、质量、权限和服务结果</w:t>
            </w:r>
          </w:p>
        </w:tc>
        <w:tc>
          <w:tcPr>
            <w:tcW w:type="dxa" w:w="3277"/>
            <w:vAlign w:val="center"/>
          </w:tcPr>
          <w:p>
            <w:pPr>
              <w:keepNext w:val="0"/>
              <w:spacing w:line="320" w:lineRule="exact" w:after="0" w:before="0"/>
              <w:ind w:firstLine="0"/>
              <w:jc w:val="left"/>
            </w:pPr>
            <w:r>
              <w:rPr>
                <w:b w:val="0"/>
                <w:sz w:val="21"/>
              </w:rPr>
              <w:t>按业务域与治理内容交叉检查</w:t>
            </w:r>
          </w:p>
        </w:tc>
      </w:tr>
      <w:tr>
        <w:trPr>
          <w:cantSplit/>
        </w:trPr>
        <w:tc>
          <w:tcPr>
            <w:tcW w:type="dxa" w:w="2506"/>
            <w:vAlign w:val="center"/>
          </w:tcPr>
          <w:p>
            <w:pPr>
              <w:keepNext w:val="0"/>
              <w:spacing w:line="320" w:lineRule="exact" w:after="0" w:before="0"/>
              <w:ind w:firstLine="0"/>
              <w:jc w:val="left"/>
            </w:pPr>
            <w:r>
              <w:rPr>
                <w:b w:val="0"/>
                <w:sz w:val="21"/>
              </w:rPr>
              <w:t>决策指标</w:t>
            </w:r>
          </w:p>
        </w:tc>
        <w:tc>
          <w:tcPr>
            <w:tcW w:type="dxa" w:w="3855"/>
            <w:vAlign w:val="center"/>
          </w:tcPr>
          <w:p>
            <w:pPr>
              <w:keepNext w:val="0"/>
              <w:spacing w:line="320" w:lineRule="exact" w:after="0" w:before="0"/>
              <w:ind w:firstLine="0"/>
              <w:jc w:val="left"/>
            </w:pPr>
            <w:r>
              <w:rPr>
                <w:b w:val="0"/>
                <w:sz w:val="21"/>
              </w:rPr>
              <w:t>清单、指标卡、计算和服务</w:t>
            </w:r>
          </w:p>
        </w:tc>
        <w:tc>
          <w:tcPr>
            <w:tcW w:type="dxa" w:w="3277"/>
            <w:vAlign w:val="center"/>
          </w:tcPr>
          <w:p>
            <w:pPr>
              <w:keepNext w:val="0"/>
              <w:spacing w:line="320" w:lineRule="exact" w:after="0" w:before="0"/>
              <w:ind w:firstLine="0"/>
              <w:jc w:val="left"/>
            </w:pPr>
            <w:r>
              <w:rPr>
                <w:b w:val="0"/>
                <w:sz w:val="21"/>
              </w:rPr>
              <w:t>业务确认、独立复算及场景核验</w:t>
            </w:r>
          </w:p>
        </w:tc>
      </w:tr>
      <w:tr>
        <w:trPr>
          <w:cantSplit/>
        </w:trPr>
        <w:tc>
          <w:tcPr>
            <w:tcW w:type="dxa" w:w="2506"/>
            <w:vAlign w:val="center"/>
          </w:tcPr>
          <w:p>
            <w:pPr>
              <w:keepNext w:val="0"/>
              <w:spacing w:line="320" w:lineRule="exact" w:after="0" w:before="0"/>
              <w:ind w:firstLine="0"/>
              <w:jc w:val="left"/>
            </w:pPr>
            <w:r>
              <w:rPr>
                <w:b w:val="0"/>
                <w:sz w:val="21"/>
              </w:rPr>
              <w:t>标注规范</w:t>
            </w:r>
          </w:p>
        </w:tc>
        <w:tc>
          <w:tcPr>
            <w:tcW w:type="dxa" w:w="3855"/>
            <w:vAlign w:val="center"/>
          </w:tcPr>
          <w:p>
            <w:pPr>
              <w:keepNext w:val="0"/>
              <w:spacing w:line="320" w:lineRule="exact" w:after="0" w:before="0"/>
              <w:ind w:firstLine="0"/>
              <w:jc w:val="left"/>
            </w:pPr>
            <w:r>
              <w:rPr>
                <w:b w:val="0"/>
                <w:sz w:val="21"/>
              </w:rPr>
              <w:t>通用要求、专业分册及质量衔接</w:t>
            </w:r>
          </w:p>
        </w:tc>
        <w:tc>
          <w:tcPr>
            <w:tcW w:type="dxa" w:w="3277"/>
            <w:vAlign w:val="center"/>
          </w:tcPr>
          <w:p>
            <w:pPr>
              <w:keepNext w:val="0"/>
              <w:spacing w:line="320" w:lineRule="exact" w:after="0" w:before="0"/>
              <w:ind w:firstLine="0"/>
              <w:jc w:val="left"/>
            </w:pPr>
            <w:r>
              <w:rPr>
                <w:b w:val="0"/>
                <w:sz w:val="21"/>
              </w:rPr>
              <w:t>实际样本试标与专业审核</w:t>
            </w:r>
          </w:p>
        </w:tc>
      </w:tr>
      <w:tr>
        <w:trPr>
          <w:cantSplit/>
        </w:trPr>
        <w:tc>
          <w:tcPr>
            <w:tcW w:type="dxa" w:w="2506"/>
            <w:vAlign w:val="center"/>
          </w:tcPr>
          <w:p>
            <w:pPr>
              <w:keepNext w:val="0"/>
              <w:spacing w:line="320" w:lineRule="exact" w:after="0" w:before="0"/>
              <w:ind w:firstLine="0"/>
              <w:jc w:val="left"/>
            </w:pPr>
            <w:r>
              <w:rPr>
                <w:b w:val="0"/>
                <w:sz w:val="21"/>
              </w:rPr>
              <w:t>标准验证</w:t>
            </w:r>
          </w:p>
        </w:tc>
        <w:tc>
          <w:tcPr>
            <w:tcW w:type="dxa" w:w="3855"/>
            <w:vAlign w:val="center"/>
          </w:tcPr>
          <w:p>
            <w:pPr>
              <w:keepNext w:val="0"/>
              <w:spacing w:line="320" w:lineRule="exact" w:after="0" w:before="0"/>
              <w:ind w:firstLine="0"/>
              <w:jc w:val="left"/>
            </w:pPr>
            <w:r>
              <w:rPr>
                <w:b w:val="0"/>
                <w:sz w:val="21"/>
              </w:rPr>
              <w:t>验证报告、实测及建议材料</w:t>
            </w:r>
          </w:p>
        </w:tc>
        <w:tc>
          <w:tcPr>
            <w:tcW w:type="dxa" w:w="3277"/>
            <w:vAlign w:val="center"/>
          </w:tcPr>
          <w:p>
            <w:pPr>
              <w:keepNext w:val="0"/>
              <w:spacing w:line="320" w:lineRule="exact" w:after="0" w:before="0"/>
              <w:ind w:firstLine="0"/>
              <w:jc w:val="left"/>
            </w:pPr>
            <w:r>
              <w:rPr>
                <w:b w:val="0"/>
                <w:sz w:val="21"/>
              </w:rPr>
              <w:t>回查对象、条件和原始结果</w:t>
            </w:r>
          </w:p>
        </w:tc>
      </w:tr>
      <w:tr>
        <w:trPr>
          <w:cantSplit/>
        </w:trPr>
        <w:tc>
          <w:tcPr>
            <w:tcW w:type="dxa" w:w="2506"/>
            <w:vAlign w:val="center"/>
          </w:tcPr>
          <w:p>
            <w:pPr>
              <w:keepNext w:val="0"/>
              <w:spacing w:line="320" w:lineRule="exact" w:after="0" w:before="0"/>
              <w:ind w:firstLine="0"/>
              <w:jc w:val="left"/>
            </w:pPr>
            <w:r>
              <w:rPr>
                <w:b w:val="0"/>
                <w:sz w:val="21"/>
              </w:rPr>
              <w:t>贯标资料</w:t>
            </w:r>
          </w:p>
        </w:tc>
        <w:tc>
          <w:tcPr>
            <w:tcW w:type="dxa" w:w="3855"/>
            <w:vAlign w:val="center"/>
          </w:tcPr>
          <w:p>
            <w:pPr>
              <w:keepNext w:val="0"/>
              <w:spacing w:line="320" w:lineRule="exact" w:after="0" w:before="0"/>
              <w:ind w:firstLine="0"/>
              <w:jc w:val="left"/>
            </w:pPr>
            <w:r>
              <w:rPr>
                <w:b w:val="0"/>
                <w:sz w:val="21"/>
              </w:rPr>
              <w:t>能力对应、制度、执行和整改证据</w:t>
            </w:r>
          </w:p>
        </w:tc>
        <w:tc>
          <w:tcPr>
            <w:tcW w:type="dxa" w:w="3277"/>
            <w:vAlign w:val="center"/>
          </w:tcPr>
          <w:p>
            <w:pPr>
              <w:keepNext w:val="0"/>
              <w:spacing w:line="320" w:lineRule="exact" w:after="0" w:before="0"/>
              <w:ind w:firstLine="0"/>
              <w:jc w:val="left"/>
            </w:pPr>
            <w:r>
              <w:rPr>
                <w:b w:val="0"/>
                <w:sz w:val="21"/>
              </w:rPr>
              <w:t>按适用评估要求核验</w:t>
            </w:r>
          </w:p>
        </w:tc>
      </w:tr>
      <w:tr>
        <w:trPr>
          <w:cantSplit/>
        </w:trPr>
        <w:tc>
          <w:tcPr>
            <w:tcW w:type="dxa" w:w="2506"/>
            <w:vAlign w:val="center"/>
          </w:tcPr>
          <w:p>
            <w:pPr>
              <w:keepNext w:val="0"/>
              <w:spacing w:line="320" w:lineRule="exact" w:after="0" w:before="0"/>
              <w:ind w:firstLine="0"/>
              <w:jc w:val="left"/>
            </w:pPr>
            <w:r>
              <w:rPr>
                <w:b w:val="0"/>
                <w:sz w:val="21"/>
              </w:rPr>
              <w:t>运维培训</w:t>
            </w:r>
          </w:p>
        </w:tc>
        <w:tc>
          <w:tcPr>
            <w:tcW w:type="dxa" w:w="3855"/>
            <w:vAlign w:val="center"/>
          </w:tcPr>
          <w:p>
            <w:pPr>
              <w:keepNext w:val="0"/>
              <w:spacing w:line="320" w:lineRule="exact" w:after="0" w:before="0"/>
              <w:ind w:firstLine="0"/>
              <w:jc w:val="left"/>
            </w:pPr>
            <w:r>
              <w:rPr>
                <w:b w:val="0"/>
                <w:sz w:val="21"/>
              </w:rPr>
              <w:t>操作指引、配置、培训和维护安排</w:t>
            </w:r>
          </w:p>
        </w:tc>
        <w:tc>
          <w:tcPr>
            <w:tcW w:type="dxa" w:w="3277"/>
            <w:vAlign w:val="center"/>
          </w:tcPr>
          <w:p>
            <w:pPr>
              <w:keepNext w:val="0"/>
              <w:spacing w:line="320" w:lineRule="exact" w:after="0" w:before="0"/>
              <w:ind w:firstLine="0"/>
              <w:jc w:val="left"/>
            </w:pPr>
            <w:r>
              <w:rPr>
                <w:b w:val="0"/>
                <w:sz w:val="21"/>
              </w:rPr>
              <w:t>岗位演练及接收签认</w:t>
            </w:r>
          </w:p>
        </w:tc>
      </w:tr>
    </w:tbl>
    <w:p>
      <w:pPr>
        <w:spacing w:after="40" w:line="240" w:lineRule="auto"/>
        <w:ind w:firstLine="0"/>
      </w:pPr>
      <w:r>
        <w:rPr>
          <w:sz w:val="4"/>
        </w:rPr>
      </w:r>
    </w:p>
    <w:p>
      <w:pPr>
        <w:jc w:val="both"/>
      </w:pPr>
      <w:r>
        <w:t>我方配合项目等保测评和商用密码应用安全性评估，提供治理相关系统、数据、权限、审计和密码应用资料，并完成相应问题整改。数据集质量测评资料与治理整改记录按同一版本和对象关联，正式报告及完整质量档案随项目成果交付。各项专项检查分别保存方法、范围与结论。</w:t>
      </w:r>
    </w:p>
    <w:p>
      <w:pPr>
        <w:pStyle w:val="Heading2"/>
      </w:pPr>
      <w:r>
        <w:t>9.6 移交与持续维护</w:t>
      </w:r>
    </w:p>
    <w:p>
      <w:pPr>
        <w:jc w:val="both"/>
      </w:pPr>
      <w:r>
        <w:t>运行移交按岗位开展，明确资产目录、标准、质量规则、指标、权限、接口和运维任务的维护责任。接收人员在授权环境完成代表性操作，包括新增资源登记、标准变更、质量问题处理、指标复算、授权回收和异常恢复。操作结果及问题处理记录纳入移交资料，能够持续运行后完成相应交接。</w:t>
      </w:r>
    </w:p>
    <w:p>
      <w:pPr>
        <w:jc w:val="both"/>
      </w:pPr>
      <w:r>
        <w:t>交付文件提供便于使用和维护的格式，配置、规则和目录保留可解析内容，文档引用与实际文件逐项核对。敏感配置和授权材料通过规定渠道受控移交，必要凭据与业务文档分别管理。接收方能够根据资料定位当前生效版本、历史变化、运行任务和责任岗位。</w:t>
      </w:r>
    </w:p>
    <w:p>
      <w:pPr>
        <w:jc w:val="both"/>
      </w:pPr>
      <w:r>
        <w:t>项目质保期不少于十二个月。质保期间持续提供治理平台、规则和交付数据相关问题处理、版本核对及使用支持，按项目约定组织维护和培训。使用反馈进入问题台账，涉及源数据、标准、加工和服务的变化分别完成影响分析与验证，修复后形成后继版本及相应维护记录。</w:t>
      </w:r>
    </w:p>
    <w:p>
      <w:pPr>
        <w:jc w:val="both"/>
      </w:pPr>
      <w:r>
        <w:t>持续改进以实际业务运行和场景反馈为依据。新业务、新来源、新标准或新安全要求出现时，更新需求、评估影响并组织受控实施，保留与既有资产、指标和数据集的关联。管理评审定期检查职责落实、质量结果、服务使用和整改效果，使治理能力持续支撑经营管理与高质量数据集建设。</w:t>
      </w:r>
    </w:p>
    <w:sectPr w:rsidR="00FC693F" w:rsidRPr="0006063C" w:rsidSect="00034616">
      <w:headerReference w:type="default" r:id="rId9"/>
      <w:footerReference w:type="default" r:id="rId10"/>
      <w:pgSz w:w="11906" w:h="16838"/>
      <w:pgMar w:top="1247"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t xml:space="preserve">数据治理体系总述　｜　第 </w:t>
    </w:r>
    <w:r/>
    <w:fldSimple w:instr="PAGE"/>
    <w:r>
      <w:t xml:space="preserve"> 页　共 </w:t>
    </w:r>
    <w:r/>
    <w:fldSimple w:instr="NUMPAGES"/>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r>
      <w:t>矿山装备制造领域高质量数据集建设及场景应用项目配套设施</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40" w:lineRule="exact" w:after="60"/>
      <w:ind w:firstLine="480"/>
    </w:pPr>
    <w:rPr>
      <w:rFonts w:ascii="Times New Roman" w:hAnsi="Times New Roman" w:eastAsia="Songti SC"/>
      <w:b w:val="0"/>
      <w:color w:val="000000"/>
      <w:sz w:val="24"/>
      <w:lang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460" w:lineRule="exact"/>
      <w:ind w:firstLine="0"/>
      <w:outlineLvl w:val="0"/>
    </w:pPr>
    <w:rPr>
      <w:rFonts w:ascii="Times New Roman" w:hAnsi="Times New Roman" w:eastAsia="Songti SC"/>
      <w:b/>
      <w:bCs/>
      <w:color w:val="000000"/>
      <w:sz w:val="32"/>
      <w:szCs w:val="28"/>
      <w:lang w:eastAsia="zh-CN"/>
    </w:rPr>
  </w:style>
  <w:style w:type="paragraph" w:styleId="Heading2">
    <w:name w:val="heading 2"/>
    <w:basedOn w:val="Normal"/>
    <w:next w:val="Normal"/>
    <w:link w:val="Heading2Char"/>
    <w:uiPriority w:val="9"/>
    <w:unhideWhenUsed/>
    <w:qFormat/>
    <w:rsid w:val="00FC693F"/>
    <w:pPr>
      <w:keepNext/>
      <w:keepLines/>
      <w:spacing w:before="160" w:after="120" w:line="400" w:lineRule="exact"/>
      <w:ind w:firstLine="0"/>
      <w:outlineLvl w:val="1"/>
    </w:pPr>
    <w:rPr>
      <w:rFonts w:ascii="Times New Roman" w:hAnsi="Times New Roman" w:eastAsia="Songti SC"/>
      <w:b/>
      <w:bCs/>
      <w:color w:val="000000"/>
      <w:sz w:val="26"/>
      <w:szCs w:val="26"/>
      <w:lang w:eastAsia="zh-CN"/>
    </w:rPr>
  </w:style>
  <w:style w:type="paragraph" w:styleId="Heading3">
    <w:name w:val="heading 3"/>
    <w:basedOn w:val="Normal"/>
    <w:next w:val="Normal"/>
    <w:link w:val="Heading3Char"/>
    <w:uiPriority w:val="9"/>
    <w:unhideWhenUsed/>
    <w:qFormat/>
    <w:rsid w:val="00FC693F"/>
    <w:pPr>
      <w:keepNext/>
      <w:keepLines/>
      <w:spacing w:before="160" w:after="120" w:line="400" w:lineRule="exact"/>
      <w:ind w:firstLine="0"/>
      <w:outlineLvl w:val="2"/>
    </w:pPr>
    <w:rPr>
      <w:rFonts w:ascii="Times New Roman" w:hAnsi="Times New Roman" w:eastAsia="Songti SC"/>
      <w:b/>
      <w:bCs/>
      <w:color w:val="000000"/>
      <w:sz w:val="24"/>
      <w:lang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Songti SC"/>
      <w:b/>
      <w:color w:val="000000"/>
      <w:spacing w:val="5"/>
      <w:kern w:val="28"/>
      <w:sz w:val="42"/>
      <w:szCs w:val="52"/>
      <w:lang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6" w:lineRule="auto" w:after="120"/>
      <w:ind w:firstLine="0"/>
    </w:pPr>
    <w:rPr>
      <w:rFonts w:ascii="Times New Roman" w:hAnsi="Times New Roman" w:eastAsia="Songti SC"/>
      <w:b w:val="0"/>
      <w:bCs/>
      <w:color w:val="000000"/>
      <w:sz w:val="21"/>
      <w:szCs w:val="18"/>
      <w:lang w:eastAsia="zh-CN"/>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数据治理体系总述</dc:title>
  <dc:subject>矿山装备制造领域高质量数据集建设及场景应用项目配套设施 数据加工生产服务</dc:subject>
  <dc:creator/>
  <cp:keywords/>
  <dc:description/>
  <cp:lastModifiedBy/>
  <cp:revision>1</cp:revision>
  <dcterms:created xsi:type="dcterms:W3CDTF">2013-12-23T23:15:00Z</dcterms:created>
  <dcterms:modified xsi:type="dcterms:W3CDTF">2013-12-23T23:15:00Z</dcterms:modified>
  <cp:category/>
</cp:coreProperties>
</file>