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数据标注合成增强与质量验证实施方案</w:t>
      </w:r>
    </w:p>
    <w:p>
      <w:pPr>
        <w:spacing w:line="324" w:lineRule="auto"/>
        <w:ind w:firstLine="0"/>
        <w:jc w:val="center"/>
      </w:pPr>
      <w:r>
        <w:t>矿山装备制造领域高质量数据集建设及场景应用项目配套设施</w:t>
        <w:br/>
        <w:t>数据加工生产服务</w:t>
      </w:r>
    </w:p>
    <w:p>
      <w:pPr>
        <w:spacing w:after="200"/>
      </w:pPr>
      <w:r>
        <w:t>我方按四个数据集及四个用途子集组织标注、合成、增强、质检和训练验证，形成内容、卡片、指纹、报告及自描述封装完整对应的交付版本。</w:t>
      </w:r>
    </w:p>
    <w:p>
      <w:pPr>
        <w:spacing w:line="264" w:lineRule="auto"/>
        <w:ind w:firstLine="0"/>
      </w:pPr>
      <w:r>
        <w:rPr>
          <w:b/>
        </w:rPr>
        <w:t>目录</w:t>
      </w:r>
    </w:p>
    <w:p>
      <w:pPr>
        <w:tabs>
          <w:tab w:pos="9411" w:val="right" w:leader="dot"/>
        </w:tabs>
        <w:spacing w:line="300" w:lineRule="exact" w:after="40"/>
        <w:ind w:firstLine="0"/>
      </w:pPr>
      <w:r>
        <w:rPr>
          <w:sz w:val="21"/>
        </w:rPr>
        <w:t>1 加工生产与版本交付总体安排</w:t>
        <w:tab/>
        <w:t>2</w:t>
      </w:r>
    </w:p>
    <w:p>
      <w:pPr>
        <w:tabs>
          <w:tab w:pos="9411" w:val="right" w:leader="dot"/>
        </w:tabs>
        <w:spacing w:line="300" w:lineRule="exact" w:after="40"/>
        <w:ind w:firstLine="0"/>
      </w:pPr>
      <w:r>
        <w:rPr>
          <w:sz w:val="21"/>
        </w:rPr>
        <w:t>2 数据标注</w:t>
        <w:tab/>
        <w:t>4</w:t>
      </w:r>
    </w:p>
    <w:p>
      <w:pPr>
        <w:tabs>
          <w:tab w:pos="9411" w:val="right" w:leader="dot"/>
        </w:tabs>
        <w:spacing w:line="300" w:lineRule="exact" w:after="40"/>
        <w:ind w:firstLine="0"/>
      </w:pPr>
      <w:r>
        <w:rPr>
          <w:sz w:val="21"/>
        </w:rPr>
        <w:t>3 数据合成</w:t>
        <w:tab/>
        <w:t>24</w:t>
      </w:r>
    </w:p>
    <w:p>
      <w:pPr>
        <w:tabs>
          <w:tab w:pos="9411" w:val="right" w:leader="dot"/>
        </w:tabs>
        <w:spacing w:line="300" w:lineRule="exact" w:after="40"/>
        <w:ind w:firstLine="0"/>
      </w:pPr>
      <w:r>
        <w:rPr>
          <w:sz w:val="21"/>
        </w:rPr>
        <w:t>4 数据增强</w:t>
        <w:tab/>
        <w:t>32</w:t>
      </w:r>
    </w:p>
    <w:p>
      <w:pPr>
        <w:tabs>
          <w:tab w:pos="9411" w:val="right" w:leader="dot"/>
        </w:tabs>
        <w:spacing w:line="300" w:lineRule="exact" w:after="40"/>
        <w:ind w:firstLine="0"/>
      </w:pPr>
      <w:r>
        <w:rPr>
          <w:sz w:val="21"/>
        </w:rPr>
        <w:t>5 数据集质检</w:t>
        <w:tab/>
        <w:t>39</w:t>
      </w:r>
    </w:p>
    <w:p>
      <w:pPr>
        <w:tabs>
          <w:tab w:pos="9411" w:val="right" w:leader="dot"/>
        </w:tabs>
        <w:spacing w:line="300" w:lineRule="exact" w:after="40"/>
        <w:ind w:firstLine="0"/>
      </w:pPr>
      <w:r>
        <w:rPr>
          <w:sz w:val="21"/>
        </w:rPr>
        <w:t>6 数据集验证</w:t>
        <w:tab/>
        <w:t>47</w:t>
      </w:r>
    </w:p>
    <w:p>
      <w:pPr>
        <w:tabs>
          <w:tab w:pos="9411" w:val="right" w:leader="dot"/>
        </w:tabs>
        <w:spacing w:line="300" w:lineRule="exact" w:after="40"/>
        <w:ind w:firstLine="0"/>
      </w:pPr>
      <w:r>
        <w:rPr>
          <w:sz w:val="21"/>
        </w:rPr>
        <w:t>7 数据集项目管理</w:t>
        <w:tab/>
        <w:t>57</w:t>
      </w:r>
    </w:p>
    <w:p>
      <w:pPr>
        <w:tabs>
          <w:tab w:pos="9411" w:val="right" w:leader="dot"/>
        </w:tabs>
        <w:spacing w:line="300" w:lineRule="exact" w:after="40"/>
        <w:ind w:firstLine="0"/>
      </w:pPr>
      <w:r>
        <w:rPr>
          <w:sz w:val="21"/>
        </w:rPr>
        <w:t>8 专项作业控制与验证细则</w:t>
        <w:tab/>
        <w:t>68</w:t>
      </w:r>
    </w:p>
    <w:p>
      <w:pPr>
        <w:tabs>
          <w:tab w:pos="9411" w:val="right" w:leader="dot"/>
        </w:tabs>
        <w:spacing w:line="300" w:lineRule="exact" w:after="40"/>
        <w:ind w:firstLine="0"/>
      </w:pPr>
      <w:r>
        <w:rPr>
          <w:sz w:val="21"/>
        </w:rPr>
        <w:t>9 实施组织进度与成果验收</w:t>
        <w:tab/>
        <w:t>77</w:t>
      </w:r>
    </w:p>
    <w:p>
      <w:r>
        <w:br w:type="page"/>
      </w:r>
    </w:p>
    <w:p>
      <w:pPr>
        <w:pStyle w:val="Heading1"/>
      </w:pPr>
      <w:r>
        <w:t>1 加工生产与版本交付总体安排</w:t>
      </w:r>
    </w:p>
    <w:p>
      <w:pPr>
        <w:pStyle w:val="Heading2"/>
      </w:pPr>
      <w:r>
        <w:t>1.1 实施范围与成果要求</w:t>
      </w:r>
    </w:p>
    <w:p>
      <w:pPr>
        <w:jc w:val="both"/>
      </w:pPr>
      <w:r>
        <w:t>我方在完成数据采集、规范化预处理、知识本体及知识库建设的基础上，组织数据标注、数据合成、数据增强、数据集质检、数据集验证和数据集项目管理。四个数据集分别建立生产项目，各项目设置预训练、有监督指令微调、人类偏好对齐、基准评测四个用途子集任务。每一批次具有来源、处理配置、质量记录和用途限制，每一正式发布版本具备数据集内容、数据集卡片、版本指纹、质检报告和验证报告，并同步交付数据字典、自描述封装文件及资产台账。</w:t>
      </w:r>
    </w:p>
    <w:p>
      <w:pPr>
        <w:jc w:val="both"/>
      </w:pPr>
      <w:r>
        <w:t>采集和预处理交付的图纸、文本、图像、视频与时序数据，先完成接收核验，再进入对应生产任务。输入清单登记源对象、业务标识、处理版本、来源许可、敏感级别、时间范围和质量状态。引用的标签体系来自通过评审的本体版本，标注与合成使用的知识条目均经过业务专家终审。输入文件、知识状态或权限条件发生变化时，暂停相关任务并检查已经形成的样本及其派生关系。</w:t>
      </w:r>
    </w:p>
    <w:p>
      <w:pPr>
        <w:jc w:val="both"/>
      </w:pPr>
      <w:r>
        <w:t>供需计划、产品工艺设计、制造过程、产品质量四个数据集的交付规模分别核算。预训练子集合计615亿Token，有监督指令微调子集合计89万条，人类偏好对齐子集合计6.6万组，基准评测子集合计0.95万条。上述规模以完成去重、质量检验和验证、满足许可条件的正式交付内容为准。原始采集量、生成候选量、已剔除量、重复副本及未通过检验的批次分别记账，不抵充交付规模。</w:t>
      </w:r>
    </w:p>
    <w:p>
      <w:pPr>
        <w:pStyle w:val="Heading2"/>
      </w:pPr>
      <w:r>
        <w:t>1.2 生产组织与质量职责</w:t>
      </w:r>
    </w:p>
    <w:p>
      <w:pPr>
        <w:jc w:val="both"/>
      </w:pPr>
      <w:r>
        <w:t>我方按四个数据集分别组织人工标注、合成增强和训练验证作业，设置执行、质量复核、专业仲裁和版本发布岗位。作业人员对输入检查、规范执行、记录真实性和问题上报负责；质量复核人员独立抽取样本、核对证据并作出批次判定；业务专家处理专业分歧、确认工艺适用性与证据强度；版本管理人员在质量及验证条件满足后组织发布和移交。人员可以按工作量跨任务调配，同一批次的执行与最终质量放行保持职责分离。</w:t>
      </w:r>
    </w:p>
    <w:p>
      <w:pPr>
        <w:jc w:val="both"/>
      </w:pPr>
      <w:r>
        <w:t>神兽 OS 为生产任务提供配置管理、权限控制、日志留存和状态查询，数据加工生产与数据集运营服务管理按各自平台职责承接数据内容、元数据与发布登记。任务交接通过明确的输入清单和接收记录完成。数据集向运营平台移交后，继续纳入本项目数据运营推广、持续汇聚、质量维护及国家数据基础设施接入工作，移交登记不终止我方的项目履约责任。</w:t>
      </w:r>
    </w:p>
    <w:p>
      <w:pPr>
        <w:jc w:val="both"/>
      </w:pPr>
      <w:r>
        <w:t>场景工作按招标要求实施验证服务，围绕六个专业场景和五个通用场景检验数据集效果，形成可用性结论和修复依据。生产过程中形成的质量记录服务于过程控制，发布前训练实验服务于数据效果验证，独立质量评测按说明文档、数据质量、模型应用三大维度实施。三类工作共享数据版本及指标字典，分别保留执行过程、结论和责任记录。</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任务组织.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 1-1 数据集生产任务与交付组织</w:t>
      </w:r>
    </w:p>
    <w:p>
      <w:pPr>
        <w:pStyle w:val="Heading2"/>
      </w:pPr>
      <w:r>
        <w:t>1.3 输入接收与生产状态</w:t>
      </w:r>
    </w:p>
    <w:p>
      <w:pPr>
        <w:jc w:val="both"/>
      </w:pPr>
      <w:r>
        <w:t>批次在接收时即登记唯一标识。接收核验检查文件清单、摘要、源对象映射、业务时间、许可凭证、脱敏结果及上游质量结论。内容缺失、文件损坏、权限不符或知识尚未终审的批次进入隔离状态，保留发现问题的时间和处置任务。接收记录不因批次被退回而删除，修复后的内容以新修订号重新提交。</w:t>
      </w:r>
    </w:p>
    <w:p>
      <w:pPr>
        <w:pStyle w:val="Caption"/>
        <w:keepNext/>
      </w:pPr>
      <w:r>
        <w:t>表1-1 输入接收与生产状态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状态</w:t>
            </w:r>
          </w:p>
        </w:tc>
        <w:tc>
          <w:tcPr>
            <w:tcW w:type="dxa" w:w="2699"/>
            <w:vAlign w:val="center"/>
            <w:shd w:fill="EDF1F3"/>
          </w:tcPr>
          <w:p>
            <w:pPr>
              <w:keepNext/>
              <w:spacing w:line="320" w:lineRule="exact" w:after="0" w:before="0"/>
              <w:ind w:firstLine="0"/>
              <w:jc w:val="center"/>
            </w:pPr>
            <w:r>
              <w:rPr>
                <w:b/>
                <w:sz w:val="21"/>
              </w:rPr>
              <w:t>进入条件</w:t>
            </w:r>
          </w:p>
        </w:tc>
        <w:tc>
          <w:tcPr>
            <w:tcW w:type="dxa" w:w="2409"/>
            <w:vAlign w:val="center"/>
            <w:shd w:fill="EDF1F3"/>
          </w:tcPr>
          <w:p>
            <w:pPr>
              <w:keepNext/>
              <w:spacing w:line="320" w:lineRule="exact" w:after="0" w:before="0"/>
              <w:ind w:firstLine="0"/>
              <w:jc w:val="center"/>
            </w:pPr>
            <w:r>
              <w:rPr>
                <w:b/>
                <w:sz w:val="21"/>
              </w:rPr>
              <w:t>允许操作</w:t>
            </w:r>
          </w:p>
        </w:tc>
        <w:tc>
          <w:tcPr>
            <w:tcW w:type="dxa" w:w="2891"/>
            <w:vAlign w:val="center"/>
            <w:shd w:fill="EDF1F3"/>
          </w:tcPr>
          <w:p>
            <w:pPr>
              <w:keepNext/>
              <w:spacing w:line="320" w:lineRule="exact" w:after="0" w:before="0"/>
              <w:ind w:firstLine="0"/>
              <w:jc w:val="center"/>
            </w:pPr>
            <w:r>
              <w:rPr>
                <w:b/>
                <w:sz w:val="21"/>
              </w:rPr>
              <w:t>退出依据</w:t>
            </w:r>
          </w:p>
        </w:tc>
      </w:tr>
      <w:tr>
        <w:trPr>
          <w:cantSplit/>
        </w:trPr>
        <w:tc>
          <w:tcPr>
            <w:tcW w:type="dxa" w:w="1638"/>
            <w:vAlign w:val="center"/>
          </w:tcPr>
          <w:p>
            <w:pPr>
              <w:keepNext w:val="0"/>
              <w:spacing w:line="320" w:lineRule="exact" w:after="0" w:before="0"/>
              <w:ind w:firstLine="0"/>
              <w:jc w:val="left"/>
            </w:pPr>
            <w:r>
              <w:rPr>
                <w:b w:val="0"/>
                <w:sz w:val="21"/>
              </w:rPr>
              <w:t>已登记</w:t>
            </w:r>
          </w:p>
        </w:tc>
        <w:tc>
          <w:tcPr>
            <w:tcW w:type="dxa" w:w="2699"/>
            <w:vAlign w:val="center"/>
          </w:tcPr>
          <w:p>
            <w:pPr>
              <w:keepNext w:val="0"/>
              <w:spacing w:line="320" w:lineRule="exact" w:after="0" w:before="0"/>
              <w:ind w:firstLine="0"/>
              <w:jc w:val="left"/>
            </w:pPr>
            <w:r>
              <w:rPr>
                <w:b w:val="0"/>
                <w:sz w:val="21"/>
              </w:rPr>
              <w:t>收到批次清单和文件</w:t>
            </w:r>
          </w:p>
        </w:tc>
        <w:tc>
          <w:tcPr>
            <w:tcW w:type="dxa" w:w="2409"/>
            <w:vAlign w:val="center"/>
          </w:tcPr>
          <w:p>
            <w:pPr>
              <w:keepNext w:val="0"/>
              <w:spacing w:line="320" w:lineRule="exact" w:after="0" w:before="0"/>
              <w:ind w:firstLine="0"/>
              <w:jc w:val="left"/>
            </w:pPr>
            <w:r>
              <w:rPr>
                <w:b w:val="0"/>
                <w:sz w:val="21"/>
              </w:rPr>
              <w:t>对账与完整性检查</w:t>
            </w:r>
          </w:p>
        </w:tc>
        <w:tc>
          <w:tcPr>
            <w:tcW w:type="dxa" w:w="2891"/>
            <w:vAlign w:val="center"/>
          </w:tcPr>
          <w:p>
            <w:pPr>
              <w:keepNext w:val="0"/>
              <w:spacing w:line="320" w:lineRule="exact" w:after="0" w:before="0"/>
              <w:ind w:firstLine="0"/>
              <w:jc w:val="left"/>
            </w:pPr>
            <w:r>
              <w:rPr>
                <w:b w:val="0"/>
                <w:sz w:val="21"/>
              </w:rPr>
              <w:t>接收核验结果</w:t>
            </w:r>
          </w:p>
        </w:tc>
      </w:tr>
      <w:tr>
        <w:trPr>
          <w:cantSplit/>
        </w:trPr>
        <w:tc>
          <w:tcPr>
            <w:tcW w:type="dxa" w:w="1638"/>
            <w:vAlign w:val="center"/>
          </w:tcPr>
          <w:p>
            <w:pPr>
              <w:keepNext w:val="0"/>
              <w:spacing w:line="320" w:lineRule="exact" w:after="0" w:before="0"/>
              <w:ind w:firstLine="0"/>
              <w:jc w:val="left"/>
            </w:pPr>
            <w:r>
              <w:rPr>
                <w:b w:val="0"/>
                <w:sz w:val="21"/>
              </w:rPr>
              <w:t>隔离整改</w:t>
            </w:r>
          </w:p>
        </w:tc>
        <w:tc>
          <w:tcPr>
            <w:tcW w:type="dxa" w:w="2699"/>
            <w:vAlign w:val="center"/>
          </w:tcPr>
          <w:p>
            <w:pPr>
              <w:keepNext w:val="0"/>
              <w:spacing w:line="320" w:lineRule="exact" w:after="0" w:before="0"/>
              <w:ind w:firstLine="0"/>
              <w:jc w:val="left"/>
            </w:pPr>
            <w:r>
              <w:rPr>
                <w:b w:val="0"/>
                <w:sz w:val="21"/>
              </w:rPr>
              <w:t>许可、内容或质量条件未满足</w:t>
            </w:r>
          </w:p>
        </w:tc>
        <w:tc>
          <w:tcPr>
            <w:tcW w:type="dxa" w:w="2409"/>
            <w:vAlign w:val="center"/>
          </w:tcPr>
          <w:p>
            <w:pPr>
              <w:keepNext w:val="0"/>
              <w:spacing w:line="320" w:lineRule="exact" w:after="0" w:before="0"/>
              <w:ind w:firstLine="0"/>
              <w:jc w:val="left"/>
            </w:pPr>
            <w:r>
              <w:rPr>
                <w:b w:val="0"/>
                <w:sz w:val="21"/>
              </w:rPr>
              <w:t>在授权范围内核查和修复</w:t>
            </w:r>
          </w:p>
        </w:tc>
        <w:tc>
          <w:tcPr>
            <w:tcW w:type="dxa" w:w="2891"/>
            <w:vAlign w:val="center"/>
          </w:tcPr>
          <w:p>
            <w:pPr>
              <w:keepNext w:val="0"/>
              <w:spacing w:line="320" w:lineRule="exact" w:after="0" w:before="0"/>
              <w:ind w:firstLine="0"/>
              <w:jc w:val="left"/>
            </w:pPr>
            <w:r>
              <w:rPr>
                <w:b w:val="0"/>
                <w:sz w:val="21"/>
              </w:rPr>
              <w:t>复检通过及解除隔离记录</w:t>
            </w:r>
          </w:p>
        </w:tc>
      </w:tr>
      <w:tr>
        <w:trPr>
          <w:cantSplit/>
        </w:trPr>
        <w:tc>
          <w:tcPr>
            <w:tcW w:type="dxa" w:w="1638"/>
            <w:vAlign w:val="center"/>
          </w:tcPr>
          <w:p>
            <w:pPr>
              <w:keepNext w:val="0"/>
              <w:spacing w:line="320" w:lineRule="exact" w:after="0" w:before="0"/>
              <w:ind w:firstLine="0"/>
              <w:jc w:val="left"/>
            </w:pPr>
            <w:r>
              <w:rPr>
                <w:b w:val="0"/>
                <w:sz w:val="21"/>
              </w:rPr>
              <w:t>待生产</w:t>
            </w:r>
          </w:p>
        </w:tc>
        <w:tc>
          <w:tcPr>
            <w:tcW w:type="dxa" w:w="2699"/>
            <w:vAlign w:val="center"/>
          </w:tcPr>
          <w:p>
            <w:pPr>
              <w:keepNext w:val="0"/>
              <w:spacing w:line="320" w:lineRule="exact" w:after="0" w:before="0"/>
              <w:ind w:firstLine="0"/>
              <w:jc w:val="left"/>
            </w:pPr>
            <w:r>
              <w:rPr>
                <w:b w:val="0"/>
                <w:sz w:val="21"/>
              </w:rPr>
              <w:t>输入核验及任务配置检查通过</w:t>
            </w:r>
          </w:p>
        </w:tc>
        <w:tc>
          <w:tcPr>
            <w:tcW w:type="dxa" w:w="2409"/>
            <w:vAlign w:val="center"/>
          </w:tcPr>
          <w:p>
            <w:pPr>
              <w:keepNext w:val="0"/>
              <w:spacing w:line="320" w:lineRule="exact" w:after="0" w:before="0"/>
              <w:ind w:firstLine="0"/>
              <w:jc w:val="left"/>
            </w:pPr>
            <w:r>
              <w:rPr>
                <w:b w:val="0"/>
                <w:sz w:val="21"/>
              </w:rPr>
              <w:t>分派、试标和正式加工</w:t>
            </w:r>
          </w:p>
        </w:tc>
        <w:tc>
          <w:tcPr>
            <w:tcW w:type="dxa" w:w="2891"/>
            <w:vAlign w:val="center"/>
          </w:tcPr>
          <w:p>
            <w:pPr>
              <w:keepNext w:val="0"/>
              <w:spacing w:line="320" w:lineRule="exact" w:after="0" w:before="0"/>
              <w:ind w:firstLine="0"/>
              <w:jc w:val="left"/>
            </w:pPr>
            <w:r>
              <w:rPr>
                <w:b w:val="0"/>
                <w:sz w:val="21"/>
              </w:rPr>
              <w:t>作业提交记录</w:t>
            </w:r>
          </w:p>
        </w:tc>
      </w:tr>
      <w:tr>
        <w:trPr>
          <w:cantSplit/>
        </w:trPr>
        <w:tc>
          <w:tcPr>
            <w:tcW w:type="dxa" w:w="1638"/>
            <w:vAlign w:val="center"/>
          </w:tcPr>
          <w:p>
            <w:pPr>
              <w:keepNext w:val="0"/>
              <w:spacing w:line="320" w:lineRule="exact" w:after="0" w:before="0"/>
              <w:ind w:firstLine="0"/>
              <w:jc w:val="left"/>
            </w:pPr>
            <w:r>
              <w:rPr>
                <w:b w:val="0"/>
                <w:sz w:val="21"/>
              </w:rPr>
              <w:t>待质检</w:t>
            </w:r>
          </w:p>
        </w:tc>
        <w:tc>
          <w:tcPr>
            <w:tcW w:type="dxa" w:w="2699"/>
            <w:vAlign w:val="center"/>
          </w:tcPr>
          <w:p>
            <w:pPr>
              <w:keepNext w:val="0"/>
              <w:spacing w:line="320" w:lineRule="exact" w:after="0" w:before="0"/>
              <w:ind w:firstLine="0"/>
              <w:jc w:val="left"/>
            </w:pPr>
            <w:r>
              <w:rPr>
                <w:b w:val="0"/>
                <w:sz w:val="21"/>
              </w:rPr>
              <w:t>作业完成并通过自检</w:t>
            </w:r>
          </w:p>
        </w:tc>
        <w:tc>
          <w:tcPr>
            <w:tcW w:type="dxa" w:w="2409"/>
            <w:vAlign w:val="center"/>
          </w:tcPr>
          <w:p>
            <w:pPr>
              <w:keepNext w:val="0"/>
              <w:spacing w:line="320" w:lineRule="exact" w:after="0" w:before="0"/>
              <w:ind w:firstLine="0"/>
              <w:jc w:val="left"/>
            </w:pPr>
            <w:r>
              <w:rPr>
                <w:b w:val="0"/>
                <w:sz w:val="21"/>
              </w:rPr>
              <w:t>独立抽检、一致性检查、专业仲裁</w:t>
            </w:r>
          </w:p>
        </w:tc>
        <w:tc>
          <w:tcPr>
            <w:tcW w:type="dxa" w:w="2891"/>
            <w:vAlign w:val="center"/>
          </w:tcPr>
          <w:p>
            <w:pPr>
              <w:keepNext w:val="0"/>
              <w:spacing w:line="320" w:lineRule="exact" w:after="0" w:before="0"/>
              <w:ind w:firstLine="0"/>
              <w:jc w:val="left"/>
            </w:pPr>
            <w:r>
              <w:rPr>
                <w:b w:val="0"/>
                <w:sz w:val="21"/>
              </w:rPr>
              <w:t>批次质量结论</w:t>
            </w:r>
          </w:p>
        </w:tc>
      </w:tr>
      <w:tr>
        <w:trPr>
          <w:cantSplit/>
        </w:trPr>
        <w:tc>
          <w:tcPr>
            <w:tcW w:type="dxa" w:w="1638"/>
            <w:vAlign w:val="center"/>
          </w:tcPr>
          <w:p>
            <w:pPr>
              <w:keepNext w:val="0"/>
              <w:spacing w:line="320" w:lineRule="exact" w:after="0" w:before="0"/>
              <w:ind w:firstLine="0"/>
              <w:jc w:val="left"/>
            </w:pPr>
            <w:r>
              <w:rPr>
                <w:b w:val="0"/>
                <w:sz w:val="21"/>
              </w:rPr>
              <w:t>合格候选</w:t>
            </w:r>
          </w:p>
        </w:tc>
        <w:tc>
          <w:tcPr>
            <w:tcW w:type="dxa" w:w="2699"/>
            <w:vAlign w:val="center"/>
          </w:tcPr>
          <w:p>
            <w:pPr>
              <w:keepNext w:val="0"/>
              <w:spacing w:line="320" w:lineRule="exact" w:after="0" w:before="0"/>
              <w:ind w:firstLine="0"/>
              <w:jc w:val="left"/>
            </w:pPr>
            <w:r>
              <w:rPr>
                <w:b w:val="0"/>
                <w:sz w:val="21"/>
              </w:rPr>
              <w:t>全部适用过程检查通过</w:t>
            </w:r>
          </w:p>
        </w:tc>
        <w:tc>
          <w:tcPr>
            <w:tcW w:type="dxa" w:w="2409"/>
            <w:vAlign w:val="center"/>
          </w:tcPr>
          <w:p>
            <w:pPr>
              <w:keepNext w:val="0"/>
              <w:spacing w:line="320" w:lineRule="exact" w:after="0" w:before="0"/>
              <w:ind w:firstLine="0"/>
              <w:jc w:val="left"/>
            </w:pPr>
            <w:r>
              <w:rPr>
                <w:b w:val="0"/>
                <w:sz w:val="21"/>
              </w:rPr>
              <w:t>按目标用途编组和验证</w:t>
            </w:r>
          </w:p>
        </w:tc>
        <w:tc>
          <w:tcPr>
            <w:tcW w:type="dxa" w:w="2891"/>
            <w:vAlign w:val="center"/>
          </w:tcPr>
          <w:p>
            <w:pPr>
              <w:keepNext w:val="0"/>
              <w:spacing w:line="320" w:lineRule="exact" w:after="0" w:before="0"/>
              <w:ind w:firstLine="0"/>
              <w:jc w:val="left"/>
            </w:pPr>
            <w:r>
              <w:rPr>
                <w:b w:val="0"/>
                <w:sz w:val="21"/>
              </w:rPr>
              <w:t>版本候选清单</w:t>
            </w:r>
          </w:p>
        </w:tc>
      </w:tr>
      <w:tr>
        <w:trPr>
          <w:cantSplit/>
        </w:trPr>
        <w:tc>
          <w:tcPr>
            <w:tcW w:type="dxa" w:w="1638"/>
            <w:vAlign w:val="center"/>
          </w:tcPr>
          <w:p>
            <w:pPr>
              <w:keepNext w:val="0"/>
              <w:spacing w:line="320" w:lineRule="exact" w:after="0" w:before="0"/>
              <w:ind w:firstLine="0"/>
              <w:jc w:val="left"/>
            </w:pPr>
            <w:r>
              <w:rPr>
                <w:b w:val="0"/>
                <w:sz w:val="21"/>
              </w:rPr>
              <w:t>冻结验证</w:t>
            </w:r>
          </w:p>
        </w:tc>
        <w:tc>
          <w:tcPr>
            <w:tcW w:type="dxa" w:w="2699"/>
            <w:vAlign w:val="center"/>
          </w:tcPr>
          <w:p>
            <w:pPr>
              <w:keepNext w:val="0"/>
              <w:spacing w:line="320" w:lineRule="exact" w:after="0" w:before="0"/>
              <w:ind w:firstLine="0"/>
              <w:jc w:val="left"/>
            </w:pPr>
            <w:r>
              <w:rPr>
                <w:b w:val="0"/>
                <w:sz w:val="21"/>
              </w:rPr>
              <w:t>内容、配置和评测协议固化</w:t>
            </w:r>
          </w:p>
        </w:tc>
        <w:tc>
          <w:tcPr>
            <w:tcW w:type="dxa" w:w="2409"/>
            <w:vAlign w:val="center"/>
          </w:tcPr>
          <w:p>
            <w:pPr>
              <w:keepNext w:val="0"/>
              <w:spacing w:line="320" w:lineRule="exact" w:after="0" w:before="0"/>
              <w:ind w:firstLine="0"/>
              <w:jc w:val="left"/>
            </w:pPr>
            <w:r>
              <w:rPr>
                <w:b w:val="0"/>
                <w:sz w:val="21"/>
              </w:rPr>
              <w:t>训练、评测、归因和复评</w:t>
            </w:r>
          </w:p>
        </w:tc>
        <w:tc>
          <w:tcPr>
            <w:tcW w:type="dxa" w:w="2891"/>
            <w:vAlign w:val="center"/>
          </w:tcPr>
          <w:p>
            <w:pPr>
              <w:keepNext w:val="0"/>
              <w:spacing w:line="320" w:lineRule="exact" w:after="0" w:before="0"/>
              <w:ind w:firstLine="0"/>
              <w:jc w:val="left"/>
            </w:pPr>
            <w:r>
              <w:rPr>
                <w:b w:val="0"/>
                <w:sz w:val="21"/>
              </w:rPr>
              <w:t>验证报告及评审结论</w:t>
            </w:r>
          </w:p>
        </w:tc>
      </w:tr>
      <w:tr>
        <w:trPr>
          <w:cantSplit/>
        </w:trPr>
        <w:tc>
          <w:tcPr>
            <w:tcW w:type="dxa" w:w="1638"/>
            <w:vAlign w:val="center"/>
          </w:tcPr>
          <w:p>
            <w:pPr>
              <w:keepNext w:val="0"/>
              <w:spacing w:line="320" w:lineRule="exact" w:after="0" w:before="0"/>
              <w:ind w:firstLine="0"/>
              <w:jc w:val="left"/>
            </w:pPr>
            <w:r>
              <w:rPr>
                <w:b w:val="0"/>
                <w:sz w:val="21"/>
              </w:rPr>
              <w:t>正式发布</w:t>
            </w:r>
          </w:p>
        </w:tc>
        <w:tc>
          <w:tcPr>
            <w:tcW w:type="dxa" w:w="2699"/>
            <w:vAlign w:val="center"/>
          </w:tcPr>
          <w:p>
            <w:pPr>
              <w:keepNext w:val="0"/>
              <w:spacing w:line="320" w:lineRule="exact" w:after="0" w:before="0"/>
              <w:ind w:firstLine="0"/>
              <w:jc w:val="left"/>
            </w:pPr>
            <w:r>
              <w:rPr>
                <w:b w:val="0"/>
                <w:sz w:val="21"/>
              </w:rPr>
              <w:t>发布资料完整且条件满足</w:t>
            </w:r>
          </w:p>
        </w:tc>
        <w:tc>
          <w:tcPr>
            <w:tcW w:type="dxa" w:w="2409"/>
            <w:vAlign w:val="center"/>
          </w:tcPr>
          <w:p>
            <w:pPr>
              <w:keepNext w:val="0"/>
              <w:spacing w:line="320" w:lineRule="exact" w:after="0" w:before="0"/>
              <w:ind w:firstLine="0"/>
              <w:jc w:val="left"/>
            </w:pPr>
            <w:r>
              <w:rPr>
                <w:b w:val="0"/>
                <w:sz w:val="21"/>
              </w:rPr>
              <w:t>授权交付、登记和使用</w:t>
            </w:r>
          </w:p>
        </w:tc>
        <w:tc>
          <w:tcPr>
            <w:tcW w:type="dxa" w:w="2891"/>
            <w:vAlign w:val="center"/>
          </w:tcPr>
          <w:p>
            <w:pPr>
              <w:keepNext w:val="0"/>
              <w:spacing w:line="320" w:lineRule="exact" w:after="0" w:before="0"/>
              <w:ind w:firstLine="0"/>
              <w:jc w:val="left"/>
            </w:pPr>
            <w:r>
              <w:rPr>
                <w:b w:val="0"/>
                <w:sz w:val="21"/>
              </w:rPr>
              <w:t>发布及接收记录</w:t>
            </w:r>
          </w:p>
        </w:tc>
      </w:tr>
      <w:tr>
        <w:trPr>
          <w:cantSplit/>
        </w:trPr>
        <w:tc>
          <w:tcPr>
            <w:tcW w:type="dxa" w:w="1638"/>
            <w:vAlign w:val="center"/>
          </w:tcPr>
          <w:p>
            <w:pPr>
              <w:keepNext w:val="0"/>
              <w:spacing w:line="320" w:lineRule="exact" w:after="0" w:before="0"/>
              <w:ind w:firstLine="0"/>
              <w:jc w:val="left"/>
            </w:pPr>
            <w:r>
              <w:rPr>
                <w:b w:val="0"/>
                <w:sz w:val="21"/>
              </w:rPr>
              <w:t>撤回停用</w:t>
            </w:r>
          </w:p>
        </w:tc>
        <w:tc>
          <w:tcPr>
            <w:tcW w:type="dxa" w:w="2699"/>
            <w:vAlign w:val="center"/>
          </w:tcPr>
          <w:p>
            <w:pPr>
              <w:keepNext w:val="0"/>
              <w:spacing w:line="320" w:lineRule="exact" w:after="0" w:before="0"/>
              <w:ind w:firstLine="0"/>
              <w:jc w:val="left"/>
            </w:pPr>
            <w:r>
              <w:rPr>
                <w:b w:val="0"/>
                <w:sz w:val="21"/>
              </w:rPr>
              <w:t>发现影响使用的缺陷或授权变化</w:t>
            </w:r>
          </w:p>
        </w:tc>
        <w:tc>
          <w:tcPr>
            <w:tcW w:type="dxa" w:w="2409"/>
            <w:vAlign w:val="center"/>
          </w:tcPr>
          <w:p>
            <w:pPr>
              <w:keepNext w:val="0"/>
              <w:spacing w:line="320" w:lineRule="exact" w:after="0" w:before="0"/>
              <w:ind w:firstLine="0"/>
              <w:jc w:val="left"/>
            </w:pPr>
            <w:r>
              <w:rPr>
                <w:b w:val="0"/>
                <w:sz w:val="21"/>
              </w:rPr>
              <w:t>阻断供给、影响追踪和版本修复</w:t>
            </w:r>
          </w:p>
        </w:tc>
        <w:tc>
          <w:tcPr>
            <w:tcW w:type="dxa" w:w="2891"/>
            <w:vAlign w:val="center"/>
          </w:tcPr>
          <w:p>
            <w:pPr>
              <w:keepNext w:val="0"/>
              <w:spacing w:line="320" w:lineRule="exact" w:after="0" w:before="0"/>
              <w:ind w:firstLine="0"/>
              <w:jc w:val="left"/>
            </w:pPr>
            <w:r>
              <w:rPr>
                <w:b w:val="0"/>
                <w:sz w:val="21"/>
              </w:rPr>
              <w:t>新版本放行及使用方处置确认</w:t>
            </w:r>
          </w:p>
        </w:tc>
      </w:tr>
    </w:tbl>
    <w:p>
      <w:pPr>
        <w:spacing w:after="40" w:line="240" w:lineRule="auto"/>
        <w:ind w:firstLine="0"/>
      </w:pPr>
      <w:r>
        <w:rPr>
          <w:sz w:val="4"/>
        </w:rPr>
      </w:r>
    </w:p>
    <w:p>
      <w:pPr>
        <w:pStyle w:val="Heading2"/>
      </w:pPr>
      <w:r>
        <w:t>1.4 统一质量与计量规则</w:t>
      </w:r>
    </w:p>
    <w:p>
      <w:pPr>
        <w:jc w:val="both"/>
      </w:pPr>
      <w:r>
        <w:t>过程质量控制沿用入口、预处理、本体口径、知识终审、标注、合成增强和版本发布各检查点，按检查对象分别记录，不以同一编号指代不同环节。任何环节发现影响来源合法性、内容安全、关键事实或用途适用性的问题，立即停止相关对象的下游使用，并追溯已形成的派生样本。</w:t>
      </w:r>
    </w:p>
    <w:p>
      <w:pPr>
        <w:jc w:val="both"/>
      </w:pPr>
      <w:r>
        <w:t>数据集涵盖文本、图像、时序、视频等模态，满足不少于3种模态、多模态数据条数占比不低于40%、近3年内时效性数据条数占比不低于40%的要求。多模态计量核对各模态内容是否实际存在、可读取并具有有效业务关联；时效性以真实业务发生或资料形成时间判断，不以入库、改写或生成时间替代。统计保存分子、分母、去重规则、统计截止时点与执行程序版本。</w:t>
      </w:r>
    </w:p>
    <w:p>
      <w:pPr>
        <w:jc w:val="both"/>
      </w:pPr>
      <w:r>
        <w:t>独立质量评测覆盖说明文档、数据质量和模型应用全部规定指标，各维度达到最低合格标准，综合质量得分不低于85分；高风险缺陷100%清零，中低风险缺陷整改完成率100%。我方将上述条件纳入版本发布检查，已知缺陷通过修复、剔除及必要的规模补足完成处置，经复检确认后关闭。数据集卡片披露使用范围和客观局限，不以披露替代整改或降低招标指标。</w:t>
      </w:r>
    </w:p>
    <w:p>
      <w:pPr>
        <w:pStyle w:val="Heading1"/>
      </w:pPr>
      <w:r>
        <w:t>2 数据标注</w:t>
      </w:r>
    </w:p>
    <w:p>
      <w:pPr>
        <w:pStyle w:val="Heading2"/>
      </w:pPr>
      <w:r>
        <w:t>2.1 标注对象与证据要求</w:t>
      </w:r>
    </w:p>
    <w:p>
      <w:pPr>
        <w:jc w:val="both"/>
      </w:pPr>
      <w:r>
        <w:t>标注将规范化数据转换为可用于训练、对齐和评测的样本。供需计划域提取合同要素、选型条件及库存决策约束；产品工艺设计域建立图纸、特征、工序、卡片与参数的对应；制造过程域记录工况、工艺阶段、事件及诊断证据；产品质量域关联检验项、缺陷、检测结果和过程参数。经营决策问答依托九个业务域指标知识库组织标签，并按业务归属登记到四个数据集及其用途任务中，不另增第五个交付数据集。</w:t>
      </w:r>
    </w:p>
    <w:p>
      <w:pPr>
        <w:jc w:val="both"/>
      </w:pPr>
      <w:r>
        <w:t>每项标签同时记录取值和证据。原件能够直接支持的事实、规则计算得到的结果、专家分析形成的意见采用不同来源属性。专业人员确认样本关联时，核对业务对象、版本、时间、生产批次与记录链；仅凭时间接近或文件名相似建立的候选关系，不作为已经确认的工件对应关系。</w:t>
      </w:r>
    </w:p>
    <w:p>
      <w:pPr>
        <w:jc w:val="both"/>
      </w:pPr>
      <w:r>
        <w:t>报警记录与真实故障分别管理。标注人员将报警与维修工单、检查结论及处理后状态建立联系，证据不足时保留异常现象和待确认状态。故障模式、劣化阶段及根因各自核验，不因存在报警或更换过备件便认定故障与根因。缺乏依据的标签转为补证任务，经核实后再进入对应的监督训练用途。</w:t>
      </w:r>
    </w:p>
    <w:p>
      <w:pPr>
        <w:pStyle w:val="Heading2"/>
      </w:pPr>
      <w:r>
        <w:t>2.2 标注体系总则</w:t>
      </w:r>
    </w:p>
    <w:p>
      <w:pPr>
        <w:pStyle w:val="Heading3"/>
      </w:pPr>
      <w:r>
        <w:t>2.2.1 标签体系一律引自知识本体</w:t>
      </w:r>
    </w:p>
    <w:p>
      <w:pPr>
        <w:jc w:val="both"/>
      </w:pPr>
      <w:r>
        <w:t>各业务域的标注口径统一引用通过评审的知识本体。对象覆盖设备与部件、物料与产品结构、工艺与工序、工况与事件、合同与供应商、质量特性和检验项。焊接缺陷标签覆盖招标要求中的气孔、裂纹、咬边、余高、弧坑、焊脚偏差等类别，并结合经确认的检测规范纳入夹渣、烧穿、未熔合、未焊透、偏焊及焊瘤等适用类别；热处理标签覆盖烧伤、裂纹及其相关质量特性。各类别具有定义、适用对象、证据要求和排除条件，不能将历史标签清单作为封闭上限。</w:t>
      </w:r>
    </w:p>
    <w:p>
      <w:pPr>
        <w:jc w:val="both"/>
      </w:pPr>
      <w:r>
        <w:t>标注工具加载本体标识和版本。发现未覆盖概念时，登记新增需求、示例和与现有类别的差异，由专业人员评审后更新本体与规范。变更生效前，该对象进入候选处理范围，不在工具端临时增加无法追溯的正式标签。</w:t>
      </w:r>
    </w:p>
    <w:p>
      <w:pPr>
        <w:jc w:val="both"/>
      </w:pPr>
      <w:r>
        <w:t>标签体系按三层组织：第一层是对象类目，取自本体的对象类目（设备与部件、工艺与工序、故障模式、质量特性与检验项、物料与 BOM、供应商与合同、能耗与工况）；第二层是任务标签集，即某一标注任务在该对象类目下要标的标签字段集合；第三层是取值域，即每个标签字段的合法取值枚举或数值区间。标注工具按第三层的取值域做输入约束，取值域之外的输入在提交时被拒绝，这是标签体系符合性在工具层面的第一道保障。</w:t>
      </w:r>
    </w:p>
    <w:p>
      <w:pPr>
        <w:pStyle w:val="Heading3"/>
      </w:pPr>
      <w:r>
        <w:t>2.2.2 每一个标注任务配一份标注规范</w:t>
      </w:r>
    </w:p>
    <w:p>
      <w:pPr>
        <w:jc w:val="both"/>
      </w:pPr>
      <w:r>
        <w:t>标注规范是本环节最关键的交付物，它决定了标注结果能否在不同标注员、不同批次之间保持一致。每份标注规范包含六部分内容：标注对象与粒度（标到文档、段落、条款、字段、图元、像素区域还是时间窗）；标签体系引用（引用本体哪个类目、本任务用其中哪些字段、每个字段的取值域）；判定准则（每个取值的判定条件，以及两个取值之间的分界线划在哪里）；边界情形处置（证据不足、多重判定、原件缺损、口径冲突四类情形的处理方式，统一设「无法判定」取值并要求填写原因码，不允许标注员凭感觉选一个）；正反例与易混淆对照（每个标签至少三个正例与两个典型误标例）；一致率阈值与返工线。</w:t>
      </w:r>
    </w:p>
    <w:p>
      <w:pPr>
        <w:jc w:val="both"/>
      </w:pPr>
      <w:r>
        <w:t>规范带版本号，版本号随标注样本一并记录。规范在作业期间修订的，修订后新作业批次按新版本执行，已完成批次按原版本保留并在样本元数据中标明规范版本，不做追溯性重标，除非修订涉及判定准则的实质变更——此时按 2.9 节的返工口径对受影响批次重标。</w:t>
      </w:r>
    </w:p>
    <w:p>
      <w:pPr>
        <w:pStyle w:val="Heading3"/>
      </w:pPr>
      <w:r>
        <w:t>2.2.3 机器预标注与人工确认的分工</w:t>
      </w:r>
    </w:p>
    <w:p>
      <w:pPr>
        <w:jc w:val="both"/>
      </w:pPr>
      <w:r>
        <w:t>标注作业采用机器候选与人工确认相结合的方式。预标注从经过核验的原生图元、条款结构、工艺记录、时序事件和相似已审样本中提出候选，保留候选依据与模型版本。历史图纸与工艺卡片的数量、可借用比例、配对关系和审核状态按接收盘点及业务核验结果登记，不将存量文件数量直接等同于可用监督样本数量。</w:t>
      </w:r>
    </w:p>
    <w:p>
      <w:pPr>
        <w:jc w:val="both"/>
      </w:pPr>
      <w:r>
        <w:t>四类对象的预标注方式与人工介入点如下。首批试标按对象复杂度、来源、稀缺类别和标注难度分层设置样本，测量候选召回、人工修正率、复核通过率及单位样本处理时间。低置信度、涉及安全判断或关键参数的任务采用人工主导；稳定任务按批准的作业档位执行，档位升级以连续批次结果为依据，发生质量下降时立即降级。</w:t>
      </w:r>
    </w:p>
    <w:p>
      <w:pPr>
        <w:pStyle w:val="Caption"/>
        <w:keepNext/>
      </w:pPr>
      <w:r>
        <w:t>表2-1 四类标注对象的机器预标注方式与人工介入点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标注对象</w:t>
            </w:r>
          </w:p>
        </w:tc>
        <w:tc>
          <w:tcPr>
            <w:tcW w:type="dxa" w:w="2699"/>
            <w:vAlign w:val="center"/>
            <w:shd w:fill="EDF1F3"/>
          </w:tcPr>
          <w:p>
            <w:pPr>
              <w:keepNext/>
              <w:spacing w:line="320" w:lineRule="exact" w:after="0" w:before="0"/>
              <w:ind w:firstLine="0"/>
              <w:jc w:val="center"/>
            </w:pPr>
            <w:r>
              <w:rPr>
                <w:b/>
                <w:sz w:val="21"/>
              </w:rPr>
              <w:t>机器预标注方式</w:t>
            </w:r>
          </w:p>
        </w:tc>
        <w:tc>
          <w:tcPr>
            <w:tcW w:type="dxa" w:w="2409"/>
            <w:vAlign w:val="center"/>
            <w:shd w:fill="EDF1F3"/>
          </w:tcPr>
          <w:p>
            <w:pPr>
              <w:keepNext/>
              <w:spacing w:line="320" w:lineRule="exact" w:after="0" w:before="0"/>
              <w:ind w:firstLine="0"/>
              <w:jc w:val="center"/>
            </w:pPr>
            <w:r>
              <w:rPr>
                <w:b/>
                <w:sz w:val="21"/>
              </w:rPr>
              <w:t>人工介入点</w:t>
            </w:r>
          </w:p>
        </w:tc>
        <w:tc>
          <w:tcPr>
            <w:tcW w:type="dxa" w:w="2891"/>
            <w:vAlign w:val="center"/>
            <w:shd w:fill="EDF1F3"/>
          </w:tcPr>
          <w:p>
            <w:pPr>
              <w:keepNext/>
              <w:spacing w:line="320" w:lineRule="exact" w:after="0" w:before="0"/>
              <w:ind w:firstLine="0"/>
              <w:jc w:val="center"/>
            </w:pPr>
            <w:r>
              <w:rPr>
                <w:b/>
                <w:sz w:val="21"/>
              </w:rPr>
              <w:t>预标注核验重点</w:t>
            </w:r>
          </w:p>
        </w:tc>
      </w:tr>
      <w:tr>
        <w:trPr>
          <w:cantSplit/>
        </w:trPr>
        <w:tc>
          <w:tcPr>
            <w:tcW w:type="dxa" w:w="1638"/>
            <w:vAlign w:val="center"/>
          </w:tcPr>
          <w:p>
            <w:pPr>
              <w:keepNext w:val="0"/>
              <w:spacing w:line="320" w:lineRule="exact" w:after="0" w:before="0"/>
              <w:ind w:firstLine="0"/>
              <w:jc w:val="left"/>
            </w:pPr>
            <w:r>
              <w:rPr>
                <w:b w:val="0"/>
                <w:sz w:val="21"/>
              </w:rPr>
              <w:t>文档类（合同、招投标文件、制度、标准）</w:t>
            </w:r>
          </w:p>
        </w:tc>
        <w:tc>
          <w:tcPr>
            <w:tcW w:type="dxa" w:w="2699"/>
            <w:vAlign w:val="center"/>
          </w:tcPr>
          <w:p>
            <w:pPr>
              <w:keepNext w:val="0"/>
              <w:spacing w:line="320" w:lineRule="exact" w:after="0" w:before="0"/>
              <w:ind w:firstLine="0"/>
              <w:jc w:val="left"/>
            </w:pPr>
            <w:r>
              <w:rPr>
                <w:b w:val="0"/>
                <w:sz w:val="21"/>
              </w:rPr>
              <w:t>版面解析结果上做条款切分与条款类型候选推荐、八大核心要素定位</w:t>
            </w:r>
          </w:p>
        </w:tc>
        <w:tc>
          <w:tcPr>
            <w:tcW w:type="dxa" w:w="2409"/>
            <w:vAlign w:val="center"/>
          </w:tcPr>
          <w:p>
            <w:pPr>
              <w:keepNext w:val="0"/>
              <w:spacing w:line="320" w:lineRule="exact" w:after="0" w:before="0"/>
              <w:ind w:firstLine="0"/>
              <w:jc w:val="left"/>
            </w:pPr>
            <w:r>
              <w:rPr>
                <w:b w:val="0"/>
                <w:sz w:val="21"/>
              </w:rPr>
              <w:t>条款类型确认、风险点认定、合规判定结论</w:t>
            </w:r>
          </w:p>
        </w:tc>
        <w:tc>
          <w:tcPr>
            <w:tcW w:type="dxa" w:w="2891"/>
            <w:vAlign w:val="center"/>
          </w:tcPr>
          <w:p>
            <w:pPr>
              <w:keepNext w:val="0"/>
              <w:spacing w:line="320" w:lineRule="exact" w:after="0" w:before="0"/>
              <w:ind w:firstLine="0"/>
              <w:jc w:val="left"/>
            </w:pPr>
            <w:r>
              <w:rPr>
                <w:b w:val="0"/>
                <w:sz w:val="21"/>
              </w:rPr>
              <w:t>统计要素定位召回与类型候选命中，漏标关键义务逐项处理</w:t>
            </w:r>
          </w:p>
        </w:tc>
      </w:tr>
      <w:tr>
        <w:trPr>
          <w:cantSplit/>
        </w:trPr>
        <w:tc>
          <w:tcPr>
            <w:tcW w:type="dxa" w:w="1638"/>
            <w:vAlign w:val="center"/>
          </w:tcPr>
          <w:p>
            <w:pPr>
              <w:keepNext w:val="0"/>
              <w:spacing w:line="320" w:lineRule="exact" w:after="0" w:before="0"/>
              <w:ind w:firstLine="0"/>
              <w:jc w:val="left"/>
            </w:pPr>
            <w:r>
              <w:rPr>
                <w:b w:val="0"/>
                <w:sz w:val="21"/>
              </w:rPr>
              <w:t>图纸类（DWG/DXF、工艺图纸 PDF）</w:t>
            </w:r>
          </w:p>
        </w:tc>
        <w:tc>
          <w:tcPr>
            <w:tcW w:type="dxa" w:w="2699"/>
            <w:vAlign w:val="center"/>
          </w:tcPr>
          <w:p>
            <w:pPr>
              <w:keepNext w:val="0"/>
              <w:spacing w:line="320" w:lineRule="exact" w:after="0" w:before="0"/>
              <w:ind w:firstLine="0"/>
              <w:jc w:val="left"/>
            </w:pPr>
            <w:r>
              <w:rPr>
                <w:b w:val="0"/>
                <w:sz w:val="21"/>
              </w:rPr>
              <w:t>原生图元解析输出图元、尺寸、图层、标题栏与明细栏字段；加工特征按几何规则初判</w:t>
            </w:r>
          </w:p>
        </w:tc>
        <w:tc>
          <w:tcPr>
            <w:tcW w:type="dxa" w:w="2409"/>
            <w:vAlign w:val="center"/>
          </w:tcPr>
          <w:p>
            <w:pPr>
              <w:keepNext w:val="0"/>
              <w:spacing w:line="320" w:lineRule="exact" w:after="0" w:before="0"/>
              <w:ind w:firstLine="0"/>
              <w:jc w:val="left"/>
            </w:pPr>
            <w:r>
              <w:rPr>
                <w:b w:val="0"/>
                <w:sz w:val="21"/>
              </w:rPr>
              <w:t>特征确认、投影关系确认、技术要求语义确认</w:t>
            </w:r>
          </w:p>
        </w:tc>
        <w:tc>
          <w:tcPr>
            <w:tcW w:type="dxa" w:w="2891"/>
            <w:vAlign w:val="center"/>
          </w:tcPr>
          <w:p>
            <w:pPr>
              <w:keepNext w:val="0"/>
              <w:spacing w:line="320" w:lineRule="exact" w:after="0" w:before="0"/>
              <w:ind w:firstLine="0"/>
              <w:jc w:val="left"/>
            </w:pPr>
            <w:r>
              <w:rPr>
                <w:b w:val="0"/>
                <w:sz w:val="21"/>
              </w:rPr>
              <w:t>逐类统计几何特征初判准确率和人工修正量</w:t>
            </w:r>
          </w:p>
        </w:tc>
      </w:tr>
      <w:tr>
        <w:trPr>
          <w:cantSplit/>
        </w:trPr>
        <w:tc>
          <w:tcPr>
            <w:tcW w:type="dxa" w:w="1638"/>
            <w:vAlign w:val="center"/>
          </w:tcPr>
          <w:p>
            <w:pPr>
              <w:keepNext w:val="0"/>
              <w:spacing w:line="320" w:lineRule="exact" w:after="0" w:before="0"/>
              <w:ind w:firstLine="0"/>
              <w:jc w:val="left"/>
            </w:pPr>
            <w:r>
              <w:rPr>
                <w:b w:val="0"/>
                <w:sz w:val="21"/>
              </w:rPr>
              <w:t>图像类（熔池、焊道表面、工件外观）</w:t>
            </w:r>
          </w:p>
        </w:tc>
        <w:tc>
          <w:tcPr>
            <w:tcW w:type="dxa" w:w="2699"/>
            <w:vAlign w:val="center"/>
          </w:tcPr>
          <w:p>
            <w:pPr>
              <w:keepNext w:val="0"/>
              <w:spacing w:line="320" w:lineRule="exact" w:after="0" w:before="0"/>
              <w:ind w:firstLine="0"/>
              <w:jc w:val="left"/>
            </w:pPr>
            <w:r>
              <w:rPr>
                <w:b w:val="0"/>
                <w:sz w:val="21"/>
              </w:rPr>
              <w:t>缺陷区域候选框与类型候选，按本体中适用的焊接与热处理缺陷类别输出</w:t>
            </w:r>
          </w:p>
        </w:tc>
        <w:tc>
          <w:tcPr>
            <w:tcW w:type="dxa" w:w="2409"/>
            <w:vAlign w:val="center"/>
          </w:tcPr>
          <w:p>
            <w:pPr>
              <w:keepNext w:val="0"/>
              <w:spacing w:line="320" w:lineRule="exact" w:after="0" w:before="0"/>
              <w:ind w:firstLine="0"/>
              <w:jc w:val="left"/>
            </w:pPr>
            <w:r>
              <w:rPr>
                <w:b w:val="0"/>
                <w:sz w:val="21"/>
              </w:rPr>
              <w:t>缺陷类型判定、位置框修正、等级判定</w:t>
            </w:r>
          </w:p>
        </w:tc>
        <w:tc>
          <w:tcPr>
            <w:tcW w:type="dxa" w:w="2891"/>
            <w:vAlign w:val="center"/>
          </w:tcPr>
          <w:p>
            <w:pPr>
              <w:keepNext w:val="0"/>
              <w:spacing w:line="320" w:lineRule="exact" w:after="0" w:before="0"/>
              <w:ind w:firstLine="0"/>
              <w:jc w:val="left"/>
            </w:pPr>
            <w:r>
              <w:rPr>
                <w:b w:val="0"/>
                <w:sz w:val="21"/>
              </w:rPr>
              <w:t>统计可见缺陷候选召回与类型错误，未见区域不补造框</w:t>
            </w:r>
          </w:p>
        </w:tc>
      </w:tr>
      <w:tr>
        <w:trPr>
          <w:cantSplit/>
        </w:trPr>
        <w:tc>
          <w:tcPr>
            <w:tcW w:type="dxa" w:w="1638"/>
            <w:vAlign w:val="center"/>
          </w:tcPr>
          <w:p>
            <w:pPr>
              <w:keepNext w:val="0"/>
              <w:spacing w:line="320" w:lineRule="exact" w:after="0" w:before="0"/>
              <w:ind w:firstLine="0"/>
              <w:jc w:val="left"/>
            </w:pPr>
            <w:r>
              <w:rPr>
                <w:b w:val="0"/>
                <w:sz w:val="21"/>
              </w:rPr>
              <w:t>时序类（热处理、焊接、设备运行）</w:t>
            </w:r>
          </w:p>
        </w:tc>
        <w:tc>
          <w:tcPr>
            <w:tcW w:type="dxa" w:w="2699"/>
            <w:vAlign w:val="center"/>
          </w:tcPr>
          <w:p>
            <w:pPr>
              <w:keepNext w:val="0"/>
              <w:spacing w:line="320" w:lineRule="exact" w:after="0" w:before="0"/>
              <w:ind w:firstLine="0"/>
              <w:jc w:val="left"/>
            </w:pPr>
            <w:r>
              <w:rPr>
                <w:b w:val="0"/>
                <w:sz w:val="21"/>
              </w:rPr>
              <w:t>按事件锚点切分时间窗，工况分段初判，参数偏差按设定程序差值初算</w:t>
            </w:r>
          </w:p>
        </w:tc>
        <w:tc>
          <w:tcPr>
            <w:tcW w:type="dxa" w:w="2409"/>
            <w:vAlign w:val="center"/>
          </w:tcPr>
          <w:p>
            <w:pPr>
              <w:keepNext w:val="0"/>
              <w:spacing w:line="320" w:lineRule="exact" w:after="0" w:before="0"/>
              <w:ind w:firstLine="0"/>
              <w:jc w:val="left"/>
            </w:pPr>
            <w:r>
              <w:rPr>
                <w:b w:val="0"/>
                <w:sz w:val="21"/>
              </w:rPr>
              <w:t>工艺阶段确认、异常事件认定、故障模式与根因判定</w:t>
            </w:r>
          </w:p>
        </w:tc>
        <w:tc>
          <w:tcPr>
            <w:tcW w:type="dxa" w:w="2891"/>
            <w:vAlign w:val="center"/>
          </w:tcPr>
          <w:p>
            <w:pPr>
              <w:keepNext w:val="0"/>
              <w:spacing w:line="320" w:lineRule="exact" w:after="0" w:before="0"/>
              <w:ind w:firstLine="0"/>
              <w:jc w:val="left"/>
            </w:pPr>
            <w:r>
              <w:rPr>
                <w:b w:val="0"/>
                <w:sz w:val="21"/>
              </w:rPr>
              <w:t>核对工况分段、事件边界与时钟误差</w:t>
            </w:r>
          </w:p>
        </w:tc>
      </w:tr>
    </w:tbl>
    <w:p>
      <w:pPr>
        <w:spacing w:after="40" w:line="240" w:lineRule="auto"/>
        <w:ind w:firstLine="0"/>
      </w:pPr>
      <w:r>
        <w:rPr>
          <w:sz w:val="4"/>
        </w:rPr>
      </w:r>
    </w:p>
    <w:p>
      <w:pPr>
        <w:jc w:val="both"/>
      </w:pPr>
      <w:r>
        <w:t>预标注结果在标注工具中以「候选」状态呈现，标注员确认后才成为标签值。工具记录标注员是否修改了预标注结果以及修改幅度，这一记录同时用于两个用途：评估预标注质量，以及识别可能的「不加判断直接确认」行为——某标注员在某批次内预标注接受率显著高于同任务其他标注员且抽检不合格率同时升高的，该批次整体进入复核。</w:t>
      </w:r>
    </w:p>
    <w:p>
      <w:pPr>
        <w:pStyle w:val="Heading2"/>
      </w:pPr>
      <w:r>
        <w:t>2.3 标注作业组织</w:t>
      </w:r>
    </w:p>
    <w:p>
      <w:pPr>
        <w:jc w:val="both"/>
      </w:pPr>
      <w:r>
        <w:t>人工标注作业由我方按四个数据集分别组织实施。标注环节在组织上分设作业执行与质量判定两侧，按表 2-2 分界。这一分界的实质是：标注做成什么样由质量判定侧定义并判定，标注怎么排班、投入多少工时由作业执行侧组织。两侧同属项目组，但不由同一组人兼任——作业与判定由同一人兼任时，抽检结论失去独立性。</w:t>
      </w:r>
    </w:p>
    <w:p>
      <w:pPr>
        <w:pStyle w:val="Caption"/>
        <w:keepNext/>
      </w:pPr>
      <w:r>
        <w:t>表2-2 标注环节的交付分界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事项</w:t>
            </w:r>
          </w:p>
        </w:tc>
        <w:tc>
          <w:tcPr>
            <w:tcW w:type="dxa" w:w="4048"/>
            <w:vAlign w:val="center"/>
            <w:shd w:fill="EDF1F3"/>
          </w:tcPr>
          <w:p>
            <w:pPr>
              <w:keepNext/>
              <w:spacing w:line="320" w:lineRule="exact" w:after="0" w:before="0"/>
              <w:ind w:firstLine="0"/>
              <w:jc w:val="center"/>
            </w:pPr>
            <w:r>
              <w:rPr>
                <w:b/>
                <w:sz w:val="21"/>
              </w:rPr>
              <w:t>质量判定侧</w:t>
            </w:r>
          </w:p>
        </w:tc>
        <w:tc>
          <w:tcPr>
            <w:tcW w:type="dxa" w:w="3470"/>
            <w:vAlign w:val="center"/>
            <w:shd w:fill="EDF1F3"/>
          </w:tcPr>
          <w:p>
            <w:pPr>
              <w:keepNext/>
              <w:spacing w:line="320" w:lineRule="exact" w:after="0" w:before="0"/>
              <w:ind w:firstLine="0"/>
              <w:jc w:val="center"/>
            </w:pPr>
            <w:r>
              <w:rPr>
                <w:b/>
                <w:sz w:val="21"/>
              </w:rPr>
              <w:t>作业执行侧</w:t>
            </w:r>
          </w:p>
        </w:tc>
      </w:tr>
      <w:tr>
        <w:trPr>
          <w:cantSplit/>
        </w:trPr>
        <w:tc>
          <w:tcPr>
            <w:tcW w:type="dxa" w:w="2120"/>
            <w:vAlign w:val="center"/>
          </w:tcPr>
          <w:p>
            <w:pPr>
              <w:keepNext w:val="0"/>
              <w:spacing w:line="320" w:lineRule="exact" w:after="0" w:before="0"/>
              <w:ind w:firstLine="0"/>
              <w:jc w:val="left"/>
            </w:pPr>
            <w:r>
              <w:rPr>
                <w:b w:val="0"/>
                <w:sz w:val="21"/>
              </w:rPr>
              <w:t>标签体系与标注规范</w:t>
            </w:r>
          </w:p>
        </w:tc>
        <w:tc>
          <w:tcPr>
            <w:tcW w:type="dxa" w:w="4048"/>
            <w:vAlign w:val="center"/>
          </w:tcPr>
          <w:p>
            <w:pPr>
              <w:keepNext w:val="0"/>
              <w:spacing w:line="320" w:lineRule="exact" w:after="0" w:before="0"/>
              <w:ind w:firstLine="0"/>
              <w:jc w:val="left"/>
            </w:pPr>
            <w:r>
              <w:rPr>
                <w:b w:val="0"/>
                <w:sz w:val="21"/>
              </w:rPr>
              <w:t>编制、评审、版本维护、修订</w:t>
            </w:r>
          </w:p>
        </w:tc>
        <w:tc>
          <w:tcPr>
            <w:tcW w:type="dxa" w:w="3470"/>
            <w:vAlign w:val="center"/>
          </w:tcPr>
          <w:p>
            <w:pPr>
              <w:keepNext w:val="0"/>
              <w:spacing w:line="320" w:lineRule="exact" w:after="0" w:before="0"/>
              <w:ind w:firstLine="0"/>
              <w:jc w:val="left"/>
            </w:pPr>
            <w:r>
              <w:rPr>
                <w:b w:val="0"/>
                <w:sz w:val="21"/>
              </w:rPr>
              <w:t>按规范执行，提出规范问题单</w:t>
            </w:r>
          </w:p>
        </w:tc>
      </w:tr>
      <w:tr>
        <w:trPr>
          <w:cantSplit/>
        </w:trPr>
        <w:tc>
          <w:tcPr>
            <w:tcW w:type="dxa" w:w="2120"/>
            <w:vAlign w:val="center"/>
          </w:tcPr>
          <w:p>
            <w:pPr>
              <w:keepNext w:val="0"/>
              <w:spacing w:line="320" w:lineRule="exact" w:after="0" w:before="0"/>
              <w:ind w:firstLine="0"/>
              <w:jc w:val="left"/>
            </w:pPr>
            <w:r>
              <w:rPr>
                <w:b w:val="0"/>
                <w:sz w:val="21"/>
              </w:rPr>
              <w:t>标注工具链</w:t>
            </w:r>
          </w:p>
        </w:tc>
        <w:tc>
          <w:tcPr>
            <w:tcW w:type="dxa" w:w="4048"/>
            <w:vAlign w:val="center"/>
          </w:tcPr>
          <w:p>
            <w:pPr>
              <w:keepNext w:val="0"/>
              <w:spacing w:line="320" w:lineRule="exact" w:after="0" w:before="0"/>
              <w:ind w:firstLine="0"/>
              <w:jc w:val="left"/>
            </w:pPr>
            <w:r>
              <w:rPr>
                <w:b w:val="0"/>
                <w:sz w:val="21"/>
              </w:rPr>
              <w:t>提供智能标注类工具与标注工作台，含输入约束、预标注、留痕与导出</w:t>
            </w:r>
          </w:p>
        </w:tc>
        <w:tc>
          <w:tcPr>
            <w:tcW w:type="dxa" w:w="3470"/>
            <w:vAlign w:val="center"/>
          </w:tcPr>
          <w:p>
            <w:pPr>
              <w:keepNext w:val="0"/>
              <w:spacing w:line="320" w:lineRule="exact" w:after="0" w:before="0"/>
              <w:ind w:firstLine="0"/>
              <w:jc w:val="left"/>
            </w:pPr>
            <w:r>
              <w:rPr>
                <w:b w:val="0"/>
                <w:sz w:val="21"/>
              </w:rPr>
              <w:t>使用工具作业</w:t>
            </w:r>
          </w:p>
        </w:tc>
      </w:tr>
      <w:tr>
        <w:trPr>
          <w:cantSplit/>
        </w:trPr>
        <w:tc>
          <w:tcPr>
            <w:tcW w:type="dxa" w:w="2120"/>
            <w:vAlign w:val="center"/>
          </w:tcPr>
          <w:p>
            <w:pPr>
              <w:keepNext w:val="0"/>
              <w:spacing w:line="320" w:lineRule="exact" w:after="0" w:before="0"/>
              <w:ind w:firstLine="0"/>
              <w:jc w:val="left"/>
            </w:pPr>
            <w:r>
              <w:rPr>
                <w:b w:val="0"/>
                <w:sz w:val="21"/>
              </w:rPr>
              <w:t>黄金集</w:t>
            </w:r>
          </w:p>
        </w:tc>
        <w:tc>
          <w:tcPr>
            <w:tcW w:type="dxa" w:w="4048"/>
            <w:vAlign w:val="center"/>
          </w:tcPr>
          <w:p>
            <w:pPr>
              <w:keepNext w:val="0"/>
              <w:spacing w:line="320" w:lineRule="exact" w:after="0" w:before="0"/>
              <w:ind w:firstLine="0"/>
              <w:jc w:val="left"/>
            </w:pPr>
            <w:r>
              <w:rPr>
                <w:b w:val="0"/>
                <w:sz w:val="21"/>
              </w:rPr>
              <w:t>编制并保密维护，按任务提供考核题目</w:t>
            </w:r>
          </w:p>
        </w:tc>
        <w:tc>
          <w:tcPr>
            <w:tcW w:type="dxa" w:w="3470"/>
            <w:vAlign w:val="center"/>
          </w:tcPr>
          <w:p>
            <w:pPr>
              <w:keepNext w:val="0"/>
              <w:spacing w:line="320" w:lineRule="exact" w:after="0" w:before="0"/>
              <w:ind w:firstLine="0"/>
              <w:jc w:val="left"/>
            </w:pPr>
            <w:r>
              <w:rPr>
                <w:b w:val="0"/>
                <w:sz w:val="21"/>
              </w:rPr>
              <w:t>标注员上岗前通过黄金集考核</w:t>
            </w:r>
          </w:p>
        </w:tc>
      </w:tr>
      <w:tr>
        <w:trPr>
          <w:cantSplit/>
        </w:trPr>
        <w:tc>
          <w:tcPr>
            <w:tcW w:type="dxa" w:w="2120"/>
            <w:vAlign w:val="center"/>
          </w:tcPr>
          <w:p>
            <w:pPr>
              <w:keepNext w:val="0"/>
              <w:spacing w:line="320" w:lineRule="exact" w:after="0" w:before="0"/>
              <w:ind w:firstLine="0"/>
              <w:jc w:val="left"/>
            </w:pPr>
            <w:r>
              <w:rPr>
                <w:b w:val="0"/>
                <w:sz w:val="21"/>
              </w:rPr>
              <w:t>标注员培训</w:t>
            </w:r>
          </w:p>
        </w:tc>
        <w:tc>
          <w:tcPr>
            <w:tcW w:type="dxa" w:w="4048"/>
            <w:vAlign w:val="center"/>
          </w:tcPr>
          <w:p>
            <w:pPr>
              <w:keepNext w:val="0"/>
              <w:spacing w:line="320" w:lineRule="exact" w:after="0" w:before="0"/>
              <w:ind w:firstLine="0"/>
              <w:jc w:val="left"/>
            </w:pPr>
            <w:r>
              <w:rPr>
                <w:b w:val="0"/>
                <w:sz w:val="21"/>
              </w:rPr>
              <w:t>提供培训材料、规范宣讲与试标讲评</w:t>
            </w:r>
          </w:p>
        </w:tc>
        <w:tc>
          <w:tcPr>
            <w:tcW w:type="dxa" w:w="3470"/>
            <w:vAlign w:val="center"/>
          </w:tcPr>
          <w:p>
            <w:pPr>
              <w:keepNext w:val="0"/>
              <w:spacing w:line="320" w:lineRule="exact" w:after="0" w:before="0"/>
              <w:ind w:firstLine="0"/>
              <w:jc w:val="left"/>
            </w:pPr>
            <w:r>
              <w:rPr>
                <w:b w:val="0"/>
                <w:sz w:val="21"/>
              </w:rPr>
              <w:t>组织标注员参训，安排作业排班</w:t>
            </w:r>
          </w:p>
        </w:tc>
      </w:tr>
      <w:tr>
        <w:trPr>
          <w:cantSplit/>
        </w:trPr>
        <w:tc>
          <w:tcPr>
            <w:tcW w:type="dxa" w:w="2120"/>
            <w:vAlign w:val="center"/>
          </w:tcPr>
          <w:p>
            <w:pPr>
              <w:keepNext w:val="0"/>
              <w:spacing w:line="320" w:lineRule="exact" w:after="0" w:before="0"/>
              <w:ind w:firstLine="0"/>
              <w:jc w:val="left"/>
            </w:pPr>
            <w:r>
              <w:rPr>
                <w:b w:val="0"/>
                <w:sz w:val="21"/>
              </w:rPr>
              <w:t>标注作业</w:t>
            </w:r>
          </w:p>
        </w:tc>
        <w:tc>
          <w:tcPr>
            <w:tcW w:type="dxa" w:w="4048"/>
            <w:vAlign w:val="center"/>
          </w:tcPr>
          <w:p>
            <w:pPr>
              <w:keepNext w:val="0"/>
              <w:spacing w:line="320" w:lineRule="exact" w:after="0" w:before="0"/>
              <w:ind w:firstLine="0"/>
              <w:jc w:val="left"/>
            </w:pPr>
            <w:r>
              <w:rPr>
                <w:b w:val="0"/>
                <w:sz w:val="21"/>
              </w:rPr>
              <w:t>出具规范、黄金集与门控判定结论</w:t>
            </w:r>
          </w:p>
        </w:tc>
        <w:tc>
          <w:tcPr>
            <w:tcW w:type="dxa" w:w="3470"/>
            <w:vAlign w:val="center"/>
          </w:tcPr>
          <w:p>
            <w:pPr>
              <w:keepNext w:val="0"/>
              <w:spacing w:line="320" w:lineRule="exact" w:after="0" w:before="0"/>
              <w:ind w:firstLine="0"/>
              <w:jc w:val="left"/>
            </w:pPr>
            <w:r>
              <w:rPr>
                <w:b w:val="0"/>
                <w:sz w:val="21"/>
              </w:rPr>
              <w:t>按四个数据集分别组织实施</w:t>
            </w:r>
          </w:p>
        </w:tc>
      </w:tr>
      <w:tr>
        <w:trPr>
          <w:cantSplit/>
        </w:trPr>
        <w:tc>
          <w:tcPr>
            <w:tcW w:type="dxa" w:w="2120"/>
            <w:vAlign w:val="center"/>
          </w:tcPr>
          <w:p>
            <w:pPr>
              <w:keepNext w:val="0"/>
              <w:spacing w:line="320" w:lineRule="exact" w:after="0" w:before="0"/>
              <w:ind w:firstLine="0"/>
              <w:jc w:val="left"/>
            </w:pPr>
            <w:r>
              <w:rPr>
                <w:b w:val="0"/>
                <w:sz w:val="21"/>
              </w:rPr>
              <w:t>自检</w:t>
            </w:r>
          </w:p>
        </w:tc>
        <w:tc>
          <w:tcPr>
            <w:tcW w:type="dxa" w:w="4048"/>
            <w:vAlign w:val="center"/>
          </w:tcPr>
          <w:p>
            <w:pPr>
              <w:keepNext w:val="0"/>
              <w:spacing w:line="320" w:lineRule="exact" w:after="0" w:before="0"/>
              <w:ind w:firstLine="0"/>
              <w:jc w:val="left"/>
            </w:pPr>
            <w:r>
              <w:rPr>
                <w:b w:val="0"/>
                <w:sz w:val="21"/>
              </w:rPr>
              <w:t>提供自检项清单与工具内校验规则</w:t>
            </w:r>
          </w:p>
        </w:tc>
        <w:tc>
          <w:tcPr>
            <w:tcW w:type="dxa" w:w="3470"/>
            <w:vAlign w:val="center"/>
          </w:tcPr>
          <w:p>
            <w:pPr>
              <w:keepNext w:val="0"/>
              <w:spacing w:line="320" w:lineRule="exact" w:after="0" w:before="0"/>
              <w:ind w:firstLine="0"/>
              <w:jc w:val="left"/>
            </w:pPr>
            <w:r>
              <w:rPr>
                <w:b w:val="0"/>
                <w:sz w:val="21"/>
              </w:rPr>
              <w:t>执行自检</w:t>
            </w:r>
          </w:p>
        </w:tc>
      </w:tr>
      <w:tr>
        <w:trPr>
          <w:cantSplit/>
        </w:trPr>
        <w:tc>
          <w:tcPr>
            <w:tcW w:type="dxa" w:w="2120"/>
            <w:vAlign w:val="center"/>
          </w:tcPr>
          <w:p>
            <w:pPr>
              <w:keepNext w:val="0"/>
              <w:spacing w:line="320" w:lineRule="exact" w:after="0" w:before="0"/>
              <w:ind w:firstLine="0"/>
              <w:jc w:val="left"/>
            </w:pPr>
            <w:r>
              <w:rPr>
                <w:b w:val="0"/>
                <w:sz w:val="21"/>
              </w:rPr>
              <w:t>抽检与一致性校验</w:t>
            </w:r>
          </w:p>
        </w:tc>
        <w:tc>
          <w:tcPr>
            <w:tcW w:type="dxa" w:w="4048"/>
            <w:vAlign w:val="center"/>
          </w:tcPr>
          <w:p>
            <w:pPr>
              <w:keepNext w:val="0"/>
              <w:spacing w:line="320" w:lineRule="exact" w:after="0" w:before="0"/>
              <w:ind w:firstLine="0"/>
              <w:jc w:val="left"/>
            </w:pPr>
            <w:r>
              <w:rPr>
                <w:b w:val="0"/>
                <w:sz w:val="21"/>
              </w:rPr>
              <w:t>执行并出具结论</w:t>
            </w:r>
          </w:p>
        </w:tc>
        <w:tc>
          <w:tcPr>
            <w:tcW w:type="dxa" w:w="3470"/>
            <w:vAlign w:val="center"/>
          </w:tcPr>
          <w:p>
            <w:pPr>
              <w:keepNext w:val="0"/>
              <w:spacing w:line="320" w:lineRule="exact" w:after="0" w:before="0"/>
              <w:ind w:firstLine="0"/>
              <w:jc w:val="left"/>
            </w:pPr>
            <w:r>
              <w:rPr>
                <w:b w:val="0"/>
                <w:sz w:val="21"/>
              </w:rPr>
              <w:t>配合提供样本与作业记录</w:t>
            </w:r>
          </w:p>
        </w:tc>
      </w:tr>
      <w:tr>
        <w:trPr>
          <w:cantSplit/>
        </w:trPr>
        <w:tc>
          <w:tcPr>
            <w:tcW w:type="dxa" w:w="2120"/>
            <w:vAlign w:val="center"/>
          </w:tcPr>
          <w:p>
            <w:pPr>
              <w:keepNext w:val="0"/>
              <w:spacing w:line="320" w:lineRule="exact" w:after="0" w:before="0"/>
              <w:ind w:firstLine="0"/>
              <w:jc w:val="left"/>
            </w:pPr>
            <w:r>
              <w:rPr>
                <w:b w:val="0"/>
                <w:sz w:val="21"/>
              </w:rPr>
              <w:t>仲裁</w:t>
            </w:r>
          </w:p>
        </w:tc>
        <w:tc>
          <w:tcPr>
            <w:tcW w:type="dxa" w:w="4048"/>
            <w:vAlign w:val="center"/>
          </w:tcPr>
          <w:p>
            <w:pPr>
              <w:keepNext w:val="0"/>
              <w:spacing w:line="320" w:lineRule="exact" w:after="0" w:before="0"/>
              <w:ind w:firstLine="0"/>
              <w:jc w:val="left"/>
            </w:pPr>
            <w:r>
              <w:rPr>
                <w:b w:val="0"/>
                <w:sz w:val="21"/>
              </w:rPr>
              <w:t>组织业务专家仲裁、出具仲裁意见</w:t>
            </w:r>
          </w:p>
        </w:tc>
        <w:tc>
          <w:tcPr>
            <w:tcW w:type="dxa" w:w="3470"/>
            <w:vAlign w:val="center"/>
          </w:tcPr>
          <w:p>
            <w:pPr>
              <w:keepNext w:val="0"/>
              <w:spacing w:line="320" w:lineRule="exact" w:after="0" w:before="0"/>
              <w:ind w:firstLine="0"/>
              <w:jc w:val="left"/>
            </w:pPr>
            <w:r>
              <w:rPr>
                <w:b w:val="0"/>
                <w:sz w:val="21"/>
              </w:rPr>
              <w:t>按仲裁意见返工</w:t>
            </w:r>
          </w:p>
        </w:tc>
      </w:tr>
      <w:tr>
        <w:trPr>
          <w:cantSplit/>
        </w:trPr>
        <w:tc>
          <w:tcPr>
            <w:tcW w:type="dxa" w:w="2120"/>
            <w:vAlign w:val="center"/>
          </w:tcPr>
          <w:p>
            <w:pPr>
              <w:keepNext w:val="0"/>
              <w:spacing w:line="320" w:lineRule="exact" w:after="0" w:before="0"/>
              <w:ind w:firstLine="0"/>
              <w:jc w:val="left"/>
            </w:pPr>
            <w:r>
              <w:rPr>
                <w:b w:val="0"/>
                <w:sz w:val="21"/>
              </w:rPr>
              <w:t>门控判定与返工通知</w:t>
            </w:r>
          </w:p>
        </w:tc>
        <w:tc>
          <w:tcPr>
            <w:tcW w:type="dxa" w:w="4048"/>
            <w:vAlign w:val="center"/>
          </w:tcPr>
          <w:p>
            <w:pPr>
              <w:keepNext w:val="0"/>
              <w:spacing w:line="320" w:lineRule="exact" w:after="0" w:before="0"/>
              <w:ind w:firstLine="0"/>
              <w:jc w:val="left"/>
            </w:pPr>
            <w:r>
              <w:rPr>
                <w:b w:val="0"/>
                <w:sz w:val="21"/>
              </w:rPr>
              <w:t>判定并出具门控结论与低一致性样本清单</w:t>
            </w:r>
          </w:p>
        </w:tc>
        <w:tc>
          <w:tcPr>
            <w:tcW w:type="dxa" w:w="3470"/>
            <w:vAlign w:val="center"/>
          </w:tcPr>
          <w:p>
            <w:pPr>
              <w:keepNext w:val="0"/>
              <w:spacing w:line="320" w:lineRule="exact" w:after="0" w:before="0"/>
              <w:ind w:firstLine="0"/>
              <w:jc w:val="left"/>
            </w:pPr>
            <w:r>
              <w:rPr>
                <w:b w:val="0"/>
                <w:sz w:val="21"/>
              </w:rPr>
              <w:t>按清单返工并提交复检</w:t>
            </w:r>
          </w:p>
        </w:tc>
      </w:tr>
      <w:tr>
        <w:trPr>
          <w:cantSplit/>
        </w:trPr>
        <w:tc>
          <w:tcPr>
            <w:tcW w:type="dxa" w:w="2120"/>
            <w:vAlign w:val="center"/>
          </w:tcPr>
          <w:p>
            <w:pPr>
              <w:keepNext w:val="0"/>
              <w:spacing w:line="320" w:lineRule="exact" w:after="0" w:before="0"/>
              <w:ind w:firstLine="0"/>
              <w:jc w:val="left"/>
            </w:pPr>
            <w:r>
              <w:rPr>
                <w:b w:val="0"/>
                <w:sz w:val="21"/>
              </w:rPr>
              <w:t>标注质量记录</w:t>
            </w:r>
          </w:p>
        </w:tc>
        <w:tc>
          <w:tcPr>
            <w:tcW w:type="dxa" w:w="4048"/>
            <w:vAlign w:val="center"/>
          </w:tcPr>
          <w:p>
            <w:pPr>
              <w:keepNext w:val="0"/>
              <w:spacing w:line="320" w:lineRule="exact" w:after="0" w:before="0"/>
              <w:ind w:firstLine="0"/>
              <w:jc w:val="left"/>
            </w:pPr>
            <w:r>
              <w:rPr>
                <w:b w:val="0"/>
                <w:sz w:val="21"/>
              </w:rPr>
              <w:t>汇总并随样本封装</w:t>
            </w:r>
          </w:p>
        </w:tc>
        <w:tc>
          <w:tcPr>
            <w:tcW w:type="dxa" w:w="3470"/>
            <w:vAlign w:val="center"/>
          </w:tcPr>
          <w:p>
            <w:pPr>
              <w:keepNext w:val="0"/>
              <w:spacing w:line="320" w:lineRule="exact" w:after="0" w:before="0"/>
              <w:ind w:firstLine="0"/>
              <w:jc w:val="left"/>
            </w:pPr>
            <w:r>
              <w:rPr>
                <w:b w:val="0"/>
                <w:sz w:val="21"/>
              </w:rPr>
              <w:t>提供作业过程记录</w:t>
            </w:r>
          </w:p>
        </w:tc>
      </w:tr>
    </w:tbl>
    <w:p>
      <w:pPr>
        <w:spacing w:after="40" w:line="240" w:lineRule="auto"/>
        <w:ind w:firstLine="0"/>
      </w:pPr>
      <w:r>
        <w:rPr>
          <w:sz w:val="4"/>
        </w:rPr>
      </w:r>
    </w:p>
    <w:p>
      <w:pPr>
        <w:jc w:val="both"/>
      </w:pPr>
      <w:r>
        <w:t>标注员的身份在样本元数据中以匿名工号记录，不记录姓名。这既满足可追溯要求，也避免标注样本在后续流通中带出人员个人信息。工号与人员的对应关系由作业执行侧按保密要求单独维护，质量分析中只使用工号。</w:t>
      </w:r>
    </w:p>
    <w:p>
      <w:pPr>
        <w:pStyle w:val="Heading3"/>
      </w:pPr>
      <w:r>
        <w:t>2.3.1 标注作业的批次组织</w:t>
      </w:r>
    </w:p>
    <w:p>
      <w:pPr>
        <w:jc w:val="both"/>
      </w:pPr>
      <w:r>
        <w:t>标注以批次为单位组织，批次是质检门控、返工与版本计入的最小单位。批次划分遵循三条口径：同一批次内的样本属于同一业务域、同一标注任务、同一规范版本；单批次规模按文档类 200–500 份、图纸类 300–800 张、图像类 2000–5000 张、时序类 1000–3000 个时间窗控制，使单批次的抽检工作量落在两个工作日之内；跨业务域的关联标注（如热处理工艺参数与质量检验结果的关联）单独立批，不混入单域批次。</w:t>
      </w:r>
    </w:p>
    <w:p>
      <w:pPr>
        <w:jc w:val="both"/>
      </w:pPr>
      <w:r>
        <w:t>批次台账记录批次号、业务域、任务、规范版本、样本范围、承接单元、作业起止时间、自检结论、抽检结论、一致性指标、门控结论与返工轮次。台账是后续质检追溯与资产台账编制的基础数据。</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标注流程.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 2-1 标注作业与质量判定流程</w:t>
      </w:r>
    </w:p>
    <w:p>
      <w:pPr>
        <w:pStyle w:val="Heading2"/>
      </w:pPr>
      <w:r>
        <w:t>2.4 供需计划域数据标注</w:t>
      </w:r>
    </w:p>
    <w:p>
      <w:pPr>
        <w:pStyle w:val="Heading3"/>
      </w:pPr>
      <w:r>
        <w:t>2.4.1 招投标文件与合同文本的标注</w:t>
      </w:r>
    </w:p>
    <w:p>
      <w:pPr>
        <w:jc w:val="both"/>
      </w:pPr>
      <w:r>
        <w:t>合同文本标注分两条线并行：一条是条款级的类型与风险标注，一条是对标八大核心要素的完整性标注。两条线标在同一份文档上但标签集不同，前者的标注粒度是条款，后者的标注粒度是文档。</w:t>
      </w:r>
    </w:p>
    <w:p>
      <w:pPr>
        <w:jc w:val="both"/>
      </w:pPr>
      <w:r>
        <w:t>条款级标注的第一步是条款切分。合同与招投标文件的条款边界并不总与自然段落一致，一条责任条款可能跨若干段，一个段落也可能包含两条独立义务。标注规范规定以「一个可独立判定履行与违约的义务单元」为一条条款，切分结果由标注员确认；机器按标题序号、「第×条」标记与句式特征给出切分候选。切分之后对每条条款标注条款类型、风险点与合规判定结论三组标签。</w:t>
      </w:r>
    </w:p>
    <w:p>
      <w:pPr>
        <w:jc w:val="both"/>
      </w:pPr>
      <w:r>
        <w:t>条款类型按合同履行要素分类，取值域引用本体中的合同与供应商类目。风险点标注采用「风险类型＋风险等级＋依据」三元结构：风险类型为枚举值，风险等级分高、中、低三档，依据必须指向具体文字片段的字符位置区间，不允许只给结论不给依据。合规判定结论为合规、不合规、需关注、无法判定四值，判定依据同样要求指向条款文字与所对照的制度或标准条款编号。</w:t>
      </w:r>
    </w:p>
    <w:p>
      <w:pPr>
        <w:jc w:val="both"/>
      </w:pPr>
      <w:r>
        <w:t>八大核心要素完整性标注覆盖当事人信息、标的物、数量、质量、价款或报酬、履行期限地点和方式、违约责任、解决争议的方法。每项记录存在状态、具体位置、约定内容和完整性结论。附件及补充协议中的约定与主合同共同核查，遗漏附件时不得直接判为要素缺失。存在但不完整的项目标记缺失子项，如期限已明确但地点尚未确定、违约计算方式缺少基数或上限；完整性判定与合规风险判定分别记录。</w:t>
      </w:r>
    </w:p>
    <w:p>
      <w:pPr>
        <w:jc w:val="both"/>
      </w:pPr>
      <w:r>
        <w:t>模板基线对照标注解决的是另一类业务需求：企业有自己的合同模板，实际签订的合同相对模板有哪些改动，是审查工作的重点。标注要求对照模板基线标注新增条款、删减条款与修改条款三类差异。标注作业前先确定基线：按合同类型（销售合同、采购合同、技术协议、框架协议）分别指定模板版本，标注时以该版本为基线逐条对照。修改条款进一步标注修改方向——对合同中甲方所处角色的义务加重、减轻还是中性，这一标签是风险审查场景最直接需要的。</w:t>
      </w:r>
    </w:p>
    <w:p>
      <w:pPr>
        <w:pStyle w:val="Caption"/>
        <w:keepNext/>
      </w:pPr>
      <w:r>
        <w:t>表2-3 合同文本标注的标签集与判定口径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标签字段</w:t>
            </w:r>
          </w:p>
        </w:tc>
        <w:tc>
          <w:tcPr>
            <w:tcW w:type="dxa" w:w="2120"/>
            <w:vAlign w:val="center"/>
            <w:shd w:fill="EDF1F3"/>
          </w:tcPr>
          <w:p>
            <w:pPr>
              <w:keepNext/>
              <w:spacing w:line="320" w:lineRule="exact" w:after="0" w:before="0"/>
              <w:ind w:firstLine="0"/>
              <w:jc w:val="center"/>
            </w:pPr>
            <w:r>
              <w:rPr>
                <w:b/>
                <w:sz w:val="21"/>
              </w:rPr>
              <w:t>粒度</w:t>
            </w:r>
          </w:p>
        </w:tc>
        <w:tc>
          <w:tcPr>
            <w:tcW w:type="dxa" w:w="1928"/>
            <w:vAlign w:val="center"/>
            <w:shd w:fill="EDF1F3"/>
          </w:tcPr>
          <w:p>
            <w:pPr>
              <w:keepNext/>
              <w:spacing w:line="320" w:lineRule="exact" w:after="0" w:before="0"/>
              <w:ind w:firstLine="0"/>
              <w:jc w:val="center"/>
            </w:pPr>
            <w:r>
              <w:rPr>
                <w:b/>
                <w:sz w:val="21"/>
              </w:rPr>
              <w:t>取值域</w:t>
            </w:r>
          </w:p>
        </w:tc>
        <w:tc>
          <w:tcPr>
            <w:tcW w:type="dxa" w:w="1928"/>
            <w:vAlign w:val="center"/>
            <w:shd w:fill="EDF1F3"/>
          </w:tcPr>
          <w:p>
            <w:pPr>
              <w:keepNext/>
              <w:spacing w:line="320" w:lineRule="exact" w:after="0" w:before="0"/>
              <w:ind w:firstLine="0"/>
              <w:jc w:val="center"/>
            </w:pPr>
            <w:r>
              <w:rPr>
                <w:b/>
                <w:sz w:val="21"/>
              </w:rPr>
              <w:t>判定口径</w:t>
            </w:r>
          </w:p>
        </w:tc>
        <w:tc>
          <w:tcPr>
            <w:tcW w:type="dxa" w:w="1928"/>
            <w:vAlign w:val="center"/>
            <w:shd w:fill="EDF1F3"/>
          </w:tcPr>
          <w:p>
            <w:pPr>
              <w:keepNext/>
              <w:spacing w:line="320" w:lineRule="exact" w:after="0" w:before="0"/>
              <w:ind w:firstLine="0"/>
              <w:jc w:val="center"/>
            </w:pPr>
            <w:r>
              <w:rPr>
                <w:b/>
                <w:sz w:val="21"/>
              </w:rPr>
              <w:t>边界情形处置</w:t>
            </w:r>
          </w:p>
        </w:tc>
      </w:tr>
      <w:tr>
        <w:trPr>
          <w:cantSplit/>
        </w:trPr>
        <w:tc>
          <w:tcPr>
            <w:tcW w:type="dxa" w:w="1735"/>
            <w:vAlign w:val="center"/>
          </w:tcPr>
          <w:p>
            <w:pPr>
              <w:keepNext w:val="0"/>
              <w:spacing w:line="320" w:lineRule="exact" w:after="0" w:before="0"/>
              <w:ind w:firstLine="0"/>
              <w:jc w:val="left"/>
            </w:pPr>
            <w:r>
              <w:rPr>
                <w:b w:val="0"/>
                <w:sz w:val="21"/>
              </w:rPr>
              <w:t>条款类型</w:t>
            </w:r>
          </w:p>
        </w:tc>
        <w:tc>
          <w:tcPr>
            <w:tcW w:type="dxa" w:w="2120"/>
            <w:vAlign w:val="center"/>
          </w:tcPr>
          <w:p>
            <w:pPr>
              <w:keepNext w:val="0"/>
              <w:spacing w:line="320" w:lineRule="exact" w:after="0" w:before="0"/>
              <w:ind w:firstLine="0"/>
              <w:jc w:val="left"/>
            </w:pPr>
            <w:r>
              <w:rPr>
                <w:b w:val="0"/>
                <w:sz w:val="21"/>
              </w:rPr>
              <w:t>条款</w:t>
            </w:r>
          </w:p>
        </w:tc>
        <w:tc>
          <w:tcPr>
            <w:tcW w:type="dxa" w:w="1928"/>
            <w:vAlign w:val="center"/>
          </w:tcPr>
          <w:p>
            <w:pPr>
              <w:keepNext w:val="0"/>
              <w:spacing w:line="320" w:lineRule="exact" w:after="0" w:before="0"/>
              <w:ind w:firstLine="0"/>
              <w:jc w:val="left"/>
            </w:pPr>
            <w:r>
              <w:rPr>
                <w:b w:val="0"/>
                <w:sz w:val="21"/>
              </w:rPr>
              <w:t>引用本体合同类目枚举</w:t>
            </w:r>
          </w:p>
        </w:tc>
        <w:tc>
          <w:tcPr>
            <w:tcW w:type="dxa" w:w="1928"/>
            <w:vAlign w:val="center"/>
          </w:tcPr>
          <w:p>
            <w:pPr>
              <w:keepNext w:val="0"/>
              <w:spacing w:line="320" w:lineRule="exact" w:after="0" w:before="0"/>
              <w:ind w:firstLine="0"/>
              <w:jc w:val="left"/>
            </w:pPr>
            <w:r>
              <w:rPr>
                <w:b w:val="0"/>
                <w:sz w:val="21"/>
              </w:rPr>
              <w:t>按条款约定的核心义务归类，按主要义务确定主类，必要时保留次类及复合义务</w:t>
            </w:r>
          </w:p>
        </w:tc>
        <w:tc>
          <w:tcPr>
            <w:tcW w:type="dxa" w:w="1928"/>
            <w:vAlign w:val="center"/>
          </w:tcPr>
          <w:p>
            <w:pPr>
              <w:keepNext w:val="0"/>
              <w:spacing w:line="320" w:lineRule="exact" w:after="0" w:before="0"/>
              <w:ind w:firstLine="0"/>
              <w:jc w:val="left"/>
            </w:pPr>
            <w:r>
              <w:rPr>
                <w:b w:val="0"/>
                <w:sz w:val="21"/>
              </w:rPr>
              <w:t>跨两类的按主要义务归类并标注次类</w:t>
            </w:r>
          </w:p>
        </w:tc>
      </w:tr>
      <w:tr>
        <w:trPr>
          <w:cantSplit/>
        </w:trPr>
        <w:tc>
          <w:tcPr>
            <w:tcW w:type="dxa" w:w="1735"/>
            <w:vAlign w:val="center"/>
          </w:tcPr>
          <w:p>
            <w:pPr>
              <w:keepNext w:val="0"/>
              <w:spacing w:line="320" w:lineRule="exact" w:after="0" w:before="0"/>
              <w:ind w:firstLine="0"/>
              <w:jc w:val="left"/>
            </w:pPr>
            <w:r>
              <w:rPr>
                <w:b w:val="0"/>
                <w:sz w:val="21"/>
              </w:rPr>
              <w:t>风险类型</w:t>
            </w:r>
          </w:p>
        </w:tc>
        <w:tc>
          <w:tcPr>
            <w:tcW w:type="dxa" w:w="2120"/>
            <w:vAlign w:val="center"/>
          </w:tcPr>
          <w:p>
            <w:pPr>
              <w:keepNext w:val="0"/>
              <w:spacing w:line="320" w:lineRule="exact" w:after="0" w:before="0"/>
              <w:ind w:firstLine="0"/>
              <w:jc w:val="left"/>
            </w:pPr>
            <w:r>
              <w:rPr>
                <w:b w:val="0"/>
                <w:sz w:val="21"/>
              </w:rPr>
              <w:t>条款</w:t>
            </w:r>
          </w:p>
        </w:tc>
        <w:tc>
          <w:tcPr>
            <w:tcW w:type="dxa" w:w="1928"/>
            <w:vAlign w:val="center"/>
          </w:tcPr>
          <w:p>
            <w:pPr>
              <w:keepNext w:val="0"/>
              <w:spacing w:line="320" w:lineRule="exact" w:after="0" w:before="0"/>
              <w:ind w:firstLine="0"/>
              <w:jc w:val="left"/>
            </w:pPr>
            <w:r>
              <w:rPr>
                <w:b w:val="0"/>
                <w:sz w:val="21"/>
              </w:rPr>
              <w:t>枚举（权利义务不对等、履约条件不明、违约救济不足、争议解决不利、合规瑕疵等）</w:t>
            </w:r>
          </w:p>
        </w:tc>
        <w:tc>
          <w:tcPr>
            <w:tcW w:type="dxa" w:w="1928"/>
            <w:vAlign w:val="center"/>
          </w:tcPr>
          <w:p>
            <w:pPr>
              <w:keepNext w:val="0"/>
              <w:spacing w:line="320" w:lineRule="exact" w:after="0" w:before="0"/>
              <w:ind w:firstLine="0"/>
              <w:jc w:val="left"/>
            </w:pPr>
            <w:r>
              <w:rPr>
                <w:b w:val="0"/>
                <w:sz w:val="21"/>
              </w:rPr>
              <w:t>须指向文字片段位置区间</w:t>
            </w:r>
          </w:p>
        </w:tc>
        <w:tc>
          <w:tcPr>
            <w:tcW w:type="dxa" w:w="1928"/>
            <w:vAlign w:val="center"/>
          </w:tcPr>
          <w:p>
            <w:pPr>
              <w:keepNext w:val="0"/>
              <w:spacing w:line="320" w:lineRule="exact" w:after="0" w:before="0"/>
              <w:ind w:firstLine="0"/>
              <w:jc w:val="left"/>
            </w:pPr>
            <w:r>
              <w:rPr>
                <w:b w:val="0"/>
                <w:sz w:val="21"/>
              </w:rPr>
              <w:t>无风险的标注「无」，不留空</w:t>
            </w:r>
          </w:p>
        </w:tc>
      </w:tr>
      <w:tr>
        <w:trPr>
          <w:cantSplit/>
        </w:trPr>
        <w:tc>
          <w:tcPr>
            <w:tcW w:type="dxa" w:w="1735"/>
            <w:vAlign w:val="center"/>
          </w:tcPr>
          <w:p>
            <w:pPr>
              <w:keepNext w:val="0"/>
              <w:spacing w:line="320" w:lineRule="exact" w:after="0" w:before="0"/>
              <w:ind w:firstLine="0"/>
              <w:jc w:val="left"/>
            </w:pPr>
            <w:r>
              <w:rPr>
                <w:b w:val="0"/>
                <w:sz w:val="21"/>
              </w:rPr>
              <w:t>风险等级</w:t>
            </w:r>
          </w:p>
        </w:tc>
        <w:tc>
          <w:tcPr>
            <w:tcW w:type="dxa" w:w="2120"/>
            <w:vAlign w:val="center"/>
          </w:tcPr>
          <w:p>
            <w:pPr>
              <w:keepNext w:val="0"/>
              <w:spacing w:line="320" w:lineRule="exact" w:after="0" w:before="0"/>
              <w:ind w:firstLine="0"/>
              <w:jc w:val="left"/>
            </w:pPr>
            <w:r>
              <w:rPr>
                <w:b w:val="0"/>
                <w:sz w:val="21"/>
              </w:rPr>
              <w:t>条款</w:t>
            </w:r>
          </w:p>
        </w:tc>
        <w:tc>
          <w:tcPr>
            <w:tcW w:type="dxa" w:w="1928"/>
            <w:vAlign w:val="center"/>
          </w:tcPr>
          <w:p>
            <w:pPr>
              <w:keepNext w:val="0"/>
              <w:spacing w:line="320" w:lineRule="exact" w:after="0" w:before="0"/>
              <w:ind w:firstLine="0"/>
              <w:jc w:val="left"/>
            </w:pPr>
            <w:r>
              <w:rPr>
                <w:b w:val="0"/>
                <w:sz w:val="21"/>
              </w:rPr>
              <w:t>高／中／低</w:t>
            </w:r>
          </w:p>
        </w:tc>
        <w:tc>
          <w:tcPr>
            <w:tcW w:type="dxa" w:w="1928"/>
            <w:vAlign w:val="center"/>
          </w:tcPr>
          <w:p>
            <w:pPr>
              <w:keepNext w:val="0"/>
              <w:spacing w:line="320" w:lineRule="exact" w:after="0" w:before="0"/>
              <w:ind w:firstLine="0"/>
              <w:jc w:val="left"/>
            </w:pPr>
            <w:r>
              <w:rPr>
                <w:b w:val="0"/>
                <w:sz w:val="21"/>
              </w:rPr>
              <w:t>按金额影响、履约可行性、救济难度三要素综合</w:t>
            </w:r>
          </w:p>
        </w:tc>
        <w:tc>
          <w:tcPr>
            <w:tcW w:type="dxa" w:w="1928"/>
            <w:vAlign w:val="center"/>
          </w:tcPr>
          <w:p>
            <w:pPr>
              <w:keepNext w:val="0"/>
              <w:spacing w:line="320" w:lineRule="exact" w:after="0" w:before="0"/>
              <w:ind w:firstLine="0"/>
              <w:jc w:val="left"/>
            </w:pPr>
            <w:r>
              <w:rPr>
                <w:b w:val="0"/>
                <w:sz w:val="21"/>
              </w:rPr>
              <w:t>要素之间冲突的提交仲裁</w:t>
            </w:r>
          </w:p>
        </w:tc>
      </w:tr>
      <w:tr>
        <w:trPr>
          <w:cantSplit/>
        </w:trPr>
        <w:tc>
          <w:tcPr>
            <w:tcW w:type="dxa" w:w="1735"/>
            <w:vAlign w:val="center"/>
          </w:tcPr>
          <w:p>
            <w:pPr>
              <w:keepNext w:val="0"/>
              <w:spacing w:line="320" w:lineRule="exact" w:after="0" w:before="0"/>
              <w:ind w:firstLine="0"/>
              <w:jc w:val="left"/>
            </w:pPr>
            <w:r>
              <w:rPr>
                <w:b w:val="0"/>
                <w:sz w:val="21"/>
              </w:rPr>
              <w:t>合规判定结论</w:t>
            </w:r>
          </w:p>
        </w:tc>
        <w:tc>
          <w:tcPr>
            <w:tcW w:type="dxa" w:w="2120"/>
            <w:vAlign w:val="center"/>
          </w:tcPr>
          <w:p>
            <w:pPr>
              <w:keepNext w:val="0"/>
              <w:spacing w:line="320" w:lineRule="exact" w:after="0" w:before="0"/>
              <w:ind w:firstLine="0"/>
              <w:jc w:val="left"/>
            </w:pPr>
            <w:r>
              <w:rPr>
                <w:b w:val="0"/>
                <w:sz w:val="21"/>
              </w:rPr>
              <w:t>条款</w:t>
            </w:r>
          </w:p>
        </w:tc>
        <w:tc>
          <w:tcPr>
            <w:tcW w:type="dxa" w:w="1928"/>
            <w:vAlign w:val="center"/>
          </w:tcPr>
          <w:p>
            <w:pPr>
              <w:keepNext w:val="0"/>
              <w:spacing w:line="320" w:lineRule="exact" w:after="0" w:before="0"/>
              <w:ind w:firstLine="0"/>
              <w:jc w:val="left"/>
            </w:pPr>
            <w:r>
              <w:rPr>
                <w:b w:val="0"/>
                <w:sz w:val="21"/>
              </w:rPr>
              <w:t>合规／不合规／需关注／无法判定</w:t>
            </w:r>
          </w:p>
        </w:tc>
        <w:tc>
          <w:tcPr>
            <w:tcW w:type="dxa" w:w="1928"/>
            <w:vAlign w:val="center"/>
          </w:tcPr>
          <w:p>
            <w:pPr>
              <w:keepNext w:val="0"/>
              <w:spacing w:line="320" w:lineRule="exact" w:after="0" w:before="0"/>
              <w:ind w:firstLine="0"/>
              <w:jc w:val="left"/>
            </w:pPr>
            <w:r>
              <w:rPr>
                <w:b w:val="0"/>
                <w:sz w:val="21"/>
              </w:rPr>
              <w:t>须指明对照的制度或标准条款编号</w:t>
            </w:r>
          </w:p>
        </w:tc>
        <w:tc>
          <w:tcPr>
            <w:tcW w:type="dxa" w:w="1928"/>
            <w:vAlign w:val="center"/>
          </w:tcPr>
          <w:p>
            <w:pPr>
              <w:keepNext w:val="0"/>
              <w:spacing w:line="320" w:lineRule="exact" w:after="0" w:before="0"/>
              <w:ind w:firstLine="0"/>
              <w:jc w:val="left"/>
            </w:pPr>
            <w:r>
              <w:rPr>
                <w:b w:val="0"/>
                <w:sz w:val="21"/>
              </w:rPr>
              <w:t>对照依据缺失的标注「无法判定」并填原因码</w:t>
            </w:r>
          </w:p>
        </w:tc>
      </w:tr>
      <w:tr>
        <w:trPr>
          <w:cantSplit/>
        </w:trPr>
        <w:tc>
          <w:tcPr>
            <w:tcW w:type="dxa" w:w="1735"/>
            <w:vAlign w:val="center"/>
          </w:tcPr>
          <w:p>
            <w:pPr>
              <w:keepNext w:val="0"/>
              <w:spacing w:line="320" w:lineRule="exact" w:after="0" w:before="0"/>
              <w:ind w:firstLine="0"/>
              <w:jc w:val="left"/>
            </w:pPr>
            <w:r>
              <w:rPr>
                <w:b w:val="0"/>
                <w:sz w:val="21"/>
              </w:rPr>
              <w:t>八大核心要素·是否存在</w:t>
            </w:r>
          </w:p>
        </w:tc>
        <w:tc>
          <w:tcPr>
            <w:tcW w:type="dxa" w:w="2120"/>
            <w:vAlign w:val="center"/>
          </w:tcPr>
          <w:p>
            <w:pPr>
              <w:keepNext w:val="0"/>
              <w:spacing w:line="320" w:lineRule="exact" w:after="0" w:before="0"/>
              <w:ind w:firstLine="0"/>
              <w:jc w:val="left"/>
            </w:pPr>
            <w:r>
              <w:rPr>
                <w:b w:val="0"/>
                <w:sz w:val="21"/>
              </w:rPr>
              <w:t>文档</w:t>
            </w:r>
          </w:p>
        </w:tc>
        <w:tc>
          <w:tcPr>
            <w:tcW w:type="dxa" w:w="1928"/>
            <w:vAlign w:val="center"/>
          </w:tcPr>
          <w:p>
            <w:pPr>
              <w:keepNext w:val="0"/>
              <w:spacing w:line="320" w:lineRule="exact" w:after="0" w:before="0"/>
              <w:ind w:firstLine="0"/>
              <w:jc w:val="left"/>
            </w:pPr>
            <w:r>
              <w:rPr>
                <w:b w:val="0"/>
                <w:sz w:val="21"/>
              </w:rPr>
              <w:t>存在／缺失</w:t>
            </w:r>
          </w:p>
        </w:tc>
        <w:tc>
          <w:tcPr>
            <w:tcW w:type="dxa" w:w="1928"/>
            <w:vAlign w:val="center"/>
          </w:tcPr>
          <w:p>
            <w:pPr>
              <w:keepNext w:val="0"/>
              <w:spacing w:line="320" w:lineRule="exact" w:after="0" w:before="0"/>
              <w:ind w:firstLine="0"/>
              <w:jc w:val="left"/>
            </w:pPr>
            <w:r>
              <w:rPr>
                <w:b w:val="0"/>
                <w:sz w:val="21"/>
              </w:rPr>
              <w:t>以是否有可识别的约定文字为准</w:t>
            </w:r>
          </w:p>
        </w:tc>
        <w:tc>
          <w:tcPr>
            <w:tcW w:type="dxa" w:w="1928"/>
            <w:vAlign w:val="center"/>
          </w:tcPr>
          <w:p>
            <w:pPr>
              <w:keepNext w:val="0"/>
              <w:spacing w:line="320" w:lineRule="exact" w:after="0" w:before="0"/>
              <w:ind w:firstLine="0"/>
              <w:jc w:val="left"/>
            </w:pPr>
            <w:r>
              <w:rPr>
                <w:b w:val="0"/>
                <w:sz w:val="21"/>
              </w:rPr>
              <w:t>在附件中约定的计为存在并标注附件位置</w:t>
            </w:r>
          </w:p>
        </w:tc>
      </w:tr>
      <w:tr>
        <w:trPr>
          <w:cantSplit/>
        </w:trPr>
        <w:tc>
          <w:tcPr>
            <w:tcW w:type="dxa" w:w="1735"/>
            <w:vAlign w:val="center"/>
          </w:tcPr>
          <w:p>
            <w:pPr>
              <w:keepNext w:val="0"/>
              <w:spacing w:line="320" w:lineRule="exact" w:after="0" w:before="0"/>
              <w:ind w:firstLine="0"/>
              <w:jc w:val="left"/>
            </w:pPr>
            <w:r>
              <w:rPr>
                <w:b w:val="0"/>
                <w:sz w:val="21"/>
              </w:rPr>
              <w:t>八大核心要素·表述完整性</w:t>
            </w:r>
          </w:p>
        </w:tc>
        <w:tc>
          <w:tcPr>
            <w:tcW w:type="dxa" w:w="2120"/>
            <w:vAlign w:val="center"/>
          </w:tcPr>
          <w:p>
            <w:pPr>
              <w:keepNext w:val="0"/>
              <w:spacing w:line="320" w:lineRule="exact" w:after="0" w:before="0"/>
              <w:ind w:firstLine="0"/>
              <w:jc w:val="left"/>
            </w:pPr>
            <w:r>
              <w:rPr>
                <w:b w:val="0"/>
                <w:sz w:val="21"/>
              </w:rPr>
              <w:t>文档</w:t>
            </w:r>
          </w:p>
        </w:tc>
        <w:tc>
          <w:tcPr>
            <w:tcW w:type="dxa" w:w="1928"/>
            <w:vAlign w:val="center"/>
          </w:tcPr>
          <w:p>
            <w:pPr>
              <w:keepNext w:val="0"/>
              <w:spacing w:line="320" w:lineRule="exact" w:after="0" w:before="0"/>
              <w:ind w:firstLine="0"/>
              <w:jc w:val="left"/>
            </w:pPr>
            <w:r>
              <w:rPr>
                <w:b w:val="0"/>
                <w:sz w:val="21"/>
              </w:rPr>
              <w:t>完整／不完整／缺失</w:t>
            </w:r>
          </w:p>
        </w:tc>
        <w:tc>
          <w:tcPr>
            <w:tcW w:type="dxa" w:w="1928"/>
            <w:vAlign w:val="center"/>
          </w:tcPr>
          <w:p>
            <w:pPr>
              <w:keepNext w:val="0"/>
              <w:spacing w:line="320" w:lineRule="exact" w:after="0" w:before="0"/>
              <w:ind w:firstLine="0"/>
              <w:jc w:val="left"/>
            </w:pPr>
            <w:r>
              <w:rPr>
                <w:b w:val="0"/>
                <w:sz w:val="21"/>
              </w:rPr>
              <w:t>不完整须标注缺失子项</w:t>
            </w:r>
          </w:p>
        </w:tc>
        <w:tc>
          <w:tcPr>
            <w:tcW w:type="dxa" w:w="1928"/>
            <w:vAlign w:val="center"/>
          </w:tcPr>
          <w:p>
            <w:pPr>
              <w:keepNext w:val="0"/>
              <w:spacing w:line="320" w:lineRule="exact" w:after="0" w:before="0"/>
              <w:ind w:firstLine="0"/>
              <w:jc w:val="left"/>
            </w:pPr>
            <w:r>
              <w:rPr>
                <w:b w:val="0"/>
                <w:sz w:val="21"/>
              </w:rPr>
              <w:t>—</w:t>
            </w:r>
          </w:p>
        </w:tc>
      </w:tr>
      <w:tr>
        <w:trPr>
          <w:cantSplit/>
        </w:trPr>
        <w:tc>
          <w:tcPr>
            <w:tcW w:type="dxa" w:w="1735"/>
            <w:vAlign w:val="center"/>
          </w:tcPr>
          <w:p>
            <w:pPr>
              <w:keepNext w:val="0"/>
              <w:spacing w:line="320" w:lineRule="exact" w:after="0" w:before="0"/>
              <w:ind w:firstLine="0"/>
              <w:jc w:val="left"/>
            </w:pPr>
            <w:r>
              <w:rPr>
                <w:b w:val="0"/>
                <w:sz w:val="21"/>
              </w:rPr>
              <w:t>模板差异类型</w:t>
            </w:r>
          </w:p>
        </w:tc>
        <w:tc>
          <w:tcPr>
            <w:tcW w:type="dxa" w:w="2120"/>
            <w:vAlign w:val="center"/>
          </w:tcPr>
          <w:p>
            <w:pPr>
              <w:keepNext w:val="0"/>
              <w:spacing w:line="320" w:lineRule="exact" w:after="0" w:before="0"/>
              <w:ind w:firstLine="0"/>
              <w:jc w:val="left"/>
            </w:pPr>
            <w:r>
              <w:rPr>
                <w:b w:val="0"/>
                <w:sz w:val="21"/>
              </w:rPr>
              <w:t>条款</w:t>
            </w:r>
          </w:p>
        </w:tc>
        <w:tc>
          <w:tcPr>
            <w:tcW w:type="dxa" w:w="1928"/>
            <w:vAlign w:val="center"/>
          </w:tcPr>
          <w:p>
            <w:pPr>
              <w:keepNext w:val="0"/>
              <w:spacing w:line="320" w:lineRule="exact" w:after="0" w:before="0"/>
              <w:ind w:firstLine="0"/>
              <w:jc w:val="left"/>
            </w:pPr>
            <w:r>
              <w:rPr>
                <w:b w:val="0"/>
                <w:sz w:val="21"/>
              </w:rPr>
              <w:t>新增／删减／修改／一致</w:t>
            </w:r>
          </w:p>
        </w:tc>
        <w:tc>
          <w:tcPr>
            <w:tcW w:type="dxa" w:w="1928"/>
            <w:vAlign w:val="center"/>
          </w:tcPr>
          <w:p>
            <w:pPr>
              <w:keepNext w:val="0"/>
              <w:spacing w:line="320" w:lineRule="exact" w:after="0" w:before="0"/>
              <w:ind w:firstLine="0"/>
              <w:jc w:val="left"/>
            </w:pPr>
            <w:r>
              <w:rPr>
                <w:b w:val="0"/>
                <w:sz w:val="21"/>
              </w:rPr>
              <w:t>以指定模板版本为基线逐条对照</w:t>
            </w:r>
          </w:p>
        </w:tc>
        <w:tc>
          <w:tcPr>
            <w:tcW w:type="dxa" w:w="1928"/>
            <w:vAlign w:val="center"/>
          </w:tcPr>
          <w:p>
            <w:pPr>
              <w:keepNext w:val="0"/>
              <w:spacing w:line="320" w:lineRule="exact" w:after="0" w:before="0"/>
              <w:ind w:firstLine="0"/>
              <w:jc w:val="left"/>
            </w:pPr>
            <w:r>
              <w:rPr>
                <w:b w:val="0"/>
                <w:sz w:val="21"/>
              </w:rPr>
              <w:t>条款顺序调整但内容一致的计「一致」</w:t>
            </w:r>
          </w:p>
        </w:tc>
      </w:tr>
      <w:tr>
        <w:trPr>
          <w:cantSplit/>
        </w:trPr>
        <w:tc>
          <w:tcPr>
            <w:tcW w:type="dxa" w:w="1735"/>
            <w:vAlign w:val="center"/>
          </w:tcPr>
          <w:p>
            <w:pPr>
              <w:keepNext w:val="0"/>
              <w:spacing w:line="320" w:lineRule="exact" w:after="0" w:before="0"/>
              <w:ind w:firstLine="0"/>
              <w:jc w:val="left"/>
            </w:pPr>
            <w:r>
              <w:rPr>
                <w:b w:val="0"/>
                <w:sz w:val="21"/>
              </w:rPr>
              <w:t>修改方向</w:t>
            </w:r>
          </w:p>
        </w:tc>
        <w:tc>
          <w:tcPr>
            <w:tcW w:type="dxa" w:w="2120"/>
            <w:vAlign w:val="center"/>
          </w:tcPr>
          <w:p>
            <w:pPr>
              <w:keepNext w:val="0"/>
              <w:spacing w:line="320" w:lineRule="exact" w:after="0" w:before="0"/>
              <w:ind w:firstLine="0"/>
              <w:jc w:val="left"/>
            </w:pPr>
            <w:r>
              <w:rPr>
                <w:b w:val="0"/>
                <w:sz w:val="21"/>
              </w:rPr>
              <w:t>条款</w:t>
            </w:r>
          </w:p>
        </w:tc>
        <w:tc>
          <w:tcPr>
            <w:tcW w:type="dxa" w:w="1928"/>
            <w:vAlign w:val="center"/>
          </w:tcPr>
          <w:p>
            <w:pPr>
              <w:keepNext w:val="0"/>
              <w:spacing w:line="320" w:lineRule="exact" w:after="0" w:before="0"/>
              <w:ind w:firstLine="0"/>
              <w:jc w:val="left"/>
            </w:pPr>
            <w:r>
              <w:rPr>
                <w:b w:val="0"/>
                <w:sz w:val="21"/>
              </w:rPr>
              <w:t>甲方合同角色义务加重／减轻／中性</w:t>
            </w:r>
          </w:p>
        </w:tc>
        <w:tc>
          <w:tcPr>
            <w:tcW w:type="dxa" w:w="1928"/>
            <w:vAlign w:val="center"/>
          </w:tcPr>
          <w:p>
            <w:pPr>
              <w:keepNext w:val="0"/>
              <w:spacing w:line="320" w:lineRule="exact" w:after="0" w:before="0"/>
              <w:ind w:firstLine="0"/>
              <w:jc w:val="left"/>
            </w:pPr>
            <w:r>
              <w:rPr>
                <w:b w:val="0"/>
                <w:sz w:val="21"/>
              </w:rPr>
              <w:t>仅对「修改」类条款标注</w:t>
            </w:r>
          </w:p>
        </w:tc>
        <w:tc>
          <w:tcPr>
            <w:tcW w:type="dxa" w:w="1928"/>
            <w:vAlign w:val="center"/>
          </w:tcPr>
          <w:p>
            <w:pPr>
              <w:keepNext w:val="0"/>
              <w:spacing w:line="320" w:lineRule="exact" w:after="0" w:before="0"/>
              <w:ind w:firstLine="0"/>
              <w:jc w:val="left"/>
            </w:pPr>
            <w:r>
              <w:rPr>
                <w:b w:val="0"/>
                <w:sz w:val="21"/>
              </w:rPr>
              <w:t>—</w:t>
            </w:r>
          </w:p>
        </w:tc>
      </w:tr>
    </w:tbl>
    <w:p>
      <w:pPr>
        <w:spacing w:after="40" w:line="240" w:lineRule="auto"/>
        <w:ind w:firstLine="0"/>
      </w:pPr>
      <w:r>
        <w:rPr>
          <w:sz w:val="4"/>
        </w:rPr>
      </w:r>
    </w:p>
    <w:p>
      <w:pPr>
        <w:pStyle w:val="Heading3"/>
      </w:pPr>
      <w:r>
        <w:t>2.4.2 历史选型方案的标注</w:t>
      </w:r>
    </w:p>
    <w:p>
      <w:pPr>
        <w:jc w:val="both"/>
      </w:pPr>
      <w:r>
        <w:t>历史选型方案按项目、机型、形成时间和使用状态登记。标注提取选型关键要素、配置结果及其对应关系，核对所引用计算书、技术协议和实际反馈的版本。没有完整依据的历史推荐保留其记录属性，不直接认定为当前工况下的唯一正确选型。</w:t>
      </w:r>
    </w:p>
    <w:p>
      <w:pPr>
        <w:jc w:val="both"/>
      </w:pPr>
      <w:r>
        <w:t>选型关键要素按招标文件列明的八类标注：输送能力、输送距离、倾角、煤层厚度、工作面条件、配套设备、可靠性要求、特殊定制要求。标注规范对每一类给出字段定义与单位：输送能力标注额定输送量与单位，输送距离标注铺设长度与是否含弯曲段，倾角标注范围与正负向，煤层厚度标注厚度区间与采高类型（超长、常规、大采高、薄煤层），工作面条件标注顶底板条件、瓦斯等级与涌水情况，配套设备标注采煤机、液压支架、破碎机的型号与关键接口参数，可靠性要求标注设计寿命与可用率要求，特殊定制要求以自由文本加分类标签记录。</w:t>
      </w:r>
    </w:p>
    <w:p>
      <w:pPr>
        <w:jc w:val="both"/>
      </w:pPr>
      <w:r>
        <w:t>选型结果标注整机机型、槽宽、驱动功率、链条规格、减速器及关键部件配置，记录原单位、适用工况和配置版本。要素与结果之间建立对应关系，并区分历史方案明确记载的依据、按批准规则复算的依据、专家补充分析。主导因素由完整计算条件与适用规则支持，不将单个经验判断固化为普遍的选型规律。</w:t>
      </w:r>
    </w:p>
    <w:p>
      <w:pPr>
        <w:jc w:val="both"/>
      </w:pPr>
      <w:r>
        <w:t>接口参数标注记录来源位置及证据类型。来源分为方案明确记载、附件规则复算、专家确认和不可得；规则复算保留输入、公式版本与计算记录，专家确认保留工号、专业及确认日期。不可得信息保持缺失状态，根据目标任务判断是否阻断样本：关键输入缺失的样本进入补证或澄清任务，已核实的其余事实可在许可及质量条件满足后用于适当用途，不能默认把整条不完整记录作为完整监督答案。</w:t>
      </w:r>
    </w:p>
    <w:p>
      <w:pPr>
        <w:jc w:val="both"/>
      </w:pPr>
      <w:r>
        <w:t>此外标注方案的实际使用效果分级，这是选型场景闭环优化的线索来源。效果分级取值为投运良好、投运中有调整、投运有问题、未投运或无反馈四档，依据为售后服务与备件管理系统的服务工单、远程运维平台的事件记录与业务专家的确认意见。无反馈的样本不参与偏好对齐子集的优劣判定。</w:t>
      </w:r>
    </w:p>
    <w:p>
      <w:pPr>
        <w:pStyle w:val="Heading3"/>
      </w:pPr>
      <w:r>
        <w:t>2.4.3 订单库存与排产数据标注</w:t>
      </w:r>
    </w:p>
    <w:p>
      <w:pPr>
        <w:jc w:val="both"/>
      </w:pPr>
      <w:r>
        <w:t>这类数据是结构化业务数据，标注的任务是在其上标注需求预测标签与库存决策标签。</w:t>
      </w:r>
    </w:p>
    <w:p>
      <w:pPr>
        <w:jc w:val="both"/>
      </w:pPr>
      <w:r>
        <w:t>需求预测标签按预测发起时点和预测范围组织。输入只包含当时已可获得的商机、合同、需求计划、库存、在途和生产计划信息，标签记录随后实际发生的需求及兑现结果。业务发生时间、系统登记时间和可供决策时间分别保留。月度任务以月末业务截止时点构建快照，日度或周度任务按其规定窗口执行；快照选择只能回溯到截止时点之前，不取距离最近但晚于截止时点的数据。未来发生的退货、计划变更、盘点调整及最终实际消耗不回填为历史输入。</w:t>
      </w:r>
    </w:p>
    <w:p>
      <w:pPr>
        <w:jc w:val="both"/>
      </w:pPr>
      <w:r>
        <w:t>库存决策标签标注的是「在当时的条件下应当采取什么动作」，取值为正常补货、分批锁定、提前锁定、暂缓采购、寻找替代、呆滞处置六类。标注依据是物料分层结果（按周转性、时效性、单价、专用程度与缺料代价分层）与当期的保交付红线与资金上限约束。由于历史上并不存在明确的「应当动作」记录，这一标签由业务专家回溯判定，标注规范要求同一样本由两名专家独立判定，不一致的进入仲裁，并在元数据中标明该标签为专家回溯判定而非历史事实记录。这一标明很重要：它决定了该子集在验证环节只能用于评估模型与专家判断的一致性，不能被当作客观真值用于计算绝对准确率。</w:t>
      </w:r>
    </w:p>
    <w:p>
      <w:pPr>
        <w:pStyle w:val="Caption"/>
        <w:keepNext/>
      </w:pPr>
      <w:r>
        <w:t>表2-4 供需计划域标注产出与支撑场景的对应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标注对象</w:t>
            </w:r>
          </w:p>
        </w:tc>
        <w:tc>
          <w:tcPr>
            <w:tcW w:type="dxa" w:w="2699"/>
            <w:vAlign w:val="center"/>
            <w:shd w:fill="EDF1F3"/>
          </w:tcPr>
          <w:p>
            <w:pPr>
              <w:keepNext/>
              <w:spacing w:line="320" w:lineRule="exact" w:after="0" w:before="0"/>
              <w:ind w:firstLine="0"/>
              <w:jc w:val="center"/>
            </w:pPr>
            <w:r>
              <w:rPr>
                <w:b/>
                <w:sz w:val="21"/>
              </w:rPr>
              <w:t>主要标签</w:t>
            </w:r>
          </w:p>
        </w:tc>
        <w:tc>
          <w:tcPr>
            <w:tcW w:type="dxa" w:w="2409"/>
            <w:vAlign w:val="center"/>
            <w:shd w:fill="EDF1F3"/>
          </w:tcPr>
          <w:p>
            <w:pPr>
              <w:keepNext/>
              <w:spacing w:line="320" w:lineRule="exact" w:after="0" w:before="0"/>
              <w:ind w:firstLine="0"/>
              <w:jc w:val="center"/>
            </w:pPr>
            <w:r>
              <w:rPr>
                <w:b/>
                <w:sz w:val="21"/>
              </w:rPr>
              <w:t>产出样本形态</w:t>
            </w:r>
          </w:p>
        </w:tc>
        <w:tc>
          <w:tcPr>
            <w:tcW w:type="dxa" w:w="2891"/>
            <w:vAlign w:val="center"/>
            <w:shd w:fill="EDF1F3"/>
          </w:tcPr>
          <w:p>
            <w:pPr>
              <w:keepNext/>
              <w:spacing w:line="320" w:lineRule="exact" w:after="0" w:before="0"/>
              <w:ind w:firstLine="0"/>
              <w:jc w:val="center"/>
            </w:pPr>
            <w:r>
              <w:rPr>
                <w:b/>
                <w:sz w:val="21"/>
              </w:rPr>
              <w:t>支撑的验证场景</w:t>
            </w:r>
          </w:p>
        </w:tc>
      </w:tr>
      <w:tr>
        <w:trPr>
          <w:cantSplit/>
        </w:trPr>
        <w:tc>
          <w:tcPr>
            <w:tcW w:type="dxa" w:w="1638"/>
            <w:vAlign w:val="center"/>
          </w:tcPr>
          <w:p>
            <w:pPr>
              <w:keepNext w:val="0"/>
              <w:spacing w:line="320" w:lineRule="exact" w:after="0" w:before="0"/>
              <w:ind w:firstLine="0"/>
              <w:jc w:val="left"/>
            </w:pPr>
            <w:r>
              <w:rPr>
                <w:b w:val="0"/>
                <w:sz w:val="21"/>
              </w:rPr>
              <w:t>招投标文件与合同文本</w:t>
            </w:r>
          </w:p>
        </w:tc>
        <w:tc>
          <w:tcPr>
            <w:tcW w:type="dxa" w:w="2699"/>
            <w:vAlign w:val="center"/>
          </w:tcPr>
          <w:p>
            <w:pPr>
              <w:keepNext w:val="0"/>
              <w:spacing w:line="320" w:lineRule="exact" w:after="0" w:before="0"/>
              <w:ind w:firstLine="0"/>
              <w:jc w:val="left"/>
            </w:pPr>
            <w:r>
              <w:rPr>
                <w:b w:val="0"/>
                <w:sz w:val="21"/>
              </w:rPr>
              <w:t>条款类型、风险点、合规判定、八大核心要素完整性、模板差异</w:t>
            </w:r>
          </w:p>
        </w:tc>
        <w:tc>
          <w:tcPr>
            <w:tcW w:type="dxa" w:w="2409"/>
            <w:vAlign w:val="center"/>
          </w:tcPr>
          <w:p>
            <w:pPr>
              <w:keepNext w:val="0"/>
              <w:spacing w:line="320" w:lineRule="exact" w:after="0" w:before="0"/>
              <w:ind w:firstLine="0"/>
              <w:jc w:val="left"/>
            </w:pPr>
            <w:r>
              <w:rPr>
                <w:b w:val="0"/>
                <w:sz w:val="21"/>
              </w:rPr>
              <w:t>条款级标注样本、文档级要素完整性样本、差异对照样本</w:t>
            </w:r>
          </w:p>
        </w:tc>
        <w:tc>
          <w:tcPr>
            <w:tcW w:type="dxa" w:w="2891"/>
            <w:vAlign w:val="center"/>
          </w:tcPr>
          <w:p>
            <w:pPr>
              <w:keepNext w:val="0"/>
              <w:spacing w:line="320" w:lineRule="exact" w:after="0" w:before="0"/>
              <w:ind w:firstLine="0"/>
              <w:jc w:val="left"/>
            </w:pPr>
            <w:r>
              <w:rPr>
                <w:b w:val="0"/>
                <w:sz w:val="21"/>
              </w:rPr>
              <w:t>合同合规审查智能助手</w:t>
            </w:r>
          </w:p>
        </w:tc>
      </w:tr>
      <w:tr>
        <w:trPr>
          <w:cantSplit/>
        </w:trPr>
        <w:tc>
          <w:tcPr>
            <w:tcW w:type="dxa" w:w="1638"/>
            <w:vAlign w:val="center"/>
          </w:tcPr>
          <w:p>
            <w:pPr>
              <w:keepNext w:val="0"/>
              <w:spacing w:line="320" w:lineRule="exact" w:after="0" w:before="0"/>
              <w:ind w:firstLine="0"/>
              <w:jc w:val="left"/>
            </w:pPr>
            <w:r>
              <w:rPr>
                <w:b w:val="0"/>
                <w:sz w:val="21"/>
              </w:rPr>
              <w:t>历史选型方案</w:t>
            </w:r>
          </w:p>
        </w:tc>
        <w:tc>
          <w:tcPr>
            <w:tcW w:type="dxa" w:w="2699"/>
            <w:vAlign w:val="center"/>
          </w:tcPr>
          <w:p>
            <w:pPr>
              <w:keepNext w:val="0"/>
              <w:spacing w:line="320" w:lineRule="exact" w:after="0" w:before="0"/>
              <w:ind w:firstLine="0"/>
              <w:jc w:val="left"/>
            </w:pPr>
            <w:r>
              <w:rPr>
                <w:b w:val="0"/>
                <w:sz w:val="21"/>
              </w:rPr>
              <w:t>八类选型关键要素、六项选型结果、要素—结果对应关系、效果分级</w:t>
            </w:r>
          </w:p>
        </w:tc>
        <w:tc>
          <w:tcPr>
            <w:tcW w:type="dxa" w:w="2409"/>
            <w:vAlign w:val="center"/>
          </w:tcPr>
          <w:p>
            <w:pPr>
              <w:keepNext w:val="0"/>
              <w:spacing w:line="320" w:lineRule="exact" w:after="0" w:before="0"/>
              <w:ind w:firstLine="0"/>
              <w:jc w:val="left"/>
            </w:pPr>
            <w:r>
              <w:rPr>
                <w:b w:val="0"/>
                <w:sz w:val="21"/>
              </w:rPr>
              <w:t>要素—结果配对样本、推荐理由样本</w:t>
            </w:r>
          </w:p>
        </w:tc>
        <w:tc>
          <w:tcPr>
            <w:tcW w:type="dxa" w:w="2891"/>
            <w:vAlign w:val="center"/>
          </w:tcPr>
          <w:p>
            <w:pPr>
              <w:keepNext w:val="0"/>
              <w:spacing w:line="320" w:lineRule="exact" w:after="0" w:before="0"/>
              <w:ind w:firstLine="0"/>
              <w:jc w:val="left"/>
            </w:pPr>
            <w:r>
              <w:rPr>
                <w:b w:val="0"/>
                <w:sz w:val="21"/>
              </w:rPr>
              <w:t>产品智能选型</w:t>
            </w:r>
          </w:p>
        </w:tc>
      </w:tr>
      <w:tr>
        <w:trPr>
          <w:cantSplit/>
        </w:trPr>
        <w:tc>
          <w:tcPr>
            <w:tcW w:type="dxa" w:w="1638"/>
            <w:vAlign w:val="center"/>
          </w:tcPr>
          <w:p>
            <w:pPr>
              <w:keepNext w:val="0"/>
              <w:spacing w:line="320" w:lineRule="exact" w:after="0" w:before="0"/>
              <w:ind w:firstLine="0"/>
              <w:jc w:val="left"/>
            </w:pPr>
            <w:r>
              <w:rPr>
                <w:b w:val="0"/>
                <w:sz w:val="21"/>
              </w:rPr>
              <w:t>订单、库存与排产数据</w:t>
            </w:r>
          </w:p>
        </w:tc>
        <w:tc>
          <w:tcPr>
            <w:tcW w:type="dxa" w:w="2699"/>
            <w:vAlign w:val="center"/>
          </w:tcPr>
          <w:p>
            <w:pPr>
              <w:keepNext w:val="0"/>
              <w:spacing w:line="320" w:lineRule="exact" w:after="0" w:before="0"/>
              <w:ind w:firstLine="0"/>
              <w:jc w:val="left"/>
            </w:pPr>
            <w:r>
              <w:rPr>
                <w:b w:val="0"/>
                <w:sz w:val="21"/>
              </w:rPr>
              <w:t>需求预测标签、库存决策标签、物料分层</w:t>
            </w:r>
          </w:p>
        </w:tc>
        <w:tc>
          <w:tcPr>
            <w:tcW w:type="dxa" w:w="2409"/>
            <w:vAlign w:val="center"/>
          </w:tcPr>
          <w:p>
            <w:pPr>
              <w:keepNext w:val="0"/>
              <w:spacing w:line="320" w:lineRule="exact" w:after="0" w:before="0"/>
              <w:ind w:firstLine="0"/>
              <w:jc w:val="left"/>
            </w:pPr>
            <w:r>
              <w:rPr>
                <w:b w:val="0"/>
                <w:sz w:val="21"/>
              </w:rPr>
              <w:t>可得信息—真实需求样本对、决策动作样本</w:t>
            </w:r>
          </w:p>
        </w:tc>
        <w:tc>
          <w:tcPr>
            <w:tcW w:type="dxa" w:w="2891"/>
            <w:vAlign w:val="center"/>
          </w:tcPr>
          <w:p>
            <w:pPr>
              <w:keepNext w:val="0"/>
              <w:spacing w:line="320" w:lineRule="exact" w:after="0" w:before="0"/>
              <w:ind w:firstLine="0"/>
              <w:jc w:val="left"/>
            </w:pPr>
            <w:r>
              <w:rPr>
                <w:b w:val="0"/>
                <w:sz w:val="21"/>
              </w:rPr>
              <w:t>库存控制智能化</w:t>
            </w:r>
          </w:p>
        </w:tc>
      </w:tr>
    </w:tbl>
    <w:p>
      <w:pPr>
        <w:spacing w:after="40" w:line="240" w:lineRule="auto"/>
        <w:ind w:firstLine="0"/>
      </w:pPr>
      <w:r>
        <w:rPr>
          <w:sz w:val="4"/>
        </w:rPr>
      </w:r>
    </w:p>
    <w:p>
      <w:pPr>
        <w:pStyle w:val="Heading2"/>
      </w:pPr>
      <w:r>
        <w:t>2.5 产品工艺设计域数据标注</w:t>
      </w:r>
    </w:p>
    <w:p>
      <w:pPr>
        <w:pStyle w:val="Heading3"/>
      </w:pPr>
      <w:r>
        <w:t>2.5.1 图纸标注的两个层次</w:t>
      </w:r>
    </w:p>
    <w:p>
      <w:pPr>
        <w:jc w:val="both"/>
      </w:pPr>
      <w:r>
        <w:t>图纸标注分几何层与工艺层两个层次。几何层标注的是图上画了什么，工艺层标注的是这些几何要素意味着什么加工动作。两层的标注者、标注方式与质检方式都不同，必须分开组织。</w:t>
      </w:r>
    </w:p>
    <w:p>
      <w:pPr>
        <w:jc w:val="both"/>
      </w:pPr>
      <w:r>
        <w:t>几何层标注图元、尺寸标注、技术要求、标题栏与明细栏字段、零件特征。对于可读取的原生 CAD 文件，优先解析原生结构；扫描件及图像化资料采用图像解析并分别标记来源形态，图元、图层、线型与尺寸标注在解析阶段即可获得结构化结果，几何层标注的实际工作是核对与补齐：核对解析结果与图面是否一致，补齐解析不出的视图投影对应关系（哪个视图是主视图、哪些视图是同一特征的不同投影）。标题栏与明细栏字段按企业图纸模板的字段位置抽取后人工核对，重点核对材料牌号、板厚、图号、版次四项——这四项错了，后续全链路都错。</w:t>
      </w:r>
    </w:p>
    <w:p>
      <w:pPr>
        <w:jc w:val="both"/>
      </w:pPr>
      <w:r>
        <w:t>工艺层标注加工特征。招标文件列明的特征包括阵列特征的数量、位置与尺寸，折弯特征与折弯线补偿尺寸，共料、天窗与工艺孔。这些特征的判定需要工艺判断：一组孔是不是阵列特征、天窗是出于减重还是出于工艺需要、两个零件之间能不能共料，都不是几何规则可以单独决定的。标注规范对每类特征给出判定准则与边界情形，并要求标注依据指向图面位置。</w:t>
      </w:r>
    </w:p>
    <w:p>
      <w:pPr>
        <w:pStyle w:val="Caption"/>
        <w:keepNext/>
      </w:pPr>
      <w:r>
        <w:t>表2-5 图纸标注的标签集与粒度</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层次</w:t>
            </w:r>
          </w:p>
        </w:tc>
        <w:tc>
          <w:tcPr>
            <w:tcW w:type="dxa" w:w="2120"/>
            <w:vAlign w:val="center"/>
            <w:shd w:fill="EDF1F3"/>
          </w:tcPr>
          <w:p>
            <w:pPr>
              <w:keepNext/>
              <w:spacing w:line="320" w:lineRule="exact" w:after="0" w:before="0"/>
              <w:ind w:firstLine="0"/>
              <w:jc w:val="center"/>
            </w:pPr>
            <w:r>
              <w:rPr>
                <w:b/>
                <w:sz w:val="21"/>
              </w:rPr>
              <w:t>标签字段</w:t>
            </w:r>
          </w:p>
        </w:tc>
        <w:tc>
          <w:tcPr>
            <w:tcW w:type="dxa" w:w="1928"/>
            <w:vAlign w:val="center"/>
            <w:shd w:fill="EDF1F3"/>
          </w:tcPr>
          <w:p>
            <w:pPr>
              <w:keepNext/>
              <w:spacing w:line="320" w:lineRule="exact" w:after="0" w:before="0"/>
              <w:ind w:firstLine="0"/>
              <w:jc w:val="center"/>
            </w:pPr>
            <w:r>
              <w:rPr>
                <w:b/>
                <w:sz w:val="21"/>
              </w:rPr>
              <w:t>粒度</w:t>
            </w:r>
          </w:p>
        </w:tc>
        <w:tc>
          <w:tcPr>
            <w:tcW w:type="dxa" w:w="1928"/>
            <w:vAlign w:val="center"/>
            <w:shd w:fill="EDF1F3"/>
          </w:tcPr>
          <w:p>
            <w:pPr>
              <w:keepNext/>
              <w:spacing w:line="320" w:lineRule="exact" w:after="0" w:before="0"/>
              <w:ind w:firstLine="0"/>
              <w:jc w:val="center"/>
            </w:pPr>
            <w:r>
              <w:rPr>
                <w:b/>
                <w:sz w:val="21"/>
              </w:rPr>
              <w:t>取值域或格式</w:t>
            </w:r>
          </w:p>
        </w:tc>
        <w:tc>
          <w:tcPr>
            <w:tcW w:type="dxa" w:w="1928"/>
            <w:vAlign w:val="center"/>
            <w:shd w:fill="EDF1F3"/>
          </w:tcPr>
          <w:p>
            <w:pPr>
              <w:keepNext/>
              <w:spacing w:line="320" w:lineRule="exact" w:after="0" w:before="0"/>
              <w:ind w:firstLine="0"/>
              <w:jc w:val="center"/>
            </w:pPr>
            <w:r>
              <w:rPr>
                <w:b/>
                <w:sz w:val="21"/>
              </w:rPr>
              <w:t>判定要点</w:t>
            </w:r>
          </w:p>
        </w:tc>
      </w:tr>
      <w:tr>
        <w:trPr>
          <w:cantSplit/>
        </w:trPr>
        <w:tc>
          <w:tcPr>
            <w:tcW w:type="dxa" w:w="1735"/>
            <w:vAlign w:val="center"/>
          </w:tcPr>
          <w:p>
            <w:pPr>
              <w:keepNext w:val="0"/>
              <w:spacing w:line="320" w:lineRule="exact" w:after="0" w:before="0"/>
              <w:ind w:firstLine="0"/>
              <w:jc w:val="left"/>
            </w:pPr>
            <w:r>
              <w:rPr>
                <w:b w:val="0"/>
                <w:sz w:val="21"/>
              </w:rPr>
              <w:t>几何层</w:t>
            </w:r>
          </w:p>
        </w:tc>
        <w:tc>
          <w:tcPr>
            <w:tcW w:type="dxa" w:w="2120"/>
            <w:vAlign w:val="center"/>
          </w:tcPr>
          <w:p>
            <w:pPr>
              <w:keepNext w:val="0"/>
              <w:spacing w:line="320" w:lineRule="exact" w:after="0" w:before="0"/>
              <w:ind w:firstLine="0"/>
              <w:jc w:val="left"/>
            </w:pPr>
            <w:r>
              <w:rPr>
                <w:b w:val="0"/>
                <w:sz w:val="21"/>
              </w:rPr>
              <w:t>图元</w:t>
            </w:r>
          </w:p>
        </w:tc>
        <w:tc>
          <w:tcPr>
            <w:tcW w:type="dxa" w:w="1928"/>
            <w:vAlign w:val="center"/>
          </w:tcPr>
          <w:p>
            <w:pPr>
              <w:keepNext w:val="0"/>
              <w:spacing w:line="320" w:lineRule="exact" w:after="0" w:before="0"/>
              <w:ind w:firstLine="0"/>
              <w:jc w:val="left"/>
            </w:pPr>
            <w:r>
              <w:rPr>
                <w:b w:val="0"/>
                <w:sz w:val="21"/>
              </w:rPr>
              <w:t>图元</w:t>
            </w:r>
          </w:p>
        </w:tc>
        <w:tc>
          <w:tcPr>
            <w:tcW w:type="dxa" w:w="1928"/>
            <w:vAlign w:val="center"/>
          </w:tcPr>
          <w:p>
            <w:pPr>
              <w:keepNext w:val="0"/>
              <w:spacing w:line="320" w:lineRule="exact" w:after="0" w:before="0"/>
              <w:ind w:firstLine="0"/>
              <w:jc w:val="left"/>
            </w:pPr>
            <w:r>
              <w:rPr>
                <w:b w:val="0"/>
                <w:sz w:val="21"/>
              </w:rPr>
              <w:t>类型枚举＋几何参数</w:t>
            </w:r>
          </w:p>
        </w:tc>
        <w:tc>
          <w:tcPr>
            <w:tcW w:type="dxa" w:w="1928"/>
            <w:vAlign w:val="center"/>
          </w:tcPr>
          <w:p>
            <w:pPr>
              <w:keepNext w:val="0"/>
              <w:spacing w:line="320" w:lineRule="exact" w:after="0" w:before="0"/>
              <w:ind w:firstLine="0"/>
              <w:jc w:val="left"/>
            </w:pPr>
            <w:r>
              <w:rPr>
                <w:b w:val="0"/>
                <w:sz w:val="21"/>
              </w:rPr>
              <w:t>以解析结果为基础人工核对</w:t>
            </w:r>
          </w:p>
        </w:tc>
      </w:tr>
      <w:tr>
        <w:trPr>
          <w:cantSplit/>
        </w:trPr>
        <w:tc>
          <w:tcPr>
            <w:tcW w:type="dxa" w:w="1735"/>
            <w:vAlign w:val="center"/>
          </w:tcPr>
          <w:p>
            <w:pPr>
              <w:keepNext w:val="0"/>
              <w:spacing w:line="320" w:lineRule="exact" w:after="0" w:before="0"/>
              <w:ind w:firstLine="0"/>
              <w:jc w:val="left"/>
            </w:pPr>
            <w:r>
              <w:rPr>
                <w:b w:val="0"/>
                <w:sz w:val="21"/>
              </w:rPr>
              <w:t>几何层</w:t>
            </w:r>
          </w:p>
        </w:tc>
        <w:tc>
          <w:tcPr>
            <w:tcW w:type="dxa" w:w="2120"/>
            <w:vAlign w:val="center"/>
          </w:tcPr>
          <w:p>
            <w:pPr>
              <w:keepNext w:val="0"/>
              <w:spacing w:line="320" w:lineRule="exact" w:after="0" w:before="0"/>
              <w:ind w:firstLine="0"/>
              <w:jc w:val="left"/>
            </w:pPr>
            <w:r>
              <w:rPr>
                <w:b w:val="0"/>
                <w:sz w:val="21"/>
              </w:rPr>
              <w:t>尺寸标注</w:t>
            </w:r>
          </w:p>
        </w:tc>
        <w:tc>
          <w:tcPr>
            <w:tcW w:type="dxa" w:w="1928"/>
            <w:vAlign w:val="center"/>
          </w:tcPr>
          <w:p>
            <w:pPr>
              <w:keepNext w:val="0"/>
              <w:spacing w:line="320" w:lineRule="exact" w:after="0" w:before="0"/>
              <w:ind w:firstLine="0"/>
              <w:jc w:val="left"/>
            </w:pPr>
            <w:r>
              <w:rPr>
                <w:b w:val="0"/>
                <w:sz w:val="21"/>
              </w:rPr>
              <w:t>标注实体</w:t>
            </w:r>
          </w:p>
        </w:tc>
        <w:tc>
          <w:tcPr>
            <w:tcW w:type="dxa" w:w="1928"/>
            <w:vAlign w:val="center"/>
          </w:tcPr>
          <w:p>
            <w:pPr>
              <w:keepNext w:val="0"/>
              <w:spacing w:line="320" w:lineRule="exact" w:after="0" w:before="0"/>
              <w:ind w:firstLine="0"/>
              <w:jc w:val="left"/>
            </w:pPr>
            <w:r>
              <w:rPr>
                <w:b w:val="0"/>
                <w:sz w:val="21"/>
              </w:rPr>
              <w:t>数值＋公差＋基准</w:t>
            </w:r>
          </w:p>
        </w:tc>
        <w:tc>
          <w:tcPr>
            <w:tcW w:type="dxa" w:w="1928"/>
            <w:vAlign w:val="center"/>
          </w:tcPr>
          <w:p>
            <w:pPr>
              <w:keepNext w:val="0"/>
              <w:spacing w:line="320" w:lineRule="exact" w:after="0" w:before="0"/>
              <w:ind w:firstLine="0"/>
              <w:jc w:val="left"/>
            </w:pPr>
            <w:r>
              <w:rPr>
                <w:b w:val="0"/>
                <w:sz w:val="21"/>
              </w:rPr>
              <w:t>核对关联的几何要素是否正确</w:t>
            </w:r>
          </w:p>
        </w:tc>
      </w:tr>
      <w:tr>
        <w:trPr>
          <w:cantSplit/>
        </w:trPr>
        <w:tc>
          <w:tcPr>
            <w:tcW w:type="dxa" w:w="1735"/>
            <w:vAlign w:val="center"/>
          </w:tcPr>
          <w:p>
            <w:pPr>
              <w:keepNext w:val="0"/>
              <w:spacing w:line="320" w:lineRule="exact" w:after="0" w:before="0"/>
              <w:ind w:firstLine="0"/>
              <w:jc w:val="left"/>
            </w:pPr>
            <w:r>
              <w:rPr>
                <w:b w:val="0"/>
                <w:sz w:val="21"/>
              </w:rPr>
              <w:t>几何层</w:t>
            </w:r>
          </w:p>
        </w:tc>
        <w:tc>
          <w:tcPr>
            <w:tcW w:type="dxa" w:w="2120"/>
            <w:vAlign w:val="center"/>
          </w:tcPr>
          <w:p>
            <w:pPr>
              <w:keepNext w:val="0"/>
              <w:spacing w:line="320" w:lineRule="exact" w:after="0" w:before="0"/>
              <w:ind w:firstLine="0"/>
              <w:jc w:val="left"/>
            </w:pPr>
            <w:r>
              <w:rPr>
                <w:b w:val="0"/>
                <w:sz w:val="21"/>
              </w:rPr>
              <w:t>技术要求</w:t>
            </w:r>
          </w:p>
        </w:tc>
        <w:tc>
          <w:tcPr>
            <w:tcW w:type="dxa" w:w="1928"/>
            <w:vAlign w:val="center"/>
          </w:tcPr>
          <w:p>
            <w:pPr>
              <w:keepNext w:val="0"/>
              <w:spacing w:line="320" w:lineRule="exact" w:after="0" w:before="0"/>
              <w:ind w:firstLine="0"/>
              <w:jc w:val="left"/>
            </w:pPr>
            <w:r>
              <w:rPr>
                <w:b w:val="0"/>
                <w:sz w:val="21"/>
              </w:rPr>
              <w:t>文本块</w:t>
            </w:r>
          </w:p>
        </w:tc>
        <w:tc>
          <w:tcPr>
            <w:tcW w:type="dxa" w:w="1928"/>
            <w:vAlign w:val="center"/>
          </w:tcPr>
          <w:p>
            <w:pPr>
              <w:keepNext w:val="0"/>
              <w:spacing w:line="320" w:lineRule="exact" w:after="0" w:before="0"/>
              <w:ind w:firstLine="0"/>
              <w:jc w:val="left"/>
            </w:pPr>
            <w:r>
              <w:rPr>
                <w:b w:val="0"/>
                <w:sz w:val="21"/>
              </w:rPr>
              <w:t>结构化字段＋原文</w:t>
            </w:r>
          </w:p>
        </w:tc>
        <w:tc>
          <w:tcPr>
            <w:tcW w:type="dxa" w:w="1928"/>
            <w:vAlign w:val="center"/>
          </w:tcPr>
          <w:p>
            <w:pPr>
              <w:keepNext w:val="0"/>
              <w:spacing w:line="320" w:lineRule="exact" w:after="0" w:before="0"/>
              <w:ind w:firstLine="0"/>
              <w:jc w:val="left"/>
            </w:pPr>
            <w:r>
              <w:rPr>
                <w:b w:val="0"/>
                <w:sz w:val="21"/>
              </w:rPr>
              <w:t>识别粗糙度、坡口、倒角、公差所指的作用表面范围</w:t>
            </w:r>
          </w:p>
        </w:tc>
      </w:tr>
      <w:tr>
        <w:trPr>
          <w:cantSplit/>
        </w:trPr>
        <w:tc>
          <w:tcPr>
            <w:tcW w:type="dxa" w:w="1735"/>
            <w:vAlign w:val="center"/>
          </w:tcPr>
          <w:p>
            <w:pPr>
              <w:keepNext w:val="0"/>
              <w:spacing w:line="320" w:lineRule="exact" w:after="0" w:before="0"/>
              <w:ind w:firstLine="0"/>
              <w:jc w:val="left"/>
            </w:pPr>
            <w:r>
              <w:rPr>
                <w:b w:val="0"/>
                <w:sz w:val="21"/>
              </w:rPr>
              <w:t>几何层</w:t>
            </w:r>
          </w:p>
        </w:tc>
        <w:tc>
          <w:tcPr>
            <w:tcW w:type="dxa" w:w="2120"/>
            <w:vAlign w:val="center"/>
          </w:tcPr>
          <w:p>
            <w:pPr>
              <w:keepNext w:val="0"/>
              <w:spacing w:line="320" w:lineRule="exact" w:after="0" w:before="0"/>
              <w:ind w:firstLine="0"/>
              <w:jc w:val="left"/>
            </w:pPr>
            <w:r>
              <w:rPr>
                <w:b w:val="0"/>
                <w:sz w:val="21"/>
              </w:rPr>
              <w:t>标题栏字段</w:t>
            </w:r>
          </w:p>
        </w:tc>
        <w:tc>
          <w:tcPr>
            <w:tcW w:type="dxa" w:w="1928"/>
            <w:vAlign w:val="center"/>
          </w:tcPr>
          <w:p>
            <w:pPr>
              <w:keepNext w:val="0"/>
              <w:spacing w:line="320" w:lineRule="exact" w:after="0" w:before="0"/>
              <w:ind w:firstLine="0"/>
              <w:jc w:val="left"/>
            </w:pPr>
            <w:r>
              <w:rPr>
                <w:b w:val="0"/>
                <w:sz w:val="21"/>
              </w:rPr>
              <w:t>图纸</w:t>
            </w:r>
          </w:p>
        </w:tc>
        <w:tc>
          <w:tcPr>
            <w:tcW w:type="dxa" w:w="1928"/>
            <w:vAlign w:val="center"/>
          </w:tcPr>
          <w:p>
            <w:pPr>
              <w:keepNext w:val="0"/>
              <w:spacing w:line="320" w:lineRule="exact" w:after="0" w:before="0"/>
              <w:ind w:firstLine="0"/>
              <w:jc w:val="left"/>
            </w:pPr>
            <w:r>
              <w:rPr>
                <w:b w:val="0"/>
                <w:sz w:val="21"/>
              </w:rPr>
              <w:t>图号、名称、材料牌号、板厚、数量、版次、签署</w:t>
            </w:r>
          </w:p>
        </w:tc>
        <w:tc>
          <w:tcPr>
            <w:tcW w:type="dxa" w:w="1928"/>
            <w:vAlign w:val="center"/>
          </w:tcPr>
          <w:p>
            <w:pPr>
              <w:keepNext w:val="0"/>
              <w:spacing w:line="320" w:lineRule="exact" w:after="0" w:before="0"/>
              <w:ind w:firstLine="0"/>
              <w:jc w:val="left"/>
            </w:pPr>
            <w:r>
              <w:rPr>
                <w:b w:val="0"/>
                <w:sz w:val="21"/>
              </w:rPr>
              <w:t>材料牌号与板厚为关键字段，双人核对</w:t>
            </w:r>
          </w:p>
        </w:tc>
      </w:tr>
      <w:tr>
        <w:trPr>
          <w:cantSplit/>
        </w:trPr>
        <w:tc>
          <w:tcPr>
            <w:tcW w:type="dxa" w:w="1735"/>
            <w:vAlign w:val="center"/>
          </w:tcPr>
          <w:p>
            <w:pPr>
              <w:keepNext w:val="0"/>
              <w:spacing w:line="320" w:lineRule="exact" w:after="0" w:before="0"/>
              <w:ind w:firstLine="0"/>
              <w:jc w:val="left"/>
            </w:pPr>
            <w:r>
              <w:rPr>
                <w:b w:val="0"/>
                <w:sz w:val="21"/>
              </w:rPr>
              <w:t>几何层</w:t>
            </w:r>
          </w:p>
        </w:tc>
        <w:tc>
          <w:tcPr>
            <w:tcW w:type="dxa" w:w="2120"/>
            <w:vAlign w:val="center"/>
          </w:tcPr>
          <w:p>
            <w:pPr>
              <w:keepNext w:val="0"/>
              <w:spacing w:line="320" w:lineRule="exact" w:after="0" w:before="0"/>
              <w:ind w:firstLine="0"/>
              <w:jc w:val="left"/>
            </w:pPr>
            <w:r>
              <w:rPr>
                <w:b w:val="0"/>
                <w:sz w:val="21"/>
              </w:rPr>
              <w:t>明细栏字段</w:t>
            </w:r>
          </w:p>
        </w:tc>
        <w:tc>
          <w:tcPr>
            <w:tcW w:type="dxa" w:w="1928"/>
            <w:vAlign w:val="center"/>
          </w:tcPr>
          <w:p>
            <w:pPr>
              <w:keepNext w:val="0"/>
              <w:spacing w:line="320" w:lineRule="exact" w:after="0" w:before="0"/>
              <w:ind w:firstLine="0"/>
              <w:jc w:val="left"/>
            </w:pPr>
            <w:r>
              <w:rPr>
                <w:b w:val="0"/>
                <w:sz w:val="21"/>
              </w:rPr>
              <w:t>行</w:t>
            </w:r>
          </w:p>
        </w:tc>
        <w:tc>
          <w:tcPr>
            <w:tcW w:type="dxa" w:w="1928"/>
            <w:vAlign w:val="center"/>
          </w:tcPr>
          <w:p>
            <w:pPr>
              <w:keepNext w:val="0"/>
              <w:spacing w:line="320" w:lineRule="exact" w:after="0" w:before="0"/>
              <w:ind w:firstLine="0"/>
              <w:jc w:val="left"/>
            </w:pPr>
            <w:r>
              <w:rPr>
                <w:b w:val="0"/>
                <w:sz w:val="21"/>
              </w:rPr>
              <w:t>序号、代号、名称、数量、材料、备注</w:t>
            </w:r>
          </w:p>
        </w:tc>
        <w:tc>
          <w:tcPr>
            <w:tcW w:type="dxa" w:w="1928"/>
            <w:vAlign w:val="center"/>
          </w:tcPr>
          <w:p>
            <w:pPr>
              <w:keepNext w:val="0"/>
              <w:spacing w:line="320" w:lineRule="exact" w:after="0" w:before="0"/>
              <w:ind w:firstLine="0"/>
              <w:jc w:val="left"/>
            </w:pPr>
            <w:r>
              <w:rPr>
                <w:b w:val="0"/>
                <w:sz w:val="21"/>
              </w:rPr>
              <w:t>与产品结构数据对照</w:t>
            </w:r>
          </w:p>
        </w:tc>
      </w:tr>
      <w:tr>
        <w:trPr>
          <w:cantSplit/>
        </w:trPr>
        <w:tc>
          <w:tcPr>
            <w:tcW w:type="dxa" w:w="1735"/>
            <w:vAlign w:val="center"/>
          </w:tcPr>
          <w:p>
            <w:pPr>
              <w:keepNext w:val="0"/>
              <w:spacing w:line="320" w:lineRule="exact" w:after="0" w:before="0"/>
              <w:ind w:firstLine="0"/>
              <w:jc w:val="left"/>
            </w:pPr>
            <w:r>
              <w:rPr>
                <w:b w:val="0"/>
                <w:sz w:val="21"/>
              </w:rPr>
              <w:t>几何层</w:t>
            </w:r>
          </w:p>
        </w:tc>
        <w:tc>
          <w:tcPr>
            <w:tcW w:type="dxa" w:w="2120"/>
            <w:vAlign w:val="center"/>
          </w:tcPr>
          <w:p>
            <w:pPr>
              <w:keepNext w:val="0"/>
              <w:spacing w:line="320" w:lineRule="exact" w:after="0" w:before="0"/>
              <w:ind w:firstLine="0"/>
              <w:jc w:val="left"/>
            </w:pPr>
            <w:r>
              <w:rPr>
                <w:b w:val="0"/>
                <w:sz w:val="21"/>
              </w:rPr>
              <w:t>视图投影关系</w:t>
            </w:r>
          </w:p>
        </w:tc>
        <w:tc>
          <w:tcPr>
            <w:tcW w:type="dxa" w:w="1928"/>
            <w:vAlign w:val="center"/>
          </w:tcPr>
          <w:p>
            <w:pPr>
              <w:keepNext w:val="0"/>
              <w:spacing w:line="320" w:lineRule="exact" w:after="0" w:before="0"/>
              <w:ind w:firstLine="0"/>
              <w:jc w:val="left"/>
            </w:pPr>
            <w:r>
              <w:rPr>
                <w:b w:val="0"/>
                <w:sz w:val="21"/>
              </w:rPr>
              <w:t>视图组</w:t>
            </w:r>
          </w:p>
        </w:tc>
        <w:tc>
          <w:tcPr>
            <w:tcW w:type="dxa" w:w="1928"/>
            <w:vAlign w:val="center"/>
          </w:tcPr>
          <w:p>
            <w:pPr>
              <w:keepNext w:val="0"/>
              <w:spacing w:line="320" w:lineRule="exact" w:after="0" w:before="0"/>
              <w:ind w:firstLine="0"/>
              <w:jc w:val="left"/>
            </w:pPr>
            <w:r>
              <w:rPr>
                <w:b w:val="0"/>
                <w:sz w:val="21"/>
              </w:rPr>
              <w:t>主视图标识＋投影对应</w:t>
            </w:r>
          </w:p>
        </w:tc>
        <w:tc>
          <w:tcPr>
            <w:tcW w:type="dxa" w:w="1928"/>
            <w:vAlign w:val="center"/>
          </w:tcPr>
          <w:p>
            <w:pPr>
              <w:keepNext w:val="0"/>
              <w:spacing w:line="320" w:lineRule="exact" w:after="0" w:before="0"/>
              <w:ind w:firstLine="0"/>
              <w:jc w:val="left"/>
            </w:pPr>
            <w:r>
              <w:rPr>
                <w:b w:val="0"/>
                <w:sz w:val="21"/>
              </w:rPr>
              <w:t>解析不出，人工标注</w:t>
            </w:r>
          </w:p>
        </w:tc>
      </w:tr>
      <w:tr>
        <w:trPr>
          <w:cantSplit/>
        </w:trPr>
        <w:tc>
          <w:tcPr>
            <w:tcW w:type="dxa" w:w="1735"/>
            <w:vAlign w:val="center"/>
          </w:tcPr>
          <w:p>
            <w:pPr>
              <w:keepNext w:val="0"/>
              <w:spacing w:line="320" w:lineRule="exact" w:after="0" w:before="0"/>
              <w:ind w:firstLine="0"/>
              <w:jc w:val="left"/>
            </w:pPr>
            <w:r>
              <w:rPr>
                <w:b w:val="0"/>
                <w:sz w:val="21"/>
              </w:rPr>
              <w:t>工艺层</w:t>
            </w:r>
          </w:p>
        </w:tc>
        <w:tc>
          <w:tcPr>
            <w:tcW w:type="dxa" w:w="2120"/>
            <w:vAlign w:val="center"/>
          </w:tcPr>
          <w:p>
            <w:pPr>
              <w:keepNext w:val="0"/>
              <w:spacing w:line="320" w:lineRule="exact" w:after="0" w:before="0"/>
              <w:ind w:firstLine="0"/>
              <w:jc w:val="left"/>
            </w:pPr>
            <w:r>
              <w:rPr>
                <w:b w:val="0"/>
                <w:sz w:val="21"/>
              </w:rPr>
              <w:t>零件特征</w:t>
            </w:r>
          </w:p>
        </w:tc>
        <w:tc>
          <w:tcPr>
            <w:tcW w:type="dxa" w:w="1928"/>
            <w:vAlign w:val="center"/>
          </w:tcPr>
          <w:p>
            <w:pPr>
              <w:keepNext w:val="0"/>
              <w:spacing w:line="320" w:lineRule="exact" w:after="0" w:before="0"/>
              <w:ind w:firstLine="0"/>
              <w:jc w:val="left"/>
            </w:pPr>
            <w:r>
              <w:rPr>
                <w:b w:val="0"/>
                <w:sz w:val="21"/>
              </w:rPr>
              <w:t>特征实例</w:t>
            </w:r>
          </w:p>
        </w:tc>
        <w:tc>
          <w:tcPr>
            <w:tcW w:type="dxa" w:w="1928"/>
            <w:vAlign w:val="center"/>
          </w:tcPr>
          <w:p>
            <w:pPr>
              <w:keepNext w:val="0"/>
              <w:spacing w:line="320" w:lineRule="exact" w:after="0" w:before="0"/>
              <w:ind w:firstLine="0"/>
              <w:jc w:val="left"/>
            </w:pPr>
            <w:r>
              <w:rPr>
                <w:b w:val="0"/>
                <w:sz w:val="21"/>
              </w:rPr>
              <w:t>特征类型枚举＋所在图面位置</w:t>
            </w:r>
          </w:p>
        </w:tc>
        <w:tc>
          <w:tcPr>
            <w:tcW w:type="dxa" w:w="1928"/>
            <w:vAlign w:val="center"/>
          </w:tcPr>
          <w:p>
            <w:pPr>
              <w:keepNext w:val="0"/>
              <w:spacing w:line="320" w:lineRule="exact" w:after="0" w:before="0"/>
              <w:ind w:firstLine="0"/>
              <w:jc w:val="left"/>
            </w:pPr>
            <w:r>
              <w:rPr>
                <w:b w:val="0"/>
                <w:sz w:val="21"/>
              </w:rPr>
              <w:t>引用本体工件品类与特征类目</w:t>
            </w:r>
          </w:p>
        </w:tc>
      </w:tr>
      <w:tr>
        <w:trPr>
          <w:cantSplit/>
        </w:trPr>
        <w:tc>
          <w:tcPr>
            <w:tcW w:type="dxa" w:w="1735"/>
            <w:vAlign w:val="center"/>
          </w:tcPr>
          <w:p>
            <w:pPr>
              <w:keepNext w:val="0"/>
              <w:spacing w:line="320" w:lineRule="exact" w:after="0" w:before="0"/>
              <w:ind w:firstLine="0"/>
              <w:jc w:val="left"/>
            </w:pPr>
            <w:r>
              <w:rPr>
                <w:b w:val="0"/>
                <w:sz w:val="21"/>
              </w:rPr>
              <w:t>工艺层</w:t>
            </w:r>
          </w:p>
        </w:tc>
        <w:tc>
          <w:tcPr>
            <w:tcW w:type="dxa" w:w="2120"/>
            <w:vAlign w:val="center"/>
          </w:tcPr>
          <w:p>
            <w:pPr>
              <w:keepNext w:val="0"/>
              <w:spacing w:line="320" w:lineRule="exact" w:after="0" w:before="0"/>
              <w:ind w:firstLine="0"/>
              <w:jc w:val="left"/>
            </w:pPr>
            <w:r>
              <w:rPr>
                <w:b w:val="0"/>
                <w:sz w:val="21"/>
              </w:rPr>
              <w:t>阵列特征</w:t>
            </w:r>
          </w:p>
        </w:tc>
        <w:tc>
          <w:tcPr>
            <w:tcW w:type="dxa" w:w="1928"/>
            <w:vAlign w:val="center"/>
          </w:tcPr>
          <w:p>
            <w:pPr>
              <w:keepNext w:val="0"/>
              <w:spacing w:line="320" w:lineRule="exact" w:after="0" w:before="0"/>
              <w:ind w:firstLine="0"/>
              <w:jc w:val="left"/>
            </w:pPr>
            <w:r>
              <w:rPr>
                <w:b w:val="0"/>
                <w:sz w:val="21"/>
              </w:rPr>
              <w:t>特征实例</w:t>
            </w:r>
          </w:p>
        </w:tc>
        <w:tc>
          <w:tcPr>
            <w:tcW w:type="dxa" w:w="1928"/>
            <w:vAlign w:val="center"/>
          </w:tcPr>
          <w:p>
            <w:pPr>
              <w:keepNext w:val="0"/>
              <w:spacing w:line="320" w:lineRule="exact" w:after="0" w:before="0"/>
              <w:ind w:firstLine="0"/>
              <w:jc w:val="left"/>
            </w:pPr>
            <w:r>
              <w:rPr>
                <w:b w:val="0"/>
                <w:sz w:val="21"/>
              </w:rPr>
              <w:t>数量＋位置坐标集＋单元尺寸</w:t>
            </w:r>
          </w:p>
        </w:tc>
        <w:tc>
          <w:tcPr>
            <w:tcW w:type="dxa" w:w="1928"/>
            <w:vAlign w:val="center"/>
          </w:tcPr>
          <w:p>
            <w:pPr>
              <w:keepNext w:val="0"/>
              <w:spacing w:line="320" w:lineRule="exact" w:after="0" w:before="0"/>
              <w:ind w:firstLine="0"/>
              <w:jc w:val="left"/>
            </w:pPr>
            <w:r>
              <w:rPr>
                <w:b w:val="0"/>
                <w:sz w:val="21"/>
              </w:rPr>
              <w:t>几何阵列与加工批次分别标注，几何规则不能因分批加工而抹除</w:t>
            </w:r>
          </w:p>
        </w:tc>
      </w:tr>
      <w:tr>
        <w:trPr>
          <w:cantSplit/>
        </w:trPr>
        <w:tc>
          <w:tcPr>
            <w:tcW w:type="dxa" w:w="1735"/>
            <w:vAlign w:val="center"/>
          </w:tcPr>
          <w:p>
            <w:pPr>
              <w:keepNext w:val="0"/>
              <w:spacing w:line="320" w:lineRule="exact" w:after="0" w:before="0"/>
              <w:ind w:firstLine="0"/>
              <w:jc w:val="left"/>
            </w:pPr>
            <w:r>
              <w:rPr>
                <w:b w:val="0"/>
                <w:sz w:val="21"/>
              </w:rPr>
              <w:t>工艺层</w:t>
            </w:r>
          </w:p>
        </w:tc>
        <w:tc>
          <w:tcPr>
            <w:tcW w:type="dxa" w:w="2120"/>
            <w:vAlign w:val="center"/>
          </w:tcPr>
          <w:p>
            <w:pPr>
              <w:keepNext w:val="0"/>
              <w:spacing w:line="320" w:lineRule="exact" w:after="0" w:before="0"/>
              <w:ind w:firstLine="0"/>
              <w:jc w:val="left"/>
            </w:pPr>
            <w:r>
              <w:rPr>
                <w:b w:val="0"/>
                <w:sz w:val="21"/>
              </w:rPr>
              <w:t>折弯特征</w:t>
            </w:r>
          </w:p>
        </w:tc>
        <w:tc>
          <w:tcPr>
            <w:tcW w:type="dxa" w:w="1928"/>
            <w:vAlign w:val="center"/>
          </w:tcPr>
          <w:p>
            <w:pPr>
              <w:keepNext w:val="0"/>
              <w:spacing w:line="320" w:lineRule="exact" w:after="0" w:before="0"/>
              <w:ind w:firstLine="0"/>
              <w:jc w:val="left"/>
            </w:pPr>
            <w:r>
              <w:rPr>
                <w:b w:val="0"/>
                <w:sz w:val="21"/>
              </w:rPr>
              <w:t>特征实例</w:t>
            </w:r>
          </w:p>
        </w:tc>
        <w:tc>
          <w:tcPr>
            <w:tcW w:type="dxa" w:w="1928"/>
            <w:vAlign w:val="center"/>
          </w:tcPr>
          <w:p>
            <w:pPr>
              <w:keepNext w:val="0"/>
              <w:spacing w:line="320" w:lineRule="exact" w:after="0" w:before="0"/>
              <w:ind w:firstLine="0"/>
              <w:jc w:val="left"/>
            </w:pPr>
            <w:r>
              <w:rPr>
                <w:b w:val="0"/>
                <w:sz w:val="21"/>
              </w:rPr>
              <w:t>折弯线位置＋角度＋内弯半径＋补偿尺寸</w:t>
            </w:r>
          </w:p>
        </w:tc>
        <w:tc>
          <w:tcPr>
            <w:tcW w:type="dxa" w:w="1928"/>
            <w:vAlign w:val="center"/>
          </w:tcPr>
          <w:p>
            <w:pPr>
              <w:keepNext w:val="0"/>
              <w:spacing w:line="320" w:lineRule="exact" w:after="0" w:before="0"/>
              <w:ind w:firstLine="0"/>
              <w:jc w:val="left"/>
            </w:pPr>
            <w:r>
              <w:rPr>
                <w:b w:val="0"/>
                <w:sz w:val="21"/>
              </w:rPr>
              <w:t>按经批准的材料板厚模具及展开计算规则复算，保留适用条件和差异</w:t>
            </w:r>
          </w:p>
        </w:tc>
      </w:tr>
      <w:tr>
        <w:trPr>
          <w:cantSplit/>
        </w:trPr>
        <w:tc>
          <w:tcPr>
            <w:tcW w:type="dxa" w:w="1735"/>
            <w:vAlign w:val="center"/>
          </w:tcPr>
          <w:p>
            <w:pPr>
              <w:keepNext w:val="0"/>
              <w:spacing w:line="320" w:lineRule="exact" w:after="0" w:before="0"/>
              <w:ind w:firstLine="0"/>
              <w:jc w:val="left"/>
            </w:pPr>
            <w:r>
              <w:rPr>
                <w:b w:val="0"/>
                <w:sz w:val="21"/>
              </w:rPr>
              <w:t>工艺层</w:t>
            </w:r>
          </w:p>
        </w:tc>
        <w:tc>
          <w:tcPr>
            <w:tcW w:type="dxa" w:w="2120"/>
            <w:vAlign w:val="center"/>
          </w:tcPr>
          <w:p>
            <w:pPr>
              <w:keepNext w:val="0"/>
              <w:spacing w:line="320" w:lineRule="exact" w:after="0" w:before="0"/>
              <w:ind w:firstLine="0"/>
              <w:jc w:val="left"/>
            </w:pPr>
            <w:r>
              <w:rPr>
                <w:b w:val="0"/>
                <w:sz w:val="21"/>
              </w:rPr>
              <w:t>共料标识</w:t>
            </w:r>
          </w:p>
        </w:tc>
        <w:tc>
          <w:tcPr>
            <w:tcW w:type="dxa" w:w="1928"/>
            <w:vAlign w:val="center"/>
          </w:tcPr>
          <w:p>
            <w:pPr>
              <w:keepNext w:val="0"/>
              <w:spacing w:line="320" w:lineRule="exact" w:after="0" w:before="0"/>
              <w:ind w:firstLine="0"/>
              <w:jc w:val="left"/>
            </w:pPr>
            <w:r>
              <w:rPr>
                <w:b w:val="0"/>
                <w:sz w:val="21"/>
              </w:rPr>
              <w:t>零件对</w:t>
            </w:r>
          </w:p>
        </w:tc>
        <w:tc>
          <w:tcPr>
            <w:tcW w:type="dxa" w:w="1928"/>
            <w:vAlign w:val="center"/>
          </w:tcPr>
          <w:p>
            <w:pPr>
              <w:keepNext w:val="0"/>
              <w:spacing w:line="320" w:lineRule="exact" w:after="0" w:before="0"/>
              <w:ind w:firstLine="0"/>
              <w:jc w:val="left"/>
            </w:pPr>
            <w:r>
              <w:rPr>
                <w:b w:val="0"/>
                <w:sz w:val="21"/>
              </w:rPr>
              <w:t>可共料／不可共料＋共料方式</w:t>
            </w:r>
          </w:p>
        </w:tc>
        <w:tc>
          <w:tcPr>
            <w:tcW w:type="dxa" w:w="1928"/>
            <w:vAlign w:val="center"/>
          </w:tcPr>
          <w:p>
            <w:pPr>
              <w:keepNext w:val="0"/>
              <w:spacing w:line="320" w:lineRule="exact" w:after="0" w:before="0"/>
              <w:ind w:firstLine="0"/>
              <w:jc w:val="left"/>
            </w:pPr>
            <w:r>
              <w:rPr>
                <w:b w:val="0"/>
                <w:sz w:val="21"/>
              </w:rPr>
              <w:t>核对材料、板厚、纹理方向、质量要求、切割余量和适用工艺</w:t>
            </w:r>
          </w:p>
        </w:tc>
      </w:tr>
      <w:tr>
        <w:trPr>
          <w:cantSplit/>
        </w:trPr>
        <w:tc>
          <w:tcPr>
            <w:tcW w:type="dxa" w:w="1735"/>
            <w:vAlign w:val="center"/>
          </w:tcPr>
          <w:p>
            <w:pPr>
              <w:keepNext w:val="0"/>
              <w:spacing w:line="320" w:lineRule="exact" w:after="0" w:before="0"/>
              <w:ind w:firstLine="0"/>
              <w:jc w:val="left"/>
            </w:pPr>
            <w:r>
              <w:rPr>
                <w:b w:val="0"/>
                <w:sz w:val="21"/>
              </w:rPr>
              <w:t>工艺层</w:t>
            </w:r>
          </w:p>
        </w:tc>
        <w:tc>
          <w:tcPr>
            <w:tcW w:type="dxa" w:w="2120"/>
            <w:vAlign w:val="center"/>
          </w:tcPr>
          <w:p>
            <w:pPr>
              <w:keepNext w:val="0"/>
              <w:spacing w:line="320" w:lineRule="exact" w:after="0" w:before="0"/>
              <w:ind w:firstLine="0"/>
              <w:jc w:val="left"/>
            </w:pPr>
            <w:r>
              <w:rPr>
                <w:b w:val="0"/>
                <w:sz w:val="21"/>
              </w:rPr>
              <w:t>天窗与工艺孔</w:t>
            </w:r>
          </w:p>
        </w:tc>
        <w:tc>
          <w:tcPr>
            <w:tcW w:type="dxa" w:w="1928"/>
            <w:vAlign w:val="center"/>
          </w:tcPr>
          <w:p>
            <w:pPr>
              <w:keepNext w:val="0"/>
              <w:spacing w:line="320" w:lineRule="exact" w:after="0" w:before="0"/>
              <w:ind w:firstLine="0"/>
              <w:jc w:val="left"/>
            </w:pPr>
            <w:r>
              <w:rPr>
                <w:b w:val="0"/>
                <w:sz w:val="21"/>
              </w:rPr>
              <w:t>特征实例</w:t>
            </w:r>
          </w:p>
        </w:tc>
        <w:tc>
          <w:tcPr>
            <w:tcW w:type="dxa" w:w="1928"/>
            <w:vAlign w:val="center"/>
          </w:tcPr>
          <w:p>
            <w:pPr>
              <w:keepNext w:val="0"/>
              <w:spacing w:line="320" w:lineRule="exact" w:after="0" w:before="0"/>
              <w:ind w:firstLine="0"/>
              <w:jc w:val="left"/>
            </w:pPr>
            <w:r>
              <w:rPr>
                <w:b w:val="0"/>
                <w:sz w:val="21"/>
              </w:rPr>
              <w:t>类型＋用途（减重／装配／工艺／排屑）</w:t>
            </w:r>
          </w:p>
        </w:tc>
        <w:tc>
          <w:tcPr>
            <w:tcW w:type="dxa" w:w="1928"/>
            <w:vAlign w:val="center"/>
          </w:tcPr>
          <w:p>
            <w:pPr>
              <w:keepNext w:val="0"/>
              <w:spacing w:line="320" w:lineRule="exact" w:after="0" w:before="0"/>
              <w:ind w:firstLine="0"/>
              <w:jc w:val="left"/>
            </w:pPr>
            <w:r>
              <w:rPr>
                <w:b w:val="0"/>
                <w:sz w:val="21"/>
              </w:rPr>
              <w:t>用途判定需工艺判断，不可由几何推定</w:t>
            </w:r>
          </w:p>
        </w:tc>
      </w:tr>
    </w:tbl>
    <w:p>
      <w:pPr>
        <w:spacing w:after="40" w:line="240" w:lineRule="auto"/>
        <w:ind w:firstLine="0"/>
      </w:pPr>
      <w:r>
        <w:rPr>
          <w:sz w:val="4"/>
        </w:rPr>
      </w:r>
    </w:p>
    <w:p>
      <w:pPr>
        <w:pStyle w:val="Heading3"/>
      </w:pPr>
      <w:r>
        <w:t>2.5.2 工艺卡片标注与全链路对应</w:t>
      </w:r>
    </w:p>
    <w:p>
      <w:pPr>
        <w:jc w:val="both"/>
      </w:pPr>
      <w:r>
        <w:t>工艺卡片标注工序序列、工艺参数与工装要求。工序代码引用甲方工艺部门确认的正式工序字典及其版本；字典记录工序含义、适用对象、设备条件和允许参数。标注保留卡片原顺序、重复工序、分支和前后依赖，并区分必须满足的依赖关系与允许调整的顺序。发现历史卡片工序不在当前字典时，先核查其历史适用性及字典变更记录，不以当前取值直接替换历史事实。</w:t>
      </w:r>
    </w:p>
    <w:p>
      <w:pPr>
        <w:jc w:val="both"/>
      </w:pPr>
      <w:r>
        <w:t>工艺参数按工序类型标注：下料工序标注切割方式、切割速度、割缝补偿；压弯工序标注压模号、折弯顺序、展开长；制孔工序标注孔径、孔位公差、加工方式。工装要求标注设备编码、压模号与样板号，取值与设备资源库对齐。</w:t>
      </w:r>
    </w:p>
    <w:p>
      <w:pPr>
        <w:jc w:val="both"/>
      </w:pPr>
      <w:r>
        <w:t>标注逐级建立图纸、特征、工序、卡片行与参数的显式对应关系。标注员选定图纸特征及工艺卡片中的对应项，记录该工序用于加工该特征、提供前置准备或服务多个特征等关系类型。复核核对对象版本、关系依据和工序适用条件，关系数量按实际资料统计，无法确认的关联保持候选状态。</w:t>
      </w:r>
    </w:p>
    <w:p>
      <w:pPr>
        <w:pStyle w:val="Heading3"/>
      </w:pPr>
      <w:r>
        <w:t>2.5.3 历史成对样本的利用口径</w:t>
      </w:r>
    </w:p>
    <w:p>
      <w:pPr>
        <w:jc w:val="both"/>
      </w:pPr>
      <w:r>
        <w:t>历史图纸与工艺卡片按图号、卡片号、版次、生效范围、工单和产品结构建立配对候选。工艺人员核验具体版本的适用关系、审核签发记录及变更依据。相同图号的不同版次不按时间接近直接配对；能够由变更记录证明沿用原工艺的，保存沿用依据和适用范围。无法证明配对关系的对象单独进入补证清单。</w:t>
      </w:r>
    </w:p>
    <w:p>
      <w:pPr>
        <w:jc w:val="both"/>
      </w:pPr>
      <w:r>
        <w:t>样本适用性按来源许可、内容完整性、专业审核、生产反馈及目标用途共同判断。原件已审不代表抽取和关联结果已正确，投产记录也不直接证明工艺具有最优性。拟用于基准评测的样本须满足真实来源、答案可核验和与训练侧隔离的条件，经独立审题及标准答案复核后冻结；拟用于指令微调的样本同样完成事实与标签审核，不以缺少投产反馈为由自动判为可用。</w:t>
      </w:r>
    </w:p>
    <w:p>
      <w:pPr>
        <w:jc w:val="both"/>
      </w:pPr>
      <w:r>
        <w:t>字段缺损、未审核签发或关联证据不足的记录进入隔离与修复流程，不能自动降级为预训练语料。完成复核的有效片段可按明确用途重新组织，但须保留原来源、修复范围、适用限制和新质量结论。抽取为独立片段后仍不得形成与原件相矛盾的陈述。</w:t>
      </w:r>
    </w:p>
    <w:p>
      <w:pPr>
        <w:jc w:val="both"/>
      </w:pPr>
      <w:r>
        <w:t>重复图纸、同系列零件和借用工艺按源对象家族管理。训练、开发验证与基准评测先按家族切分，再在各自范围内展开标注和增强。批次计划关注特征组合、工艺路线、材料与板厚范围、图纸复杂度和来源覆盖，避免相同组合的重复图纸占据大部分人工标注投入。</w:t>
      </w:r>
    </w:p>
    <w:p>
      <w:pPr>
        <w:pStyle w:val="Heading2"/>
      </w:pPr>
      <w:r>
        <w:t>2.6 制造过程域数据标注</w:t>
      </w:r>
    </w:p>
    <w:p>
      <w:pPr>
        <w:pStyle w:val="Heading3"/>
      </w:pPr>
      <w:r>
        <w:t>2.6.1 热处理与焊接时序片段的标注</w:t>
      </w:r>
    </w:p>
    <w:p>
      <w:pPr>
        <w:jc w:val="both"/>
      </w:pPr>
      <w:r>
        <w:t>时序片段标注工艺阶段、参数偏差与异常事件三组标签。</w:t>
      </w:r>
    </w:p>
    <w:p>
      <w:pPr>
        <w:jc w:val="both"/>
      </w:pPr>
      <w:r>
        <w:t>工艺阶段按实际工艺路线和设备程序定义。热处理分别适配调质、退火、正火、回火及感应淬火等作业，标注其适用的加热、保温、转移、淬火、冷却或返热阶段；焊接区分起弧、稳定焊接、收弧、中断与续焊，摆动作为相关阶段内的运动属性记录。程序设定阶段、设备执行状态与由实测曲线确认的状态分别保存。保温是否成立依据温度区间及持续时间判定，不能仅凭瞬间达到设定值；阶段差异核查程序、测点和工况证据后认定原因。</w:t>
      </w:r>
    </w:p>
    <w:p>
      <w:pPr>
        <w:jc w:val="both"/>
      </w:pPr>
      <w:r>
        <w:t>参数偏差记录测量参数、实际值、参考值、单位、偏差方向、幅度及持续时间。参考值区分工艺设定值、经批准工艺范围和模型建议值，标明采用哪类基准。参数包括温度、功率、频率、电流、电压、淬火液流量温度与浓度、感应器间隙、焊接速度、送丝速度、保护气体流量及焊枪摆动和停留等。没有可信测量的项目标记不可得，不用设定值填充实际值。授权使用的生产数据保留必要精度；对外提供时按批准的脱敏策略形成派生表达，保留转换规则，不以统一分档破坏计算与验证所需信息。</w:t>
      </w:r>
    </w:p>
    <w:p>
      <w:pPr>
        <w:jc w:val="both"/>
      </w:pPr>
      <w:r>
        <w:t>异常事件标注的是在这一片段中发生了什么值得记录的事。取值引用本体中的故障模式与异常事件类目，包括阶段切换异常、参数越限、参数振荡、传感器疑似失效、设备报警、人工干预、作业中断等。每个异常事件标注起止时间、涉及测点与严重程度，并在可能时标注与质量结果的关联——这一关联标签是热处理场景与焊接场景最需要的信息，也是最难标的，因为它要求标注员能够把这一炉的曲线异常与后续的硬度检验、切片结果对应起来。</w:t>
      </w:r>
    </w:p>
    <w:p>
      <w:pPr>
        <w:jc w:val="both"/>
      </w:pPr>
      <w:r>
        <w:t>设备运行时序的工况标注按招标文件列明的六类标注：启停、空载、正常运输、重载、过载、堵转。这六类工况的判定对刮板输送装备健康诊断场景是前提性的——不先分段，基线就无法建立。标注的难点在于三机联动的耦合干扰：刮板输送机被液压支架推移、被采煤机在机身上行走，在役监测信号中含有大量来自其他设备的耦合干扰。标注规范要求对每个时间窗额外标注「是否存在耦合干扰」与「干扰来源判断」，经证据确认或仍属疑似耦合干扰的窗口分别标识，在基线计算中单列，不与纯工况窗口混算。</w:t>
      </w:r>
    </w:p>
    <w:p>
      <w:pPr>
        <w:jc w:val="both"/>
      </w:pPr>
      <w:r>
        <w:t>故障模式、劣化阶段与根因判定三组标签解决的是「报警不少、故障标签很少」的问题。标注方式是以报警时间窗为锚点向前后扩展，调取同期的维修工单、派工记录与备件出库流水，由专业人员判定本次报警对应的故障模式、当时处于哪一劣化阶段（正常、早期劣化、明显劣化、功能失效四档）与根因。关键口径是：维修事实缺失的报警不标注故障模式，标注为「未闭环报警」，这类样本经现象和事件标注复核后，可用于报警归并等适用任务，不作为故障模式或根因的确定性监督标签。两类用途在样本元数据中区分，避免未验证的报警被当作故障真值。</w:t>
      </w:r>
    </w:p>
    <w:p>
      <w:pPr>
        <w:pStyle w:val="Caption"/>
        <w:keepNext/>
      </w:pPr>
      <w:r>
        <w:t>表2-6 时序片段标注的窗口口径与标签集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对象</w:t>
            </w:r>
          </w:p>
        </w:tc>
        <w:tc>
          <w:tcPr>
            <w:tcW w:type="dxa" w:w="2120"/>
            <w:vAlign w:val="center"/>
            <w:shd w:fill="EDF1F3"/>
          </w:tcPr>
          <w:p>
            <w:pPr>
              <w:keepNext/>
              <w:spacing w:line="320" w:lineRule="exact" w:after="0" w:before="0"/>
              <w:ind w:firstLine="0"/>
              <w:jc w:val="center"/>
            </w:pPr>
            <w:r>
              <w:rPr>
                <w:b/>
                <w:sz w:val="21"/>
              </w:rPr>
              <w:t>切分方式</w:t>
            </w:r>
          </w:p>
        </w:tc>
        <w:tc>
          <w:tcPr>
            <w:tcW w:type="dxa" w:w="1928"/>
            <w:vAlign w:val="center"/>
            <w:shd w:fill="EDF1F3"/>
          </w:tcPr>
          <w:p>
            <w:pPr>
              <w:keepNext/>
              <w:spacing w:line="320" w:lineRule="exact" w:after="0" w:before="0"/>
              <w:ind w:firstLine="0"/>
              <w:jc w:val="center"/>
            </w:pPr>
            <w:r>
              <w:rPr>
                <w:b/>
                <w:sz w:val="21"/>
              </w:rPr>
              <w:t>窗口长度口径</w:t>
            </w:r>
          </w:p>
        </w:tc>
        <w:tc>
          <w:tcPr>
            <w:tcW w:type="dxa" w:w="1928"/>
            <w:vAlign w:val="center"/>
            <w:shd w:fill="EDF1F3"/>
          </w:tcPr>
          <w:p>
            <w:pPr>
              <w:keepNext/>
              <w:spacing w:line="320" w:lineRule="exact" w:after="0" w:before="0"/>
              <w:ind w:firstLine="0"/>
              <w:jc w:val="center"/>
            </w:pPr>
            <w:r>
              <w:rPr>
                <w:b/>
                <w:sz w:val="21"/>
              </w:rPr>
              <w:t>主要标签</w:t>
            </w:r>
          </w:p>
        </w:tc>
        <w:tc>
          <w:tcPr>
            <w:tcW w:type="dxa" w:w="1928"/>
            <w:vAlign w:val="center"/>
            <w:shd w:fill="EDF1F3"/>
          </w:tcPr>
          <w:p>
            <w:pPr>
              <w:keepNext/>
              <w:spacing w:line="320" w:lineRule="exact" w:after="0" w:before="0"/>
              <w:ind w:firstLine="0"/>
              <w:jc w:val="center"/>
            </w:pPr>
            <w:r>
              <w:rPr>
                <w:b/>
                <w:sz w:val="21"/>
              </w:rPr>
              <w:t>元数据要求</w:t>
            </w:r>
          </w:p>
        </w:tc>
      </w:tr>
      <w:tr>
        <w:trPr>
          <w:cantSplit/>
        </w:trPr>
        <w:tc>
          <w:tcPr>
            <w:tcW w:type="dxa" w:w="1735"/>
            <w:vAlign w:val="center"/>
          </w:tcPr>
          <w:p>
            <w:pPr>
              <w:keepNext w:val="0"/>
              <w:spacing w:line="320" w:lineRule="exact" w:after="0" w:before="0"/>
              <w:ind w:firstLine="0"/>
              <w:jc w:val="left"/>
            </w:pPr>
            <w:r>
              <w:rPr>
                <w:b w:val="0"/>
                <w:sz w:val="21"/>
              </w:rPr>
              <w:t>热处理炉次曲线</w:t>
            </w:r>
          </w:p>
        </w:tc>
        <w:tc>
          <w:tcPr>
            <w:tcW w:type="dxa" w:w="2120"/>
            <w:vAlign w:val="center"/>
          </w:tcPr>
          <w:p>
            <w:pPr>
              <w:keepNext w:val="0"/>
              <w:spacing w:line="320" w:lineRule="exact" w:after="0" w:before="0"/>
              <w:ind w:firstLine="0"/>
              <w:jc w:val="left"/>
            </w:pPr>
            <w:r>
              <w:rPr>
                <w:b w:val="0"/>
                <w:sz w:val="21"/>
              </w:rPr>
              <w:t>按炉次工单与开完工记录锚定，内部按工艺阶段切分</w:t>
            </w:r>
          </w:p>
        </w:tc>
        <w:tc>
          <w:tcPr>
            <w:tcW w:type="dxa" w:w="1928"/>
            <w:vAlign w:val="center"/>
          </w:tcPr>
          <w:p>
            <w:pPr>
              <w:keepNext w:val="0"/>
              <w:spacing w:line="320" w:lineRule="exact" w:after="0" w:before="0"/>
              <w:ind w:firstLine="0"/>
              <w:jc w:val="left"/>
            </w:pPr>
            <w:r>
              <w:rPr>
                <w:b w:val="0"/>
                <w:sz w:val="21"/>
              </w:rPr>
              <w:t>整炉次为一条主样本，阶段段为子样本</w:t>
            </w:r>
          </w:p>
        </w:tc>
        <w:tc>
          <w:tcPr>
            <w:tcW w:type="dxa" w:w="1928"/>
            <w:vAlign w:val="center"/>
          </w:tcPr>
          <w:p>
            <w:pPr>
              <w:keepNext w:val="0"/>
              <w:spacing w:line="320" w:lineRule="exact" w:after="0" w:before="0"/>
              <w:ind w:firstLine="0"/>
              <w:jc w:val="left"/>
            </w:pPr>
            <w:r>
              <w:rPr>
                <w:b w:val="0"/>
                <w:sz w:val="21"/>
              </w:rPr>
              <w:t>工艺阶段、参数偏差、异常事件、与质量结果关联</w:t>
            </w:r>
          </w:p>
        </w:tc>
        <w:tc>
          <w:tcPr>
            <w:tcW w:type="dxa" w:w="1928"/>
            <w:vAlign w:val="center"/>
          </w:tcPr>
          <w:p>
            <w:pPr>
              <w:keepNext w:val="0"/>
              <w:spacing w:line="320" w:lineRule="exact" w:after="0" w:before="0"/>
              <w:ind w:firstLine="0"/>
              <w:jc w:val="left"/>
            </w:pPr>
            <w:r>
              <w:rPr>
                <w:b w:val="0"/>
                <w:sz w:val="21"/>
              </w:rPr>
              <w:t>炉次号、装炉工件清单、材料批次、码装方式、装炉量、设定程序版本</w:t>
            </w:r>
          </w:p>
        </w:tc>
      </w:tr>
      <w:tr>
        <w:trPr>
          <w:cantSplit/>
        </w:trPr>
        <w:tc>
          <w:tcPr>
            <w:tcW w:type="dxa" w:w="1735"/>
            <w:vAlign w:val="center"/>
          </w:tcPr>
          <w:p>
            <w:pPr>
              <w:keepNext w:val="0"/>
              <w:spacing w:line="320" w:lineRule="exact" w:after="0" w:before="0"/>
              <w:ind w:firstLine="0"/>
              <w:jc w:val="left"/>
            </w:pPr>
            <w:r>
              <w:rPr>
                <w:b w:val="0"/>
                <w:sz w:val="21"/>
              </w:rPr>
              <w:t>焊接参数流</w:t>
            </w:r>
          </w:p>
        </w:tc>
        <w:tc>
          <w:tcPr>
            <w:tcW w:type="dxa" w:w="2120"/>
            <w:vAlign w:val="center"/>
          </w:tcPr>
          <w:p>
            <w:pPr>
              <w:keepNext w:val="0"/>
              <w:spacing w:line="320" w:lineRule="exact" w:after="0" w:before="0"/>
              <w:ind w:firstLine="0"/>
              <w:jc w:val="left"/>
            </w:pPr>
            <w:r>
              <w:rPr>
                <w:b w:val="0"/>
                <w:sz w:val="21"/>
              </w:rPr>
              <w:t>按起弧与收弧事件锚定，一道焊缝为一个基本单元</w:t>
            </w:r>
          </w:p>
        </w:tc>
        <w:tc>
          <w:tcPr>
            <w:tcW w:type="dxa" w:w="1928"/>
            <w:vAlign w:val="center"/>
          </w:tcPr>
          <w:p>
            <w:pPr>
              <w:keepNext w:val="0"/>
              <w:spacing w:line="320" w:lineRule="exact" w:after="0" w:before="0"/>
              <w:ind w:firstLine="0"/>
              <w:jc w:val="left"/>
            </w:pPr>
            <w:r>
              <w:rPr>
                <w:b w:val="0"/>
                <w:sz w:val="21"/>
              </w:rPr>
              <w:t>一道一档，长焊缝按段细分</w:t>
            </w:r>
          </w:p>
        </w:tc>
        <w:tc>
          <w:tcPr>
            <w:tcW w:type="dxa" w:w="1928"/>
            <w:vAlign w:val="center"/>
          </w:tcPr>
          <w:p>
            <w:pPr>
              <w:keepNext w:val="0"/>
              <w:spacing w:line="320" w:lineRule="exact" w:after="0" w:before="0"/>
              <w:ind w:firstLine="0"/>
              <w:jc w:val="left"/>
            </w:pPr>
            <w:r>
              <w:rPr>
                <w:b w:val="0"/>
                <w:sz w:val="21"/>
              </w:rPr>
              <w:t>工艺阶段、参数偏差、异常事件、焊道标识</w:t>
            </w:r>
          </w:p>
        </w:tc>
        <w:tc>
          <w:tcPr>
            <w:tcW w:type="dxa" w:w="1928"/>
            <w:vAlign w:val="center"/>
          </w:tcPr>
          <w:p>
            <w:pPr>
              <w:keepNext w:val="0"/>
              <w:spacing w:line="320" w:lineRule="exact" w:after="0" w:before="0"/>
              <w:ind w:firstLine="0"/>
              <w:jc w:val="left"/>
            </w:pPr>
            <w:r>
              <w:rPr>
                <w:b w:val="0"/>
                <w:sz w:val="21"/>
              </w:rPr>
              <w:t>工件标识、焊道编号、焊丝牌号与直径、预热与层间温度、焊接位置</w:t>
            </w:r>
          </w:p>
        </w:tc>
      </w:tr>
      <w:tr>
        <w:trPr>
          <w:cantSplit/>
        </w:trPr>
        <w:tc>
          <w:tcPr>
            <w:tcW w:type="dxa" w:w="1735"/>
            <w:vAlign w:val="center"/>
          </w:tcPr>
          <w:p>
            <w:pPr>
              <w:keepNext w:val="0"/>
              <w:spacing w:line="320" w:lineRule="exact" w:after="0" w:before="0"/>
              <w:ind w:firstLine="0"/>
              <w:jc w:val="left"/>
            </w:pPr>
            <w:r>
              <w:rPr>
                <w:b w:val="0"/>
                <w:sz w:val="21"/>
              </w:rPr>
              <w:t>设备运行时序（在役装备）</w:t>
            </w:r>
          </w:p>
        </w:tc>
        <w:tc>
          <w:tcPr>
            <w:tcW w:type="dxa" w:w="2120"/>
            <w:vAlign w:val="center"/>
          </w:tcPr>
          <w:p>
            <w:pPr>
              <w:keepNext w:val="0"/>
              <w:spacing w:line="320" w:lineRule="exact" w:after="0" w:before="0"/>
              <w:ind w:firstLine="0"/>
              <w:jc w:val="left"/>
            </w:pPr>
            <w:r>
              <w:rPr>
                <w:b w:val="0"/>
                <w:sz w:val="21"/>
              </w:rPr>
              <w:t>按运行工况变化点与报警事件锚定切分</w:t>
            </w:r>
          </w:p>
        </w:tc>
        <w:tc>
          <w:tcPr>
            <w:tcW w:type="dxa" w:w="1928"/>
            <w:vAlign w:val="center"/>
          </w:tcPr>
          <w:p>
            <w:pPr>
              <w:keepNext w:val="0"/>
              <w:spacing w:line="320" w:lineRule="exact" w:after="0" w:before="0"/>
              <w:ind w:firstLine="0"/>
              <w:jc w:val="left"/>
            </w:pPr>
            <w:r>
              <w:rPr>
                <w:b w:val="0"/>
                <w:sz w:val="21"/>
              </w:rPr>
              <w:t>常态窗口 10 分钟量级，事件窗口按事件前后扩展</w:t>
            </w:r>
          </w:p>
        </w:tc>
        <w:tc>
          <w:tcPr>
            <w:tcW w:type="dxa" w:w="1928"/>
            <w:vAlign w:val="center"/>
          </w:tcPr>
          <w:p>
            <w:pPr>
              <w:keepNext w:val="0"/>
              <w:spacing w:line="320" w:lineRule="exact" w:after="0" w:before="0"/>
              <w:ind w:firstLine="0"/>
              <w:jc w:val="left"/>
            </w:pPr>
            <w:r>
              <w:rPr>
                <w:b w:val="0"/>
                <w:sz w:val="21"/>
              </w:rPr>
              <w:t>六类运行工况、耦合干扰标识、故障模式、劣化阶段、根因</w:t>
            </w:r>
          </w:p>
        </w:tc>
        <w:tc>
          <w:tcPr>
            <w:tcW w:type="dxa" w:w="1928"/>
            <w:vAlign w:val="center"/>
          </w:tcPr>
          <w:p>
            <w:pPr>
              <w:keepNext w:val="0"/>
              <w:spacing w:line="320" w:lineRule="exact" w:after="0" w:before="0"/>
              <w:ind w:firstLine="0"/>
              <w:jc w:val="left"/>
            </w:pPr>
            <w:r>
              <w:rPr>
                <w:b w:val="0"/>
                <w:sz w:val="21"/>
              </w:rPr>
              <w:t>设备编号、测点配置、采样周期、同期工单与备件记录</w:t>
            </w:r>
          </w:p>
        </w:tc>
      </w:tr>
      <w:tr>
        <w:trPr>
          <w:cantSplit/>
        </w:trPr>
        <w:tc>
          <w:tcPr>
            <w:tcW w:type="dxa" w:w="1735"/>
            <w:vAlign w:val="center"/>
          </w:tcPr>
          <w:p>
            <w:pPr>
              <w:keepNext w:val="0"/>
              <w:spacing w:line="320" w:lineRule="exact" w:after="0" w:before="0"/>
              <w:ind w:firstLine="0"/>
              <w:jc w:val="left"/>
            </w:pPr>
            <w:r>
              <w:rPr>
                <w:b w:val="0"/>
                <w:sz w:val="21"/>
              </w:rPr>
              <w:t>设备运行时序（产线设备）</w:t>
            </w:r>
          </w:p>
        </w:tc>
        <w:tc>
          <w:tcPr>
            <w:tcW w:type="dxa" w:w="2120"/>
            <w:vAlign w:val="center"/>
          </w:tcPr>
          <w:p>
            <w:pPr>
              <w:keepNext w:val="0"/>
              <w:spacing w:line="320" w:lineRule="exact" w:after="0" w:before="0"/>
              <w:ind w:firstLine="0"/>
              <w:jc w:val="left"/>
            </w:pPr>
            <w:r>
              <w:rPr>
                <w:b w:val="0"/>
                <w:sz w:val="21"/>
              </w:rPr>
              <w:t>按启停与报警代码锚定切分</w:t>
            </w:r>
          </w:p>
        </w:tc>
        <w:tc>
          <w:tcPr>
            <w:tcW w:type="dxa" w:w="1928"/>
            <w:vAlign w:val="center"/>
          </w:tcPr>
          <w:p>
            <w:pPr>
              <w:keepNext w:val="0"/>
              <w:spacing w:line="320" w:lineRule="exact" w:after="0" w:before="0"/>
              <w:ind w:firstLine="0"/>
              <w:jc w:val="left"/>
            </w:pPr>
            <w:r>
              <w:rPr>
                <w:b w:val="0"/>
                <w:sz w:val="21"/>
              </w:rPr>
              <w:t>按作业批次</w:t>
            </w:r>
          </w:p>
        </w:tc>
        <w:tc>
          <w:tcPr>
            <w:tcW w:type="dxa" w:w="1928"/>
            <w:vAlign w:val="center"/>
          </w:tcPr>
          <w:p>
            <w:pPr>
              <w:keepNext w:val="0"/>
              <w:spacing w:line="320" w:lineRule="exact" w:after="0" w:before="0"/>
              <w:ind w:firstLine="0"/>
              <w:jc w:val="left"/>
            </w:pPr>
            <w:r>
              <w:rPr>
                <w:b w:val="0"/>
                <w:sz w:val="21"/>
              </w:rPr>
              <w:t>运行工况、设备报警代码、人工干预</w:t>
            </w:r>
          </w:p>
        </w:tc>
        <w:tc>
          <w:tcPr>
            <w:tcW w:type="dxa" w:w="1928"/>
            <w:vAlign w:val="center"/>
          </w:tcPr>
          <w:p>
            <w:pPr>
              <w:keepNext w:val="0"/>
              <w:spacing w:line="320" w:lineRule="exact" w:after="0" w:before="0"/>
              <w:ind w:firstLine="0"/>
              <w:jc w:val="left"/>
            </w:pPr>
            <w:r>
              <w:rPr>
                <w:b w:val="0"/>
                <w:sz w:val="21"/>
              </w:rPr>
              <w:t>设备编码、报警代码字典版本</w:t>
            </w:r>
          </w:p>
        </w:tc>
      </w:tr>
    </w:tbl>
    <w:p>
      <w:pPr>
        <w:spacing w:after="40" w:line="240" w:lineRule="auto"/>
        <w:ind w:firstLine="0"/>
      </w:pPr>
      <w:r>
        <w:rPr>
          <w:sz w:val="4"/>
        </w:rPr>
      </w:r>
    </w:p>
    <w:p>
      <w:pPr>
        <w:jc w:val="both"/>
      </w:pPr>
      <w:r>
        <w:t>时间窗长度的具体取值在首批试标后按实测标定。标定方式是：对同一段数据按三种候选窗长分别标注，比较标注一致性与下游训练效果，取一致性与效果综合最优的窗长作为该对象的标准窗长，并在标注规范中固化。这一标定过程的记录进入数据集卡片的建设过程说明。</w:t>
      </w:r>
    </w:p>
    <w:p>
      <w:pPr>
        <w:pStyle w:val="Heading3"/>
      </w:pPr>
      <w:r>
        <w:t>2.6.2 熔池图像与焊道表面图像的标注</w:t>
      </w:r>
    </w:p>
    <w:p>
      <w:pPr>
        <w:jc w:val="both"/>
      </w:pPr>
      <w:r>
        <w:t>图像标注记录焊接缺陷类型、位置、可见程度及检测证据。类型引用批准的本体，包括气孔、裂纹、咬边、余高、弧坑、焊脚偏差等招标要求类别及其他适用缺陷。框、多边形、折线或分割掩膜按可见形态和任务规范选择，不仅凭缺陷名称固定标注形状。热裂纹与冷裂纹等成因分类只有在材料、工艺及检验证据支持时细分，单幅图像不能确认的保留为可见裂纹及待判定成因。</w:t>
      </w:r>
    </w:p>
    <w:p>
      <w:pPr>
        <w:jc w:val="both"/>
      </w:pPr>
      <w:r>
        <w:t>熔池图像与焊后焊道表面图像所能观察到的是表面形貌，未熔合、未焊透一类内部缺陷在表面图像上通常不可见。标注规范因此规定表面图像上的缺陷标注只针对表面可观察缺陷；内部缺陷的标签来源于无损检测结果，以检测报告为依据，通过工件标识与焊道编号关联到图像样本，在样本中以「关联检测结论」字段记录而不作为图像上的标注框。关联检测结论保留在独立字段，并按任务输入的可见信息确定是否适合作为监督目标。</w:t>
      </w:r>
    </w:p>
    <w:p>
      <w:pPr>
        <w:jc w:val="both"/>
      </w:pPr>
      <w:r>
        <w:t>缺陷等级和接收结论依据适用的检验规范、合同技术条件及批准的判定规则分别标注，记录标准版本、条款、测量方法和适用部位。等级取值与原判定体系对应，不统一改写成缺乏依据的轻微或严重档。等级确认由具备相应业务能力的检验人员承担；不满足判定所需的尺度、表面条件或检测资料时，保留无法判定及原因。</w:t>
      </w:r>
    </w:p>
    <w:p>
      <w:pPr>
        <w:jc w:val="both"/>
      </w:pPr>
      <w:r>
        <w:t>熔池图像的标注另有一层特殊性：熔池形貌与焊接参数之间的关系是焊接场景最关心的，但熔池图像主要呈现过程状态，最终缺陷判定需结合检测证据。标注规范对熔池图像设独立标签集：熔池形态（正常、偏移、过宽、过窄、不稳定）、熔池边界清晰度、飞溅程度，并与同时刻的焊接参数流建立时间对齐标注。这组样本支撑焊接过程控制智能监控场景的过程判别能力。</w:t>
      </w:r>
    </w:p>
    <w:p>
      <w:pPr>
        <w:pStyle w:val="Heading3"/>
      </w:pPr>
      <w:r>
        <w:t>2.6.3 工件外观图像与热处理质量关联标注</w:t>
      </w:r>
    </w:p>
    <w:p>
      <w:pPr>
        <w:jc w:val="both"/>
      </w:pPr>
      <w:r>
        <w:t>工件外观图像标注烧伤、裂纹等热处理外观缺陷，并关联硬度指标、切片结果与淬火层深。</w:t>
      </w:r>
    </w:p>
    <w:p>
      <w:pPr>
        <w:jc w:val="both"/>
      </w:pPr>
      <w:r>
        <w:t>缺陷标注与焊道图像同法：类型引用本体中适用的热处理外观缺陷类别，位置以多边形标注，等级由检验岗位判定。真正的工作量在关联标注。关联范围覆盖质量管理系统、实验室记录和经授权调阅的纸质检测报告中的工件图像、硬度、切片与淬火层深记录。关联标注的作业顺序是：先以工件标识为键建立关联候选，再由质量人员确认；纸质报告先经扫描与结构化录入后进入关联，录入过程的质量按双录比对控制，比对不一致的条目进入人工裁定。</w:t>
      </w:r>
    </w:p>
    <w:p>
      <w:pPr>
        <w:jc w:val="both"/>
      </w:pPr>
      <w:r>
        <w:t>关联标注的产出是一条「工件—外观图像—硬度指标—切片结果—淬火层深—质检结论」的复合样本。这条样本同时服务于制造过程数据集与产品质量数据集，在两个数据集中以同一工件标识和源样本标识关联，按过程事实与质量结论确定主归属并分别组织必要用途，跨集引用不重复计量同一交付单元，避免同一事实在两个数据集中出现口径不一致的两份副本。</w:t>
      </w:r>
    </w:p>
    <w:p>
      <w:pPr>
        <w:pStyle w:val="Caption"/>
        <w:keepNext/>
      </w:pPr>
      <w:r>
        <w:t>表2-7 制造过程域图像标注的标签集与标签来源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图像类型</w:t>
            </w:r>
          </w:p>
        </w:tc>
        <w:tc>
          <w:tcPr>
            <w:tcW w:type="dxa" w:w="2699"/>
            <w:vAlign w:val="center"/>
            <w:shd w:fill="EDF1F3"/>
          </w:tcPr>
          <w:p>
            <w:pPr>
              <w:keepNext/>
              <w:spacing w:line="320" w:lineRule="exact" w:after="0" w:before="0"/>
              <w:ind w:firstLine="0"/>
              <w:jc w:val="center"/>
            </w:pPr>
            <w:r>
              <w:rPr>
                <w:b/>
                <w:sz w:val="21"/>
              </w:rPr>
              <w:t>图像上标注的标签</w:t>
            </w:r>
          </w:p>
        </w:tc>
        <w:tc>
          <w:tcPr>
            <w:tcW w:type="dxa" w:w="2409"/>
            <w:vAlign w:val="center"/>
            <w:shd w:fill="EDF1F3"/>
          </w:tcPr>
          <w:p>
            <w:pPr>
              <w:keepNext/>
              <w:spacing w:line="320" w:lineRule="exact" w:after="0" w:before="0"/>
              <w:ind w:firstLine="0"/>
              <w:jc w:val="center"/>
            </w:pPr>
            <w:r>
              <w:rPr>
                <w:b/>
                <w:sz w:val="21"/>
              </w:rPr>
              <w:t>不在图像上标注、由外部关联的标签</w:t>
            </w:r>
          </w:p>
        </w:tc>
        <w:tc>
          <w:tcPr>
            <w:tcW w:type="dxa" w:w="2891"/>
            <w:vAlign w:val="center"/>
            <w:shd w:fill="EDF1F3"/>
          </w:tcPr>
          <w:p>
            <w:pPr>
              <w:keepNext/>
              <w:spacing w:line="320" w:lineRule="exact" w:after="0" w:before="0"/>
              <w:ind w:firstLine="0"/>
              <w:jc w:val="center"/>
            </w:pPr>
            <w:r>
              <w:rPr>
                <w:b/>
                <w:sz w:val="21"/>
              </w:rPr>
              <w:t>标签来源</w:t>
            </w:r>
          </w:p>
        </w:tc>
      </w:tr>
      <w:tr>
        <w:trPr>
          <w:cantSplit/>
        </w:trPr>
        <w:tc>
          <w:tcPr>
            <w:tcW w:type="dxa" w:w="1638"/>
            <w:vAlign w:val="center"/>
          </w:tcPr>
          <w:p>
            <w:pPr>
              <w:keepNext w:val="0"/>
              <w:spacing w:line="320" w:lineRule="exact" w:after="0" w:before="0"/>
              <w:ind w:firstLine="0"/>
              <w:jc w:val="left"/>
            </w:pPr>
            <w:r>
              <w:rPr>
                <w:b w:val="0"/>
                <w:sz w:val="21"/>
              </w:rPr>
              <w:t>熔池图像</w:t>
            </w:r>
          </w:p>
        </w:tc>
        <w:tc>
          <w:tcPr>
            <w:tcW w:type="dxa" w:w="2699"/>
            <w:vAlign w:val="center"/>
          </w:tcPr>
          <w:p>
            <w:pPr>
              <w:keepNext w:val="0"/>
              <w:spacing w:line="320" w:lineRule="exact" w:after="0" w:before="0"/>
              <w:ind w:firstLine="0"/>
              <w:jc w:val="left"/>
            </w:pPr>
            <w:r>
              <w:rPr>
                <w:b w:val="0"/>
                <w:sz w:val="21"/>
              </w:rPr>
              <w:t>熔池形态、边界清晰度、飞溅程度</w:t>
            </w:r>
          </w:p>
        </w:tc>
        <w:tc>
          <w:tcPr>
            <w:tcW w:type="dxa" w:w="2409"/>
            <w:vAlign w:val="center"/>
          </w:tcPr>
          <w:p>
            <w:pPr>
              <w:keepNext w:val="0"/>
              <w:spacing w:line="320" w:lineRule="exact" w:after="0" w:before="0"/>
              <w:ind w:firstLine="0"/>
              <w:jc w:val="left"/>
            </w:pPr>
            <w:r>
              <w:rPr>
                <w:b w:val="0"/>
                <w:sz w:val="21"/>
              </w:rPr>
              <w:t>同时刻焊接参数、本道焊缝检测结论</w:t>
            </w:r>
          </w:p>
        </w:tc>
        <w:tc>
          <w:tcPr>
            <w:tcW w:type="dxa" w:w="2891"/>
            <w:vAlign w:val="center"/>
          </w:tcPr>
          <w:p>
            <w:pPr>
              <w:keepNext w:val="0"/>
              <w:spacing w:line="320" w:lineRule="exact" w:after="0" w:before="0"/>
              <w:ind w:firstLine="0"/>
              <w:jc w:val="left"/>
            </w:pPr>
            <w:r>
              <w:rPr>
                <w:b w:val="0"/>
                <w:sz w:val="21"/>
              </w:rPr>
              <w:t>参数流对齐、无损检测报告</w:t>
            </w:r>
          </w:p>
        </w:tc>
      </w:tr>
      <w:tr>
        <w:trPr>
          <w:cantSplit/>
        </w:trPr>
        <w:tc>
          <w:tcPr>
            <w:tcW w:type="dxa" w:w="1638"/>
            <w:vAlign w:val="center"/>
          </w:tcPr>
          <w:p>
            <w:pPr>
              <w:keepNext w:val="0"/>
              <w:spacing w:line="320" w:lineRule="exact" w:after="0" w:before="0"/>
              <w:ind w:firstLine="0"/>
              <w:jc w:val="left"/>
            </w:pPr>
            <w:r>
              <w:rPr>
                <w:b w:val="0"/>
                <w:sz w:val="21"/>
              </w:rPr>
              <w:t>焊后焊道表面图像</w:t>
            </w:r>
          </w:p>
        </w:tc>
        <w:tc>
          <w:tcPr>
            <w:tcW w:type="dxa" w:w="2699"/>
            <w:vAlign w:val="center"/>
          </w:tcPr>
          <w:p>
            <w:pPr>
              <w:keepNext w:val="0"/>
              <w:spacing w:line="320" w:lineRule="exact" w:after="0" w:before="0"/>
              <w:ind w:firstLine="0"/>
              <w:jc w:val="left"/>
            </w:pPr>
            <w:r>
              <w:rPr>
                <w:b w:val="0"/>
                <w:sz w:val="21"/>
              </w:rPr>
              <w:t>表面可观察缺陷类型与位置、缺陷等级</w:t>
            </w:r>
          </w:p>
        </w:tc>
        <w:tc>
          <w:tcPr>
            <w:tcW w:type="dxa" w:w="2409"/>
            <w:vAlign w:val="center"/>
          </w:tcPr>
          <w:p>
            <w:pPr>
              <w:keepNext w:val="0"/>
              <w:spacing w:line="320" w:lineRule="exact" w:after="0" w:before="0"/>
              <w:ind w:firstLine="0"/>
              <w:jc w:val="left"/>
            </w:pPr>
            <w:r>
              <w:rPr>
                <w:b w:val="0"/>
                <w:sz w:val="21"/>
              </w:rPr>
              <w:t>内部缺陷结论、力学性能结果</w:t>
            </w:r>
          </w:p>
        </w:tc>
        <w:tc>
          <w:tcPr>
            <w:tcW w:type="dxa" w:w="2891"/>
            <w:vAlign w:val="center"/>
          </w:tcPr>
          <w:p>
            <w:pPr>
              <w:keepNext w:val="0"/>
              <w:spacing w:line="320" w:lineRule="exact" w:after="0" w:before="0"/>
              <w:ind w:firstLine="0"/>
              <w:jc w:val="left"/>
            </w:pPr>
            <w:r>
              <w:rPr>
                <w:b w:val="0"/>
                <w:sz w:val="21"/>
              </w:rPr>
              <w:t>无损检测报告、检验记录</w:t>
            </w:r>
          </w:p>
        </w:tc>
      </w:tr>
      <w:tr>
        <w:trPr>
          <w:cantSplit/>
        </w:trPr>
        <w:tc>
          <w:tcPr>
            <w:tcW w:type="dxa" w:w="1638"/>
            <w:vAlign w:val="center"/>
          </w:tcPr>
          <w:p>
            <w:pPr>
              <w:keepNext w:val="0"/>
              <w:spacing w:line="320" w:lineRule="exact" w:after="0" w:before="0"/>
              <w:ind w:firstLine="0"/>
              <w:jc w:val="left"/>
            </w:pPr>
            <w:r>
              <w:rPr>
                <w:b w:val="0"/>
                <w:sz w:val="21"/>
              </w:rPr>
              <w:t>工件外观图像（热处理后）</w:t>
            </w:r>
          </w:p>
        </w:tc>
        <w:tc>
          <w:tcPr>
            <w:tcW w:type="dxa" w:w="2699"/>
            <w:vAlign w:val="center"/>
          </w:tcPr>
          <w:p>
            <w:pPr>
              <w:keepNext w:val="0"/>
              <w:spacing w:line="320" w:lineRule="exact" w:after="0" w:before="0"/>
              <w:ind w:firstLine="0"/>
              <w:jc w:val="left"/>
            </w:pPr>
            <w:r>
              <w:rPr>
                <w:b w:val="0"/>
                <w:sz w:val="21"/>
              </w:rPr>
              <w:t>烧伤、裂纹的类型、位置与等级</w:t>
            </w:r>
          </w:p>
        </w:tc>
        <w:tc>
          <w:tcPr>
            <w:tcW w:type="dxa" w:w="2409"/>
            <w:vAlign w:val="center"/>
          </w:tcPr>
          <w:p>
            <w:pPr>
              <w:keepNext w:val="0"/>
              <w:spacing w:line="320" w:lineRule="exact" w:after="0" w:before="0"/>
              <w:ind w:firstLine="0"/>
              <w:jc w:val="left"/>
            </w:pPr>
            <w:r>
              <w:rPr>
                <w:b w:val="0"/>
                <w:sz w:val="21"/>
              </w:rPr>
              <w:t>硬度指标、淬火区域均匀性、切片结果、淬火层深</w:t>
            </w:r>
          </w:p>
        </w:tc>
        <w:tc>
          <w:tcPr>
            <w:tcW w:type="dxa" w:w="2891"/>
            <w:vAlign w:val="center"/>
          </w:tcPr>
          <w:p>
            <w:pPr>
              <w:keepNext w:val="0"/>
              <w:spacing w:line="320" w:lineRule="exact" w:after="0" w:before="0"/>
              <w:ind w:firstLine="0"/>
              <w:jc w:val="left"/>
            </w:pPr>
            <w:r>
              <w:rPr>
                <w:b w:val="0"/>
                <w:sz w:val="21"/>
              </w:rPr>
              <w:t>质量管理系统、实验室记录、纸质报告数字化结果</w:t>
            </w:r>
          </w:p>
        </w:tc>
      </w:tr>
    </w:tbl>
    <w:p>
      <w:pPr>
        <w:spacing w:after="40" w:line="240" w:lineRule="auto"/>
        <w:ind w:firstLine="0"/>
      </w:pPr>
      <w:r>
        <w:rPr>
          <w:sz w:val="4"/>
        </w:rPr>
      </w:r>
    </w:p>
    <w:p>
      <w:pPr>
        <w:pStyle w:val="Heading3"/>
      </w:pPr>
      <w:r>
        <w:t>2.6.4 产出样本的两种形态</w:t>
      </w:r>
    </w:p>
    <w:p>
      <w:pPr>
        <w:jc w:val="both"/>
      </w:pPr>
      <w:r>
        <w:t>本域标注的产出按招标文件要求组织为两种形态：「时序片段—事件—诊断说明」与「图像—缺陷—判定」。</w:t>
      </w:r>
    </w:p>
    <w:p>
      <w:pPr>
        <w:jc w:val="both"/>
      </w:pPr>
      <w:r>
        <w:t>「时序片段—事件—诊断说明」样本的三段分别是：一段带测点与采样周期说明的时序数据、一组标注出的事件、一段以自然语言写成的诊断说明。诊断说明不是自由评论，它按固定结构撰写：现象描述、涉及测点与偏离方向、判定的故障模式与劣化阶段、根因、建议处置与检查顺序、证据等级。证据等级一栏明确本条诊断的依据强度（有维修事实闭环、有同类历史案例、仅有参数证据三档），这一字段使数据集在验证环节可以按证据等级分层评估，也使下游场景能够按证据等级决定输出的确信程度。</w:t>
      </w:r>
    </w:p>
    <w:p>
      <w:pPr>
        <w:jc w:val="both"/>
      </w:pPr>
      <w:r>
        <w:t>「图像—缺陷—判定」样本的三段分别是：图像与其采集条件说明、标注出的缺陷框与类型、判定结论与依据标准条款。采集条件说明包含相机位置、光照条件、分辨率与采集时点，这一信息在增强环节决定哪些几何与光照变换是合理的，在验证环节决定评测结果的适用范围。</w:t>
      </w:r>
    </w:p>
    <w:p>
      <w:pPr>
        <w:pStyle w:val="Heading2"/>
      </w:pPr>
      <w:r>
        <w:t>2.7 产品质量域数据标注</w:t>
      </w:r>
    </w:p>
    <w:p>
      <w:pPr>
        <w:jc w:val="both"/>
      </w:pPr>
      <w:r>
        <w:t>检验记录覆盖来料、制程、成品及出厂等实际检验环节，标注检验项、方法、测点、实测值、单位、要求范围、原始判定结论与不合格类型。合格性结论、检验轮次和处置状态分别登记：让步接收属于处置决定，复检合格属于后续检验结果，两者均不覆盖首次检验不合格事实。返修、返工、报废及让步接收关联各自批准单据，保留处置前后状态。</w:t>
      </w:r>
    </w:p>
    <w:p>
      <w:pPr>
        <w:jc w:val="both"/>
      </w:pPr>
      <w:r>
        <w:t>自由文本缺陷描述抽取部位、形态、尺寸和发现工序，保留原文及定位。来源系统状态以实际核查结果登记，不以系统新旧替代记录可信性判断。同一工件多次检验、重复测量、报告更正与撤销分别建版本和关联关系，训练输入按任务时点选择，后续结论不得泄漏到早期预测输入。</w:t>
      </w:r>
    </w:p>
    <w:p>
      <w:pPr>
        <w:jc w:val="both"/>
      </w:pPr>
      <w:r>
        <w:t>工件外观缺陷图像按统一规范标注类型、位置与等级，产品质量域进一步核查等级判定所依据的检验条件、测量方法和标准条款。图像判定与检验报告结论出现差异时，分别检查可见范围、取样部位和报告版本，保留差异及裁定依据。</w:t>
      </w:r>
    </w:p>
    <w:p>
      <w:pPr>
        <w:jc w:val="both"/>
      </w:pPr>
      <w:r>
        <w:t>关联关系标注是本域的重点。要标注的是淬火硬度、淬火区域均匀性、切片结果与质检结论同加热功率、加热温度、淬火液流量、冷却时间等关键工艺参数之间的关联关系。这一标注的实质是建立因果候选而不是断言因果：标注员标注的是「这一质量结果对应的是这一组工艺参数」的对应关系，以及「业务专家认为本次质量异常的主导参数是哪一项」的专家判断。两者在样本中分列两个字段，前者是事实对应，后者是专家意见，不混为一谈。</w:t>
      </w:r>
    </w:p>
    <w:p>
      <w:pPr>
        <w:pStyle w:val="Caption"/>
        <w:keepNext/>
      </w:pPr>
      <w:r>
        <w:t>表2-8 产品质量域关联标注的字段结构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字段</w:t>
            </w:r>
          </w:p>
        </w:tc>
        <w:tc>
          <w:tcPr>
            <w:tcW w:type="dxa" w:w="2699"/>
            <w:vAlign w:val="center"/>
            <w:shd w:fill="EDF1F3"/>
          </w:tcPr>
          <w:p>
            <w:pPr>
              <w:keepNext/>
              <w:spacing w:line="320" w:lineRule="exact" w:after="0" w:before="0"/>
              <w:ind w:firstLine="0"/>
              <w:jc w:val="center"/>
            </w:pPr>
            <w:r>
              <w:rPr>
                <w:b/>
                <w:sz w:val="21"/>
              </w:rPr>
              <w:t>性质</w:t>
            </w:r>
          </w:p>
        </w:tc>
        <w:tc>
          <w:tcPr>
            <w:tcW w:type="dxa" w:w="2409"/>
            <w:vAlign w:val="center"/>
            <w:shd w:fill="EDF1F3"/>
          </w:tcPr>
          <w:p>
            <w:pPr>
              <w:keepNext/>
              <w:spacing w:line="320" w:lineRule="exact" w:after="0" w:before="0"/>
              <w:ind w:firstLine="0"/>
              <w:jc w:val="center"/>
            </w:pPr>
            <w:r>
              <w:rPr>
                <w:b/>
                <w:sz w:val="21"/>
              </w:rPr>
              <w:t>取值</w:t>
            </w:r>
          </w:p>
        </w:tc>
        <w:tc>
          <w:tcPr>
            <w:tcW w:type="dxa" w:w="2891"/>
            <w:vAlign w:val="center"/>
            <w:shd w:fill="EDF1F3"/>
          </w:tcPr>
          <w:p>
            <w:pPr>
              <w:keepNext/>
              <w:spacing w:line="320" w:lineRule="exact" w:after="0" w:before="0"/>
              <w:ind w:firstLine="0"/>
              <w:jc w:val="center"/>
            </w:pPr>
            <w:r>
              <w:rPr>
                <w:b/>
                <w:sz w:val="21"/>
              </w:rPr>
              <w:t>来源与判定</w:t>
            </w:r>
          </w:p>
        </w:tc>
      </w:tr>
      <w:tr>
        <w:trPr>
          <w:cantSplit/>
        </w:trPr>
        <w:tc>
          <w:tcPr>
            <w:tcW w:type="dxa" w:w="1638"/>
            <w:vAlign w:val="center"/>
          </w:tcPr>
          <w:p>
            <w:pPr>
              <w:keepNext w:val="0"/>
              <w:spacing w:line="320" w:lineRule="exact" w:after="0" w:before="0"/>
              <w:ind w:firstLine="0"/>
              <w:jc w:val="left"/>
            </w:pPr>
            <w:r>
              <w:rPr>
                <w:b w:val="0"/>
                <w:sz w:val="21"/>
              </w:rPr>
              <w:t>工件标识</w:t>
            </w:r>
          </w:p>
        </w:tc>
        <w:tc>
          <w:tcPr>
            <w:tcW w:type="dxa" w:w="2699"/>
            <w:vAlign w:val="center"/>
          </w:tcPr>
          <w:p>
            <w:pPr>
              <w:keepNext w:val="0"/>
              <w:spacing w:line="320" w:lineRule="exact" w:after="0" w:before="0"/>
              <w:ind w:firstLine="0"/>
              <w:jc w:val="left"/>
            </w:pPr>
            <w:r>
              <w:rPr>
                <w:b w:val="0"/>
                <w:sz w:val="21"/>
              </w:rPr>
              <w:t>事实</w:t>
            </w:r>
          </w:p>
        </w:tc>
        <w:tc>
          <w:tcPr>
            <w:tcW w:type="dxa" w:w="2409"/>
            <w:vAlign w:val="center"/>
          </w:tcPr>
          <w:p>
            <w:pPr>
              <w:keepNext w:val="0"/>
              <w:spacing w:line="320" w:lineRule="exact" w:after="0" w:before="0"/>
              <w:ind w:firstLine="0"/>
              <w:jc w:val="left"/>
            </w:pPr>
            <w:r>
              <w:rPr>
                <w:b w:val="0"/>
                <w:sz w:val="21"/>
              </w:rPr>
              <w:t>工件编号</w:t>
            </w:r>
          </w:p>
        </w:tc>
        <w:tc>
          <w:tcPr>
            <w:tcW w:type="dxa" w:w="2891"/>
            <w:vAlign w:val="center"/>
          </w:tcPr>
          <w:p>
            <w:pPr>
              <w:keepNext w:val="0"/>
              <w:spacing w:line="320" w:lineRule="exact" w:after="0" w:before="0"/>
              <w:ind w:firstLine="0"/>
              <w:jc w:val="left"/>
            </w:pPr>
            <w:r>
              <w:rPr>
                <w:b w:val="0"/>
                <w:sz w:val="21"/>
              </w:rPr>
              <w:t>质量管理系统与热处理炉次记录</w:t>
            </w:r>
          </w:p>
        </w:tc>
      </w:tr>
      <w:tr>
        <w:trPr>
          <w:cantSplit/>
        </w:trPr>
        <w:tc>
          <w:tcPr>
            <w:tcW w:type="dxa" w:w="1638"/>
            <w:vAlign w:val="center"/>
          </w:tcPr>
          <w:p>
            <w:pPr>
              <w:keepNext w:val="0"/>
              <w:spacing w:line="320" w:lineRule="exact" w:after="0" w:before="0"/>
              <w:ind w:firstLine="0"/>
              <w:jc w:val="left"/>
            </w:pPr>
            <w:r>
              <w:rPr>
                <w:b w:val="0"/>
                <w:sz w:val="21"/>
              </w:rPr>
              <w:t>工艺参数组</w:t>
            </w:r>
          </w:p>
        </w:tc>
        <w:tc>
          <w:tcPr>
            <w:tcW w:type="dxa" w:w="2699"/>
            <w:vAlign w:val="center"/>
          </w:tcPr>
          <w:p>
            <w:pPr>
              <w:keepNext w:val="0"/>
              <w:spacing w:line="320" w:lineRule="exact" w:after="0" w:before="0"/>
              <w:ind w:firstLine="0"/>
              <w:jc w:val="left"/>
            </w:pPr>
            <w:r>
              <w:rPr>
                <w:b w:val="0"/>
                <w:sz w:val="21"/>
              </w:rPr>
              <w:t>事实</w:t>
            </w:r>
          </w:p>
        </w:tc>
        <w:tc>
          <w:tcPr>
            <w:tcW w:type="dxa" w:w="2409"/>
            <w:vAlign w:val="center"/>
          </w:tcPr>
          <w:p>
            <w:pPr>
              <w:keepNext w:val="0"/>
              <w:spacing w:line="320" w:lineRule="exact" w:after="0" w:before="0"/>
              <w:ind w:firstLine="0"/>
              <w:jc w:val="left"/>
            </w:pPr>
            <w:r>
              <w:rPr>
                <w:b w:val="0"/>
                <w:sz w:val="21"/>
              </w:rPr>
              <w:t>加热功率、加热温度、淬火液温度与浓度与流量、感应器间隙、加热与冷却时间、返热温度</w:t>
            </w:r>
          </w:p>
        </w:tc>
        <w:tc>
          <w:tcPr>
            <w:tcW w:type="dxa" w:w="2891"/>
            <w:vAlign w:val="center"/>
          </w:tcPr>
          <w:p>
            <w:pPr>
              <w:keepNext w:val="0"/>
              <w:spacing w:line="320" w:lineRule="exact" w:after="0" w:before="0"/>
              <w:ind w:firstLine="0"/>
              <w:jc w:val="left"/>
            </w:pPr>
            <w:r>
              <w:rPr>
                <w:b w:val="0"/>
                <w:sz w:val="21"/>
              </w:rPr>
              <w:t>数据采集与监控系统、热处理群控系统</w:t>
            </w:r>
          </w:p>
        </w:tc>
      </w:tr>
      <w:tr>
        <w:trPr>
          <w:cantSplit/>
        </w:trPr>
        <w:tc>
          <w:tcPr>
            <w:tcW w:type="dxa" w:w="1638"/>
            <w:vAlign w:val="center"/>
          </w:tcPr>
          <w:p>
            <w:pPr>
              <w:keepNext w:val="0"/>
              <w:spacing w:line="320" w:lineRule="exact" w:after="0" w:before="0"/>
              <w:ind w:firstLine="0"/>
              <w:jc w:val="left"/>
            </w:pPr>
            <w:r>
              <w:rPr>
                <w:b w:val="0"/>
                <w:sz w:val="21"/>
              </w:rPr>
              <w:t>质量结果组</w:t>
            </w:r>
          </w:p>
        </w:tc>
        <w:tc>
          <w:tcPr>
            <w:tcW w:type="dxa" w:w="2699"/>
            <w:vAlign w:val="center"/>
          </w:tcPr>
          <w:p>
            <w:pPr>
              <w:keepNext w:val="0"/>
              <w:spacing w:line="320" w:lineRule="exact" w:after="0" w:before="0"/>
              <w:ind w:firstLine="0"/>
              <w:jc w:val="left"/>
            </w:pPr>
            <w:r>
              <w:rPr>
                <w:b w:val="0"/>
                <w:sz w:val="21"/>
              </w:rPr>
              <w:t>事实</w:t>
            </w:r>
          </w:p>
        </w:tc>
        <w:tc>
          <w:tcPr>
            <w:tcW w:type="dxa" w:w="2409"/>
            <w:vAlign w:val="center"/>
          </w:tcPr>
          <w:p>
            <w:pPr>
              <w:keepNext w:val="0"/>
              <w:spacing w:line="320" w:lineRule="exact" w:after="0" w:before="0"/>
              <w:ind w:firstLine="0"/>
              <w:jc w:val="left"/>
            </w:pPr>
            <w:r>
              <w:rPr>
                <w:b w:val="0"/>
                <w:sz w:val="21"/>
              </w:rPr>
              <w:t>淬火硬度、淬火区域位置与均匀性、切片结果、淬火层深、外观缺陷</w:t>
            </w:r>
          </w:p>
        </w:tc>
        <w:tc>
          <w:tcPr>
            <w:tcW w:type="dxa" w:w="2891"/>
            <w:vAlign w:val="center"/>
          </w:tcPr>
          <w:p>
            <w:pPr>
              <w:keepNext w:val="0"/>
              <w:spacing w:line="320" w:lineRule="exact" w:after="0" w:before="0"/>
              <w:ind w:firstLine="0"/>
              <w:jc w:val="left"/>
            </w:pPr>
            <w:r>
              <w:rPr>
                <w:b w:val="0"/>
                <w:sz w:val="21"/>
              </w:rPr>
              <w:t>检验记录、实验室记录、图像标注结果</w:t>
            </w:r>
          </w:p>
        </w:tc>
      </w:tr>
      <w:tr>
        <w:trPr>
          <w:cantSplit/>
        </w:trPr>
        <w:tc>
          <w:tcPr>
            <w:tcW w:type="dxa" w:w="1638"/>
            <w:vAlign w:val="center"/>
          </w:tcPr>
          <w:p>
            <w:pPr>
              <w:keepNext w:val="0"/>
              <w:spacing w:line="320" w:lineRule="exact" w:after="0" w:before="0"/>
              <w:ind w:firstLine="0"/>
              <w:jc w:val="left"/>
            </w:pPr>
            <w:r>
              <w:rPr>
                <w:b w:val="0"/>
                <w:sz w:val="21"/>
              </w:rPr>
              <w:t>对应关系置信度</w:t>
            </w:r>
          </w:p>
        </w:tc>
        <w:tc>
          <w:tcPr>
            <w:tcW w:type="dxa" w:w="2699"/>
            <w:vAlign w:val="center"/>
          </w:tcPr>
          <w:p>
            <w:pPr>
              <w:keepNext w:val="0"/>
              <w:spacing w:line="320" w:lineRule="exact" w:after="0" w:before="0"/>
              <w:ind w:firstLine="0"/>
              <w:jc w:val="left"/>
            </w:pPr>
            <w:r>
              <w:rPr>
                <w:b w:val="0"/>
                <w:sz w:val="21"/>
              </w:rPr>
              <w:t>事实判定</w:t>
            </w:r>
          </w:p>
        </w:tc>
        <w:tc>
          <w:tcPr>
            <w:tcW w:type="dxa" w:w="2409"/>
            <w:vAlign w:val="center"/>
          </w:tcPr>
          <w:p>
            <w:pPr>
              <w:keepNext w:val="0"/>
              <w:spacing w:line="320" w:lineRule="exact" w:after="0" w:before="0"/>
              <w:ind w:firstLine="0"/>
              <w:jc w:val="left"/>
            </w:pPr>
            <w:r>
              <w:rPr>
                <w:b w:val="0"/>
                <w:sz w:val="21"/>
              </w:rPr>
              <w:t>高／中／低</w:t>
            </w:r>
          </w:p>
        </w:tc>
        <w:tc>
          <w:tcPr>
            <w:tcW w:type="dxa" w:w="2891"/>
            <w:vAlign w:val="center"/>
          </w:tcPr>
          <w:p>
            <w:pPr>
              <w:keepNext w:val="0"/>
              <w:spacing w:line="320" w:lineRule="exact" w:after="0" w:before="0"/>
              <w:ind w:firstLine="0"/>
              <w:jc w:val="left"/>
            </w:pPr>
            <w:r>
              <w:rPr>
                <w:b w:val="0"/>
                <w:sz w:val="21"/>
              </w:rPr>
              <w:t>按对象、批次、时间、版次与源记录核验结果分级，推断关系单列为候选，不直接当作事实</w:t>
            </w:r>
          </w:p>
        </w:tc>
      </w:tr>
      <w:tr>
        <w:trPr>
          <w:cantSplit/>
        </w:trPr>
        <w:tc>
          <w:tcPr>
            <w:tcW w:type="dxa" w:w="1638"/>
            <w:vAlign w:val="center"/>
          </w:tcPr>
          <w:p>
            <w:pPr>
              <w:keepNext w:val="0"/>
              <w:spacing w:line="320" w:lineRule="exact" w:after="0" w:before="0"/>
              <w:ind w:firstLine="0"/>
              <w:jc w:val="left"/>
            </w:pPr>
            <w:r>
              <w:rPr>
                <w:b w:val="0"/>
                <w:sz w:val="21"/>
              </w:rPr>
              <w:t>主导参数判断</w:t>
            </w:r>
          </w:p>
        </w:tc>
        <w:tc>
          <w:tcPr>
            <w:tcW w:type="dxa" w:w="2699"/>
            <w:vAlign w:val="center"/>
          </w:tcPr>
          <w:p>
            <w:pPr>
              <w:keepNext w:val="0"/>
              <w:spacing w:line="320" w:lineRule="exact" w:after="0" w:before="0"/>
              <w:ind w:firstLine="0"/>
              <w:jc w:val="left"/>
            </w:pPr>
            <w:r>
              <w:rPr>
                <w:b w:val="0"/>
                <w:sz w:val="21"/>
              </w:rPr>
              <w:t>专家意见</w:t>
            </w:r>
          </w:p>
        </w:tc>
        <w:tc>
          <w:tcPr>
            <w:tcW w:type="dxa" w:w="2409"/>
            <w:vAlign w:val="center"/>
          </w:tcPr>
          <w:p>
            <w:pPr>
              <w:keepNext w:val="0"/>
              <w:spacing w:line="320" w:lineRule="exact" w:after="0" w:before="0"/>
              <w:ind w:firstLine="0"/>
              <w:jc w:val="left"/>
            </w:pPr>
            <w:r>
              <w:rPr>
                <w:b w:val="0"/>
                <w:sz w:val="21"/>
              </w:rPr>
              <w:t>参数项枚举＋无法判定</w:t>
            </w:r>
          </w:p>
        </w:tc>
        <w:tc>
          <w:tcPr>
            <w:tcW w:type="dxa" w:w="2891"/>
            <w:vAlign w:val="center"/>
          </w:tcPr>
          <w:p>
            <w:pPr>
              <w:keepNext w:val="0"/>
              <w:spacing w:line="320" w:lineRule="exact" w:after="0" w:before="0"/>
              <w:ind w:firstLine="0"/>
              <w:jc w:val="left"/>
            </w:pPr>
            <w:r>
              <w:rPr>
                <w:b w:val="0"/>
                <w:sz w:val="21"/>
              </w:rPr>
              <w:t>两名业务专家独立判定，不一致进入仲裁</w:t>
            </w:r>
          </w:p>
        </w:tc>
      </w:tr>
      <w:tr>
        <w:trPr>
          <w:cantSplit/>
        </w:trPr>
        <w:tc>
          <w:tcPr>
            <w:tcW w:type="dxa" w:w="1638"/>
            <w:vAlign w:val="center"/>
          </w:tcPr>
          <w:p>
            <w:pPr>
              <w:keepNext w:val="0"/>
              <w:spacing w:line="320" w:lineRule="exact" w:after="0" w:before="0"/>
              <w:ind w:firstLine="0"/>
              <w:jc w:val="left"/>
            </w:pPr>
            <w:r>
              <w:rPr>
                <w:b w:val="0"/>
                <w:sz w:val="21"/>
              </w:rPr>
              <w:t>判断依据</w:t>
            </w:r>
          </w:p>
        </w:tc>
        <w:tc>
          <w:tcPr>
            <w:tcW w:type="dxa" w:w="2699"/>
            <w:vAlign w:val="center"/>
          </w:tcPr>
          <w:p>
            <w:pPr>
              <w:keepNext w:val="0"/>
              <w:spacing w:line="320" w:lineRule="exact" w:after="0" w:before="0"/>
              <w:ind w:firstLine="0"/>
              <w:jc w:val="left"/>
            </w:pPr>
            <w:r>
              <w:rPr>
                <w:b w:val="0"/>
                <w:sz w:val="21"/>
              </w:rPr>
              <w:t>专家意见</w:t>
            </w:r>
          </w:p>
        </w:tc>
        <w:tc>
          <w:tcPr>
            <w:tcW w:type="dxa" w:w="2409"/>
            <w:vAlign w:val="center"/>
          </w:tcPr>
          <w:p>
            <w:pPr>
              <w:keepNext w:val="0"/>
              <w:spacing w:line="320" w:lineRule="exact" w:after="0" w:before="0"/>
              <w:ind w:firstLine="0"/>
              <w:jc w:val="left"/>
            </w:pPr>
            <w:r>
              <w:rPr>
                <w:b w:val="0"/>
                <w:sz w:val="21"/>
              </w:rPr>
              <w:t>结构化文本＋对照的历史批次编号</w:t>
            </w:r>
          </w:p>
        </w:tc>
        <w:tc>
          <w:tcPr>
            <w:tcW w:type="dxa" w:w="2891"/>
            <w:vAlign w:val="center"/>
          </w:tcPr>
          <w:p>
            <w:pPr>
              <w:keepNext w:val="0"/>
              <w:spacing w:line="320" w:lineRule="exact" w:after="0" w:before="0"/>
              <w:ind w:firstLine="0"/>
              <w:jc w:val="left"/>
            </w:pPr>
            <w:r>
              <w:rPr>
                <w:b w:val="0"/>
                <w:sz w:val="21"/>
              </w:rPr>
              <w:t>要求给出可比历史批次作为对照</w:t>
            </w:r>
          </w:p>
        </w:tc>
      </w:tr>
      <w:tr>
        <w:trPr>
          <w:cantSplit/>
        </w:trPr>
        <w:tc>
          <w:tcPr>
            <w:tcW w:type="dxa" w:w="1638"/>
            <w:vAlign w:val="center"/>
          </w:tcPr>
          <w:p>
            <w:pPr>
              <w:keepNext w:val="0"/>
              <w:spacing w:line="320" w:lineRule="exact" w:after="0" w:before="0"/>
              <w:ind w:firstLine="0"/>
              <w:jc w:val="left"/>
            </w:pPr>
            <w:r>
              <w:rPr>
                <w:b w:val="0"/>
                <w:sz w:val="21"/>
              </w:rPr>
              <w:t>质检结论</w:t>
            </w:r>
          </w:p>
        </w:tc>
        <w:tc>
          <w:tcPr>
            <w:tcW w:type="dxa" w:w="2699"/>
            <w:vAlign w:val="center"/>
          </w:tcPr>
          <w:p>
            <w:pPr>
              <w:keepNext w:val="0"/>
              <w:spacing w:line="320" w:lineRule="exact" w:after="0" w:before="0"/>
              <w:ind w:firstLine="0"/>
              <w:jc w:val="left"/>
            </w:pPr>
            <w:r>
              <w:rPr>
                <w:b w:val="0"/>
                <w:sz w:val="21"/>
              </w:rPr>
              <w:t>事实</w:t>
            </w:r>
          </w:p>
        </w:tc>
        <w:tc>
          <w:tcPr>
            <w:tcW w:type="dxa" w:w="2409"/>
            <w:vAlign w:val="center"/>
          </w:tcPr>
          <w:p>
            <w:pPr>
              <w:keepNext w:val="0"/>
              <w:spacing w:line="320" w:lineRule="exact" w:after="0" w:before="0"/>
              <w:ind w:firstLine="0"/>
              <w:jc w:val="left"/>
            </w:pPr>
            <w:r>
              <w:rPr>
                <w:b w:val="0"/>
                <w:sz w:val="21"/>
              </w:rPr>
              <w:t>原始结论及检验轮次，另列处置状态</w:t>
            </w:r>
          </w:p>
        </w:tc>
        <w:tc>
          <w:tcPr>
            <w:tcW w:type="dxa" w:w="2891"/>
            <w:vAlign w:val="center"/>
          </w:tcPr>
          <w:p>
            <w:pPr>
              <w:keepNext w:val="0"/>
              <w:spacing w:line="320" w:lineRule="exact" w:after="0" w:before="0"/>
              <w:ind w:firstLine="0"/>
              <w:jc w:val="left"/>
            </w:pPr>
            <w:r>
              <w:rPr>
                <w:b w:val="0"/>
                <w:sz w:val="21"/>
              </w:rPr>
              <w:t>检验记录及处置单据</w:t>
            </w:r>
          </w:p>
        </w:tc>
      </w:tr>
    </w:tbl>
    <w:p>
      <w:pPr>
        <w:spacing w:after="40" w:line="240" w:lineRule="auto"/>
        <w:ind w:firstLine="0"/>
      </w:pPr>
      <w:r>
        <w:rPr>
          <w:sz w:val="4"/>
        </w:rPr>
      </w:r>
    </w:p>
    <w:p>
      <w:pPr>
        <w:jc w:val="both"/>
      </w:pPr>
      <w:r>
        <w:t>对应关系置信度不足的对象进入补证和关联核验，不能直接用于需要确定对应关系的指令微调或基准评测。经审核可用于“不确定条件下补充检查”任务的，答案明确证据缺口和核查要求。置信度反映关系证据强度，质量等级反映样本适用性，二者分别记录，不能相互替代。</w:t>
      </w:r>
    </w:p>
    <w:p>
      <w:pPr>
        <w:pStyle w:val="Heading2"/>
      </w:pPr>
      <w:r>
        <w:t>2.8 经营决策域数据标注</w:t>
      </w:r>
    </w:p>
    <w:p>
      <w:pPr>
        <w:jc w:val="both"/>
      </w:pPr>
      <w:r>
        <w:t>标注的前提是指标知识库已登记指标口径。知识库覆盖人力资源、研发设计、生产制造、仓储物流、财务、设备、采购、营销、质量九个业务域，逐项登记指标名称、描述、业务限定、维度、统计周期（日／月／季／年）、统计范围、计量单位与计算逻辑。标注时严格依据指标知识库登记的口径，不允许标注员自行定义口径——这是本域标注最容易出问题的地方，因为同一个业务说法在不同部门可能对应不同指标口径，若标注员按自己理解选择，数据集会把口径歧义固化下来。</w:t>
      </w:r>
    </w:p>
    <w:p>
      <w:pPr>
        <w:jc w:val="both"/>
      </w:pPr>
      <w:r>
        <w:t>对每个提问标注对应的指标项（引用指标知识库的指标标识符）、业务限定、统计维度、统计周期、取数逻辑与标准答案。其中取数逻辑以结构化查询意图为主，并保留可在冻结快照上复算的查询或计算实现：标注事实表、过滤条件、聚合方式、分组维度与时间范围，使样本不绑定具体的数据库实现。标准答案标注为数值加单位加口径说明三段，口径说明一栏写明本答案所依据的指标版本与数据快照时点，这一栏使答案在数据更新后仍可核验。</w:t>
      </w:r>
    </w:p>
    <w:p>
      <w:pPr>
        <w:jc w:val="both"/>
      </w:pPr>
      <w:r>
        <w:t>本域标注的一个专门处置是口径歧义提问。实际业务中大量提问本身是不精确的，例如「这个月的产值」可能指产值完成额也可能指产值计划完成率。标注规范对这类提问要求标注「需澄清」标识与澄清选项清单，并产出澄清式对话样本：第一轮为用户提问，第二轮为澄清提问，第三轮为用户选择，第四轮为答案。这类样本对决策问答场景的实用性高于强行给出单一答案的样本。</w:t>
      </w:r>
    </w:p>
    <w:p>
      <w:pPr>
        <w:pStyle w:val="Caption"/>
        <w:keepNext/>
      </w:pPr>
      <w:r>
        <w:t>表2-9 经营决策域标注样本的四段结构与标注要求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段</w:t>
            </w:r>
          </w:p>
        </w:tc>
        <w:tc>
          <w:tcPr>
            <w:tcW w:type="dxa" w:w="2699"/>
            <w:vAlign w:val="center"/>
            <w:shd w:fill="EDF1F3"/>
          </w:tcPr>
          <w:p>
            <w:pPr>
              <w:keepNext/>
              <w:spacing w:line="320" w:lineRule="exact" w:after="0" w:before="0"/>
              <w:ind w:firstLine="0"/>
              <w:jc w:val="center"/>
            </w:pPr>
            <w:r>
              <w:rPr>
                <w:b/>
                <w:sz w:val="21"/>
              </w:rPr>
              <w:t>内容</w:t>
            </w:r>
          </w:p>
        </w:tc>
        <w:tc>
          <w:tcPr>
            <w:tcW w:type="dxa" w:w="2409"/>
            <w:vAlign w:val="center"/>
            <w:shd w:fill="EDF1F3"/>
          </w:tcPr>
          <w:p>
            <w:pPr>
              <w:keepNext/>
              <w:spacing w:line="320" w:lineRule="exact" w:after="0" w:before="0"/>
              <w:ind w:firstLine="0"/>
              <w:jc w:val="center"/>
            </w:pPr>
            <w:r>
              <w:rPr>
                <w:b/>
                <w:sz w:val="21"/>
              </w:rPr>
              <w:t>标注要求</w:t>
            </w:r>
          </w:p>
        </w:tc>
        <w:tc>
          <w:tcPr>
            <w:tcW w:type="dxa" w:w="2891"/>
            <w:vAlign w:val="center"/>
            <w:shd w:fill="EDF1F3"/>
          </w:tcPr>
          <w:p>
            <w:pPr>
              <w:keepNext/>
              <w:spacing w:line="320" w:lineRule="exact" w:after="0" w:before="0"/>
              <w:ind w:firstLine="0"/>
              <w:jc w:val="center"/>
            </w:pPr>
            <w:r>
              <w:rPr>
                <w:b/>
                <w:sz w:val="21"/>
              </w:rPr>
              <w:t>质检要点</w:t>
            </w:r>
          </w:p>
        </w:tc>
      </w:tr>
      <w:tr>
        <w:trPr>
          <w:cantSplit/>
        </w:trPr>
        <w:tc>
          <w:tcPr>
            <w:tcW w:type="dxa" w:w="1638"/>
            <w:vAlign w:val="center"/>
          </w:tcPr>
          <w:p>
            <w:pPr>
              <w:keepNext w:val="0"/>
              <w:spacing w:line="320" w:lineRule="exact" w:after="0" w:before="0"/>
              <w:ind w:firstLine="0"/>
              <w:jc w:val="left"/>
            </w:pPr>
            <w:r>
              <w:rPr>
                <w:b w:val="0"/>
                <w:sz w:val="21"/>
              </w:rPr>
              <w:t>问题</w:t>
            </w:r>
          </w:p>
        </w:tc>
        <w:tc>
          <w:tcPr>
            <w:tcW w:type="dxa" w:w="2699"/>
            <w:vAlign w:val="center"/>
          </w:tcPr>
          <w:p>
            <w:pPr>
              <w:keepNext w:val="0"/>
              <w:spacing w:line="320" w:lineRule="exact" w:after="0" w:before="0"/>
              <w:ind w:firstLine="0"/>
              <w:jc w:val="left"/>
            </w:pPr>
            <w:r>
              <w:rPr>
                <w:b w:val="0"/>
                <w:sz w:val="21"/>
              </w:rPr>
              <w:t>自然语言提问</w:t>
            </w:r>
          </w:p>
        </w:tc>
        <w:tc>
          <w:tcPr>
            <w:tcW w:type="dxa" w:w="2409"/>
            <w:vAlign w:val="center"/>
          </w:tcPr>
          <w:p>
            <w:pPr>
              <w:keepNext w:val="0"/>
              <w:spacing w:line="320" w:lineRule="exact" w:after="0" w:before="0"/>
              <w:ind w:firstLine="0"/>
              <w:jc w:val="left"/>
            </w:pPr>
            <w:r>
              <w:rPr>
                <w:b w:val="0"/>
                <w:sz w:val="21"/>
              </w:rPr>
              <w:t>保留业务人员的真实说法，不改写为规范术语</w:t>
            </w:r>
          </w:p>
        </w:tc>
        <w:tc>
          <w:tcPr>
            <w:tcW w:type="dxa" w:w="2891"/>
            <w:vAlign w:val="center"/>
          </w:tcPr>
          <w:p>
            <w:pPr>
              <w:keepNext w:val="0"/>
              <w:spacing w:line="320" w:lineRule="exact" w:after="0" w:before="0"/>
              <w:ind w:firstLine="0"/>
              <w:jc w:val="left"/>
            </w:pPr>
            <w:r>
              <w:rPr>
                <w:b w:val="0"/>
                <w:sz w:val="21"/>
              </w:rPr>
              <w:t>提问须属九个业务域之一，跨域提问单列</w:t>
            </w:r>
          </w:p>
        </w:tc>
      </w:tr>
      <w:tr>
        <w:trPr>
          <w:cantSplit/>
        </w:trPr>
        <w:tc>
          <w:tcPr>
            <w:tcW w:type="dxa" w:w="1638"/>
            <w:vAlign w:val="center"/>
          </w:tcPr>
          <w:p>
            <w:pPr>
              <w:keepNext w:val="0"/>
              <w:spacing w:line="320" w:lineRule="exact" w:after="0" w:before="0"/>
              <w:ind w:firstLine="0"/>
              <w:jc w:val="left"/>
            </w:pPr>
            <w:r>
              <w:rPr>
                <w:b w:val="0"/>
                <w:sz w:val="21"/>
              </w:rPr>
              <w:t>指标口径</w:t>
            </w:r>
          </w:p>
        </w:tc>
        <w:tc>
          <w:tcPr>
            <w:tcW w:type="dxa" w:w="2699"/>
            <w:vAlign w:val="center"/>
          </w:tcPr>
          <w:p>
            <w:pPr>
              <w:keepNext w:val="0"/>
              <w:spacing w:line="320" w:lineRule="exact" w:after="0" w:before="0"/>
              <w:ind w:firstLine="0"/>
              <w:jc w:val="left"/>
            </w:pPr>
            <w:r>
              <w:rPr>
                <w:b w:val="0"/>
                <w:sz w:val="21"/>
              </w:rPr>
              <w:t>指标项、业务限定、统计维度、统计周期、统计范围、计量单位</w:t>
            </w:r>
          </w:p>
        </w:tc>
        <w:tc>
          <w:tcPr>
            <w:tcW w:type="dxa" w:w="2409"/>
            <w:vAlign w:val="center"/>
          </w:tcPr>
          <w:p>
            <w:pPr>
              <w:keepNext w:val="0"/>
              <w:spacing w:line="320" w:lineRule="exact" w:after="0" w:before="0"/>
              <w:ind w:firstLine="0"/>
              <w:jc w:val="left"/>
            </w:pPr>
            <w:r>
              <w:rPr>
                <w:b w:val="0"/>
                <w:sz w:val="21"/>
              </w:rPr>
              <w:t>引用指标知识库标识符与版本</w:t>
            </w:r>
          </w:p>
        </w:tc>
        <w:tc>
          <w:tcPr>
            <w:tcW w:type="dxa" w:w="2891"/>
            <w:vAlign w:val="center"/>
          </w:tcPr>
          <w:p>
            <w:pPr>
              <w:keepNext w:val="0"/>
              <w:spacing w:line="320" w:lineRule="exact" w:after="0" w:before="0"/>
              <w:ind w:firstLine="0"/>
              <w:jc w:val="left"/>
            </w:pPr>
            <w:r>
              <w:rPr>
                <w:b w:val="0"/>
                <w:sz w:val="21"/>
              </w:rPr>
              <w:t>与指标知识库逐字段核对一致</w:t>
            </w:r>
          </w:p>
        </w:tc>
      </w:tr>
      <w:tr>
        <w:trPr>
          <w:cantSplit/>
        </w:trPr>
        <w:tc>
          <w:tcPr>
            <w:tcW w:type="dxa" w:w="1638"/>
            <w:vAlign w:val="center"/>
          </w:tcPr>
          <w:p>
            <w:pPr>
              <w:keepNext w:val="0"/>
              <w:spacing w:line="320" w:lineRule="exact" w:after="0" w:before="0"/>
              <w:ind w:firstLine="0"/>
              <w:jc w:val="left"/>
            </w:pPr>
            <w:r>
              <w:rPr>
                <w:b w:val="0"/>
                <w:sz w:val="21"/>
              </w:rPr>
              <w:t>取数逻辑</w:t>
            </w:r>
          </w:p>
        </w:tc>
        <w:tc>
          <w:tcPr>
            <w:tcW w:type="dxa" w:w="2699"/>
            <w:vAlign w:val="center"/>
          </w:tcPr>
          <w:p>
            <w:pPr>
              <w:keepNext w:val="0"/>
              <w:spacing w:line="320" w:lineRule="exact" w:after="0" w:before="0"/>
              <w:ind w:firstLine="0"/>
              <w:jc w:val="left"/>
            </w:pPr>
            <w:r>
              <w:rPr>
                <w:b w:val="0"/>
                <w:sz w:val="21"/>
              </w:rPr>
              <w:t>事实表、过滤条件、聚合方式、分组维度、时间范围</w:t>
            </w:r>
          </w:p>
        </w:tc>
        <w:tc>
          <w:tcPr>
            <w:tcW w:type="dxa" w:w="2409"/>
            <w:vAlign w:val="center"/>
          </w:tcPr>
          <w:p>
            <w:pPr>
              <w:keepNext w:val="0"/>
              <w:spacing w:line="320" w:lineRule="exact" w:after="0" w:before="0"/>
              <w:ind w:firstLine="0"/>
              <w:jc w:val="left"/>
            </w:pPr>
            <w:r>
              <w:rPr>
                <w:b w:val="0"/>
                <w:sz w:val="21"/>
              </w:rPr>
              <w:t>结构化意图关联受控查询与计算实现</w:t>
            </w:r>
          </w:p>
        </w:tc>
        <w:tc>
          <w:tcPr>
            <w:tcW w:type="dxa" w:w="2891"/>
            <w:vAlign w:val="center"/>
          </w:tcPr>
          <w:p>
            <w:pPr>
              <w:keepNext w:val="0"/>
              <w:spacing w:line="320" w:lineRule="exact" w:after="0" w:before="0"/>
              <w:ind w:firstLine="0"/>
              <w:jc w:val="left"/>
            </w:pPr>
            <w:r>
              <w:rPr>
                <w:b w:val="0"/>
                <w:sz w:val="21"/>
              </w:rPr>
              <w:t>按逻辑复算答案可复现</w:t>
            </w:r>
          </w:p>
        </w:tc>
      </w:tr>
      <w:tr>
        <w:trPr>
          <w:cantSplit/>
        </w:trPr>
        <w:tc>
          <w:tcPr>
            <w:tcW w:type="dxa" w:w="1638"/>
            <w:vAlign w:val="center"/>
          </w:tcPr>
          <w:p>
            <w:pPr>
              <w:keepNext w:val="0"/>
              <w:spacing w:line="320" w:lineRule="exact" w:after="0" w:before="0"/>
              <w:ind w:firstLine="0"/>
              <w:jc w:val="left"/>
            </w:pPr>
            <w:r>
              <w:rPr>
                <w:b w:val="0"/>
                <w:sz w:val="21"/>
              </w:rPr>
              <w:t>答案</w:t>
            </w:r>
          </w:p>
        </w:tc>
        <w:tc>
          <w:tcPr>
            <w:tcW w:type="dxa" w:w="2699"/>
            <w:vAlign w:val="center"/>
          </w:tcPr>
          <w:p>
            <w:pPr>
              <w:keepNext w:val="0"/>
              <w:spacing w:line="320" w:lineRule="exact" w:after="0" w:before="0"/>
              <w:ind w:firstLine="0"/>
              <w:jc w:val="left"/>
            </w:pPr>
            <w:r>
              <w:rPr>
                <w:b w:val="0"/>
                <w:sz w:val="21"/>
              </w:rPr>
              <w:t>数值＋单位＋口径说明（指标版本与数据快照时点）</w:t>
            </w:r>
          </w:p>
        </w:tc>
        <w:tc>
          <w:tcPr>
            <w:tcW w:type="dxa" w:w="2409"/>
            <w:vAlign w:val="center"/>
          </w:tcPr>
          <w:p>
            <w:pPr>
              <w:keepNext w:val="0"/>
              <w:spacing w:line="320" w:lineRule="exact" w:after="0" w:before="0"/>
              <w:ind w:firstLine="0"/>
              <w:jc w:val="left"/>
            </w:pPr>
            <w:r>
              <w:rPr>
                <w:b w:val="0"/>
                <w:sz w:val="21"/>
              </w:rPr>
              <w:t>须可按取数逻辑复算</w:t>
            </w:r>
          </w:p>
        </w:tc>
        <w:tc>
          <w:tcPr>
            <w:tcW w:type="dxa" w:w="2891"/>
            <w:vAlign w:val="center"/>
          </w:tcPr>
          <w:p>
            <w:pPr>
              <w:keepNext w:val="0"/>
              <w:spacing w:line="320" w:lineRule="exact" w:after="0" w:before="0"/>
              <w:ind w:firstLine="0"/>
              <w:jc w:val="left"/>
            </w:pPr>
            <w:r>
              <w:rPr>
                <w:b w:val="0"/>
                <w:sz w:val="21"/>
              </w:rPr>
              <w:t>抽样复算，差异超容限的退回</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3" name="Picture 3"/>
            <wp:cNvGraphicFramePr>
              <a:graphicFrameLocks noChangeAspect="1"/>
            </wp:cNvGraphicFramePr>
            <a:graphic>
              <a:graphicData uri="http://schemas.openxmlformats.org/drawingml/2006/picture">
                <pic:pic>
                  <pic:nvPicPr>
                    <pic:cNvPr id="0" name="图3_证据关系.png"/>
                    <pic:cNvPicPr/>
                  </pic:nvPicPr>
                  <pic:blipFill>
                    <a:blip r:embed="rId13"/>
                    <a:stretch>
                      <a:fillRect/>
                    </a:stretch>
                  </pic:blipFill>
                  <pic:spPr>
                    <a:xfrm>
                      <a:off x="0" y="0"/>
                      <a:ext cx="6048000" cy="2477354"/>
                    </a:xfrm>
                    <a:prstGeom prst="rect"/>
                  </pic:spPr>
                </pic:pic>
              </a:graphicData>
            </a:graphic>
          </wp:inline>
        </w:drawing>
      </w:r>
    </w:p>
    <w:p>
      <w:pPr>
        <w:pStyle w:val="Caption"/>
        <w:jc w:val="center"/>
      </w:pPr>
      <w:r>
        <w:t>图 2-2 标注对象与证据关系</w:t>
      </w:r>
    </w:p>
    <w:p>
      <w:pPr>
        <w:pStyle w:val="Heading2"/>
      </w:pPr>
      <w:r>
        <w:t>2.9 标注口径统一与三级校验</w:t>
      </w:r>
    </w:p>
    <w:p>
      <w:pPr>
        <w:pStyle w:val="Heading3"/>
      </w:pPr>
      <w:r>
        <w:t>2.9.1 三级校验的职责与判定线</w:t>
      </w:r>
    </w:p>
    <w:p>
      <w:pPr>
        <w:jc w:val="both"/>
      </w:pPr>
      <w:r>
        <w:t>三级校验的设计意图是让不同性质的问题在不同层级解决：格式与完整性问题在自检层解决，判定准确性问题在抽检层发现，判定分歧在仲裁层定案。三级的职责、方式与判定线如表 2-10。</w:t>
      </w:r>
    </w:p>
    <w:p>
      <w:pPr>
        <w:pStyle w:val="Caption"/>
        <w:keepNext/>
      </w:pPr>
      <w:r>
        <w:t>表2-10 三级校验的职责、方式与判定线</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层级</w:t>
            </w:r>
          </w:p>
        </w:tc>
        <w:tc>
          <w:tcPr>
            <w:tcW w:type="dxa" w:w="2120"/>
            <w:vAlign w:val="center"/>
            <w:shd w:fill="EDF1F3"/>
          </w:tcPr>
          <w:p>
            <w:pPr>
              <w:keepNext/>
              <w:spacing w:line="320" w:lineRule="exact" w:after="0" w:before="0"/>
              <w:ind w:firstLine="0"/>
              <w:jc w:val="center"/>
            </w:pPr>
            <w:r>
              <w:rPr>
                <w:b/>
                <w:sz w:val="21"/>
              </w:rPr>
              <w:t>执行者</w:t>
            </w:r>
          </w:p>
        </w:tc>
        <w:tc>
          <w:tcPr>
            <w:tcW w:type="dxa" w:w="1928"/>
            <w:vAlign w:val="center"/>
            <w:shd w:fill="EDF1F3"/>
          </w:tcPr>
          <w:p>
            <w:pPr>
              <w:keepNext/>
              <w:spacing w:line="320" w:lineRule="exact" w:after="0" w:before="0"/>
              <w:ind w:firstLine="0"/>
              <w:jc w:val="center"/>
            </w:pPr>
            <w:r>
              <w:rPr>
                <w:b/>
                <w:sz w:val="21"/>
              </w:rPr>
              <w:t>检查内容</w:t>
            </w:r>
          </w:p>
        </w:tc>
        <w:tc>
          <w:tcPr>
            <w:tcW w:type="dxa" w:w="1928"/>
            <w:vAlign w:val="center"/>
            <w:shd w:fill="EDF1F3"/>
          </w:tcPr>
          <w:p>
            <w:pPr>
              <w:keepNext/>
              <w:spacing w:line="320" w:lineRule="exact" w:after="0" w:before="0"/>
              <w:ind w:firstLine="0"/>
              <w:jc w:val="center"/>
            </w:pPr>
            <w:r>
              <w:rPr>
                <w:b/>
                <w:sz w:val="21"/>
              </w:rPr>
              <w:t>方式</w:t>
            </w:r>
          </w:p>
        </w:tc>
        <w:tc>
          <w:tcPr>
            <w:tcW w:type="dxa" w:w="1928"/>
            <w:vAlign w:val="center"/>
            <w:shd w:fill="EDF1F3"/>
          </w:tcPr>
          <w:p>
            <w:pPr>
              <w:keepNext/>
              <w:spacing w:line="320" w:lineRule="exact" w:after="0" w:before="0"/>
              <w:ind w:firstLine="0"/>
              <w:jc w:val="center"/>
            </w:pPr>
            <w:r>
              <w:rPr>
                <w:b/>
                <w:sz w:val="21"/>
              </w:rPr>
              <w:t>判定线与处置</w:t>
            </w:r>
          </w:p>
        </w:tc>
      </w:tr>
      <w:tr>
        <w:trPr>
          <w:cantSplit/>
        </w:trPr>
        <w:tc>
          <w:tcPr>
            <w:tcW w:type="dxa" w:w="1735"/>
            <w:vAlign w:val="center"/>
          </w:tcPr>
          <w:p>
            <w:pPr>
              <w:keepNext w:val="0"/>
              <w:spacing w:line="320" w:lineRule="exact" w:after="0" w:before="0"/>
              <w:ind w:firstLine="0"/>
              <w:jc w:val="left"/>
            </w:pPr>
            <w:r>
              <w:rPr>
                <w:b w:val="0"/>
                <w:sz w:val="21"/>
              </w:rPr>
              <w:t>自检</w:t>
            </w:r>
          </w:p>
        </w:tc>
        <w:tc>
          <w:tcPr>
            <w:tcW w:type="dxa" w:w="2120"/>
            <w:vAlign w:val="center"/>
          </w:tcPr>
          <w:p>
            <w:pPr>
              <w:keepNext w:val="0"/>
              <w:spacing w:line="320" w:lineRule="exact" w:after="0" w:before="0"/>
              <w:ind w:firstLine="0"/>
              <w:jc w:val="left"/>
            </w:pPr>
            <w:r>
              <w:rPr>
                <w:b w:val="0"/>
                <w:sz w:val="21"/>
              </w:rPr>
              <w:t>标注员本人</w:t>
            </w:r>
          </w:p>
        </w:tc>
        <w:tc>
          <w:tcPr>
            <w:tcW w:type="dxa" w:w="1928"/>
            <w:vAlign w:val="center"/>
          </w:tcPr>
          <w:p>
            <w:pPr>
              <w:keepNext w:val="0"/>
              <w:spacing w:line="320" w:lineRule="exact" w:after="0" w:before="0"/>
              <w:ind w:firstLine="0"/>
              <w:jc w:val="left"/>
            </w:pPr>
            <w:r>
              <w:rPr>
                <w:b w:val="0"/>
                <w:sz w:val="21"/>
              </w:rPr>
              <w:t>必填字段完整性、取值域合规性、依据指向有效性、格式规范性</w:t>
            </w:r>
          </w:p>
        </w:tc>
        <w:tc>
          <w:tcPr>
            <w:tcW w:type="dxa" w:w="1928"/>
            <w:vAlign w:val="center"/>
          </w:tcPr>
          <w:p>
            <w:pPr>
              <w:keepNext w:val="0"/>
              <w:spacing w:line="320" w:lineRule="exact" w:after="0" w:before="0"/>
              <w:ind w:firstLine="0"/>
              <w:jc w:val="left"/>
            </w:pPr>
            <w:r>
              <w:rPr>
                <w:b w:val="0"/>
                <w:sz w:val="21"/>
              </w:rPr>
              <w:t>工具内校验规则自动触发＋标注员逐条确认</w:t>
            </w:r>
          </w:p>
        </w:tc>
        <w:tc>
          <w:tcPr>
            <w:tcW w:type="dxa" w:w="1928"/>
            <w:vAlign w:val="center"/>
          </w:tcPr>
          <w:p>
            <w:pPr>
              <w:keepNext w:val="0"/>
              <w:spacing w:line="320" w:lineRule="exact" w:after="0" w:before="0"/>
              <w:ind w:firstLine="0"/>
              <w:jc w:val="left"/>
            </w:pPr>
            <w:r>
              <w:rPr>
                <w:b w:val="0"/>
                <w:sz w:val="21"/>
              </w:rPr>
              <w:t>自检未通过的样本不允许提交；自检通过率低于 95% 的标注员重新培训</w:t>
            </w:r>
          </w:p>
        </w:tc>
      </w:tr>
      <w:tr>
        <w:trPr>
          <w:cantSplit/>
        </w:trPr>
        <w:tc>
          <w:tcPr>
            <w:tcW w:type="dxa" w:w="1735"/>
            <w:vAlign w:val="center"/>
          </w:tcPr>
          <w:p>
            <w:pPr>
              <w:keepNext w:val="0"/>
              <w:spacing w:line="320" w:lineRule="exact" w:after="0" w:before="0"/>
              <w:ind w:firstLine="0"/>
              <w:jc w:val="left"/>
            </w:pPr>
            <w:r>
              <w:rPr>
                <w:b w:val="0"/>
                <w:sz w:val="21"/>
              </w:rPr>
              <w:t>抽检</w:t>
            </w:r>
          </w:p>
        </w:tc>
        <w:tc>
          <w:tcPr>
            <w:tcW w:type="dxa" w:w="2120"/>
            <w:vAlign w:val="center"/>
          </w:tcPr>
          <w:p>
            <w:pPr>
              <w:keepNext w:val="0"/>
              <w:spacing w:line="320" w:lineRule="exact" w:after="0" w:before="0"/>
              <w:ind w:firstLine="0"/>
              <w:jc w:val="left"/>
            </w:pPr>
            <w:r>
              <w:rPr>
                <w:b w:val="0"/>
                <w:sz w:val="21"/>
              </w:rPr>
              <w:t>我方质检岗</w:t>
            </w:r>
          </w:p>
        </w:tc>
        <w:tc>
          <w:tcPr>
            <w:tcW w:type="dxa" w:w="1928"/>
            <w:vAlign w:val="center"/>
          </w:tcPr>
          <w:p>
            <w:pPr>
              <w:keepNext w:val="0"/>
              <w:spacing w:line="320" w:lineRule="exact" w:after="0" w:before="0"/>
              <w:ind w:firstLine="0"/>
              <w:jc w:val="left"/>
            </w:pPr>
            <w:r>
              <w:rPr>
                <w:b w:val="0"/>
                <w:sz w:val="21"/>
              </w:rPr>
              <w:t>判定准确性、标注粒度一致性、边界情形处置是否按规范</w:t>
            </w:r>
          </w:p>
        </w:tc>
        <w:tc>
          <w:tcPr>
            <w:tcW w:type="dxa" w:w="1928"/>
            <w:vAlign w:val="center"/>
          </w:tcPr>
          <w:p>
            <w:pPr>
              <w:keepNext w:val="0"/>
              <w:spacing w:line="320" w:lineRule="exact" w:after="0" w:before="0"/>
              <w:ind w:firstLine="0"/>
              <w:jc w:val="left"/>
            </w:pPr>
            <w:r>
              <w:rPr>
                <w:b w:val="0"/>
                <w:sz w:val="21"/>
              </w:rPr>
              <w:t>按批次分层抽样，抽样比例随批次质量动态调整</w:t>
            </w:r>
          </w:p>
        </w:tc>
        <w:tc>
          <w:tcPr>
            <w:tcW w:type="dxa" w:w="1928"/>
            <w:vAlign w:val="center"/>
          </w:tcPr>
          <w:p>
            <w:pPr>
              <w:keepNext w:val="0"/>
              <w:spacing w:line="320" w:lineRule="exact" w:after="0" w:before="0"/>
              <w:ind w:firstLine="0"/>
              <w:jc w:val="left"/>
            </w:pPr>
            <w:r>
              <w:rPr>
                <w:b w:val="0"/>
                <w:sz w:val="21"/>
              </w:rPr>
              <w:t>抽检合格率低于规范给定阈值的，批次整体退回重标</w:t>
            </w:r>
          </w:p>
        </w:tc>
      </w:tr>
      <w:tr>
        <w:trPr>
          <w:cantSplit/>
        </w:trPr>
        <w:tc>
          <w:tcPr>
            <w:tcW w:type="dxa" w:w="1735"/>
            <w:vAlign w:val="center"/>
          </w:tcPr>
          <w:p>
            <w:pPr>
              <w:keepNext w:val="0"/>
              <w:spacing w:line="320" w:lineRule="exact" w:after="0" w:before="0"/>
              <w:ind w:firstLine="0"/>
              <w:jc w:val="left"/>
            </w:pPr>
            <w:r>
              <w:rPr>
                <w:b w:val="0"/>
                <w:sz w:val="21"/>
              </w:rPr>
              <w:t>仲裁</w:t>
            </w:r>
          </w:p>
        </w:tc>
        <w:tc>
          <w:tcPr>
            <w:tcW w:type="dxa" w:w="2120"/>
            <w:vAlign w:val="center"/>
          </w:tcPr>
          <w:p>
            <w:pPr>
              <w:keepNext w:val="0"/>
              <w:spacing w:line="320" w:lineRule="exact" w:after="0" w:before="0"/>
              <w:ind w:firstLine="0"/>
              <w:jc w:val="left"/>
            </w:pPr>
            <w:r>
              <w:rPr>
                <w:b w:val="0"/>
                <w:sz w:val="21"/>
              </w:rPr>
              <w:t>业务专家</w:t>
            </w:r>
          </w:p>
        </w:tc>
        <w:tc>
          <w:tcPr>
            <w:tcW w:type="dxa" w:w="1928"/>
            <w:vAlign w:val="center"/>
          </w:tcPr>
          <w:p>
            <w:pPr>
              <w:keepNext w:val="0"/>
              <w:spacing w:line="320" w:lineRule="exact" w:after="0" w:before="0"/>
              <w:ind w:firstLine="0"/>
              <w:jc w:val="left"/>
            </w:pPr>
            <w:r>
              <w:rPr>
                <w:b w:val="0"/>
                <w:sz w:val="21"/>
              </w:rPr>
              <w:t>抽检中发现的判定分歧、标注员提出的规范问题单</w:t>
            </w:r>
          </w:p>
        </w:tc>
        <w:tc>
          <w:tcPr>
            <w:tcW w:type="dxa" w:w="1928"/>
            <w:vAlign w:val="center"/>
          </w:tcPr>
          <w:p>
            <w:pPr>
              <w:keepNext w:val="0"/>
              <w:spacing w:line="320" w:lineRule="exact" w:after="0" w:before="0"/>
              <w:ind w:firstLine="0"/>
              <w:jc w:val="left"/>
            </w:pPr>
            <w:r>
              <w:rPr>
                <w:b w:val="0"/>
                <w:sz w:val="21"/>
              </w:rPr>
              <w:t>专家评议并出具仲裁意见，意见回灌标注规范</w:t>
            </w:r>
          </w:p>
        </w:tc>
        <w:tc>
          <w:tcPr>
            <w:tcW w:type="dxa" w:w="1928"/>
            <w:vAlign w:val="center"/>
          </w:tcPr>
          <w:p>
            <w:pPr>
              <w:keepNext w:val="0"/>
              <w:spacing w:line="320" w:lineRule="exact" w:after="0" w:before="0"/>
              <w:ind w:firstLine="0"/>
              <w:jc w:val="left"/>
            </w:pPr>
            <w:r>
              <w:rPr>
                <w:b w:val="0"/>
                <w:sz w:val="21"/>
              </w:rPr>
              <w:t>仲裁意见为规范修订依据；发现系统性分歧即修订规范并复核受影响范围，关键错误立即暂停作业</w:t>
            </w:r>
          </w:p>
        </w:tc>
      </w:tr>
    </w:tbl>
    <w:p>
      <w:pPr>
        <w:spacing w:after="40" w:line="240" w:lineRule="auto"/>
        <w:ind w:firstLine="0"/>
      </w:pPr>
      <w:r>
        <w:rPr>
          <w:sz w:val="4"/>
        </w:rPr>
      </w:r>
    </w:p>
    <w:p>
      <w:pPr>
        <w:jc w:val="both"/>
      </w:pPr>
      <w:r>
        <w:t>抽检比例的动态调整口径是：新任务或新标注员上岗的首两个批次按 20% 抽检；连续三个批次抽检合格率达到阈值的降至 10%；出现批次退回的回升至 20% 并连续三批；同一标注员两次导致批次退回的转入全量复核直至重新通过黄金集考核。这一调整机制使抽检工时投向质量风险高的批次。</w:t>
      </w:r>
    </w:p>
    <w:p>
      <w:pPr>
        <w:jc w:val="both"/>
      </w:pPr>
      <w:r>
        <w:t>抽检合格率阈值按标注任务的客观程度分档设定：取值域封闭且判定准则明确的任务（工序选择、检验项、指标项、工况分类）阈值设为 95%；需要专业判断但有明确准则的任务（条款类型、缺陷类型、加工特征）设为 90%；依赖专家经验的任务（风险等级、根因判定、主导参数判断、库存决策标签）设为 85%，且这类任务的「合格」判定本身以仲裁结论为准而非以单一质检员意见为准。分档的理由是：对主观性强的任务设过高的一致率阈值会迫使标注员向保守取值收敛，反而损失信息量。</w:t>
      </w:r>
    </w:p>
    <w:p>
      <w:pPr>
        <w:pStyle w:val="Heading3"/>
      </w:pPr>
      <w:r>
        <w:t>2.9.2 跨标注员一致性校验</w:t>
      </w:r>
    </w:p>
    <w:p>
      <w:pPr>
        <w:jc w:val="both"/>
      </w:pPr>
      <w:r>
        <w:t>每个批次抽取5%至10%的样本开展盲态重复标注，按来源、标签、难度和人员分层。新标签、关键风险类别、低频故障和新上岗人员增加重复标注范围。参与人员独立作答，不查看其他人的标注及仲裁答案。保留仲裁前的原始结果用于一致性计算，仲裁后的统一结论用于修复标签，不能把仲裁后的相同答案重新计算成作业一致率。</w:t>
      </w:r>
    </w:p>
    <w:p>
      <w:pPr>
        <w:jc w:val="both"/>
      </w:pPr>
      <w:r>
        <w:t>名义型标签计算原始一致率及扣除随机一致影响的系数，两人任务使用Cohen κ，多人任务使用适用的多人一致性指标；有序标签采用预先固定权重的加权κ。位置类先按对象身份及类别完成一对一配对，记录漏标、多标和错误配对，再计算交并比。空标对空标单独统计，不能作为高交并比样本抬高均值。工序序列同时检查强制依赖和禁用组合，序列相似度高不能抵消关键顺序错误。</w:t>
      </w:r>
    </w:p>
    <w:p>
      <w:pPr>
        <w:pStyle w:val="Caption"/>
        <w:keepNext/>
      </w:pPr>
      <w:r>
        <w:t>表2-11 跨标注员一致性校验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标签类型</w:t>
            </w:r>
          </w:p>
        </w:tc>
        <w:tc>
          <w:tcPr>
            <w:tcW w:type="dxa" w:w="2699"/>
            <w:vAlign w:val="center"/>
            <w:shd w:fill="EDF1F3"/>
          </w:tcPr>
          <w:p>
            <w:pPr>
              <w:keepNext/>
              <w:spacing w:line="320" w:lineRule="exact" w:after="0" w:before="0"/>
              <w:ind w:firstLine="0"/>
              <w:jc w:val="center"/>
            </w:pPr>
            <w:r>
              <w:rPr>
                <w:b/>
                <w:sz w:val="21"/>
              </w:rPr>
              <w:t>统计指标</w:t>
            </w:r>
          </w:p>
        </w:tc>
        <w:tc>
          <w:tcPr>
            <w:tcW w:type="dxa" w:w="2409"/>
            <w:vAlign w:val="center"/>
            <w:shd w:fill="EDF1F3"/>
          </w:tcPr>
          <w:p>
            <w:pPr>
              <w:keepNext/>
              <w:spacing w:line="320" w:lineRule="exact" w:after="0" w:before="0"/>
              <w:ind w:firstLine="0"/>
              <w:jc w:val="center"/>
            </w:pPr>
            <w:r>
              <w:rPr>
                <w:b/>
                <w:sz w:val="21"/>
              </w:rPr>
              <w:t>作业控制要求</w:t>
            </w:r>
          </w:p>
        </w:tc>
        <w:tc>
          <w:tcPr>
            <w:tcW w:type="dxa" w:w="2891"/>
            <w:vAlign w:val="center"/>
            <w:shd w:fill="EDF1F3"/>
          </w:tcPr>
          <w:p>
            <w:pPr>
              <w:keepNext/>
              <w:spacing w:line="320" w:lineRule="exact" w:after="0" w:before="0"/>
              <w:ind w:firstLine="0"/>
              <w:jc w:val="center"/>
            </w:pPr>
            <w:r>
              <w:rPr>
                <w:b/>
                <w:sz w:val="21"/>
              </w:rPr>
              <w:t>复核重点</w:t>
            </w:r>
          </w:p>
        </w:tc>
      </w:tr>
      <w:tr>
        <w:trPr>
          <w:cantSplit/>
        </w:trPr>
        <w:tc>
          <w:tcPr>
            <w:tcW w:type="dxa" w:w="1638"/>
            <w:vAlign w:val="center"/>
          </w:tcPr>
          <w:p>
            <w:pPr>
              <w:keepNext w:val="0"/>
              <w:spacing w:line="320" w:lineRule="exact" w:after="0" w:before="0"/>
              <w:ind w:firstLine="0"/>
              <w:jc w:val="left"/>
            </w:pPr>
            <w:r>
              <w:rPr>
                <w:b w:val="0"/>
                <w:sz w:val="21"/>
              </w:rPr>
              <w:t>名义类别</w:t>
            </w:r>
          </w:p>
        </w:tc>
        <w:tc>
          <w:tcPr>
            <w:tcW w:type="dxa" w:w="2699"/>
            <w:vAlign w:val="center"/>
          </w:tcPr>
          <w:p>
            <w:pPr>
              <w:keepNext w:val="0"/>
              <w:spacing w:line="320" w:lineRule="exact" w:after="0" w:before="0"/>
              <w:ind w:firstLine="0"/>
              <w:jc w:val="left"/>
            </w:pPr>
            <w:r>
              <w:rPr>
                <w:b w:val="0"/>
                <w:sz w:val="21"/>
              </w:rPr>
              <w:t>原始一致率及Cohen κ或适用多人指标</w:t>
            </w:r>
          </w:p>
        </w:tc>
        <w:tc>
          <w:tcPr>
            <w:tcW w:type="dxa" w:w="2409"/>
            <w:vAlign w:val="center"/>
          </w:tcPr>
          <w:p>
            <w:pPr>
              <w:keepNext w:val="0"/>
              <w:spacing w:line="320" w:lineRule="exact" w:after="0" w:before="0"/>
              <w:ind w:firstLine="0"/>
              <w:jc w:val="left"/>
            </w:pPr>
            <w:r>
              <w:rPr>
                <w:b w:val="0"/>
                <w:sz w:val="21"/>
              </w:rPr>
              <w:t>准则明确任务一致率不低于90%，κ不低于0.80</w:t>
            </w:r>
          </w:p>
        </w:tc>
        <w:tc>
          <w:tcPr>
            <w:tcW w:type="dxa" w:w="2891"/>
            <w:vAlign w:val="center"/>
          </w:tcPr>
          <w:p>
            <w:pPr>
              <w:keepNext w:val="0"/>
              <w:spacing w:line="320" w:lineRule="exact" w:after="0" w:before="0"/>
              <w:ind w:firstLine="0"/>
              <w:jc w:val="left"/>
            </w:pPr>
            <w:r>
              <w:rPr>
                <w:b w:val="0"/>
                <w:sz w:val="21"/>
              </w:rPr>
              <w:t>混淆矩阵、少数类别和证据完整性</w:t>
            </w:r>
          </w:p>
        </w:tc>
      </w:tr>
      <w:tr>
        <w:trPr>
          <w:cantSplit/>
        </w:trPr>
        <w:tc>
          <w:tcPr>
            <w:tcW w:type="dxa" w:w="1638"/>
            <w:vAlign w:val="center"/>
          </w:tcPr>
          <w:p>
            <w:pPr>
              <w:keepNext w:val="0"/>
              <w:spacing w:line="320" w:lineRule="exact" w:after="0" w:before="0"/>
              <w:ind w:firstLine="0"/>
              <w:jc w:val="left"/>
            </w:pPr>
            <w:r>
              <w:rPr>
                <w:b w:val="0"/>
                <w:sz w:val="21"/>
              </w:rPr>
              <w:t>有序等级</w:t>
            </w:r>
          </w:p>
        </w:tc>
        <w:tc>
          <w:tcPr>
            <w:tcW w:type="dxa" w:w="2699"/>
            <w:vAlign w:val="center"/>
          </w:tcPr>
          <w:p>
            <w:pPr>
              <w:keepNext w:val="0"/>
              <w:spacing w:line="320" w:lineRule="exact" w:after="0" w:before="0"/>
              <w:ind w:firstLine="0"/>
              <w:jc w:val="left"/>
            </w:pPr>
            <w:r>
              <w:rPr>
                <w:b w:val="0"/>
                <w:sz w:val="21"/>
              </w:rPr>
              <w:t>加权κ及逐档一致率</w:t>
            </w:r>
          </w:p>
        </w:tc>
        <w:tc>
          <w:tcPr>
            <w:tcW w:type="dxa" w:w="2409"/>
            <w:vAlign w:val="center"/>
          </w:tcPr>
          <w:p>
            <w:pPr>
              <w:keepNext w:val="0"/>
              <w:spacing w:line="320" w:lineRule="exact" w:after="0" w:before="0"/>
              <w:ind w:firstLine="0"/>
              <w:jc w:val="left"/>
            </w:pPr>
            <w:r>
              <w:rPr>
                <w:b w:val="0"/>
                <w:sz w:val="21"/>
              </w:rPr>
              <w:t>加权κ不低于0.75，关键高风险等级错误逐项阻断</w:t>
            </w:r>
          </w:p>
        </w:tc>
        <w:tc>
          <w:tcPr>
            <w:tcW w:type="dxa" w:w="2891"/>
            <w:vAlign w:val="center"/>
          </w:tcPr>
          <w:p>
            <w:pPr>
              <w:keepNext w:val="0"/>
              <w:spacing w:line="320" w:lineRule="exact" w:after="0" w:before="0"/>
              <w:ind w:firstLine="0"/>
              <w:jc w:val="left"/>
            </w:pPr>
            <w:r>
              <w:rPr>
                <w:b w:val="0"/>
                <w:sz w:val="21"/>
              </w:rPr>
              <w:t>权重、相邻档及跨档错误</w:t>
            </w:r>
          </w:p>
        </w:tc>
      </w:tr>
      <w:tr>
        <w:trPr>
          <w:cantSplit/>
        </w:trPr>
        <w:tc>
          <w:tcPr>
            <w:tcW w:type="dxa" w:w="1638"/>
            <w:vAlign w:val="center"/>
          </w:tcPr>
          <w:p>
            <w:pPr>
              <w:keepNext w:val="0"/>
              <w:spacing w:line="320" w:lineRule="exact" w:after="0" w:before="0"/>
              <w:ind w:firstLine="0"/>
              <w:jc w:val="left"/>
            </w:pPr>
            <w:r>
              <w:rPr>
                <w:b w:val="0"/>
                <w:sz w:val="21"/>
              </w:rPr>
              <w:t>位置区域</w:t>
            </w:r>
          </w:p>
        </w:tc>
        <w:tc>
          <w:tcPr>
            <w:tcW w:type="dxa" w:w="2699"/>
            <w:vAlign w:val="center"/>
          </w:tcPr>
          <w:p>
            <w:pPr>
              <w:keepNext w:val="0"/>
              <w:spacing w:line="320" w:lineRule="exact" w:after="0" w:before="0"/>
              <w:ind w:firstLine="0"/>
              <w:jc w:val="left"/>
            </w:pPr>
            <w:r>
              <w:rPr>
                <w:b w:val="0"/>
                <w:sz w:val="21"/>
              </w:rPr>
              <w:t>配对召回、交并比及漏标多标率</w:t>
            </w:r>
          </w:p>
        </w:tc>
        <w:tc>
          <w:tcPr>
            <w:tcW w:type="dxa" w:w="2409"/>
            <w:vAlign w:val="center"/>
          </w:tcPr>
          <w:p>
            <w:pPr>
              <w:keepNext w:val="0"/>
              <w:spacing w:line="320" w:lineRule="exact" w:after="0" w:before="0"/>
              <w:ind w:firstLine="0"/>
              <w:jc w:val="left"/>
            </w:pPr>
            <w:r>
              <w:rPr>
                <w:b w:val="0"/>
                <w:sz w:val="21"/>
              </w:rPr>
              <w:t>配对后平均交并比不低于0.85，另核查全部漏标和多标</w:t>
            </w:r>
          </w:p>
        </w:tc>
        <w:tc>
          <w:tcPr>
            <w:tcW w:type="dxa" w:w="2891"/>
            <w:vAlign w:val="center"/>
          </w:tcPr>
          <w:p>
            <w:pPr>
              <w:keepNext w:val="0"/>
              <w:spacing w:line="320" w:lineRule="exact" w:after="0" w:before="0"/>
              <w:ind w:firstLine="0"/>
              <w:jc w:val="left"/>
            </w:pPr>
            <w:r>
              <w:rPr>
                <w:b w:val="0"/>
                <w:sz w:val="21"/>
              </w:rPr>
              <w:t>细小缺陷、部分遮挡及边界规则</w:t>
            </w:r>
          </w:p>
        </w:tc>
      </w:tr>
      <w:tr>
        <w:trPr>
          <w:cantSplit/>
        </w:trPr>
        <w:tc>
          <w:tcPr>
            <w:tcW w:type="dxa" w:w="1638"/>
            <w:vAlign w:val="center"/>
          </w:tcPr>
          <w:p>
            <w:pPr>
              <w:keepNext w:val="0"/>
              <w:spacing w:line="320" w:lineRule="exact" w:after="0" w:before="0"/>
              <w:ind w:firstLine="0"/>
              <w:jc w:val="left"/>
            </w:pPr>
            <w:r>
              <w:rPr>
                <w:b w:val="0"/>
                <w:sz w:val="21"/>
              </w:rPr>
              <w:t>工序序列</w:t>
            </w:r>
          </w:p>
        </w:tc>
        <w:tc>
          <w:tcPr>
            <w:tcW w:type="dxa" w:w="2699"/>
            <w:vAlign w:val="center"/>
          </w:tcPr>
          <w:p>
            <w:pPr>
              <w:keepNext w:val="0"/>
              <w:spacing w:line="320" w:lineRule="exact" w:after="0" w:before="0"/>
              <w:ind w:firstLine="0"/>
              <w:jc w:val="left"/>
            </w:pPr>
            <w:r>
              <w:rPr>
                <w:b w:val="0"/>
                <w:sz w:val="21"/>
              </w:rPr>
              <w:t>归一化编辑距离相似度及约束符合率</w:t>
            </w:r>
          </w:p>
        </w:tc>
        <w:tc>
          <w:tcPr>
            <w:tcW w:type="dxa" w:w="2409"/>
            <w:vAlign w:val="center"/>
          </w:tcPr>
          <w:p>
            <w:pPr>
              <w:keepNext w:val="0"/>
              <w:spacing w:line="320" w:lineRule="exact" w:after="0" w:before="0"/>
              <w:ind w:firstLine="0"/>
              <w:jc w:val="left"/>
            </w:pPr>
            <w:r>
              <w:rPr>
                <w:b w:val="0"/>
                <w:sz w:val="21"/>
              </w:rPr>
              <w:t>相似度不低于0.90，强制依赖及禁止条件必须满足</w:t>
            </w:r>
          </w:p>
        </w:tc>
        <w:tc>
          <w:tcPr>
            <w:tcW w:type="dxa" w:w="2891"/>
            <w:vAlign w:val="center"/>
          </w:tcPr>
          <w:p>
            <w:pPr>
              <w:keepNext w:val="0"/>
              <w:spacing w:line="320" w:lineRule="exact" w:after="0" w:before="0"/>
              <w:ind w:firstLine="0"/>
              <w:jc w:val="left"/>
            </w:pPr>
            <w:r>
              <w:rPr>
                <w:b w:val="0"/>
                <w:sz w:val="21"/>
              </w:rPr>
              <w:t>等效合法顺序和不可交换步骤</w:t>
            </w:r>
          </w:p>
        </w:tc>
      </w:tr>
      <w:tr>
        <w:trPr>
          <w:cantSplit/>
        </w:trPr>
        <w:tc>
          <w:tcPr>
            <w:tcW w:type="dxa" w:w="1638"/>
            <w:vAlign w:val="center"/>
          </w:tcPr>
          <w:p>
            <w:pPr>
              <w:keepNext w:val="0"/>
              <w:spacing w:line="320" w:lineRule="exact" w:after="0" w:before="0"/>
              <w:ind w:firstLine="0"/>
              <w:jc w:val="left"/>
            </w:pPr>
            <w:r>
              <w:rPr>
                <w:b w:val="0"/>
                <w:sz w:val="21"/>
              </w:rPr>
              <w:t>数值与尺寸</w:t>
            </w:r>
          </w:p>
        </w:tc>
        <w:tc>
          <w:tcPr>
            <w:tcW w:type="dxa" w:w="2699"/>
            <w:vAlign w:val="center"/>
          </w:tcPr>
          <w:p>
            <w:pPr>
              <w:keepNext w:val="0"/>
              <w:spacing w:line="320" w:lineRule="exact" w:after="0" w:before="0"/>
              <w:ind w:firstLine="0"/>
              <w:jc w:val="left"/>
            </w:pPr>
            <w:r>
              <w:rPr>
                <w:b w:val="0"/>
                <w:sz w:val="21"/>
              </w:rPr>
              <w:t>单位统一后的容差符合率</w:t>
            </w:r>
          </w:p>
        </w:tc>
        <w:tc>
          <w:tcPr>
            <w:tcW w:type="dxa" w:w="2409"/>
            <w:vAlign w:val="center"/>
          </w:tcPr>
          <w:p>
            <w:pPr>
              <w:keepNext w:val="0"/>
              <w:spacing w:line="320" w:lineRule="exact" w:after="0" w:before="0"/>
              <w:ind w:firstLine="0"/>
              <w:jc w:val="left"/>
            </w:pPr>
            <w:r>
              <w:rPr>
                <w:b w:val="0"/>
                <w:sz w:val="21"/>
              </w:rPr>
              <w:t>不低于95%，关键尺寸及关键工艺值错误逐项复核</w:t>
            </w:r>
          </w:p>
        </w:tc>
        <w:tc>
          <w:tcPr>
            <w:tcW w:type="dxa" w:w="2891"/>
            <w:vAlign w:val="center"/>
          </w:tcPr>
          <w:p>
            <w:pPr>
              <w:keepNext w:val="0"/>
              <w:spacing w:line="320" w:lineRule="exact" w:after="0" w:before="0"/>
              <w:ind w:firstLine="0"/>
              <w:jc w:val="left"/>
            </w:pPr>
            <w:r>
              <w:rPr>
                <w:b w:val="0"/>
                <w:sz w:val="21"/>
              </w:rPr>
              <w:t>原值、精度、单位及测量容差</w:t>
            </w:r>
          </w:p>
        </w:tc>
      </w:tr>
      <w:tr>
        <w:trPr>
          <w:cantSplit/>
        </w:trPr>
        <w:tc>
          <w:tcPr>
            <w:tcW w:type="dxa" w:w="1638"/>
            <w:vAlign w:val="center"/>
          </w:tcPr>
          <w:p>
            <w:pPr>
              <w:keepNext w:val="0"/>
              <w:spacing w:line="320" w:lineRule="exact" w:after="0" w:before="0"/>
              <w:ind w:firstLine="0"/>
              <w:jc w:val="left"/>
            </w:pPr>
            <w:r>
              <w:rPr>
                <w:b w:val="0"/>
                <w:sz w:val="21"/>
              </w:rPr>
              <w:t>专家判断</w:t>
            </w:r>
          </w:p>
        </w:tc>
        <w:tc>
          <w:tcPr>
            <w:tcW w:type="dxa" w:w="2699"/>
            <w:vAlign w:val="center"/>
          </w:tcPr>
          <w:p>
            <w:pPr>
              <w:keepNext w:val="0"/>
              <w:spacing w:line="320" w:lineRule="exact" w:after="0" w:before="0"/>
              <w:ind w:firstLine="0"/>
              <w:jc w:val="left"/>
            </w:pPr>
            <w:r>
              <w:rPr>
                <w:b w:val="0"/>
                <w:sz w:val="21"/>
              </w:rPr>
              <w:t>意见一致率、分歧类型和证据充分性</w:t>
            </w:r>
          </w:p>
        </w:tc>
        <w:tc>
          <w:tcPr>
            <w:tcW w:type="dxa" w:w="2409"/>
            <w:vAlign w:val="center"/>
          </w:tcPr>
          <w:p>
            <w:pPr>
              <w:keepNext w:val="0"/>
              <w:spacing w:line="320" w:lineRule="exact" w:after="0" w:before="0"/>
              <w:ind w:firstLine="0"/>
              <w:jc w:val="left"/>
            </w:pPr>
            <w:r>
              <w:rPr>
                <w:b w:val="0"/>
                <w:sz w:val="21"/>
              </w:rPr>
              <w:t>必须有依据及裁定记录，未解决分歧不作为确定性标准答案</w:t>
            </w:r>
          </w:p>
        </w:tc>
        <w:tc>
          <w:tcPr>
            <w:tcW w:type="dxa" w:w="2891"/>
            <w:vAlign w:val="center"/>
          </w:tcPr>
          <w:p>
            <w:pPr>
              <w:keepNext w:val="0"/>
              <w:spacing w:line="320" w:lineRule="exact" w:after="0" w:before="0"/>
              <w:ind w:firstLine="0"/>
              <w:jc w:val="left"/>
            </w:pPr>
            <w:r>
              <w:rPr>
                <w:b w:val="0"/>
                <w:sz w:val="21"/>
              </w:rPr>
              <w:t>可接受答案集合及无法判定条件</w:t>
            </w:r>
          </w:p>
        </w:tc>
      </w:tr>
    </w:tbl>
    <w:p>
      <w:pPr>
        <w:spacing w:after="40" w:line="240" w:lineRule="auto"/>
        <w:ind w:firstLine="0"/>
      </w:pPr>
      <w:r>
        <w:rPr>
          <w:sz w:val="4"/>
        </w:rPr>
      </w:r>
    </w:p>
    <w:p>
      <w:pPr>
        <w:jc w:val="both"/>
      </w:pPr>
      <w:r>
        <w:t>上述控制要求在任务启动时写入同一版本的标注规范、工具规则和质量检查表。指标不适用的情形记录原因与替代检查方法，不将空分母计为满分。类别高度集中导致κ不稳定时，同时报告类别分布、原始一致率、各类指标及样本量，由质量负责人增加分层复核，不以删除少数类别改善分数。</w:t>
      </w:r>
    </w:p>
    <w:p>
      <w:pPr>
        <w:jc w:val="both"/>
      </w:pPr>
      <w:r>
        <w:t>黄金集由业务专家独立审核，按任务覆盖主要类别、易混淆情形和边界对象，首批按每任务50至200条组织，复杂任务按覆盖需求增加。上岗考核、作业监测和门控检查分别记录题目范围，正式基准评测题不混入作业流。泄漏或被记忆的黄金集退役后重新补充，保留历史成绩但不作为新批次有效考核依据。</w:t>
      </w:r>
    </w:p>
    <w:p>
      <w:pPr>
        <w:pStyle w:val="Heading3"/>
      </w:pPr>
      <w:r>
        <w:t>2.9.3 标注样本的质量记录</w:t>
      </w:r>
    </w:p>
    <w:p>
      <w:pPr>
        <w:jc w:val="both"/>
      </w:pPr>
      <w:r>
        <w:t>每条标注样本随附的质量记录包含八个字段：标注规范版本号、标注工号、标注时点、自检结论、是否被抽检与抽检结论、是否为重复标注样本及其一致性计算参与情况、是否经仲裁及仲裁意见编号、所属批次号。质量记录与标签值一并封装进样本，不单独存放，这样样本在流通或抽取子集时质量信息不会丢失。</w:t>
      </w:r>
    </w:p>
    <w:p>
      <w:pPr>
        <w:jc w:val="both"/>
      </w:pPr>
      <w:r>
        <w:t>质量记录的汇总结果构成批次质量报告，按业务域、任务、标注员三个维度统计自检通过率、抽检合格率、一致性指标、黄金集通过率与返工轮次。批次质量报告是质检环节出具门控结论的输入，也是数据集卡片中建设过程说明的来源。</w:t>
      </w:r>
    </w:p>
    <w:p>
      <w:pPr>
        <w:pStyle w:val="Heading2"/>
      </w:pPr>
      <w:r>
        <w:t>2.10 按用途子集组织标注产出</w:t>
      </w:r>
    </w:p>
    <w:p>
      <w:pPr>
        <w:jc w:val="both"/>
      </w:pPr>
      <w:r>
        <w:t>训练侧标注结果可按不同用途组织样本，正式基准来源独立隔离。各用途子集按其样本结构和适用条件分别生产。组织方式与质量要求如表 2-12。</w:t>
      </w:r>
    </w:p>
    <w:p>
      <w:pPr>
        <w:pStyle w:val="Caption"/>
        <w:keepNext/>
      </w:pPr>
      <w:r>
        <w:t>表2-12 四个用途子集的样本形态与组织方式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用途子集</w:t>
            </w:r>
          </w:p>
        </w:tc>
        <w:tc>
          <w:tcPr>
            <w:tcW w:type="dxa" w:w="2699"/>
            <w:vAlign w:val="center"/>
            <w:shd w:fill="EDF1F3"/>
          </w:tcPr>
          <w:p>
            <w:pPr>
              <w:keepNext/>
              <w:spacing w:line="320" w:lineRule="exact" w:after="0" w:before="0"/>
              <w:ind w:firstLine="0"/>
              <w:jc w:val="center"/>
            </w:pPr>
            <w:r>
              <w:rPr>
                <w:b/>
                <w:sz w:val="21"/>
              </w:rPr>
              <w:t>样本形态</w:t>
            </w:r>
          </w:p>
        </w:tc>
        <w:tc>
          <w:tcPr>
            <w:tcW w:type="dxa" w:w="2409"/>
            <w:vAlign w:val="center"/>
            <w:shd w:fill="EDF1F3"/>
          </w:tcPr>
          <w:p>
            <w:pPr>
              <w:keepNext/>
              <w:spacing w:line="320" w:lineRule="exact" w:after="0" w:before="0"/>
              <w:ind w:firstLine="0"/>
              <w:jc w:val="center"/>
            </w:pPr>
            <w:r>
              <w:rPr>
                <w:b/>
                <w:sz w:val="21"/>
              </w:rPr>
              <w:t>从标注结果到子集样本的组织方式</w:t>
            </w:r>
          </w:p>
        </w:tc>
        <w:tc>
          <w:tcPr>
            <w:tcW w:type="dxa" w:w="2891"/>
            <w:vAlign w:val="center"/>
            <w:shd w:fill="EDF1F3"/>
          </w:tcPr>
          <w:p>
            <w:pPr>
              <w:keepNext/>
              <w:spacing w:line="320" w:lineRule="exact" w:after="0" w:before="0"/>
              <w:ind w:firstLine="0"/>
              <w:jc w:val="center"/>
            </w:pPr>
            <w:r>
              <w:rPr>
                <w:b/>
                <w:sz w:val="21"/>
              </w:rPr>
              <w:t>特有质量要求</w:t>
            </w:r>
          </w:p>
        </w:tc>
      </w:tr>
      <w:tr>
        <w:trPr>
          <w:cantSplit/>
        </w:trPr>
        <w:tc>
          <w:tcPr>
            <w:tcW w:type="dxa" w:w="1638"/>
            <w:vAlign w:val="center"/>
          </w:tcPr>
          <w:p>
            <w:pPr>
              <w:keepNext w:val="0"/>
              <w:spacing w:line="320" w:lineRule="exact" w:after="0" w:before="0"/>
              <w:ind w:firstLine="0"/>
              <w:jc w:val="left"/>
            </w:pPr>
            <w:r>
              <w:rPr>
                <w:b w:val="0"/>
                <w:sz w:val="21"/>
              </w:rPr>
              <w:t>预训练子集</w:t>
            </w:r>
          </w:p>
        </w:tc>
        <w:tc>
          <w:tcPr>
            <w:tcW w:type="dxa" w:w="2699"/>
            <w:vAlign w:val="center"/>
          </w:tcPr>
          <w:p>
            <w:pPr>
              <w:keepNext w:val="0"/>
              <w:spacing w:line="320" w:lineRule="exact" w:after="0" w:before="0"/>
              <w:ind w:firstLine="0"/>
              <w:jc w:val="left"/>
            </w:pPr>
            <w:r>
              <w:rPr>
                <w:b w:val="0"/>
                <w:sz w:val="21"/>
              </w:rPr>
              <w:t>长文本序列</w:t>
            </w:r>
          </w:p>
        </w:tc>
        <w:tc>
          <w:tcPr>
            <w:tcW w:type="dxa" w:w="2409"/>
            <w:vAlign w:val="center"/>
          </w:tcPr>
          <w:p>
            <w:pPr>
              <w:keepNext w:val="0"/>
              <w:spacing w:line="320" w:lineRule="exact" w:after="0" w:before="0"/>
              <w:ind w:firstLine="0"/>
              <w:jc w:val="left"/>
            </w:pPr>
            <w:r>
              <w:rPr>
                <w:b w:val="0"/>
                <w:sz w:val="21"/>
              </w:rPr>
              <w:t>标注结果中的结构化事实按模板转写为自然语言陈述，与预处理产出的长文本一并构成语料</w:t>
            </w:r>
          </w:p>
        </w:tc>
        <w:tc>
          <w:tcPr>
            <w:tcW w:type="dxa" w:w="2891"/>
            <w:vAlign w:val="center"/>
          </w:tcPr>
          <w:p>
            <w:pPr>
              <w:keepNext w:val="0"/>
              <w:spacing w:line="320" w:lineRule="exact" w:after="0" w:before="0"/>
              <w:ind w:firstLine="0"/>
              <w:jc w:val="left"/>
            </w:pPr>
            <w:r>
              <w:rPr>
                <w:b w:val="0"/>
                <w:sz w:val="21"/>
              </w:rPr>
              <w:t>去重与去噪；不引入标签泄漏到后续评测集的内容</w:t>
            </w:r>
          </w:p>
        </w:tc>
      </w:tr>
      <w:tr>
        <w:trPr>
          <w:cantSplit/>
        </w:trPr>
        <w:tc>
          <w:tcPr>
            <w:tcW w:type="dxa" w:w="1638"/>
            <w:vAlign w:val="center"/>
          </w:tcPr>
          <w:p>
            <w:pPr>
              <w:keepNext w:val="0"/>
              <w:spacing w:line="320" w:lineRule="exact" w:after="0" w:before="0"/>
              <w:ind w:firstLine="0"/>
              <w:jc w:val="left"/>
            </w:pPr>
            <w:r>
              <w:rPr>
                <w:b w:val="0"/>
                <w:sz w:val="21"/>
              </w:rPr>
              <w:t>有监督指令微调子集</w:t>
            </w:r>
          </w:p>
        </w:tc>
        <w:tc>
          <w:tcPr>
            <w:tcW w:type="dxa" w:w="2699"/>
            <w:vAlign w:val="center"/>
          </w:tcPr>
          <w:p>
            <w:pPr>
              <w:keepNext w:val="0"/>
              <w:spacing w:line="320" w:lineRule="exact" w:after="0" w:before="0"/>
              <w:ind w:firstLine="0"/>
              <w:jc w:val="left"/>
            </w:pPr>
            <w:r>
              <w:rPr>
                <w:b w:val="0"/>
                <w:sz w:val="21"/>
              </w:rPr>
              <w:t>指令—输入—响应</w:t>
            </w:r>
          </w:p>
        </w:tc>
        <w:tc>
          <w:tcPr>
            <w:tcW w:type="dxa" w:w="2409"/>
            <w:vAlign w:val="center"/>
          </w:tcPr>
          <w:p>
            <w:pPr>
              <w:keepNext w:val="0"/>
              <w:spacing w:line="320" w:lineRule="exact" w:after="0" w:before="0"/>
              <w:ind w:firstLine="0"/>
              <w:jc w:val="left"/>
            </w:pPr>
            <w:r>
              <w:rPr>
                <w:b w:val="0"/>
                <w:sz w:val="21"/>
              </w:rPr>
              <w:t>指令由任务模板生成，输入取标注对象，响应由标注标签与依据组织成自然语言回答</w:t>
            </w:r>
          </w:p>
        </w:tc>
        <w:tc>
          <w:tcPr>
            <w:tcW w:type="dxa" w:w="2891"/>
            <w:vAlign w:val="center"/>
          </w:tcPr>
          <w:p>
            <w:pPr>
              <w:keepNext w:val="0"/>
              <w:spacing w:line="320" w:lineRule="exact" w:after="0" w:before="0"/>
              <w:ind w:firstLine="0"/>
              <w:jc w:val="left"/>
            </w:pPr>
            <w:r>
              <w:rPr>
                <w:b w:val="0"/>
                <w:sz w:val="21"/>
              </w:rPr>
              <w:t>响应须包含依据而非仅结论；同一输入的多指令覆盖不同任务类型</w:t>
            </w:r>
          </w:p>
        </w:tc>
      </w:tr>
      <w:tr>
        <w:trPr>
          <w:cantSplit/>
        </w:trPr>
        <w:tc>
          <w:tcPr>
            <w:tcW w:type="dxa" w:w="1638"/>
            <w:vAlign w:val="center"/>
          </w:tcPr>
          <w:p>
            <w:pPr>
              <w:keepNext w:val="0"/>
              <w:spacing w:line="320" w:lineRule="exact" w:after="0" w:before="0"/>
              <w:ind w:firstLine="0"/>
              <w:jc w:val="left"/>
            </w:pPr>
            <w:r>
              <w:rPr>
                <w:b w:val="0"/>
                <w:sz w:val="21"/>
              </w:rPr>
              <w:t>人类偏好对齐子集</w:t>
            </w:r>
          </w:p>
        </w:tc>
        <w:tc>
          <w:tcPr>
            <w:tcW w:type="dxa" w:w="2699"/>
            <w:vAlign w:val="center"/>
          </w:tcPr>
          <w:p>
            <w:pPr>
              <w:keepNext w:val="0"/>
              <w:spacing w:line="320" w:lineRule="exact" w:after="0" w:before="0"/>
              <w:ind w:firstLine="0"/>
              <w:jc w:val="left"/>
            </w:pPr>
            <w:r>
              <w:rPr>
                <w:b w:val="0"/>
                <w:sz w:val="21"/>
              </w:rPr>
              <w:t>同一指令下的优劣回答对</w:t>
            </w:r>
          </w:p>
        </w:tc>
        <w:tc>
          <w:tcPr>
            <w:tcW w:type="dxa" w:w="2409"/>
            <w:vAlign w:val="center"/>
          </w:tcPr>
          <w:p>
            <w:pPr>
              <w:keepNext w:val="0"/>
              <w:spacing w:line="320" w:lineRule="exact" w:after="0" w:before="0"/>
              <w:ind w:firstLine="0"/>
              <w:jc w:val="left"/>
            </w:pPr>
            <w:r>
              <w:rPr>
                <w:b w:val="0"/>
                <w:sz w:val="21"/>
              </w:rPr>
              <w:t>对同一输入的两条候选回答进行独立专业判定，构成有明确差异依据的优劣对</w:t>
            </w:r>
          </w:p>
        </w:tc>
        <w:tc>
          <w:tcPr>
            <w:tcW w:type="dxa" w:w="2891"/>
            <w:vAlign w:val="center"/>
          </w:tcPr>
          <w:p>
            <w:pPr>
              <w:keepNext w:val="0"/>
              <w:spacing w:line="320" w:lineRule="exact" w:after="0" w:before="0"/>
              <w:ind w:firstLine="0"/>
              <w:jc w:val="left"/>
            </w:pPr>
            <w:r>
              <w:rPr>
                <w:b w:val="0"/>
                <w:sz w:val="21"/>
              </w:rPr>
              <w:t>优劣差异须可归因到一条明确的判定准则；不构造无意义的明显劣答</w:t>
            </w:r>
          </w:p>
        </w:tc>
      </w:tr>
      <w:tr>
        <w:trPr>
          <w:cantSplit/>
        </w:trPr>
        <w:tc>
          <w:tcPr>
            <w:tcW w:type="dxa" w:w="1638"/>
            <w:vAlign w:val="center"/>
          </w:tcPr>
          <w:p>
            <w:pPr>
              <w:keepNext w:val="0"/>
              <w:spacing w:line="320" w:lineRule="exact" w:after="0" w:before="0"/>
              <w:ind w:firstLine="0"/>
              <w:jc w:val="left"/>
            </w:pPr>
            <w:r>
              <w:rPr>
                <w:b w:val="0"/>
                <w:sz w:val="21"/>
              </w:rPr>
              <w:t>基准评测子集</w:t>
            </w:r>
          </w:p>
        </w:tc>
        <w:tc>
          <w:tcPr>
            <w:tcW w:type="dxa" w:w="2699"/>
            <w:vAlign w:val="center"/>
          </w:tcPr>
          <w:p>
            <w:pPr>
              <w:keepNext w:val="0"/>
              <w:spacing w:line="320" w:lineRule="exact" w:after="0" w:before="0"/>
              <w:ind w:firstLine="0"/>
              <w:jc w:val="left"/>
            </w:pPr>
            <w:r>
              <w:rPr>
                <w:b w:val="0"/>
                <w:sz w:val="21"/>
              </w:rPr>
              <w:t>题目＋标准答案＋判分规则</w:t>
            </w:r>
          </w:p>
        </w:tc>
        <w:tc>
          <w:tcPr>
            <w:tcW w:type="dxa" w:w="2409"/>
            <w:vAlign w:val="center"/>
          </w:tcPr>
          <w:p>
            <w:pPr>
              <w:keepNext w:val="0"/>
              <w:spacing w:line="320" w:lineRule="exact" w:after="0" w:before="0"/>
              <w:ind w:firstLine="0"/>
              <w:jc w:val="left"/>
            </w:pPr>
            <w:r>
              <w:rPr>
                <w:b w:val="0"/>
                <w:sz w:val="21"/>
              </w:rPr>
              <w:t>从通过真实来源及答案核验的独立样本中抽取，题干去除可泄漏答案的信息，标准答案取已审核签发结论，判分规则按标签类型指定</w:t>
            </w:r>
          </w:p>
        </w:tc>
        <w:tc>
          <w:tcPr>
            <w:tcW w:type="dxa" w:w="2891"/>
            <w:vAlign w:val="center"/>
          </w:tcPr>
          <w:p>
            <w:pPr>
              <w:keepNext w:val="0"/>
              <w:spacing w:line="320" w:lineRule="exact" w:after="0" w:before="0"/>
              <w:ind w:firstLine="0"/>
              <w:jc w:val="left"/>
            </w:pPr>
            <w:r>
              <w:rPr>
                <w:b w:val="0"/>
                <w:sz w:val="21"/>
              </w:rPr>
              <w:t>与训练侧样本做去重与相似度比对；标准答案须有审核签发或仲裁背书</w:t>
            </w:r>
          </w:p>
        </w:tc>
      </w:tr>
    </w:tbl>
    <w:p>
      <w:pPr>
        <w:spacing w:after="40" w:line="240" w:lineRule="auto"/>
        <w:ind w:firstLine="0"/>
      </w:pPr>
      <w:r>
        <w:rPr>
          <w:sz w:val="4"/>
        </w:rPr>
      </w:r>
    </w:p>
    <w:p>
      <w:pPr>
        <w:jc w:val="both"/>
      </w:pPr>
      <w:r>
        <w:t>如果响应只给结论（如「本条款为高风险」），模型学到的是分类能力而不是说明能力；本项目各验证场景都需要模型给出理由（选型要说明推荐理由，工艺要交出推理依据，诊断要给出证据等级）。因此标注产出转为指令样本时，解释类响应按结论、依据和适用边界组织；严格字段提取、代码或固定格式任务保持其指定结构，依据置于配套标注记录中，依据取自标注时记录的依据指向与对照标准条款。</w:t>
      </w:r>
    </w:p>
    <w:p>
      <w:pPr>
        <w:jc w:val="both"/>
      </w:pPr>
      <w:r>
        <w:t>偏好对的候选回答可来自经授权的历史记录、实际模型输出及受控生成。优答和劣答均经人工评价，不能仅凭来源认定优劣。两条回答必须对应同一指令、输入、知识时点和权限条件；差异记录为事实正确性、规则适用、依据充分性、任务完成或表达质量等明确项。证据不足的历史诊断不是天然的错误答案，合法但不同的工艺方案也不能仅因不同于历史卡片而作为劣答。难以形成稳定优劣的候选保留为平局或退回补证，不强制成对入集。</w:t>
      </w:r>
    </w:p>
    <w:p>
      <w:pPr>
        <w:jc w:val="both"/>
      </w:pPr>
      <w:r>
        <w:t>基准评测子集的样本一律取自真实业务记录，合成数据不进入该子集。判分规则按标签类型指定：名义型用精确匹配，有序型用分档匹配并对相邻档给部分分，位置型用 IoU 阈值匹配，序列型兼查合法依赖与相似度，数值型按零值与量纲选择绝对或相对误差容限，开放文本型用要点覆盖率加人工复核。每道题目的判分规则随题目一并封装，使评测结果在不同评测方之间可复现。</w:t>
      </w:r>
    </w:p>
    <w:p>
      <w:pPr>
        <w:pStyle w:val="Heading1"/>
      </w:pPr>
      <w:r>
        <w:t>3 数据合成</w:t>
      </w:r>
    </w:p>
    <w:p>
      <w:pPr>
        <w:pStyle w:val="Heading2"/>
      </w:pPr>
      <w:r>
        <w:t>3.1 合成需求与适用范围</w:t>
      </w:r>
    </w:p>
    <w:p>
      <w:pPr>
        <w:jc w:val="both"/>
      </w:pPr>
      <w:r>
        <w:t>合成生产围绕长尾工况、稀缺类别和历史记录中缺少的任务形态开展。生产前先统计真实样本的覆盖、质量和适用许可，形成缺口清单，明确目标数据集、用途子集、知识范围、期望数量及所需证据。能够通过补采或重新标注取得有效真实样本的，优先组织真实数据补充。需要合成的任务经专业评审后纳入批次计划，分别设置种子范围、合成方法、质量规则和占比上限。</w:t>
      </w:r>
    </w:p>
    <w:p>
      <w:pPr>
        <w:jc w:val="both"/>
      </w:pPr>
      <w:r>
        <w:t>产品选型、合同审查和库存决策合成用于扩展指令任务覆盖；工艺设计合成补充可核验的推理过程及审查任务；制造过程合成重点补充有专业依据的长尾故障描述、故障树和排障对话；制度、标准、标书与经营决策问答围绕已终审的知识及规则组织。合成产物始终标记为合成，不能作为真实发生的订单、检验、故障或生产事件使用。</w:t>
      </w:r>
    </w:p>
    <w:p>
      <w:pPr>
        <w:pStyle w:val="Heading2"/>
      </w:pPr>
      <w:r>
        <w:t>3.2 生成配置与过程控制</w:t>
      </w:r>
    </w:p>
    <w:p>
      <w:pPr>
        <w:jc w:val="both"/>
      </w:pPr>
      <w:r>
        <w:t>每项合成任务绑定真实业务种子、有效知识版本、约束规则、提示词版本、教师模型版本和生成参数。种子使用前核查来源、许可、质量及与基准评测的隔离关系。知识引用检查终审状态、适用对象、有效期和访问权限。采用统一网关管理模型调用，模型在投入生产前完成任务能力、部署条件及许可核验；同批次固定模型和配置，变更形成新批次。</w:t>
      </w:r>
    </w:p>
    <w:p>
      <w:pPr>
        <w:jc w:val="both"/>
      </w:pPr>
      <w:r>
        <w:t>生成前确定模板中的变量、固定事实和禁止改变的条件。可变参数按实际业务允许范围抽样，联动参数共同约束，不能独立随机拼出不成立的工况。生成后先检查字段、类型、引用和规则，再进行业务复核、分布对比、重复及污染检查。低通过率任务先分析失败类型并修正种子、规则或提示词，不通过扩大采样量长期掩盖系统性错误。</w:t>
      </w:r>
    </w:p>
    <w:p>
      <w:pPr>
        <w:jc w:val="both"/>
      </w:pPr>
      <w:r>
        <w:t>涉及原始业务资料的生成作业在甲方批准的本地受控环境内执行，所有原始业务数据不得上传公网云端。提示词、检索证据、调用日志和生成缓存纳入与源数据相同的权限及留存管理。异常中断后按任务标识、配置版本和输入摘要恢复，已通过或已拒绝的输出均保留明确状态，防止重复计量。</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4_合成生产.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 3-1 合成生产与入集检查</w:t>
      </w:r>
    </w:p>
    <w:p>
      <w:pPr>
        <w:pStyle w:val="Heading2"/>
      </w:pPr>
      <w:r>
        <w:t>3.3 供需计划域的指令样本合成</w:t>
      </w:r>
    </w:p>
    <w:p>
      <w:pPr>
        <w:jc w:val="both"/>
      </w:pPr>
      <w:r>
        <w:t>三类问答的种子与约束各不相同，分述如下。</w:t>
      </w:r>
    </w:p>
    <w:p>
      <w:pPr>
        <w:jc w:val="both"/>
      </w:pPr>
      <w:r>
        <w:t>产品选型问答以历史选型方案的标注结果为种子。标注结果已经把八类选型关键要素与六项选型结果及其对应关系标出来了，合成要做的是围绕这一组事实构造多样的提问形态：给全参数求配置、给部分参数求还需补充哪些参数、给两套配置求比较、给一套配置求校核结论、给工况变化求配置调整建议。约束来自校核公式与标准化部件库：合成的配置必须能通过整机消耗总功率与链条理论安全系数、按力与按功率两个口径的实际安全系数校核，不能通过的直接丢弃；配置中的部件必须存在于标准化库或历史方案中，不允许凭空生成型号。这一约束使合成样本不会教给模型一个物理上不成立的配置。</w:t>
      </w:r>
    </w:p>
    <w:p>
      <w:pPr>
        <w:jc w:val="both"/>
      </w:pPr>
      <w:r>
        <w:t>合同条款审查问答以标注后的合同条款为种子。合成的提问形态包括：给条款求风险判定、给条款求对照的制度依据、给合同求缺失的核心要素清单、给条款对求差异与差异方向、给审查结论求修改建议。约束来自企业合同模板与制度条款库：合成的审查结论必须指向实际存在的制度或标准条款编号，指不出的样本丢弃。此外对涉及具体当事人、金额与项目名称的内容做实体替换，替换规则在合成任务配置中固定，使合成样本不携带可识别的商业敏感信息。</w:t>
      </w:r>
    </w:p>
    <w:p>
      <w:pPr>
        <w:jc w:val="both"/>
      </w:pPr>
      <w:r>
        <w:t>库存与排产决策问答以订单、库存与排产标注样本为种子。合成的提问形态围绕物料分层、补货建议、呆滞料处置与长周期件锁定展开。约束来自物料分层规则与双重约束条件（保交付红线与资金上限）：合成的建议必须在给定约束下自洽，例如建议提前锁定的物料其占用资金不得超出当期资金上限。这一校验以规则计算实现，不依赖模型自判。</w:t>
      </w:r>
    </w:p>
    <w:p>
      <w:pPr>
        <w:pStyle w:val="Caption"/>
        <w:keepNext/>
      </w:pPr>
      <w:r>
        <w:t>表3-1 供需计划域合成任务的种子、约束与校验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合成任务</w:t>
            </w:r>
          </w:p>
        </w:tc>
        <w:tc>
          <w:tcPr>
            <w:tcW w:type="dxa" w:w="2120"/>
            <w:vAlign w:val="center"/>
            <w:shd w:fill="EDF1F3"/>
          </w:tcPr>
          <w:p>
            <w:pPr>
              <w:keepNext/>
              <w:spacing w:line="320" w:lineRule="exact" w:after="0" w:before="0"/>
              <w:ind w:firstLine="0"/>
              <w:jc w:val="center"/>
            </w:pPr>
            <w:r>
              <w:rPr>
                <w:b/>
                <w:sz w:val="21"/>
              </w:rPr>
              <w:t>种子来源</w:t>
            </w:r>
          </w:p>
        </w:tc>
        <w:tc>
          <w:tcPr>
            <w:tcW w:type="dxa" w:w="1928"/>
            <w:vAlign w:val="center"/>
            <w:shd w:fill="EDF1F3"/>
          </w:tcPr>
          <w:p>
            <w:pPr>
              <w:keepNext/>
              <w:spacing w:line="320" w:lineRule="exact" w:after="0" w:before="0"/>
              <w:ind w:firstLine="0"/>
              <w:jc w:val="center"/>
            </w:pPr>
            <w:r>
              <w:rPr>
                <w:b/>
                <w:sz w:val="21"/>
              </w:rPr>
              <w:t>知识约束</w:t>
            </w:r>
          </w:p>
        </w:tc>
        <w:tc>
          <w:tcPr>
            <w:tcW w:type="dxa" w:w="1928"/>
            <w:vAlign w:val="center"/>
            <w:shd w:fill="EDF1F3"/>
          </w:tcPr>
          <w:p>
            <w:pPr>
              <w:keepNext/>
              <w:spacing w:line="320" w:lineRule="exact" w:after="0" w:before="0"/>
              <w:ind w:firstLine="0"/>
              <w:jc w:val="center"/>
            </w:pPr>
            <w:r>
              <w:rPr>
                <w:b/>
                <w:sz w:val="21"/>
              </w:rPr>
              <w:t>规则校验项</w:t>
            </w:r>
          </w:p>
        </w:tc>
        <w:tc>
          <w:tcPr>
            <w:tcW w:type="dxa" w:w="1928"/>
            <w:vAlign w:val="center"/>
            <w:shd w:fill="EDF1F3"/>
          </w:tcPr>
          <w:p>
            <w:pPr>
              <w:keepNext/>
              <w:spacing w:line="320" w:lineRule="exact" w:after="0" w:before="0"/>
              <w:ind w:firstLine="0"/>
              <w:jc w:val="center"/>
            </w:pPr>
            <w:r>
              <w:rPr>
                <w:b/>
                <w:sz w:val="21"/>
              </w:rPr>
              <w:t>产出形态</w:t>
            </w:r>
          </w:p>
        </w:tc>
      </w:tr>
      <w:tr>
        <w:trPr>
          <w:cantSplit/>
        </w:trPr>
        <w:tc>
          <w:tcPr>
            <w:tcW w:type="dxa" w:w="1735"/>
            <w:vAlign w:val="center"/>
          </w:tcPr>
          <w:p>
            <w:pPr>
              <w:keepNext w:val="0"/>
              <w:spacing w:line="320" w:lineRule="exact" w:after="0" w:before="0"/>
              <w:ind w:firstLine="0"/>
              <w:jc w:val="left"/>
            </w:pPr>
            <w:r>
              <w:rPr>
                <w:b w:val="0"/>
                <w:sz w:val="21"/>
              </w:rPr>
              <w:t>产品选型问答</w:t>
            </w:r>
          </w:p>
        </w:tc>
        <w:tc>
          <w:tcPr>
            <w:tcW w:type="dxa" w:w="2120"/>
            <w:vAlign w:val="center"/>
          </w:tcPr>
          <w:p>
            <w:pPr>
              <w:keepNext w:val="0"/>
              <w:spacing w:line="320" w:lineRule="exact" w:after="0" w:before="0"/>
              <w:ind w:firstLine="0"/>
              <w:jc w:val="left"/>
            </w:pPr>
            <w:r>
              <w:rPr>
                <w:b w:val="0"/>
                <w:sz w:val="21"/>
              </w:rPr>
              <w:t>历史选型方案标注样本</w:t>
            </w:r>
          </w:p>
        </w:tc>
        <w:tc>
          <w:tcPr>
            <w:tcW w:type="dxa" w:w="1928"/>
            <w:vAlign w:val="center"/>
          </w:tcPr>
          <w:p>
            <w:pPr>
              <w:keepNext w:val="0"/>
              <w:spacing w:line="320" w:lineRule="exact" w:after="0" w:before="0"/>
              <w:ind w:firstLine="0"/>
              <w:jc w:val="left"/>
            </w:pPr>
            <w:r>
              <w:rPr>
                <w:b w:val="0"/>
                <w:sz w:val="21"/>
              </w:rPr>
              <w:t>校核公式、标准化部件库、机型槽宽档位字典</w:t>
            </w:r>
          </w:p>
        </w:tc>
        <w:tc>
          <w:tcPr>
            <w:tcW w:type="dxa" w:w="1928"/>
            <w:vAlign w:val="center"/>
          </w:tcPr>
          <w:p>
            <w:pPr>
              <w:keepNext w:val="0"/>
              <w:spacing w:line="320" w:lineRule="exact" w:after="0" w:before="0"/>
              <w:ind w:firstLine="0"/>
              <w:jc w:val="left"/>
            </w:pPr>
            <w:r>
              <w:rPr>
                <w:b w:val="0"/>
                <w:sz w:val="21"/>
              </w:rPr>
              <w:t>功率校核、链条安全系数校核（力与功率双口径）、部件存在性</w:t>
            </w:r>
          </w:p>
        </w:tc>
        <w:tc>
          <w:tcPr>
            <w:tcW w:type="dxa" w:w="1928"/>
            <w:vAlign w:val="center"/>
          </w:tcPr>
          <w:p>
            <w:pPr>
              <w:keepNext w:val="0"/>
              <w:spacing w:line="320" w:lineRule="exact" w:after="0" w:before="0"/>
              <w:ind w:firstLine="0"/>
              <w:jc w:val="left"/>
            </w:pPr>
            <w:r>
              <w:rPr>
                <w:b w:val="0"/>
                <w:sz w:val="21"/>
              </w:rPr>
              <w:t>指令—输入—响应，响应含推荐理由</w:t>
            </w:r>
          </w:p>
        </w:tc>
      </w:tr>
      <w:tr>
        <w:trPr>
          <w:cantSplit/>
        </w:trPr>
        <w:tc>
          <w:tcPr>
            <w:tcW w:type="dxa" w:w="1735"/>
            <w:vAlign w:val="center"/>
          </w:tcPr>
          <w:p>
            <w:pPr>
              <w:keepNext w:val="0"/>
              <w:spacing w:line="320" w:lineRule="exact" w:after="0" w:before="0"/>
              <w:ind w:firstLine="0"/>
              <w:jc w:val="left"/>
            </w:pPr>
            <w:r>
              <w:rPr>
                <w:b w:val="0"/>
                <w:sz w:val="21"/>
              </w:rPr>
              <w:t>选型参数补全问答</w:t>
            </w:r>
          </w:p>
        </w:tc>
        <w:tc>
          <w:tcPr>
            <w:tcW w:type="dxa" w:w="2120"/>
            <w:vAlign w:val="center"/>
          </w:tcPr>
          <w:p>
            <w:pPr>
              <w:keepNext w:val="0"/>
              <w:spacing w:line="320" w:lineRule="exact" w:after="0" w:before="0"/>
              <w:ind w:firstLine="0"/>
              <w:jc w:val="left"/>
            </w:pPr>
            <w:r>
              <w:rPr>
                <w:b w:val="0"/>
                <w:sz w:val="21"/>
              </w:rPr>
              <w:t>同上，取「来源可信度」为不可得的要素</w:t>
            </w:r>
          </w:p>
        </w:tc>
        <w:tc>
          <w:tcPr>
            <w:tcW w:type="dxa" w:w="1928"/>
            <w:vAlign w:val="center"/>
          </w:tcPr>
          <w:p>
            <w:pPr>
              <w:keepNext w:val="0"/>
              <w:spacing w:line="320" w:lineRule="exact" w:after="0" w:before="0"/>
              <w:ind w:firstLine="0"/>
              <w:jc w:val="left"/>
            </w:pPr>
            <w:r>
              <w:rPr>
                <w:b w:val="0"/>
                <w:sz w:val="21"/>
              </w:rPr>
              <w:t>选型要素字典与必需要素清单</w:t>
            </w:r>
          </w:p>
        </w:tc>
        <w:tc>
          <w:tcPr>
            <w:tcW w:type="dxa" w:w="1928"/>
            <w:vAlign w:val="center"/>
          </w:tcPr>
          <w:p>
            <w:pPr>
              <w:keepNext w:val="0"/>
              <w:spacing w:line="320" w:lineRule="exact" w:after="0" w:before="0"/>
              <w:ind w:firstLine="0"/>
              <w:jc w:val="left"/>
            </w:pPr>
            <w:r>
              <w:rPr>
                <w:b w:val="0"/>
                <w:sz w:val="21"/>
              </w:rPr>
              <w:t>所问参数须属八类关键要素</w:t>
            </w:r>
          </w:p>
        </w:tc>
        <w:tc>
          <w:tcPr>
            <w:tcW w:type="dxa" w:w="1928"/>
            <w:vAlign w:val="center"/>
          </w:tcPr>
          <w:p>
            <w:pPr>
              <w:keepNext w:val="0"/>
              <w:spacing w:line="320" w:lineRule="exact" w:after="0" w:before="0"/>
              <w:ind w:firstLine="0"/>
              <w:jc w:val="left"/>
            </w:pPr>
            <w:r>
              <w:rPr>
                <w:b w:val="0"/>
                <w:sz w:val="21"/>
              </w:rPr>
              <w:t>多轮对话样本</w:t>
            </w:r>
          </w:p>
        </w:tc>
      </w:tr>
      <w:tr>
        <w:trPr>
          <w:cantSplit/>
        </w:trPr>
        <w:tc>
          <w:tcPr>
            <w:tcW w:type="dxa" w:w="1735"/>
            <w:vAlign w:val="center"/>
          </w:tcPr>
          <w:p>
            <w:pPr>
              <w:keepNext w:val="0"/>
              <w:spacing w:line="320" w:lineRule="exact" w:after="0" w:before="0"/>
              <w:ind w:firstLine="0"/>
              <w:jc w:val="left"/>
            </w:pPr>
            <w:r>
              <w:rPr>
                <w:b w:val="0"/>
                <w:sz w:val="21"/>
              </w:rPr>
              <w:t>合同条款审查问答</w:t>
            </w:r>
          </w:p>
        </w:tc>
        <w:tc>
          <w:tcPr>
            <w:tcW w:type="dxa" w:w="2120"/>
            <w:vAlign w:val="center"/>
          </w:tcPr>
          <w:p>
            <w:pPr>
              <w:keepNext w:val="0"/>
              <w:spacing w:line="320" w:lineRule="exact" w:after="0" w:before="0"/>
              <w:ind w:firstLine="0"/>
              <w:jc w:val="left"/>
            </w:pPr>
            <w:r>
              <w:rPr>
                <w:b w:val="0"/>
                <w:sz w:val="21"/>
              </w:rPr>
              <w:t>合同条款标注样本</w:t>
            </w:r>
          </w:p>
        </w:tc>
        <w:tc>
          <w:tcPr>
            <w:tcW w:type="dxa" w:w="1928"/>
            <w:vAlign w:val="center"/>
          </w:tcPr>
          <w:p>
            <w:pPr>
              <w:keepNext w:val="0"/>
              <w:spacing w:line="320" w:lineRule="exact" w:after="0" w:before="0"/>
              <w:ind w:firstLine="0"/>
              <w:jc w:val="left"/>
            </w:pPr>
            <w:r>
              <w:rPr>
                <w:b w:val="0"/>
                <w:sz w:val="21"/>
              </w:rPr>
              <w:t>企业合同模板、制度与标准条款库</w:t>
            </w:r>
          </w:p>
        </w:tc>
        <w:tc>
          <w:tcPr>
            <w:tcW w:type="dxa" w:w="1928"/>
            <w:vAlign w:val="center"/>
          </w:tcPr>
          <w:p>
            <w:pPr>
              <w:keepNext w:val="0"/>
              <w:spacing w:line="320" w:lineRule="exact" w:after="0" w:before="0"/>
              <w:ind w:firstLine="0"/>
              <w:jc w:val="left"/>
            </w:pPr>
            <w:r>
              <w:rPr>
                <w:b w:val="0"/>
                <w:sz w:val="21"/>
              </w:rPr>
              <w:t>依据条款编号存在性、实体替换完成性</w:t>
            </w:r>
          </w:p>
        </w:tc>
        <w:tc>
          <w:tcPr>
            <w:tcW w:type="dxa" w:w="1928"/>
            <w:vAlign w:val="center"/>
          </w:tcPr>
          <w:p>
            <w:pPr>
              <w:keepNext w:val="0"/>
              <w:spacing w:line="320" w:lineRule="exact" w:after="0" w:before="0"/>
              <w:ind w:firstLine="0"/>
              <w:jc w:val="left"/>
            </w:pPr>
            <w:r>
              <w:rPr>
                <w:b w:val="0"/>
                <w:sz w:val="21"/>
              </w:rPr>
              <w:t>指令—输入—响应，响应含依据条款</w:t>
            </w:r>
          </w:p>
        </w:tc>
      </w:tr>
      <w:tr>
        <w:trPr>
          <w:cantSplit/>
        </w:trPr>
        <w:tc>
          <w:tcPr>
            <w:tcW w:type="dxa" w:w="1735"/>
            <w:vAlign w:val="center"/>
          </w:tcPr>
          <w:p>
            <w:pPr>
              <w:keepNext w:val="0"/>
              <w:spacing w:line="320" w:lineRule="exact" w:after="0" w:before="0"/>
              <w:ind w:firstLine="0"/>
              <w:jc w:val="left"/>
            </w:pPr>
            <w:r>
              <w:rPr>
                <w:b w:val="0"/>
                <w:sz w:val="21"/>
              </w:rPr>
              <w:t>核心要素完整性问答</w:t>
            </w:r>
          </w:p>
        </w:tc>
        <w:tc>
          <w:tcPr>
            <w:tcW w:type="dxa" w:w="2120"/>
            <w:vAlign w:val="center"/>
          </w:tcPr>
          <w:p>
            <w:pPr>
              <w:keepNext w:val="0"/>
              <w:spacing w:line="320" w:lineRule="exact" w:after="0" w:before="0"/>
              <w:ind w:firstLine="0"/>
              <w:jc w:val="left"/>
            </w:pPr>
            <w:r>
              <w:rPr>
                <w:b w:val="0"/>
                <w:sz w:val="21"/>
              </w:rPr>
              <w:t>八大核心要素标注样本</w:t>
            </w:r>
          </w:p>
        </w:tc>
        <w:tc>
          <w:tcPr>
            <w:tcW w:type="dxa" w:w="1928"/>
            <w:vAlign w:val="center"/>
          </w:tcPr>
          <w:p>
            <w:pPr>
              <w:keepNext w:val="0"/>
              <w:spacing w:line="320" w:lineRule="exact" w:after="0" w:before="0"/>
              <w:ind w:firstLine="0"/>
              <w:jc w:val="left"/>
            </w:pPr>
            <w:r>
              <w:rPr>
                <w:b w:val="0"/>
                <w:sz w:val="21"/>
              </w:rPr>
              <w:t>八大核心要素定义</w:t>
            </w:r>
          </w:p>
        </w:tc>
        <w:tc>
          <w:tcPr>
            <w:tcW w:type="dxa" w:w="1928"/>
            <w:vAlign w:val="center"/>
          </w:tcPr>
          <w:p>
            <w:pPr>
              <w:keepNext w:val="0"/>
              <w:spacing w:line="320" w:lineRule="exact" w:after="0" w:before="0"/>
              <w:ind w:firstLine="0"/>
              <w:jc w:val="left"/>
            </w:pPr>
            <w:r>
              <w:rPr>
                <w:b w:val="0"/>
                <w:sz w:val="21"/>
              </w:rPr>
              <w:t>缺失项与标注结果一致</w:t>
            </w:r>
          </w:p>
        </w:tc>
        <w:tc>
          <w:tcPr>
            <w:tcW w:type="dxa" w:w="1928"/>
            <w:vAlign w:val="center"/>
          </w:tcPr>
          <w:p>
            <w:pPr>
              <w:keepNext w:val="0"/>
              <w:spacing w:line="320" w:lineRule="exact" w:after="0" w:before="0"/>
              <w:ind w:firstLine="0"/>
              <w:jc w:val="left"/>
            </w:pPr>
            <w:r>
              <w:rPr>
                <w:b w:val="0"/>
                <w:sz w:val="21"/>
              </w:rPr>
              <w:t>指令—输入—响应</w:t>
            </w:r>
          </w:p>
        </w:tc>
      </w:tr>
      <w:tr>
        <w:trPr>
          <w:cantSplit/>
        </w:trPr>
        <w:tc>
          <w:tcPr>
            <w:tcW w:type="dxa" w:w="1735"/>
            <w:vAlign w:val="center"/>
          </w:tcPr>
          <w:p>
            <w:pPr>
              <w:keepNext w:val="0"/>
              <w:spacing w:line="320" w:lineRule="exact" w:after="0" w:before="0"/>
              <w:ind w:firstLine="0"/>
              <w:jc w:val="left"/>
            </w:pPr>
            <w:r>
              <w:rPr>
                <w:b w:val="0"/>
                <w:sz w:val="21"/>
              </w:rPr>
              <w:t>库存决策问答</w:t>
            </w:r>
          </w:p>
        </w:tc>
        <w:tc>
          <w:tcPr>
            <w:tcW w:type="dxa" w:w="2120"/>
            <w:vAlign w:val="center"/>
          </w:tcPr>
          <w:p>
            <w:pPr>
              <w:keepNext w:val="0"/>
              <w:spacing w:line="320" w:lineRule="exact" w:after="0" w:before="0"/>
              <w:ind w:firstLine="0"/>
              <w:jc w:val="left"/>
            </w:pPr>
            <w:r>
              <w:rPr>
                <w:b w:val="0"/>
                <w:sz w:val="21"/>
              </w:rPr>
              <w:t>订单库存排产标注样本</w:t>
            </w:r>
          </w:p>
        </w:tc>
        <w:tc>
          <w:tcPr>
            <w:tcW w:type="dxa" w:w="1928"/>
            <w:vAlign w:val="center"/>
          </w:tcPr>
          <w:p>
            <w:pPr>
              <w:keepNext w:val="0"/>
              <w:spacing w:line="320" w:lineRule="exact" w:after="0" w:before="0"/>
              <w:ind w:firstLine="0"/>
              <w:jc w:val="left"/>
            </w:pPr>
            <w:r>
              <w:rPr>
                <w:b w:val="0"/>
                <w:sz w:val="21"/>
              </w:rPr>
              <w:t>物料分层规则、资金上限与保交付红线</w:t>
            </w:r>
          </w:p>
        </w:tc>
        <w:tc>
          <w:tcPr>
            <w:tcW w:type="dxa" w:w="1928"/>
            <w:vAlign w:val="center"/>
          </w:tcPr>
          <w:p>
            <w:pPr>
              <w:keepNext w:val="0"/>
              <w:spacing w:line="320" w:lineRule="exact" w:after="0" w:before="0"/>
              <w:ind w:firstLine="0"/>
              <w:jc w:val="left"/>
            </w:pPr>
            <w:r>
              <w:rPr>
                <w:b w:val="0"/>
                <w:sz w:val="21"/>
              </w:rPr>
              <w:t>约束自洽性规则计算</w:t>
            </w:r>
          </w:p>
        </w:tc>
        <w:tc>
          <w:tcPr>
            <w:tcW w:type="dxa" w:w="1928"/>
            <w:vAlign w:val="center"/>
          </w:tcPr>
          <w:p>
            <w:pPr>
              <w:keepNext w:val="0"/>
              <w:spacing w:line="320" w:lineRule="exact" w:after="0" w:before="0"/>
              <w:ind w:firstLine="0"/>
              <w:jc w:val="left"/>
            </w:pPr>
            <w:r>
              <w:rPr>
                <w:b w:val="0"/>
                <w:sz w:val="21"/>
              </w:rPr>
              <w:t>指令—输入—响应，响应含核算过程</w:t>
            </w:r>
          </w:p>
        </w:tc>
      </w:tr>
      <w:tr>
        <w:trPr>
          <w:cantSplit/>
        </w:trPr>
        <w:tc>
          <w:tcPr>
            <w:tcW w:type="dxa" w:w="1735"/>
            <w:vAlign w:val="center"/>
          </w:tcPr>
          <w:p>
            <w:pPr>
              <w:keepNext w:val="0"/>
              <w:spacing w:line="320" w:lineRule="exact" w:after="0" w:before="0"/>
              <w:ind w:firstLine="0"/>
              <w:jc w:val="left"/>
            </w:pPr>
            <w:r>
              <w:rPr>
                <w:b w:val="0"/>
                <w:sz w:val="21"/>
              </w:rPr>
              <w:t>呆滞料处置问答</w:t>
            </w:r>
          </w:p>
        </w:tc>
        <w:tc>
          <w:tcPr>
            <w:tcW w:type="dxa" w:w="2120"/>
            <w:vAlign w:val="center"/>
          </w:tcPr>
          <w:p>
            <w:pPr>
              <w:keepNext w:val="0"/>
              <w:spacing w:line="320" w:lineRule="exact" w:after="0" w:before="0"/>
              <w:ind w:firstLine="0"/>
              <w:jc w:val="left"/>
            </w:pPr>
            <w:r>
              <w:rPr>
                <w:b w:val="0"/>
                <w:sz w:val="21"/>
              </w:rPr>
              <w:t>呆滞料识别结果</w:t>
            </w:r>
          </w:p>
        </w:tc>
        <w:tc>
          <w:tcPr>
            <w:tcW w:type="dxa" w:w="1928"/>
            <w:vAlign w:val="center"/>
          </w:tcPr>
          <w:p>
            <w:pPr>
              <w:keepNext w:val="0"/>
              <w:spacing w:line="320" w:lineRule="exact" w:after="0" w:before="0"/>
              <w:ind w:firstLine="0"/>
              <w:jc w:val="left"/>
            </w:pPr>
            <w:r>
              <w:rPr>
                <w:b w:val="0"/>
                <w:sz w:val="21"/>
              </w:rPr>
              <w:t>可套用与可替代关系、处置方式字典</w:t>
            </w:r>
          </w:p>
        </w:tc>
        <w:tc>
          <w:tcPr>
            <w:tcW w:type="dxa" w:w="1928"/>
            <w:vAlign w:val="center"/>
          </w:tcPr>
          <w:p>
            <w:pPr>
              <w:keepNext w:val="0"/>
              <w:spacing w:line="320" w:lineRule="exact" w:after="0" w:before="0"/>
              <w:ind w:firstLine="0"/>
              <w:jc w:val="left"/>
            </w:pPr>
            <w:r>
              <w:rPr>
                <w:b w:val="0"/>
                <w:sz w:val="21"/>
              </w:rPr>
              <w:t>替代关系须存在于物料主数据</w:t>
            </w:r>
          </w:p>
        </w:tc>
        <w:tc>
          <w:tcPr>
            <w:tcW w:type="dxa" w:w="1928"/>
            <w:vAlign w:val="center"/>
          </w:tcPr>
          <w:p>
            <w:pPr>
              <w:keepNext w:val="0"/>
              <w:spacing w:line="320" w:lineRule="exact" w:after="0" w:before="0"/>
              <w:ind w:firstLine="0"/>
              <w:jc w:val="left"/>
            </w:pPr>
            <w:r>
              <w:rPr>
                <w:b w:val="0"/>
                <w:sz w:val="21"/>
              </w:rPr>
              <w:t>指令—输入—响应</w:t>
            </w:r>
          </w:p>
        </w:tc>
      </w:tr>
    </w:tbl>
    <w:p>
      <w:pPr>
        <w:spacing w:after="40" w:line="240" w:lineRule="auto"/>
        <w:ind w:firstLine="0"/>
      </w:pPr>
      <w:r>
        <w:rPr>
          <w:sz w:val="4"/>
        </w:rPr>
      </w:r>
    </w:p>
    <w:p>
      <w:pPr>
        <w:pStyle w:val="Heading2"/>
      </w:pPr>
      <w:r>
        <w:t>3.4 产品工艺设计域的推理样本与思维链合成</w:t>
      </w:r>
    </w:p>
    <w:p>
      <w:pPr>
        <w:jc w:val="both"/>
      </w:pPr>
      <w:r>
        <w:t>工艺设计推理样本以经核验的图纸、工艺编制准则、正式工序字典及历史工艺卡片为依据。生成内容包括特征识别结果、适用规则、工序选择、前后依赖、参数计算与核校结论，保留每一步的输入和可核验证据。历史卡片作为已知方案参与对照，同时核验其版本和适用条件，不将其视为必然唯一或最优的答案。</w:t>
      </w:r>
    </w:p>
    <w:p>
      <w:pPr>
        <w:jc w:val="both"/>
      </w:pPr>
      <w:r>
        <w:t>校验分别检查依据有效性、步骤可执行性和结论一致性。工序必须位于适用的正式字典范围，顺序满足工艺依赖和禁止条件，参数满足材料、板厚、设备及工装的适用约束。生成步骤能够推出结论仍不足以证明工艺正确，专业复核还须确认引用规则能够适用于该对象。与历史卡片不同但符合约束的方案进入等效方案评审；为了凑同一结论而补写无依据步骤的样本退回。</w:t>
      </w:r>
    </w:p>
    <w:p>
      <w:pPr>
        <w:jc w:val="both"/>
      </w:pPr>
      <w:r>
        <w:t>展开长一类确定性计算在推理链中以计算步骤呈现而不以生成结果呈现：推理链写明「按经批准的材料板厚模具与展开计算规则计算展开长」，具体数值由规则引擎计算后填入，不由模型生成。这一处置避免了合成样本把错误的数值计算教给模型。</w:t>
      </w:r>
    </w:p>
    <w:p>
      <w:pPr>
        <w:pStyle w:val="Caption"/>
        <w:keepNext/>
      </w:pPr>
      <w:r>
        <w:t>表3-2 工艺设计域合成任务与校验层次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合成任务</w:t>
            </w:r>
          </w:p>
        </w:tc>
        <w:tc>
          <w:tcPr>
            <w:tcW w:type="dxa" w:w="2699"/>
            <w:vAlign w:val="center"/>
            <w:shd w:fill="EDF1F3"/>
          </w:tcPr>
          <w:p>
            <w:pPr>
              <w:keepNext/>
              <w:spacing w:line="320" w:lineRule="exact" w:after="0" w:before="0"/>
              <w:ind w:firstLine="0"/>
              <w:jc w:val="center"/>
            </w:pPr>
            <w:r>
              <w:rPr>
                <w:b/>
                <w:sz w:val="21"/>
              </w:rPr>
              <w:t>构造方式</w:t>
            </w:r>
          </w:p>
        </w:tc>
        <w:tc>
          <w:tcPr>
            <w:tcW w:type="dxa" w:w="2409"/>
            <w:vAlign w:val="center"/>
            <w:shd w:fill="EDF1F3"/>
          </w:tcPr>
          <w:p>
            <w:pPr>
              <w:keepNext/>
              <w:spacing w:line="320" w:lineRule="exact" w:after="0" w:before="0"/>
              <w:ind w:firstLine="0"/>
              <w:jc w:val="center"/>
            </w:pPr>
            <w:r>
              <w:rPr>
                <w:b/>
                <w:sz w:val="21"/>
              </w:rPr>
              <w:t>校验层次</w:t>
            </w:r>
          </w:p>
        </w:tc>
        <w:tc>
          <w:tcPr>
            <w:tcW w:type="dxa" w:w="2891"/>
            <w:vAlign w:val="center"/>
            <w:shd w:fill="EDF1F3"/>
          </w:tcPr>
          <w:p>
            <w:pPr>
              <w:keepNext/>
              <w:spacing w:line="320" w:lineRule="exact" w:after="0" w:before="0"/>
              <w:ind w:firstLine="0"/>
              <w:jc w:val="center"/>
            </w:pPr>
            <w:r>
              <w:rPr>
                <w:b/>
                <w:sz w:val="21"/>
              </w:rPr>
              <w:t>丢弃判据</w:t>
            </w:r>
          </w:p>
        </w:tc>
      </w:tr>
      <w:tr>
        <w:trPr>
          <w:cantSplit/>
        </w:trPr>
        <w:tc>
          <w:tcPr>
            <w:tcW w:type="dxa" w:w="1638"/>
            <w:vAlign w:val="center"/>
          </w:tcPr>
          <w:p>
            <w:pPr>
              <w:keepNext w:val="0"/>
              <w:spacing w:line="320" w:lineRule="exact" w:after="0" w:before="0"/>
              <w:ind w:firstLine="0"/>
              <w:jc w:val="left"/>
            </w:pPr>
            <w:r>
              <w:rPr>
                <w:b w:val="0"/>
                <w:sz w:val="21"/>
              </w:rPr>
              <w:t>工艺设计推理样本</w:t>
            </w:r>
          </w:p>
        </w:tc>
        <w:tc>
          <w:tcPr>
            <w:tcW w:type="dxa" w:w="2699"/>
            <w:vAlign w:val="center"/>
          </w:tcPr>
          <w:p>
            <w:pPr>
              <w:keepNext w:val="0"/>
              <w:spacing w:line="320" w:lineRule="exact" w:after="0" w:before="0"/>
              <w:ind w:firstLine="0"/>
              <w:jc w:val="left"/>
            </w:pPr>
            <w:r>
              <w:rPr>
                <w:b w:val="0"/>
                <w:sz w:val="21"/>
              </w:rPr>
              <w:t>依据图纸及适用规则形成可核验步骤，与已审卡片及等效方案对照</w:t>
            </w:r>
          </w:p>
        </w:tc>
        <w:tc>
          <w:tcPr>
            <w:tcW w:type="dxa" w:w="2409"/>
            <w:vAlign w:val="center"/>
          </w:tcPr>
          <w:p>
            <w:pPr>
              <w:keepNext w:val="0"/>
              <w:spacing w:line="320" w:lineRule="exact" w:after="0" w:before="0"/>
              <w:ind w:firstLine="0"/>
              <w:jc w:val="left"/>
            </w:pPr>
            <w:r>
              <w:rPr>
                <w:b w:val="0"/>
                <w:sz w:val="21"/>
              </w:rPr>
              <w:t>工序集合校验、顺序依赖校验、结论一致校验</w:t>
            </w:r>
          </w:p>
        </w:tc>
        <w:tc>
          <w:tcPr>
            <w:tcW w:type="dxa" w:w="2891"/>
            <w:vAlign w:val="center"/>
          </w:tcPr>
          <w:p>
            <w:pPr>
              <w:keepNext w:val="0"/>
              <w:spacing w:line="320" w:lineRule="exact" w:after="0" w:before="0"/>
              <w:ind w:firstLine="0"/>
              <w:jc w:val="left"/>
            </w:pPr>
            <w:r>
              <w:rPr>
                <w:b w:val="0"/>
                <w:sz w:val="21"/>
              </w:rPr>
              <w:t>工序越界、顺序违规、关键工序错误、约束不符或未通过等效方案评审</w:t>
            </w:r>
          </w:p>
        </w:tc>
      </w:tr>
      <w:tr>
        <w:trPr>
          <w:cantSplit/>
        </w:trPr>
        <w:tc>
          <w:tcPr>
            <w:tcW w:type="dxa" w:w="1638"/>
            <w:vAlign w:val="center"/>
          </w:tcPr>
          <w:p>
            <w:pPr>
              <w:keepNext w:val="0"/>
              <w:spacing w:line="320" w:lineRule="exact" w:after="0" w:before="0"/>
              <w:ind w:firstLine="0"/>
              <w:jc w:val="left"/>
            </w:pPr>
            <w:r>
              <w:rPr>
                <w:b w:val="0"/>
                <w:sz w:val="21"/>
              </w:rPr>
              <w:t>思维链样本</w:t>
            </w:r>
          </w:p>
        </w:tc>
        <w:tc>
          <w:tcPr>
            <w:tcW w:type="dxa" w:w="2699"/>
            <w:vAlign w:val="center"/>
          </w:tcPr>
          <w:p>
            <w:pPr>
              <w:keepNext w:val="0"/>
              <w:spacing w:line="320" w:lineRule="exact" w:after="0" w:before="0"/>
              <w:ind w:firstLine="0"/>
              <w:jc w:val="left"/>
            </w:pPr>
            <w:r>
              <w:rPr>
                <w:b w:val="0"/>
                <w:sz w:val="21"/>
              </w:rPr>
              <w:t>推理过程按「读图—识特征—定工序—排顺序—取参数—核校」六步展开</w:t>
            </w:r>
          </w:p>
        </w:tc>
        <w:tc>
          <w:tcPr>
            <w:tcW w:type="dxa" w:w="2409"/>
            <w:vAlign w:val="center"/>
          </w:tcPr>
          <w:p>
            <w:pPr>
              <w:keepNext w:val="0"/>
              <w:spacing w:line="320" w:lineRule="exact" w:after="0" w:before="0"/>
              <w:ind w:firstLine="0"/>
              <w:jc w:val="left"/>
            </w:pPr>
            <w:r>
              <w:rPr>
                <w:b w:val="0"/>
                <w:sz w:val="21"/>
              </w:rPr>
              <w:t>每步须有可核对的中间产出；数值计算由规则引擎填入</w:t>
            </w:r>
          </w:p>
        </w:tc>
        <w:tc>
          <w:tcPr>
            <w:tcW w:type="dxa" w:w="2891"/>
            <w:vAlign w:val="center"/>
          </w:tcPr>
          <w:p>
            <w:pPr>
              <w:keepNext w:val="0"/>
              <w:spacing w:line="320" w:lineRule="exact" w:after="0" w:before="0"/>
              <w:ind w:firstLine="0"/>
              <w:jc w:val="left"/>
            </w:pPr>
            <w:r>
              <w:rPr>
                <w:b w:val="0"/>
                <w:sz w:val="21"/>
              </w:rPr>
              <w:t>缺中间产出、数值由生成环节自行给出</w:t>
            </w:r>
          </w:p>
        </w:tc>
      </w:tr>
      <w:tr>
        <w:trPr>
          <w:cantSplit/>
        </w:trPr>
        <w:tc>
          <w:tcPr>
            <w:tcW w:type="dxa" w:w="1638"/>
            <w:vAlign w:val="center"/>
          </w:tcPr>
          <w:p>
            <w:pPr>
              <w:keepNext w:val="0"/>
              <w:spacing w:line="320" w:lineRule="exact" w:after="0" w:before="0"/>
              <w:ind w:firstLine="0"/>
              <w:jc w:val="left"/>
            </w:pPr>
            <w:r>
              <w:rPr>
                <w:b w:val="0"/>
                <w:sz w:val="21"/>
              </w:rPr>
              <w:t>工艺审查问答</w:t>
            </w:r>
          </w:p>
        </w:tc>
        <w:tc>
          <w:tcPr>
            <w:tcW w:type="dxa" w:w="2699"/>
            <w:vAlign w:val="center"/>
          </w:tcPr>
          <w:p>
            <w:pPr>
              <w:keepNext w:val="0"/>
              <w:spacing w:line="320" w:lineRule="exact" w:after="0" w:before="0"/>
              <w:ind w:firstLine="0"/>
              <w:jc w:val="left"/>
            </w:pPr>
            <w:r>
              <w:rPr>
                <w:b w:val="0"/>
                <w:sz w:val="21"/>
              </w:rPr>
              <w:t>以历史审查意见与修改归因记录为种子，构造「给卡片找问题」任务</w:t>
            </w:r>
          </w:p>
        </w:tc>
        <w:tc>
          <w:tcPr>
            <w:tcW w:type="dxa" w:w="2409"/>
            <w:vAlign w:val="center"/>
          </w:tcPr>
          <w:p>
            <w:pPr>
              <w:keepNext w:val="0"/>
              <w:spacing w:line="320" w:lineRule="exact" w:after="0" w:before="0"/>
              <w:ind w:firstLine="0"/>
              <w:jc w:val="left"/>
            </w:pPr>
            <w:r>
              <w:rPr>
                <w:b w:val="0"/>
                <w:sz w:val="21"/>
              </w:rPr>
              <w:t>问题须对应实际存在的审查意见类型</w:t>
            </w:r>
          </w:p>
        </w:tc>
        <w:tc>
          <w:tcPr>
            <w:tcW w:type="dxa" w:w="2891"/>
            <w:vAlign w:val="center"/>
          </w:tcPr>
          <w:p>
            <w:pPr>
              <w:keepNext w:val="0"/>
              <w:spacing w:line="320" w:lineRule="exact" w:after="0" w:before="0"/>
              <w:ind w:firstLine="0"/>
              <w:jc w:val="left"/>
            </w:pPr>
            <w:r>
              <w:rPr>
                <w:b w:val="0"/>
                <w:sz w:val="21"/>
              </w:rPr>
              <w:t>虚构审查类型</w:t>
            </w:r>
          </w:p>
        </w:tc>
      </w:tr>
      <w:tr>
        <w:trPr>
          <w:cantSplit/>
        </w:trPr>
        <w:tc>
          <w:tcPr>
            <w:tcW w:type="dxa" w:w="1638"/>
            <w:vAlign w:val="center"/>
          </w:tcPr>
          <w:p>
            <w:pPr>
              <w:keepNext w:val="0"/>
              <w:spacing w:line="320" w:lineRule="exact" w:after="0" w:before="0"/>
              <w:ind w:firstLine="0"/>
              <w:jc w:val="left"/>
            </w:pPr>
            <w:r>
              <w:rPr>
                <w:b w:val="0"/>
                <w:sz w:val="21"/>
              </w:rPr>
              <w:t>工艺借用判定问答</w:t>
            </w:r>
          </w:p>
        </w:tc>
        <w:tc>
          <w:tcPr>
            <w:tcW w:type="dxa" w:w="2699"/>
            <w:vAlign w:val="center"/>
          </w:tcPr>
          <w:p>
            <w:pPr>
              <w:keepNext w:val="0"/>
              <w:spacing w:line="320" w:lineRule="exact" w:after="0" w:before="0"/>
              <w:ind w:firstLine="0"/>
              <w:jc w:val="left"/>
            </w:pPr>
            <w:r>
              <w:rPr>
                <w:b w:val="0"/>
                <w:sz w:val="21"/>
              </w:rPr>
              <w:t>以特征组合相似的历史图纸对为种子，构造「能否借用及差异在哪」任务</w:t>
            </w:r>
          </w:p>
        </w:tc>
        <w:tc>
          <w:tcPr>
            <w:tcW w:type="dxa" w:w="2409"/>
            <w:vAlign w:val="center"/>
          </w:tcPr>
          <w:p>
            <w:pPr>
              <w:keepNext w:val="0"/>
              <w:spacing w:line="320" w:lineRule="exact" w:after="0" w:before="0"/>
              <w:ind w:firstLine="0"/>
              <w:jc w:val="left"/>
            </w:pPr>
            <w:r>
              <w:rPr>
                <w:b w:val="0"/>
                <w:sz w:val="21"/>
              </w:rPr>
              <w:t>差异清单须与特征标注差异一致</w:t>
            </w:r>
          </w:p>
        </w:tc>
        <w:tc>
          <w:tcPr>
            <w:tcW w:type="dxa" w:w="2891"/>
            <w:vAlign w:val="center"/>
          </w:tcPr>
          <w:p>
            <w:pPr>
              <w:keepNext w:val="0"/>
              <w:spacing w:line="320" w:lineRule="exact" w:after="0" w:before="0"/>
              <w:ind w:firstLine="0"/>
              <w:jc w:val="left"/>
            </w:pPr>
            <w:r>
              <w:rPr>
                <w:b w:val="0"/>
                <w:sz w:val="21"/>
              </w:rPr>
              <w:t>差异清单与标注不符</w:t>
            </w:r>
          </w:p>
        </w:tc>
      </w:tr>
      <w:tr>
        <w:trPr>
          <w:cantSplit/>
        </w:trPr>
        <w:tc>
          <w:tcPr>
            <w:tcW w:type="dxa" w:w="1638"/>
            <w:vAlign w:val="center"/>
          </w:tcPr>
          <w:p>
            <w:pPr>
              <w:keepNext w:val="0"/>
              <w:spacing w:line="320" w:lineRule="exact" w:after="0" w:before="0"/>
              <w:ind w:firstLine="0"/>
              <w:jc w:val="left"/>
            </w:pPr>
            <w:r>
              <w:rPr>
                <w:b w:val="0"/>
                <w:sz w:val="21"/>
              </w:rPr>
              <w:t>共料与排料问答</w:t>
            </w:r>
          </w:p>
        </w:tc>
        <w:tc>
          <w:tcPr>
            <w:tcW w:type="dxa" w:w="2699"/>
            <w:vAlign w:val="center"/>
          </w:tcPr>
          <w:p>
            <w:pPr>
              <w:keepNext w:val="0"/>
              <w:spacing w:line="320" w:lineRule="exact" w:after="0" w:before="0"/>
              <w:ind w:firstLine="0"/>
              <w:jc w:val="left"/>
            </w:pPr>
            <w:r>
              <w:rPr>
                <w:b w:val="0"/>
                <w:sz w:val="21"/>
              </w:rPr>
              <w:t>以共料标识与历史排料记录为种子</w:t>
            </w:r>
          </w:p>
        </w:tc>
        <w:tc>
          <w:tcPr>
            <w:tcW w:type="dxa" w:w="2409"/>
            <w:vAlign w:val="center"/>
          </w:tcPr>
          <w:p>
            <w:pPr>
              <w:keepNext w:val="0"/>
              <w:spacing w:line="320" w:lineRule="exact" w:after="0" w:before="0"/>
              <w:ind w:firstLine="0"/>
              <w:jc w:val="left"/>
            </w:pPr>
            <w:r>
              <w:rPr>
                <w:b w:val="0"/>
                <w:sz w:val="21"/>
              </w:rPr>
              <w:t>材料牌号与板厚一致性、轮廓可嵌套性</w:t>
            </w:r>
          </w:p>
        </w:tc>
        <w:tc>
          <w:tcPr>
            <w:tcW w:type="dxa" w:w="2891"/>
            <w:vAlign w:val="center"/>
          </w:tcPr>
          <w:p>
            <w:pPr>
              <w:keepNext w:val="0"/>
              <w:spacing w:line="320" w:lineRule="exact" w:after="0" w:before="0"/>
              <w:ind w:firstLine="0"/>
              <w:jc w:val="left"/>
            </w:pPr>
            <w:r>
              <w:rPr>
                <w:b w:val="0"/>
                <w:sz w:val="21"/>
              </w:rPr>
              <w:t>违反材料或几何约束</w:t>
            </w:r>
          </w:p>
        </w:tc>
      </w:tr>
    </w:tbl>
    <w:p>
      <w:pPr>
        <w:spacing w:after="40" w:line="240" w:lineRule="auto"/>
        <w:ind w:firstLine="0"/>
      </w:pPr>
      <w:r>
        <w:rPr>
          <w:sz w:val="4"/>
        </w:rPr>
      </w:r>
    </w:p>
    <w:p>
      <w:pPr>
        <w:jc w:val="both"/>
      </w:pPr>
      <w:r>
        <w:t>工艺审查意见、修改记录及其依据经确认后可作为后续合成种子。每次修改区分纠正错误、适应条件变化和优化方案，保存修改前后版本及原因，不能把所有改动一律解释成旧方案错误。已进入基准评测来源家族的材料保持隔离，不因用于审查案例便回流为训练种子。</w:t>
      </w:r>
    </w:p>
    <w:p>
      <w:pPr>
        <w:pStyle w:val="Heading2"/>
      </w:pPr>
      <w:r>
        <w:t>3.5 制造过程域的长尾故障合成</w:t>
      </w:r>
    </w:p>
    <w:p>
      <w:pPr>
        <w:jc w:val="both"/>
      </w:pPr>
      <w:r>
        <w:t>合成的起点是分布诊断：先统计历史工单中各故障模式的出现频次，识别出哪些故障模式在本体中有定义但在工单中出现频次低于规范给定线。这些低频故障模式构成合成的目标清单。目标清单按两个维度排序：该故障模式的后果严重程度（对矿方生产影响）与其在诊断场景中的必要程度，优先合成「后果严重但样本稀缺」的故障模式。</w:t>
      </w:r>
    </w:p>
    <w:p>
      <w:pPr>
        <w:jc w:val="both"/>
      </w:pPr>
      <w:r>
        <w:t>三类产出的构造方式不同。</w:t>
      </w:r>
    </w:p>
    <w:p>
      <w:pPr>
        <w:jc w:val="both"/>
      </w:pPr>
      <w:r>
        <w:t>工单描述的构造以知识图谱中「设备—部件—故障模式—现象—原因—处置措施—备件」的关系链为约束。给定一个故障模式，从图谱中取出其关联的现象、原因、处置措施与备件，以此为骨架生成工单描述。生成的工单描述须包含现场人员会写的内容形态：现象的口语化描述、发生时的工况、已做的处置与结果。这与 4.3 节文本增强中的口语化改写是两件事——此处是从结构化知识生成口语化工单，彼处是对已有文本做风格迁移。</w:t>
      </w:r>
    </w:p>
    <w:p>
      <w:pPr>
        <w:jc w:val="both"/>
      </w:pPr>
      <w:r>
        <w:t>故障树根据已审核的失效机理、故障模式和证据构造顶事件、中间事件及底事件，明确逻辑门、成立条件、检查方法和不确定项。知识图谱中的属于、关联、发生于、处置等普通语义关系不能直接改写成因果边。每条因果连接须有适用机理、历史证据或经过审核的工程判断；专家检查路径完整性、逻辑门适用性及相互排斥条件，未确认分支保留为待检查假设。</w:t>
      </w:r>
    </w:p>
    <w:p>
      <w:pPr>
        <w:jc w:val="both"/>
      </w:pPr>
      <w:r>
        <w:t>多轮排障对话围绕故障假设及其鉴别条件组织。各轮明确已知现象、待查证据、现场反馈和下一步判断，既覆盖能够定位故障的路径，也覆盖检查不支持原假设、证据仍不足和需转交专业人员的路径。推荐检查及处置遵循批准的作业和安全规程，不把高风险操作作为未经条件核验的对话指令。最终结论与证据强度一致，不要求每段对话都以确定性根因结束。</w:t>
      </w:r>
    </w:p>
    <w:p>
      <w:pPr>
        <w:jc w:val="both"/>
      </w:pPr>
      <w:r>
        <w:t>稀缺工况的时序模拟须具备经过验证的机理或仿真依据。真实重载片段不能仅通过放大幅值或拉长时间就认定为过载、堵转或某种故障。模拟任务先定义设备结构、控制状态、负载范围、测点响应和边界条件，再利用独立真实数据检验幅值、时域频域特征及跨测点关系，由专业人员确认其适用范围。没有可靠依据的任务以补采真实数据及构建经审核的故障描述、故障树和对话样本补充覆盖，不生成伪装成实际观测的时序。</w:t>
      </w:r>
    </w:p>
    <w:p>
      <w:pPr>
        <w:jc w:val="both"/>
      </w:pPr>
      <w:r>
        <w:t>获准使用的模拟样本标记方法、参数、模型版本、验证结果和适用限制，单独统计其训练贡献。模拟输出及其增强派生内容均归入合成来源范围，不能进入基准评测子集。热处理条件变化同样不能凭参数变动直接虚构硬度、切片或质检结果，涉及质量输出时须有可信模型或试验依据，并通过独立审核。</w:t>
      </w:r>
    </w:p>
    <w:p>
      <w:pPr>
        <w:pStyle w:val="Caption"/>
        <w:keepNext/>
      </w:pPr>
      <w:r>
        <w:t>表3-3 制造过程域合成任务与约束来源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合成任务</w:t>
            </w:r>
          </w:p>
        </w:tc>
        <w:tc>
          <w:tcPr>
            <w:tcW w:type="dxa" w:w="2120"/>
            <w:vAlign w:val="center"/>
            <w:shd w:fill="EDF1F3"/>
          </w:tcPr>
          <w:p>
            <w:pPr>
              <w:keepNext/>
              <w:spacing w:line="320" w:lineRule="exact" w:after="0" w:before="0"/>
              <w:ind w:firstLine="0"/>
              <w:jc w:val="center"/>
            </w:pPr>
            <w:r>
              <w:rPr>
                <w:b/>
                <w:sz w:val="21"/>
              </w:rPr>
              <w:t>构造方式</w:t>
            </w:r>
          </w:p>
        </w:tc>
        <w:tc>
          <w:tcPr>
            <w:tcW w:type="dxa" w:w="1928"/>
            <w:vAlign w:val="center"/>
            <w:shd w:fill="EDF1F3"/>
          </w:tcPr>
          <w:p>
            <w:pPr>
              <w:keepNext/>
              <w:spacing w:line="320" w:lineRule="exact" w:after="0" w:before="0"/>
              <w:ind w:firstLine="0"/>
              <w:jc w:val="center"/>
            </w:pPr>
            <w:r>
              <w:rPr>
                <w:b/>
                <w:sz w:val="21"/>
              </w:rPr>
              <w:t>约束来源</w:t>
            </w:r>
          </w:p>
        </w:tc>
        <w:tc>
          <w:tcPr>
            <w:tcW w:type="dxa" w:w="1928"/>
            <w:vAlign w:val="center"/>
            <w:shd w:fill="EDF1F3"/>
          </w:tcPr>
          <w:p>
            <w:pPr>
              <w:keepNext/>
              <w:spacing w:line="320" w:lineRule="exact" w:after="0" w:before="0"/>
              <w:ind w:firstLine="0"/>
              <w:jc w:val="center"/>
            </w:pPr>
            <w:r>
              <w:rPr>
                <w:b/>
                <w:sz w:val="21"/>
              </w:rPr>
              <w:t>校验方式</w:t>
            </w:r>
          </w:p>
        </w:tc>
        <w:tc>
          <w:tcPr>
            <w:tcW w:type="dxa" w:w="1928"/>
            <w:vAlign w:val="center"/>
            <w:shd w:fill="EDF1F3"/>
          </w:tcPr>
          <w:p>
            <w:pPr>
              <w:keepNext/>
              <w:spacing w:line="320" w:lineRule="exact" w:after="0" w:before="0"/>
              <w:ind w:firstLine="0"/>
              <w:jc w:val="center"/>
            </w:pPr>
            <w:r>
              <w:rPr>
                <w:b/>
                <w:sz w:val="21"/>
              </w:rPr>
              <w:t>元数据标识</w:t>
            </w:r>
          </w:p>
        </w:tc>
      </w:tr>
      <w:tr>
        <w:trPr>
          <w:cantSplit/>
        </w:trPr>
        <w:tc>
          <w:tcPr>
            <w:tcW w:type="dxa" w:w="1735"/>
            <w:vAlign w:val="center"/>
          </w:tcPr>
          <w:p>
            <w:pPr>
              <w:keepNext w:val="0"/>
              <w:spacing w:line="320" w:lineRule="exact" w:after="0" w:before="0"/>
              <w:ind w:firstLine="0"/>
              <w:jc w:val="left"/>
            </w:pPr>
            <w:r>
              <w:rPr>
                <w:b w:val="0"/>
                <w:sz w:val="21"/>
              </w:rPr>
              <w:t>长尾故障工单描述</w:t>
            </w:r>
          </w:p>
        </w:tc>
        <w:tc>
          <w:tcPr>
            <w:tcW w:type="dxa" w:w="2120"/>
            <w:vAlign w:val="center"/>
          </w:tcPr>
          <w:p>
            <w:pPr>
              <w:keepNext w:val="0"/>
              <w:spacing w:line="320" w:lineRule="exact" w:after="0" w:before="0"/>
              <w:ind w:firstLine="0"/>
              <w:jc w:val="left"/>
            </w:pPr>
            <w:r>
              <w:rPr>
                <w:b w:val="0"/>
                <w:sz w:val="21"/>
              </w:rPr>
              <w:t>由图谱关系链生成口语化工单</w:t>
            </w:r>
          </w:p>
        </w:tc>
        <w:tc>
          <w:tcPr>
            <w:tcW w:type="dxa" w:w="1928"/>
            <w:vAlign w:val="center"/>
          </w:tcPr>
          <w:p>
            <w:pPr>
              <w:keepNext w:val="0"/>
              <w:spacing w:line="320" w:lineRule="exact" w:after="0" w:before="0"/>
              <w:ind w:firstLine="0"/>
              <w:jc w:val="left"/>
            </w:pPr>
            <w:r>
              <w:rPr>
                <w:b w:val="0"/>
                <w:sz w:val="21"/>
              </w:rPr>
              <w:t>「设备—部件—故障模式—现象—原因—处置—备件」图谱</w:t>
            </w:r>
          </w:p>
        </w:tc>
        <w:tc>
          <w:tcPr>
            <w:tcW w:type="dxa" w:w="1928"/>
            <w:vAlign w:val="center"/>
          </w:tcPr>
          <w:p>
            <w:pPr>
              <w:keepNext w:val="0"/>
              <w:spacing w:line="320" w:lineRule="exact" w:after="0" w:before="0"/>
              <w:ind w:firstLine="0"/>
              <w:jc w:val="left"/>
            </w:pPr>
            <w:r>
              <w:rPr>
                <w:b w:val="0"/>
                <w:sz w:val="21"/>
              </w:rPr>
              <w:t>关系链存在性校验；现象与故障模式对应性校验</w:t>
            </w:r>
          </w:p>
        </w:tc>
        <w:tc>
          <w:tcPr>
            <w:tcW w:type="dxa" w:w="1928"/>
            <w:vAlign w:val="center"/>
          </w:tcPr>
          <w:p>
            <w:pPr>
              <w:keepNext w:val="0"/>
              <w:spacing w:line="320" w:lineRule="exact" w:after="0" w:before="0"/>
              <w:ind w:firstLine="0"/>
              <w:jc w:val="left"/>
            </w:pPr>
            <w:r>
              <w:rPr>
                <w:b w:val="0"/>
                <w:sz w:val="21"/>
              </w:rPr>
              <w:t>合成—规则约束</w:t>
            </w:r>
          </w:p>
        </w:tc>
      </w:tr>
      <w:tr>
        <w:trPr>
          <w:cantSplit/>
        </w:trPr>
        <w:tc>
          <w:tcPr>
            <w:tcW w:type="dxa" w:w="1735"/>
            <w:vAlign w:val="center"/>
          </w:tcPr>
          <w:p>
            <w:pPr>
              <w:keepNext w:val="0"/>
              <w:spacing w:line="320" w:lineRule="exact" w:after="0" w:before="0"/>
              <w:ind w:firstLine="0"/>
              <w:jc w:val="left"/>
            </w:pPr>
            <w:r>
              <w:rPr>
                <w:b w:val="0"/>
                <w:sz w:val="21"/>
              </w:rPr>
              <w:t>故障树</w:t>
            </w:r>
          </w:p>
        </w:tc>
        <w:tc>
          <w:tcPr>
            <w:tcW w:type="dxa" w:w="2120"/>
            <w:vAlign w:val="center"/>
          </w:tcPr>
          <w:p>
            <w:pPr>
              <w:keepNext w:val="0"/>
              <w:spacing w:line="320" w:lineRule="exact" w:after="0" w:before="0"/>
              <w:ind w:firstLine="0"/>
              <w:jc w:val="left"/>
            </w:pPr>
            <w:r>
              <w:rPr>
                <w:b w:val="0"/>
                <w:sz w:val="21"/>
              </w:rPr>
              <w:t>由经审核的失效机理及因果证据构造故障树</w:t>
            </w:r>
          </w:p>
        </w:tc>
        <w:tc>
          <w:tcPr>
            <w:tcW w:type="dxa" w:w="1928"/>
            <w:vAlign w:val="center"/>
          </w:tcPr>
          <w:p>
            <w:pPr>
              <w:keepNext w:val="0"/>
              <w:spacing w:line="320" w:lineRule="exact" w:after="0" w:before="0"/>
              <w:ind w:firstLine="0"/>
              <w:jc w:val="left"/>
            </w:pPr>
            <w:r>
              <w:rPr>
                <w:b w:val="0"/>
                <w:sz w:val="21"/>
              </w:rPr>
              <w:t>同上，加判别依据字典</w:t>
            </w:r>
          </w:p>
        </w:tc>
        <w:tc>
          <w:tcPr>
            <w:tcW w:type="dxa" w:w="1928"/>
            <w:vAlign w:val="center"/>
          </w:tcPr>
          <w:p>
            <w:pPr>
              <w:keepNext w:val="0"/>
              <w:spacing w:line="320" w:lineRule="exact" w:after="0" w:before="0"/>
              <w:ind w:firstLine="0"/>
              <w:jc w:val="left"/>
            </w:pPr>
            <w:r>
              <w:rPr>
                <w:b w:val="0"/>
                <w:sz w:val="21"/>
              </w:rPr>
              <w:t>每条因果边及逻辑门须有适用证据，普通关联关系不得替代</w:t>
            </w:r>
          </w:p>
        </w:tc>
        <w:tc>
          <w:tcPr>
            <w:tcW w:type="dxa" w:w="1928"/>
            <w:vAlign w:val="center"/>
          </w:tcPr>
          <w:p>
            <w:pPr>
              <w:keepNext w:val="0"/>
              <w:spacing w:line="320" w:lineRule="exact" w:after="0" w:before="0"/>
              <w:ind w:firstLine="0"/>
              <w:jc w:val="left"/>
            </w:pPr>
            <w:r>
              <w:rPr>
                <w:b w:val="0"/>
                <w:sz w:val="21"/>
              </w:rPr>
              <w:t>合成—规则约束</w:t>
            </w:r>
          </w:p>
        </w:tc>
      </w:tr>
      <w:tr>
        <w:trPr>
          <w:cantSplit/>
        </w:trPr>
        <w:tc>
          <w:tcPr>
            <w:tcW w:type="dxa" w:w="1735"/>
            <w:vAlign w:val="center"/>
          </w:tcPr>
          <w:p>
            <w:pPr>
              <w:keepNext w:val="0"/>
              <w:spacing w:line="320" w:lineRule="exact" w:after="0" w:before="0"/>
              <w:ind w:firstLine="0"/>
              <w:jc w:val="left"/>
            </w:pPr>
            <w:r>
              <w:rPr>
                <w:b w:val="0"/>
                <w:sz w:val="21"/>
              </w:rPr>
              <w:t>多轮排障对话</w:t>
            </w:r>
          </w:p>
        </w:tc>
        <w:tc>
          <w:tcPr>
            <w:tcW w:type="dxa" w:w="2120"/>
            <w:vAlign w:val="center"/>
          </w:tcPr>
          <w:p>
            <w:pPr>
              <w:keepNext w:val="0"/>
              <w:spacing w:line="320" w:lineRule="exact" w:after="0" w:before="0"/>
              <w:ind w:firstLine="0"/>
              <w:jc w:val="left"/>
            </w:pPr>
            <w:r>
              <w:rPr>
                <w:b w:val="0"/>
                <w:sz w:val="21"/>
              </w:rPr>
              <w:t>以故障树路径为脚本展开对话</w:t>
            </w:r>
          </w:p>
        </w:tc>
        <w:tc>
          <w:tcPr>
            <w:tcW w:type="dxa" w:w="1928"/>
            <w:vAlign w:val="center"/>
          </w:tcPr>
          <w:p>
            <w:pPr>
              <w:keepNext w:val="0"/>
              <w:spacing w:line="320" w:lineRule="exact" w:after="0" w:before="0"/>
              <w:ind w:firstLine="0"/>
              <w:jc w:val="left"/>
            </w:pPr>
            <w:r>
              <w:rPr>
                <w:b w:val="0"/>
                <w:sz w:val="21"/>
              </w:rPr>
              <w:t>故障树＋排障话术规范</w:t>
            </w:r>
          </w:p>
        </w:tc>
        <w:tc>
          <w:tcPr>
            <w:tcW w:type="dxa" w:w="1928"/>
            <w:vAlign w:val="center"/>
          </w:tcPr>
          <w:p>
            <w:pPr>
              <w:keepNext w:val="0"/>
              <w:spacing w:line="320" w:lineRule="exact" w:after="0" w:before="0"/>
              <w:ind w:firstLine="0"/>
              <w:jc w:val="left"/>
            </w:pPr>
            <w:r>
              <w:rPr>
                <w:b w:val="0"/>
                <w:sz w:val="21"/>
              </w:rPr>
              <w:t>收敛路径与故障树一致性校验</w:t>
            </w:r>
          </w:p>
        </w:tc>
        <w:tc>
          <w:tcPr>
            <w:tcW w:type="dxa" w:w="1928"/>
            <w:vAlign w:val="center"/>
          </w:tcPr>
          <w:p>
            <w:pPr>
              <w:keepNext w:val="0"/>
              <w:spacing w:line="320" w:lineRule="exact" w:after="0" w:before="0"/>
              <w:ind w:firstLine="0"/>
              <w:jc w:val="left"/>
            </w:pPr>
            <w:r>
              <w:rPr>
                <w:b w:val="0"/>
                <w:sz w:val="21"/>
              </w:rPr>
              <w:t>合成—规则约束</w:t>
            </w:r>
          </w:p>
        </w:tc>
      </w:tr>
      <w:tr>
        <w:trPr>
          <w:cantSplit/>
        </w:trPr>
        <w:tc>
          <w:tcPr>
            <w:tcW w:type="dxa" w:w="1735"/>
            <w:vAlign w:val="center"/>
          </w:tcPr>
          <w:p>
            <w:pPr>
              <w:keepNext w:val="0"/>
              <w:spacing w:line="320" w:lineRule="exact" w:after="0" w:before="0"/>
              <w:ind w:firstLine="0"/>
              <w:jc w:val="left"/>
            </w:pPr>
            <w:r>
              <w:rPr>
                <w:b w:val="0"/>
                <w:sz w:val="21"/>
              </w:rPr>
              <w:t>稀缺工况时序片段</w:t>
            </w:r>
          </w:p>
        </w:tc>
        <w:tc>
          <w:tcPr>
            <w:tcW w:type="dxa" w:w="2120"/>
            <w:vAlign w:val="center"/>
          </w:tcPr>
          <w:p>
            <w:pPr>
              <w:keepNext w:val="0"/>
              <w:spacing w:line="320" w:lineRule="exact" w:after="0" w:before="0"/>
              <w:ind w:firstLine="0"/>
              <w:jc w:val="left"/>
            </w:pPr>
            <w:r>
              <w:rPr>
                <w:b w:val="0"/>
                <w:sz w:val="21"/>
              </w:rPr>
              <w:t>经验证机理或仿真模型产生候选</w:t>
            </w:r>
          </w:p>
        </w:tc>
        <w:tc>
          <w:tcPr>
            <w:tcW w:type="dxa" w:w="1928"/>
            <w:vAlign w:val="center"/>
          </w:tcPr>
          <w:p>
            <w:pPr>
              <w:keepNext w:val="0"/>
              <w:spacing w:line="320" w:lineRule="exact" w:after="0" w:before="0"/>
              <w:ind w:firstLine="0"/>
              <w:jc w:val="left"/>
            </w:pPr>
            <w:r>
              <w:rPr>
                <w:b w:val="0"/>
                <w:sz w:val="21"/>
              </w:rPr>
              <w:t>设备物理约束、工况定义、耦合干扰模型</w:t>
            </w:r>
          </w:p>
        </w:tc>
        <w:tc>
          <w:tcPr>
            <w:tcW w:type="dxa" w:w="1928"/>
            <w:vAlign w:val="center"/>
          </w:tcPr>
          <w:p>
            <w:pPr>
              <w:keepNext w:val="0"/>
              <w:spacing w:line="320" w:lineRule="exact" w:after="0" w:before="0"/>
              <w:ind w:firstLine="0"/>
              <w:jc w:val="left"/>
            </w:pPr>
            <w:r>
              <w:rPr>
                <w:b w:val="0"/>
                <w:sz w:val="21"/>
              </w:rPr>
              <w:t>物理合理性由业务专家确认</w:t>
            </w:r>
          </w:p>
        </w:tc>
        <w:tc>
          <w:tcPr>
            <w:tcW w:type="dxa" w:w="1928"/>
            <w:vAlign w:val="center"/>
          </w:tcPr>
          <w:p>
            <w:pPr>
              <w:keepNext w:val="0"/>
              <w:spacing w:line="320" w:lineRule="exact" w:after="0" w:before="0"/>
              <w:ind w:firstLine="0"/>
              <w:jc w:val="left"/>
            </w:pPr>
            <w:r>
              <w:rPr>
                <w:b w:val="0"/>
                <w:sz w:val="21"/>
              </w:rPr>
              <w:t>合成—专家确认</w:t>
            </w:r>
          </w:p>
        </w:tc>
      </w:tr>
      <w:tr>
        <w:trPr>
          <w:cantSplit/>
        </w:trPr>
        <w:tc>
          <w:tcPr>
            <w:tcW w:type="dxa" w:w="1735"/>
            <w:vAlign w:val="center"/>
          </w:tcPr>
          <w:p>
            <w:pPr>
              <w:keepNext w:val="0"/>
              <w:spacing w:line="320" w:lineRule="exact" w:after="0" w:before="0"/>
              <w:ind w:firstLine="0"/>
              <w:jc w:val="left"/>
            </w:pPr>
            <w:r>
              <w:rPr>
                <w:b w:val="0"/>
                <w:sz w:val="21"/>
              </w:rPr>
              <w:t>热处理异常批次档案</w:t>
            </w:r>
          </w:p>
        </w:tc>
        <w:tc>
          <w:tcPr>
            <w:tcW w:type="dxa" w:w="2120"/>
            <w:vAlign w:val="center"/>
          </w:tcPr>
          <w:p>
            <w:pPr>
              <w:keepNext w:val="0"/>
              <w:spacing w:line="320" w:lineRule="exact" w:after="0" w:before="0"/>
              <w:ind w:firstLine="0"/>
              <w:jc w:val="left"/>
            </w:pPr>
            <w:r>
              <w:rPr>
                <w:b w:val="0"/>
                <w:sz w:val="21"/>
              </w:rPr>
              <w:t>按真实批次条件及有效机理模型构建候选</w:t>
            </w:r>
          </w:p>
        </w:tc>
        <w:tc>
          <w:tcPr>
            <w:tcW w:type="dxa" w:w="1928"/>
            <w:vAlign w:val="center"/>
          </w:tcPr>
          <w:p>
            <w:pPr>
              <w:keepNext w:val="0"/>
              <w:spacing w:line="320" w:lineRule="exact" w:after="0" w:before="0"/>
              <w:ind w:firstLine="0"/>
              <w:jc w:val="left"/>
            </w:pPr>
            <w:r>
              <w:rPr>
                <w:b w:val="0"/>
                <w:sz w:val="21"/>
              </w:rPr>
              <w:t>工艺程序、装炉量与规格的可调量范围</w:t>
            </w:r>
          </w:p>
        </w:tc>
        <w:tc>
          <w:tcPr>
            <w:tcW w:type="dxa" w:w="1928"/>
            <w:vAlign w:val="center"/>
          </w:tcPr>
          <w:p>
            <w:pPr>
              <w:keepNext w:val="0"/>
              <w:spacing w:line="320" w:lineRule="exact" w:after="0" w:before="0"/>
              <w:ind w:firstLine="0"/>
              <w:jc w:val="left"/>
            </w:pPr>
            <w:r>
              <w:rPr>
                <w:b w:val="0"/>
                <w:sz w:val="21"/>
              </w:rPr>
              <w:t>参数及响应关系验证通过，质量结果具备独立依据</w:t>
            </w:r>
          </w:p>
        </w:tc>
        <w:tc>
          <w:tcPr>
            <w:tcW w:type="dxa" w:w="1928"/>
            <w:vAlign w:val="center"/>
          </w:tcPr>
          <w:p>
            <w:pPr>
              <w:keepNext w:val="0"/>
              <w:spacing w:line="320" w:lineRule="exact" w:after="0" w:before="0"/>
              <w:ind w:firstLine="0"/>
              <w:jc w:val="left"/>
            </w:pPr>
            <w:r>
              <w:rPr>
                <w:b w:val="0"/>
                <w:sz w:val="21"/>
              </w:rPr>
              <w:t>合成—专家确认</w:t>
            </w:r>
          </w:p>
        </w:tc>
      </w:tr>
    </w:tbl>
    <w:p>
      <w:pPr>
        <w:spacing w:after="40" w:line="240" w:lineRule="auto"/>
        <w:ind w:firstLine="0"/>
      </w:pPr>
      <w:r>
        <w:rPr>
          <w:sz w:val="4"/>
        </w:rPr>
      </w:r>
    </w:p>
    <w:p>
      <w:pPr>
        <w:pStyle w:val="Heading2"/>
      </w:pPr>
      <w:r>
        <w:t>3.6 制度标准与标书问答合成</w:t>
      </w:r>
    </w:p>
    <w:p>
      <w:pPr>
        <w:jc w:val="both"/>
      </w:pPr>
      <w:r>
        <w:t>这三类问答的共同特点是答案必须有出处，这决定了合成方式必须是「证据先行」而非「问题先行」。做法是：先从知识库中取出一个条款级知识单元（管理制度已以「制度条款」为最小知识单元建立索引，抽取了制度名称、编号、发布部门、生效日期、适用范围与制度层级），再围绕这一条款生成提问，使每个合成样本天然带有确定的证据来源。</w:t>
      </w:r>
    </w:p>
    <w:p>
      <w:pPr>
        <w:jc w:val="both"/>
      </w:pPr>
      <w:r>
        <w:t>提问形态按四类组织：事实查询型（这条规定是什么）、适用判定型（某情形是否适用本条）、冲突识别型（两条规定之间是否冲突、哪条优先）、程序引导型（要办某事应按哪些条款走什么流程）。后三类需要跨条款推理，构造时从条款间引用关系中取出相关条款组作为证据集。</w:t>
      </w:r>
    </w:p>
    <w:p>
      <w:pPr>
        <w:jc w:val="both"/>
      </w:pPr>
      <w:r>
        <w:t>三类问答各有专门约束。制度问答须处理失效与替代：已废止、已过有效期或被新制度替代的条款，提问中必须带时点或明确问「当前适用的规定」，答案须指向当期有效版本。标准问答须处理标准版本：同一标准的不同版本条款可能不同，答案须标明依据的标准号与版本年份。标书问答须处理资料分类：投标相关资料按投标文件模板库、设备材料、资质（安标证书、防爆证书、检验检测报告、产品合格证）与业绩（业绩合同、发票、验收单、中标通知书、技术协议）分类归集，合成的提问须落在明确的分类上，答案指向具体的资料条目。</w:t>
      </w:r>
    </w:p>
    <w:p>
      <w:pPr>
        <w:pStyle w:val="Caption"/>
        <w:keepNext/>
      </w:pPr>
      <w:r>
        <w:t>表3-4 制度、标准与标书问答合成的提问形态与证据要求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提问形态</w:t>
            </w:r>
          </w:p>
        </w:tc>
        <w:tc>
          <w:tcPr>
            <w:tcW w:type="dxa" w:w="2699"/>
            <w:vAlign w:val="center"/>
            <w:shd w:fill="EDF1F3"/>
          </w:tcPr>
          <w:p>
            <w:pPr>
              <w:keepNext/>
              <w:spacing w:line="320" w:lineRule="exact" w:after="0" w:before="0"/>
              <w:ind w:firstLine="0"/>
              <w:jc w:val="center"/>
            </w:pPr>
            <w:r>
              <w:rPr>
                <w:b/>
                <w:sz w:val="21"/>
              </w:rPr>
              <w:t>证据集构造</w:t>
            </w:r>
          </w:p>
        </w:tc>
        <w:tc>
          <w:tcPr>
            <w:tcW w:type="dxa" w:w="2409"/>
            <w:vAlign w:val="center"/>
            <w:shd w:fill="EDF1F3"/>
          </w:tcPr>
          <w:p>
            <w:pPr>
              <w:keepNext/>
              <w:spacing w:line="320" w:lineRule="exact" w:after="0" w:before="0"/>
              <w:ind w:firstLine="0"/>
              <w:jc w:val="center"/>
            </w:pPr>
            <w:r>
              <w:rPr>
                <w:b/>
                <w:sz w:val="21"/>
              </w:rPr>
              <w:t>答案要求</w:t>
            </w:r>
          </w:p>
        </w:tc>
        <w:tc>
          <w:tcPr>
            <w:tcW w:type="dxa" w:w="2891"/>
            <w:vAlign w:val="center"/>
            <w:shd w:fill="EDF1F3"/>
          </w:tcPr>
          <w:p>
            <w:pPr>
              <w:keepNext/>
              <w:spacing w:line="320" w:lineRule="exact" w:after="0" w:before="0"/>
              <w:ind w:firstLine="0"/>
              <w:jc w:val="center"/>
            </w:pPr>
            <w:r>
              <w:rPr>
                <w:b/>
                <w:sz w:val="21"/>
              </w:rPr>
              <w:t>典型校验项</w:t>
            </w:r>
          </w:p>
        </w:tc>
      </w:tr>
      <w:tr>
        <w:trPr>
          <w:cantSplit/>
        </w:trPr>
        <w:tc>
          <w:tcPr>
            <w:tcW w:type="dxa" w:w="1638"/>
            <w:vAlign w:val="center"/>
          </w:tcPr>
          <w:p>
            <w:pPr>
              <w:keepNext w:val="0"/>
              <w:spacing w:line="320" w:lineRule="exact" w:after="0" w:before="0"/>
              <w:ind w:firstLine="0"/>
              <w:jc w:val="left"/>
            </w:pPr>
            <w:r>
              <w:rPr>
                <w:b w:val="0"/>
                <w:sz w:val="21"/>
              </w:rPr>
              <w:t>事实查询型</w:t>
            </w:r>
          </w:p>
        </w:tc>
        <w:tc>
          <w:tcPr>
            <w:tcW w:type="dxa" w:w="2699"/>
            <w:vAlign w:val="center"/>
          </w:tcPr>
          <w:p>
            <w:pPr>
              <w:keepNext w:val="0"/>
              <w:spacing w:line="320" w:lineRule="exact" w:after="0" w:before="0"/>
              <w:ind w:firstLine="0"/>
              <w:jc w:val="left"/>
            </w:pPr>
            <w:r>
              <w:rPr>
                <w:b w:val="0"/>
                <w:sz w:val="21"/>
              </w:rPr>
              <w:t>单一条款</w:t>
            </w:r>
          </w:p>
        </w:tc>
        <w:tc>
          <w:tcPr>
            <w:tcW w:type="dxa" w:w="2409"/>
            <w:vAlign w:val="center"/>
          </w:tcPr>
          <w:p>
            <w:pPr>
              <w:keepNext w:val="0"/>
              <w:spacing w:line="320" w:lineRule="exact" w:after="0" w:before="0"/>
              <w:ind w:firstLine="0"/>
              <w:jc w:val="left"/>
            </w:pPr>
            <w:r>
              <w:rPr>
                <w:b w:val="0"/>
                <w:sz w:val="21"/>
              </w:rPr>
              <w:t>答案须为条款原文的准确转述＋出处</w:t>
            </w:r>
          </w:p>
        </w:tc>
        <w:tc>
          <w:tcPr>
            <w:tcW w:type="dxa" w:w="2891"/>
            <w:vAlign w:val="center"/>
          </w:tcPr>
          <w:p>
            <w:pPr>
              <w:keepNext w:val="0"/>
              <w:spacing w:line="320" w:lineRule="exact" w:after="0" w:before="0"/>
              <w:ind w:firstLine="0"/>
              <w:jc w:val="left"/>
            </w:pPr>
            <w:r>
              <w:rPr>
                <w:b w:val="0"/>
                <w:sz w:val="21"/>
              </w:rPr>
              <w:t>答案与条款原文语义一致性校验</w:t>
            </w:r>
          </w:p>
        </w:tc>
      </w:tr>
      <w:tr>
        <w:trPr>
          <w:cantSplit/>
        </w:trPr>
        <w:tc>
          <w:tcPr>
            <w:tcW w:type="dxa" w:w="1638"/>
            <w:vAlign w:val="center"/>
          </w:tcPr>
          <w:p>
            <w:pPr>
              <w:keepNext w:val="0"/>
              <w:spacing w:line="320" w:lineRule="exact" w:after="0" w:before="0"/>
              <w:ind w:firstLine="0"/>
              <w:jc w:val="left"/>
            </w:pPr>
            <w:r>
              <w:rPr>
                <w:b w:val="0"/>
                <w:sz w:val="21"/>
              </w:rPr>
              <w:t>适用判定型</w:t>
            </w:r>
          </w:p>
        </w:tc>
        <w:tc>
          <w:tcPr>
            <w:tcW w:type="dxa" w:w="2699"/>
            <w:vAlign w:val="center"/>
          </w:tcPr>
          <w:p>
            <w:pPr>
              <w:keepNext w:val="0"/>
              <w:spacing w:line="320" w:lineRule="exact" w:after="0" w:before="0"/>
              <w:ind w:firstLine="0"/>
              <w:jc w:val="left"/>
            </w:pPr>
            <w:r>
              <w:rPr>
                <w:b w:val="0"/>
                <w:sz w:val="21"/>
              </w:rPr>
              <w:t>单一条款＋适用范围字段</w:t>
            </w:r>
          </w:p>
        </w:tc>
        <w:tc>
          <w:tcPr>
            <w:tcW w:type="dxa" w:w="2409"/>
            <w:vAlign w:val="center"/>
          </w:tcPr>
          <w:p>
            <w:pPr>
              <w:keepNext w:val="0"/>
              <w:spacing w:line="320" w:lineRule="exact" w:after="0" w:before="0"/>
              <w:ind w:firstLine="0"/>
              <w:jc w:val="left"/>
            </w:pPr>
            <w:r>
              <w:rPr>
                <w:b w:val="0"/>
                <w:sz w:val="21"/>
              </w:rPr>
              <w:t>答案须给出判定与适用范围依据</w:t>
            </w:r>
          </w:p>
        </w:tc>
        <w:tc>
          <w:tcPr>
            <w:tcW w:type="dxa" w:w="2891"/>
            <w:vAlign w:val="center"/>
          </w:tcPr>
          <w:p>
            <w:pPr>
              <w:keepNext w:val="0"/>
              <w:spacing w:line="320" w:lineRule="exact" w:after="0" w:before="0"/>
              <w:ind w:firstLine="0"/>
              <w:jc w:val="left"/>
            </w:pPr>
            <w:r>
              <w:rPr>
                <w:b w:val="0"/>
                <w:sz w:val="21"/>
              </w:rPr>
              <w:t>判定与适用范围字段不矛盾</w:t>
            </w:r>
          </w:p>
        </w:tc>
      </w:tr>
      <w:tr>
        <w:trPr>
          <w:cantSplit/>
        </w:trPr>
        <w:tc>
          <w:tcPr>
            <w:tcW w:type="dxa" w:w="1638"/>
            <w:vAlign w:val="center"/>
          </w:tcPr>
          <w:p>
            <w:pPr>
              <w:keepNext w:val="0"/>
              <w:spacing w:line="320" w:lineRule="exact" w:after="0" w:before="0"/>
              <w:ind w:firstLine="0"/>
              <w:jc w:val="left"/>
            </w:pPr>
            <w:r>
              <w:rPr>
                <w:b w:val="0"/>
                <w:sz w:val="21"/>
              </w:rPr>
              <w:t>冲突识别型</w:t>
            </w:r>
          </w:p>
        </w:tc>
        <w:tc>
          <w:tcPr>
            <w:tcW w:type="dxa" w:w="2699"/>
            <w:vAlign w:val="center"/>
          </w:tcPr>
          <w:p>
            <w:pPr>
              <w:keepNext w:val="0"/>
              <w:spacing w:line="320" w:lineRule="exact" w:after="0" w:before="0"/>
              <w:ind w:firstLine="0"/>
              <w:jc w:val="left"/>
            </w:pPr>
            <w:r>
              <w:rPr>
                <w:b w:val="0"/>
                <w:sz w:val="21"/>
              </w:rPr>
              <w:t>条款间引用关系取出的条款组</w:t>
            </w:r>
          </w:p>
        </w:tc>
        <w:tc>
          <w:tcPr>
            <w:tcW w:type="dxa" w:w="2409"/>
            <w:vAlign w:val="center"/>
          </w:tcPr>
          <w:p>
            <w:pPr>
              <w:keepNext w:val="0"/>
              <w:spacing w:line="320" w:lineRule="exact" w:after="0" w:before="0"/>
              <w:ind w:firstLine="0"/>
              <w:jc w:val="left"/>
            </w:pPr>
            <w:r>
              <w:rPr>
                <w:b w:val="0"/>
                <w:sz w:val="21"/>
              </w:rPr>
              <w:t>答案须指出冲突点与适用及优先关系的有效依据，不单以发布日期判断优先级</w:t>
            </w:r>
          </w:p>
        </w:tc>
        <w:tc>
          <w:tcPr>
            <w:tcW w:type="dxa" w:w="2891"/>
            <w:vAlign w:val="center"/>
          </w:tcPr>
          <w:p>
            <w:pPr>
              <w:keepNext w:val="0"/>
              <w:spacing w:line="320" w:lineRule="exact" w:after="0" w:before="0"/>
              <w:ind w:firstLine="0"/>
              <w:jc w:val="left"/>
            </w:pPr>
            <w:r>
              <w:rPr>
                <w:b w:val="0"/>
                <w:sz w:val="21"/>
              </w:rPr>
              <w:t>条款组须存在引用或同主题关系</w:t>
            </w:r>
          </w:p>
        </w:tc>
      </w:tr>
      <w:tr>
        <w:trPr>
          <w:cantSplit/>
        </w:trPr>
        <w:tc>
          <w:tcPr>
            <w:tcW w:type="dxa" w:w="1638"/>
            <w:vAlign w:val="center"/>
          </w:tcPr>
          <w:p>
            <w:pPr>
              <w:keepNext w:val="0"/>
              <w:spacing w:line="320" w:lineRule="exact" w:after="0" w:before="0"/>
              <w:ind w:firstLine="0"/>
              <w:jc w:val="left"/>
            </w:pPr>
            <w:r>
              <w:rPr>
                <w:b w:val="0"/>
                <w:sz w:val="21"/>
              </w:rPr>
              <w:t>程序引导型</w:t>
            </w:r>
          </w:p>
        </w:tc>
        <w:tc>
          <w:tcPr>
            <w:tcW w:type="dxa" w:w="2699"/>
            <w:vAlign w:val="center"/>
          </w:tcPr>
          <w:p>
            <w:pPr>
              <w:keepNext w:val="0"/>
              <w:spacing w:line="320" w:lineRule="exact" w:after="0" w:before="0"/>
              <w:ind w:firstLine="0"/>
              <w:jc w:val="left"/>
            </w:pPr>
            <w:r>
              <w:rPr>
                <w:b w:val="0"/>
                <w:sz w:val="21"/>
              </w:rPr>
              <w:t>同一事项涉及的多条款序列</w:t>
            </w:r>
          </w:p>
        </w:tc>
        <w:tc>
          <w:tcPr>
            <w:tcW w:type="dxa" w:w="2409"/>
            <w:vAlign w:val="center"/>
          </w:tcPr>
          <w:p>
            <w:pPr>
              <w:keepNext w:val="0"/>
              <w:spacing w:line="320" w:lineRule="exact" w:after="0" w:before="0"/>
              <w:ind w:firstLine="0"/>
              <w:jc w:val="left"/>
            </w:pPr>
            <w:r>
              <w:rPr>
                <w:b w:val="0"/>
                <w:sz w:val="21"/>
              </w:rPr>
              <w:t>答案须给出步骤与各步依据条款</w:t>
            </w:r>
          </w:p>
        </w:tc>
        <w:tc>
          <w:tcPr>
            <w:tcW w:type="dxa" w:w="2891"/>
            <w:vAlign w:val="center"/>
          </w:tcPr>
          <w:p>
            <w:pPr>
              <w:keepNext w:val="0"/>
              <w:spacing w:line="320" w:lineRule="exact" w:after="0" w:before="0"/>
              <w:ind w:firstLine="0"/>
              <w:jc w:val="left"/>
            </w:pPr>
            <w:r>
              <w:rPr>
                <w:b w:val="0"/>
                <w:sz w:val="21"/>
              </w:rPr>
              <w:t>步骤顺序与条款规定顺序一致</w:t>
            </w:r>
          </w:p>
        </w:tc>
      </w:tr>
      <w:tr>
        <w:trPr>
          <w:cantSplit/>
        </w:trPr>
        <w:tc>
          <w:tcPr>
            <w:tcW w:type="dxa" w:w="1638"/>
            <w:vAlign w:val="center"/>
          </w:tcPr>
          <w:p>
            <w:pPr>
              <w:keepNext w:val="0"/>
              <w:spacing w:line="320" w:lineRule="exact" w:after="0" w:before="0"/>
              <w:ind w:firstLine="0"/>
              <w:jc w:val="left"/>
            </w:pPr>
            <w:r>
              <w:rPr>
                <w:b w:val="0"/>
                <w:sz w:val="21"/>
              </w:rPr>
              <w:t>版本时点型</w:t>
            </w:r>
          </w:p>
        </w:tc>
        <w:tc>
          <w:tcPr>
            <w:tcW w:type="dxa" w:w="2699"/>
            <w:vAlign w:val="center"/>
          </w:tcPr>
          <w:p>
            <w:pPr>
              <w:keepNext w:val="0"/>
              <w:spacing w:line="320" w:lineRule="exact" w:after="0" w:before="0"/>
              <w:ind w:firstLine="0"/>
              <w:jc w:val="left"/>
            </w:pPr>
            <w:r>
              <w:rPr>
                <w:b w:val="0"/>
                <w:sz w:val="21"/>
              </w:rPr>
              <w:t>同一主题的多版本条款</w:t>
            </w:r>
          </w:p>
        </w:tc>
        <w:tc>
          <w:tcPr>
            <w:tcW w:type="dxa" w:w="2409"/>
            <w:vAlign w:val="center"/>
          </w:tcPr>
          <w:p>
            <w:pPr>
              <w:keepNext w:val="0"/>
              <w:spacing w:line="320" w:lineRule="exact" w:after="0" w:before="0"/>
              <w:ind w:firstLine="0"/>
              <w:jc w:val="left"/>
            </w:pPr>
            <w:r>
              <w:rPr>
                <w:b w:val="0"/>
                <w:sz w:val="21"/>
              </w:rPr>
              <w:t>答案须标明依据版本与生效时点</w:t>
            </w:r>
          </w:p>
        </w:tc>
        <w:tc>
          <w:tcPr>
            <w:tcW w:type="dxa" w:w="2891"/>
            <w:vAlign w:val="center"/>
          </w:tcPr>
          <w:p>
            <w:pPr>
              <w:keepNext w:val="0"/>
              <w:spacing w:line="320" w:lineRule="exact" w:after="0" w:before="0"/>
              <w:ind w:firstLine="0"/>
              <w:jc w:val="left"/>
            </w:pPr>
            <w:r>
              <w:rPr>
                <w:b w:val="0"/>
                <w:sz w:val="21"/>
              </w:rPr>
              <w:t>版本信息完整性</w:t>
            </w:r>
          </w:p>
        </w:tc>
      </w:tr>
      <w:tr>
        <w:trPr>
          <w:cantSplit/>
        </w:trPr>
        <w:tc>
          <w:tcPr>
            <w:tcW w:type="dxa" w:w="1638"/>
            <w:vAlign w:val="center"/>
          </w:tcPr>
          <w:p>
            <w:pPr>
              <w:keepNext w:val="0"/>
              <w:spacing w:line="320" w:lineRule="exact" w:after="0" w:before="0"/>
              <w:ind w:firstLine="0"/>
              <w:jc w:val="left"/>
            </w:pPr>
            <w:r>
              <w:rPr>
                <w:b w:val="0"/>
                <w:sz w:val="21"/>
              </w:rPr>
              <w:t>资料定位型（标书）</w:t>
            </w:r>
          </w:p>
        </w:tc>
        <w:tc>
          <w:tcPr>
            <w:tcW w:type="dxa" w:w="2699"/>
            <w:vAlign w:val="center"/>
          </w:tcPr>
          <w:p>
            <w:pPr>
              <w:keepNext w:val="0"/>
              <w:spacing w:line="320" w:lineRule="exact" w:after="0" w:before="0"/>
              <w:ind w:firstLine="0"/>
              <w:jc w:val="left"/>
            </w:pPr>
            <w:r>
              <w:rPr>
                <w:b w:val="0"/>
                <w:sz w:val="21"/>
              </w:rPr>
              <w:t>按四类分类归集的资料条目</w:t>
            </w:r>
          </w:p>
        </w:tc>
        <w:tc>
          <w:tcPr>
            <w:tcW w:type="dxa" w:w="2409"/>
            <w:vAlign w:val="center"/>
          </w:tcPr>
          <w:p>
            <w:pPr>
              <w:keepNext w:val="0"/>
              <w:spacing w:line="320" w:lineRule="exact" w:after="0" w:before="0"/>
              <w:ind w:firstLine="0"/>
              <w:jc w:val="left"/>
            </w:pPr>
            <w:r>
              <w:rPr>
                <w:b w:val="0"/>
                <w:sz w:val="21"/>
              </w:rPr>
              <w:t>答案须指向具体资料条目与所在位置</w:t>
            </w:r>
          </w:p>
        </w:tc>
        <w:tc>
          <w:tcPr>
            <w:tcW w:type="dxa" w:w="2891"/>
            <w:vAlign w:val="center"/>
          </w:tcPr>
          <w:p>
            <w:pPr>
              <w:keepNext w:val="0"/>
              <w:spacing w:line="320" w:lineRule="exact" w:after="0" w:before="0"/>
              <w:ind w:firstLine="0"/>
              <w:jc w:val="left"/>
            </w:pPr>
            <w:r>
              <w:rPr>
                <w:b w:val="0"/>
                <w:sz w:val="21"/>
              </w:rPr>
              <w:t>资料分类正确性</w:t>
            </w:r>
          </w:p>
        </w:tc>
      </w:tr>
    </w:tbl>
    <w:p>
      <w:pPr>
        <w:spacing w:after="40" w:line="240" w:lineRule="auto"/>
        <w:ind w:firstLine="0"/>
      </w:pPr>
      <w:r>
        <w:rPr>
          <w:sz w:val="4"/>
        </w:rPr>
      </w:r>
    </w:p>
    <w:p>
      <w:pPr>
        <w:jc w:val="both"/>
      </w:pPr>
      <w:r>
        <w:t>决策数据问答按照问题、指标口径、取数逻辑与答案的结构扩展表达和任务覆盖。生成配置绑定指标知识库版本，答案在对应快照上复算。新提问改变统计维度、范围或周期时同步调整取数逻辑，口径不明确时组织澄清式对话，不沿用旧答案。</w:t>
      </w:r>
    </w:p>
    <w:p>
      <w:pPr>
        <w:pStyle w:val="Heading2"/>
      </w:pPr>
      <w:r>
        <w:t>3.7 合成校验配比与基准管理</w:t>
      </w:r>
    </w:p>
    <w:p>
      <w:pPr>
        <w:jc w:val="both"/>
      </w:pPr>
      <w:r>
        <w:t>三道校验的内容与判定如下。</w:t>
      </w:r>
    </w:p>
    <w:p>
      <w:pPr>
        <w:jc w:val="both"/>
      </w:pPr>
      <w:r>
        <w:t>规则校验在样本级执行，校验项即前述各小节列出的任务特有校验项加通用校验项。通用校验项包括：格式与字段完整性、标签取值域合规性、引用的本体类目与知识条目存在性、实体替换完成性（不残留可识别的具体当事人、项目与金额）、内容安全合规性。规则校验不通过的样本直接丢弃并记录触发的规则编号，批次级不合格率超过规范给定线的，该批次的生成策略须调整后重做。</w:t>
      </w:r>
    </w:p>
    <w:p>
      <w:pPr>
        <w:jc w:val="both"/>
      </w:pPr>
      <w:r>
        <w:t>分布比对在批次级执行，比对维度包括任务类型分布、样本长度分布、标签取值分布、业务域分布与难度分布。比对方法是计算合成批次与对应真实样本集在各维度上的分布距离，同时核对经审核的缺口补充目标。常规样本按真实分布控制，长尾补充样本按预定目标比例控制；在相同任务和类别内检查样本长度、参数范围及难度，偏离相应容限的调整生成策略后重做。这一校验解决的是合成样本容易「集中在容易生成的形态上」的问题：若不做分布比对，合成出来的样本往往长度相近、任务形态单一、标签取值集中在少数几类。</w:t>
      </w:r>
    </w:p>
    <w:p>
      <w:pPr>
        <w:jc w:val="both"/>
      </w:pPr>
      <w:r>
        <w:t>与基准评测数据的去重比对在样本级执行，方法为精确去重加近似去重两道。精确去重按内容指纹比对，近似去重按语义相似度比对，相似度超过阈值的判为命中。命中样本从合成产出中删除，并产出命中样本清单作为质检记录。这道校验的目的是防止评测污染：若合成样本与评测题目重复，验证环节得到的效果结论就不可信。</w:t>
      </w:r>
    </w:p>
    <w:p>
      <w:pPr>
        <w:jc w:val="both"/>
      </w:pPr>
      <w:r>
        <w:t>合成占比按数据集、用途子集和任务类型分别控制。配比在生产前登记，发布时以去重且质量通过的有效交付内容计算。预训练按有效Token统计，同时披露条数；指令微调按有效样本条数统计；偏好对齐按组统计，任一回答或任务内容属于合成的，该组计入合成组。合成样本再增强仍保留合成来源，不能通过转换类型规避上限。</w:t>
      </w:r>
    </w:p>
    <w:p>
      <w:pPr>
        <w:pStyle w:val="Caption"/>
        <w:keepNext/>
      </w:pPr>
      <w:r>
        <w:t>表3-5 合成与增强占比控制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用途子集</w:t>
            </w:r>
          </w:p>
        </w:tc>
        <w:tc>
          <w:tcPr>
            <w:tcW w:type="dxa" w:w="2699"/>
            <w:vAlign w:val="center"/>
            <w:shd w:fill="EDF1F3"/>
          </w:tcPr>
          <w:p>
            <w:pPr>
              <w:keepNext/>
              <w:spacing w:line="320" w:lineRule="exact" w:after="0" w:before="0"/>
              <w:ind w:firstLine="0"/>
              <w:jc w:val="center"/>
            </w:pPr>
            <w:r>
              <w:rPr>
                <w:b/>
                <w:sz w:val="21"/>
              </w:rPr>
              <w:t>生产控制上限</w:t>
            </w:r>
          </w:p>
        </w:tc>
        <w:tc>
          <w:tcPr>
            <w:tcW w:type="dxa" w:w="2409"/>
            <w:vAlign w:val="center"/>
            <w:shd w:fill="EDF1F3"/>
          </w:tcPr>
          <w:p>
            <w:pPr>
              <w:keepNext/>
              <w:spacing w:line="320" w:lineRule="exact" w:after="0" w:before="0"/>
              <w:ind w:firstLine="0"/>
              <w:jc w:val="center"/>
            </w:pPr>
            <w:r>
              <w:rPr>
                <w:b/>
                <w:sz w:val="21"/>
              </w:rPr>
              <w:t>计量要求</w:t>
            </w:r>
          </w:p>
        </w:tc>
        <w:tc>
          <w:tcPr>
            <w:tcW w:type="dxa" w:w="2891"/>
            <w:vAlign w:val="center"/>
            <w:shd w:fill="EDF1F3"/>
          </w:tcPr>
          <w:p>
            <w:pPr>
              <w:keepNext/>
              <w:spacing w:line="320" w:lineRule="exact" w:after="0" w:before="0"/>
              <w:ind w:firstLine="0"/>
              <w:jc w:val="center"/>
            </w:pPr>
            <w:r>
              <w:rPr>
                <w:b/>
                <w:sz w:val="21"/>
              </w:rPr>
              <w:t>超限处置</w:t>
            </w:r>
          </w:p>
        </w:tc>
      </w:tr>
      <w:tr>
        <w:trPr>
          <w:cantSplit/>
        </w:trPr>
        <w:tc>
          <w:tcPr>
            <w:tcW w:type="dxa" w:w="1638"/>
            <w:vAlign w:val="center"/>
          </w:tcPr>
          <w:p>
            <w:pPr>
              <w:keepNext w:val="0"/>
              <w:spacing w:line="320" w:lineRule="exact" w:after="0" w:before="0"/>
              <w:ind w:firstLine="0"/>
              <w:jc w:val="left"/>
            </w:pPr>
            <w:r>
              <w:rPr>
                <w:b w:val="0"/>
                <w:sz w:val="21"/>
              </w:rPr>
              <w:t>预训练</w:t>
            </w:r>
          </w:p>
        </w:tc>
        <w:tc>
          <w:tcPr>
            <w:tcW w:type="dxa" w:w="2699"/>
            <w:vAlign w:val="center"/>
          </w:tcPr>
          <w:p>
            <w:pPr>
              <w:keepNext w:val="0"/>
              <w:spacing w:line="320" w:lineRule="exact" w:after="0" w:before="0"/>
              <w:ind w:firstLine="0"/>
              <w:jc w:val="left"/>
            </w:pPr>
            <w:r>
              <w:rPr>
                <w:b w:val="0"/>
                <w:sz w:val="21"/>
              </w:rPr>
              <w:t>合成及增强来源内容合计不超过20%</w:t>
            </w:r>
          </w:p>
        </w:tc>
        <w:tc>
          <w:tcPr>
            <w:tcW w:type="dxa" w:w="2409"/>
            <w:vAlign w:val="center"/>
          </w:tcPr>
          <w:p>
            <w:pPr>
              <w:keepNext w:val="0"/>
              <w:spacing w:line="320" w:lineRule="exact" w:after="0" w:before="0"/>
              <w:ind w:firstLine="0"/>
              <w:jc w:val="left"/>
            </w:pPr>
            <w:r>
              <w:rPr>
                <w:b w:val="0"/>
                <w:sz w:val="21"/>
              </w:rPr>
              <w:t>按有效Token计算并披露源样本家族数</w:t>
            </w:r>
          </w:p>
        </w:tc>
        <w:tc>
          <w:tcPr>
            <w:tcW w:type="dxa" w:w="2891"/>
            <w:vAlign w:val="center"/>
          </w:tcPr>
          <w:p>
            <w:pPr>
              <w:keepNext w:val="0"/>
              <w:spacing w:line="320" w:lineRule="exact" w:after="0" w:before="0"/>
              <w:ind w:firstLine="0"/>
              <w:jc w:val="left"/>
            </w:pPr>
            <w:r>
              <w:rPr>
                <w:b w:val="0"/>
                <w:sz w:val="21"/>
              </w:rPr>
              <w:t>调整入集清单，补足经授权真实语料</w:t>
            </w:r>
          </w:p>
        </w:tc>
      </w:tr>
      <w:tr>
        <w:trPr>
          <w:cantSplit/>
        </w:trPr>
        <w:tc>
          <w:tcPr>
            <w:tcW w:type="dxa" w:w="1638"/>
            <w:vAlign w:val="center"/>
          </w:tcPr>
          <w:p>
            <w:pPr>
              <w:keepNext w:val="0"/>
              <w:spacing w:line="320" w:lineRule="exact" w:after="0" w:before="0"/>
              <w:ind w:firstLine="0"/>
              <w:jc w:val="left"/>
            </w:pPr>
            <w:r>
              <w:rPr>
                <w:b w:val="0"/>
                <w:sz w:val="21"/>
              </w:rPr>
              <w:t>指令微调整体</w:t>
            </w:r>
          </w:p>
        </w:tc>
        <w:tc>
          <w:tcPr>
            <w:tcW w:type="dxa" w:w="2699"/>
            <w:vAlign w:val="center"/>
          </w:tcPr>
          <w:p>
            <w:pPr>
              <w:keepNext w:val="0"/>
              <w:spacing w:line="320" w:lineRule="exact" w:after="0" w:before="0"/>
              <w:ind w:firstLine="0"/>
              <w:jc w:val="left"/>
            </w:pPr>
            <w:r>
              <w:rPr>
                <w:b w:val="0"/>
                <w:sz w:val="21"/>
              </w:rPr>
              <w:t>合成来源样本不超过45%</w:t>
            </w:r>
          </w:p>
        </w:tc>
        <w:tc>
          <w:tcPr>
            <w:tcW w:type="dxa" w:w="2409"/>
            <w:vAlign w:val="center"/>
          </w:tcPr>
          <w:p>
            <w:pPr>
              <w:keepNext w:val="0"/>
              <w:spacing w:line="320" w:lineRule="exact" w:after="0" w:before="0"/>
              <w:ind w:firstLine="0"/>
              <w:jc w:val="left"/>
            </w:pPr>
            <w:r>
              <w:rPr>
                <w:b w:val="0"/>
                <w:sz w:val="21"/>
              </w:rPr>
              <w:t>四个数据集分别计算，不以跨域平均冲抵</w:t>
            </w:r>
          </w:p>
        </w:tc>
        <w:tc>
          <w:tcPr>
            <w:tcW w:type="dxa" w:w="2891"/>
            <w:vAlign w:val="center"/>
          </w:tcPr>
          <w:p>
            <w:pPr>
              <w:keepNext w:val="0"/>
              <w:spacing w:line="320" w:lineRule="exact" w:after="0" w:before="0"/>
              <w:ind w:firstLine="0"/>
              <w:jc w:val="left"/>
            </w:pPr>
            <w:r>
              <w:rPr>
                <w:b w:val="0"/>
                <w:sz w:val="21"/>
              </w:rPr>
              <w:t>补充真实样本及人工标注，重新验证混比</w:t>
            </w:r>
          </w:p>
        </w:tc>
      </w:tr>
      <w:tr>
        <w:trPr>
          <w:cantSplit/>
        </w:trPr>
        <w:tc>
          <w:tcPr>
            <w:tcW w:type="dxa" w:w="1638"/>
            <w:vAlign w:val="center"/>
          </w:tcPr>
          <w:p>
            <w:pPr>
              <w:keepNext w:val="0"/>
              <w:spacing w:line="320" w:lineRule="exact" w:after="0" w:before="0"/>
              <w:ind w:firstLine="0"/>
              <w:jc w:val="left"/>
            </w:pPr>
            <w:r>
              <w:rPr>
                <w:b w:val="0"/>
                <w:sz w:val="21"/>
              </w:rPr>
              <w:t>真实样本充足任务</w:t>
            </w:r>
          </w:p>
        </w:tc>
        <w:tc>
          <w:tcPr>
            <w:tcW w:type="dxa" w:w="2699"/>
            <w:vAlign w:val="center"/>
          </w:tcPr>
          <w:p>
            <w:pPr>
              <w:keepNext w:val="0"/>
              <w:spacing w:line="320" w:lineRule="exact" w:after="0" w:before="0"/>
              <w:ind w:firstLine="0"/>
              <w:jc w:val="left"/>
            </w:pPr>
            <w:r>
              <w:rPr>
                <w:b w:val="0"/>
                <w:sz w:val="21"/>
              </w:rPr>
              <w:t>合成来源样本不超过30%</w:t>
            </w:r>
          </w:p>
        </w:tc>
        <w:tc>
          <w:tcPr>
            <w:tcW w:type="dxa" w:w="2409"/>
            <w:vAlign w:val="center"/>
          </w:tcPr>
          <w:p>
            <w:pPr>
              <w:keepNext w:val="0"/>
              <w:spacing w:line="320" w:lineRule="exact" w:after="0" w:before="0"/>
              <w:ind w:firstLine="0"/>
              <w:jc w:val="left"/>
            </w:pPr>
            <w:r>
              <w:rPr>
                <w:b w:val="0"/>
                <w:sz w:val="21"/>
              </w:rPr>
              <w:t>在所属用途子集整体上限内执行</w:t>
            </w:r>
          </w:p>
        </w:tc>
        <w:tc>
          <w:tcPr>
            <w:tcW w:type="dxa" w:w="2891"/>
            <w:vAlign w:val="center"/>
          </w:tcPr>
          <w:p>
            <w:pPr>
              <w:keepNext w:val="0"/>
              <w:spacing w:line="320" w:lineRule="exact" w:after="0" w:before="0"/>
              <w:ind w:firstLine="0"/>
              <w:jc w:val="left"/>
            </w:pPr>
            <w:r>
              <w:rPr>
                <w:b w:val="0"/>
                <w:sz w:val="21"/>
              </w:rPr>
              <w:t>优先增加真实来源覆盖</w:t>
            </w:r>
          </w:p>
        </w:tc>
      </w:tr>
      <w:tr>
        <w:trPr>
          <w:cantSplit/>
        </w:trPr>
        <w:tc>
          <w:tcPr>
            <w:tcW w:type="dxa" w:w="1638"/>
            <w:vAlign w:val="center"/>
          </w:tcPr>
          <w:p>
            <w:pPr>
              <w:keepNext w:val="0"/>
              <w:spacing w:line="320" w:lineRule="exact" w:after="0" w:before="0"/>
              <w:ind w:firstLine="0"/>
              <w:jc w:val="left"/>
            </w:pPr>
            <w:r>
              <w:rPr>
                <w:b w:val="0"/>
                <w:sz w:val="21"/>
              </w:rPr>
              <w:t>推理和长尾任务</w:t>
            </w:r>
          </w:p>
        </w:tc>
        <w:tc>
          <w:tcPr>
            <w:tcW w:type="dxa" w:w="2699"/>
            <w:vAlign w:val="center"/>
          </w:tcPr>
          <w:p>
            <w:pPr>
              <w:keepNext w:val="0"/>
              <w:spacing w:line="320" w:lineRule="exact" w:after="0" w:before="0"/>
              <w:ind w:firstLine="0"/>
              <w:jc w:val="left"/>
            </w:pPr>
            <w:r>
              <w:rPr>
                <w:b w:val="0"/>
                <w:sz w:val="21"/>
              </w:rPr>
              <w:t>单任务合成来源样本不超过60%</w:t>
            </w:r>
          </w:p>
        </w:tc>
        <w:tc>
          <w:tcPr>
            <w:tcW w:type="dxa" w:w="2409"/>
            <w:vAlign w:val="center"/>
          </w:tcPr>
          <w:p>
            <w:pPr>
              <w:keepNext w:val="0"/>
              <w:spacing w:line="320" w:lineRule="exact" w:after="0" w:before="0"/>
              <w:ind w:firstLine="0"/>
              <w:jc w:val="left"/>
            </w:pPr>
            <w:r>
              <w:rPr>
                <w:b w:val="0"/>
                <w:sz w:val="21"/>
              </w:rPr>
              <w:t>同时满足指令微调整体上限，独立记录真实种子数</w:t>
            </w:r>
          </w:p>
        </w:tc>
        <w:tc>
          <w:tcPr>
            <w:tcW w:type="dxa" w:w="2891"/>
            <w:vAlign w:val="center"/>
          </w:tcPr>
          <w:p>
            <w:pPr>
              <w:keepNext w:val="0"/>
              <w:spacing w:line="320" w:lineRule="exact" w:after="0" w:before="0"/>
              <w:ind w:firstLine="0"/>
              <w:jc w:val="left"/>
            </w:pPr>
            <w:r>
              <w:rPr>
                <w:b w:val="0"/>
                <w:sz w:val="21"/>
              </w:rPr>
              <w:t>停止继续扩充，调整任务配比或补采</w:t>
            </w:r>
          </w:p>
        </w:tc>
      </w:tr>
      <w:tr>
        <w:trPr>
          <w:cantSplit/>
        </w:trPr>
        <w:tc>
          <w:tcPr>
            <w:tcW w:type="dxa" w:w="1638"/>
            <w:vAlign w:val="center"/>
          </w:tcPr>
          <w:p>
            <w:pPr>
              <w:keepNext w:val="0"/>
              <w:spacing w:line="320" w:lineRule="exact" w:after="0" w:before="0"/>
              <w:ind w:firstLine="0"/>
              <w:jc w:val="left"/>
            </w:pPr>
            <w:r>
              <w:rPr>
                <w:b w:val="0"/>
                <w:sz w:val="21"/>
              </w:rPr>
              <w:t>人类偏好对齐</w:t>
            </w:r>
          </w:p>
        </w:tc>
        <w:tc>
          <w:tcPr>
            <w:tcW w:type="dxa" w:w="2699"/>
            <w:vAlign w:val="center"/>
          </w:tcPr>
          <w:p>
            <w:pPr>
              <w:keepNext w:val="0"/>
              <w:spacing w:line="320" w:lineRule="exact" w:after="0" w:before="0"/>
              <w:ind w:firstLine="0"/>
              <w:jc w:val="left"/>
            </w:pPr>
            <w:r>
              <w:rPr>
                <w:b w:val="0"/>
                <w:sz w:val="21"/>
              </w:rPr>
              <w:t>合成来源偏好组不超过50%</w:t>
            </w:r>
          </w:p>
        </w:tc>
        <w:tc>
          <w:tcPr>
            <w:tcW w:type="dxa" w:w="2409"/>
            <w:vAlign w:val="center"/>
          </w:tcPr>
          <w:p>
            <w:pPr>
              <w:keepNext w:val="0"/>
              <w:spacing w:line="320" w:lineRule="exact" w:after="0" w:before="0"/>
              <w:ind w:firstLine="0"/>
              <w:jc w:val="left"/>
            </w:pPr>
            <w:r>
              <w:rPr>
                <w:b w:val="0"/>
                <w:sz w:val="21"/>
              </w:rPr>
              <w:t>人工判断优劣，组内含合成回答及其派生时计入合成</w:t>
            </w:r>
          </w:p>
        </w:tc>
        <w:tc>
          <w:tcPr>
            <w:tcW w:type="dxa" w:w="2891"/>
            <w:vAlign w:val="center"/>
          </w:tcPr>
          <w:p>
            <w:pPr>
              <w:keepNext w:val="0"/>
              <w:spacing w:line="320" w:lineRule="exact" w:after="0" w:before="0"/>
              <w:ind w:firstLine="0"/>
              <w:jc w:val="left"/>
            </w:pPr>
            <w:r>
              <w:rPr>
                <w:b w:val="0"/>
                <w:sz w:val="21"/>
              </w:rPr>
              <w:t>重构偏好来源并重新审核</w:t>
            </w:r>
          </w:p>
        </w:tc>
      </w:tr>
      <w:tr>
        <w:trPr>
          <w:cantSplit/>
        </w:trPr>
        <w:tc>
          <w:tcPr>
            <w:tcW w:type="dxa" w:w="1638"/>
            <w:vAlign w:val="center"/>
          </w:tcPr>
          <w:p>
            <w:pPr>
              <w:keepNext w:val="0"/>
              <w:spacing w:line="320" w:lineRule="exact" w:after="0" w:before="0"/>
              <w:ind w:firstLine="0"/>
              <w:jc w:val="left"/>
            </w:pPr>
            <w:r>
              <w:rPr>
                <w:b w:val="0"/>
                <w:sz w:val="21"/>
              </w:rPr>
              <w:t>基准评测</w:t>
            </w:r>
          </w:p>
        </w:tc>
        <w:tc>
          <w:tcPr>
            <w:tcW w:type="dxa" w:w="2699"/>
            <w:vAlign w:val="center"/>
          </w:tcPr>
          <w:p>
            <w:pPr>
              <w:keepNext w:val="0"/>
              <w:spacing w:line="320" w:lineRule="exact" w:after="0" w:before="0"/>
              <w:ind w:firstLine="0"/>
              <w:jc w:val="left"/>
            </w:pPr>
            <w:r>
              <w:rPr>
                <w:b w:val="0"/>
                <w:sz w:val="21"/>
              </w:rPr>
              <w:t>合成数据占比为0</w:t>
            </w:r>
          </w:p>
        </w:tc>
        <w:tc>
          <w:tcPr>
            <w:tcW w:type="dxa" w:w="2409"/>
            <w:vAlign w:val="center"/>
          </w:tcPr>
          <w:p>
            <w:pPr>
              <w:keepNext w:val="0"/>
              <w:spacing w:line="320" w:lineRule="exact" w:after="0" w:before="0"/>
              <w:ind w:firstLine="0"/>
              <w:jc w:val="left"/>
            </w:pPr>
            <w:r>
              <w:rPr>
                <w:b w:val="0"/>
                <w:sz w:val="21"/>
              </w:rPr>
              <w:t>真实业务来源独立审题，含合成来源的派生内容同样排除</w:t>
            </w:r>
          </w:p>
        </w:tc>
        <w:tc>
          <w:tcPr>
            <w:tcW w:type="dxa" w:w="2891"/>
            <w:vAlign w:val="center"/>
          </w:tcPr>
          <w:p>
            <w:pPr>
              <w:keepNext w:val="0"/>
              <w:spacing w:line="320" w:lineRule="exact" w:after="0" w:before="0"/>
              <w:ind w:firstLine="0"/>
              <w:jc w:val="left"/>
            </w:pPr>
            <w:r>
              <w:rPr>
                <w:b w:val="0"/>
                <w:sz w:val="21"/>
              </w:rPr>
              <w:t>阻断冻结，排查同源家族及影响版本</w:t>
            </w:r>
          </w:p>
        </w:tc>
      </w:tr>
    </w:tbl>
    <w:p>
      <w:pPr>
        <w:spacing w:after="40" w:line="240" w:lineRule="auto"/>
        <w:ind w:firstLine="0"/>
      </w:pPr>
      <w:r>
        <w:rPr>
          <w:sz w:val="4"/>
        </w:rPr>
      </w:r>
    </w:p>
    <w:p>
      <w:pPr>
        <w:jc w:val="both"/>
      </w:pPr>
      <w:r>
        <w:t>生产控制上限同时写入任务配置、统计程序和数据集卡片。目标配比可根据独立开发验证结果向更低比例调整，任何变更保留批准记录及对照实验。达到数量上限不意味着该比例有效，验证发现真实场景表现下降时，重新分析种子、类别、来源和难度分布。超限批次经调整及复检后重新提交，不能只在卡片中披露后继续发布。</w:t>
      </w:r>
    </w:p>
    <w:p>
      <w:pPr>
        <w:jc w:val="both"/>
      </w:pPr>
      <w:r>
        <w:t>真实分布与定向补充后的目标分布分别保存。为补足长尾而主动增加的类别占比，按已批准目标分布检验，同时比较同类样本内部的工况、参数及表达是否偏离真实可行范围。不能以“不同于原始类别比例”直接否定长尾补充，也不能以补长尾为由接受不符合业务约束的样本。</w:t>
      </w:r>
    </w:p>
    <w:p>
      <w:pPr>
        <w:pStyle w:val="Heading2"/>
      </w:pPr>
      <w:r>
        <w:t>3.8 合成样本的溯源记录与教师模型许可登记</w:t>
      </w:r>
    </w:p>
    <w:p>
      <w:pPr>
        <w:jc w:val="both"/>
      </w:pPr>
      <w:r>
        <w:t>每条合成样本随附的溯源记录包含九个字段：种子样本标识（指向真实样本的唯一标识，可回溯到原始数据）、种子来源类型、合成任务标识、合成方法标识、生成配置及提示词版本（含任务模板、系统指令、检索模板和变量约束版本）、所用模型标识与版本、生成时点、校验结论与触发的校验项、合成批次号。溯源记录与样本一并封装，使任一条合成样本都可以回答「它是从哪条真实样本、用什么方法、在什么配置下生成的」。</w:t>
      </w:r>
    </w:p>
    <w:p>
      <w:pPr>
        <w:jc w:val="both"/>
      </w:pPr>
      <w:r>
        <w:t>模型许可登记是一份独立的台账，按模型逐项登记：模型标识与版本、接入方式、服务提供形态、许可条款中关于生成内容权属与商业使用的约定、对生成内容用于训练的限制条款、许可有效期与续期安排、登记日期与核验人。台账随数据集版本一并交付，使数据集在后续流通、挂牌与交易环节有明确的权属依据。</w:t>
      </w:r>
    </w:p>
    <w:p>
      <w:pPr>
        <w:jc w:val="both"/>
      </w:pPr>
      <w:r>
        <w:t>教师模型许可核验覆盖生成内容权属、商业使用、训练使用、再分发及许可终止后的适用条件。许可条件不能覆盖目标用途的模型不用于该任务。许可变更时根据实际条款、生成时间和约定的适用效力复核已有样本，分别决定继续使用、限定范围、补授权或撤回，不能一律将新条款追溯为全部历史样本的使用依据。</w:t>
      </w:r>
    </w:p>
    <w:p>
      <w:pPr>
        <w:pStyle w:val="Caption"/>
        <w:keepNext/>
      </w:pPr>
      <w:r>
        <w:t>表3-6 合成样本溯源记录与模型许可登记的字段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台账</w:t>
            </w:r>
          </w:p>
        </w:tc>
        <w:tc>
          <w:tcPr>
            <w:tcW w:type="dxa" w:w="4048"/>
            <w:vAlign w:val="center"/>
            <w:shd w:fill="EDF1F3"/>
          </w:tcPr>
          <w:p>
            <w:pPr>
              <w:keepNext/>
              <w:spacing w:line="320" w:lineRule="exact" w:after="0" w:before="0"/>
              <w:ind w:firstLine="0"/>
              <w:jc w:val="center"/>
            </w:pPr>
            <w:r>
              <w:rPr>
                <w:b/>
                <w:sz w:val="21"/>
              </w:rPr>
              <w:t>字段</w:t>
            </w:r>
          </w:p>
        </w:tc>
        <w:tc>
          <w:tcPr>
            <w:tcW w:type="dxa" w:w="3470"/>
            <w:vAlign w:val="center"/>
            <w:shd w:fill="EDF1F3"/>
          </w:tcPr>
          <w:p>
            <w:pPr>
              <w:keepNext/>
              <w:spacing w:line="320" w:lineRule="exact" w:after="0" w:before="0"/>
              <w:ind w:firstLine="0"/>
              <w:jc w:val="center"/>
            </w:pPr>
            <w:r>
              <w:rPr>
                <w:b/>
                <w:sz w:val="21"/>
              </w:rPr>
              <w:t>用途</w:t>
            </w:r>
          </w:p>
        </w:tc>
      </w:tr>
      <w:tr>
        <w:trPr>
          <w:cantSplit/>
        </w:trPr>
        <w:tc>
          <w:tcPr>
            <w:tcW w:type="dxa" w:w="2120"/>
            <w:vAlign w:val="center"/>
          </w:tcPr>
          <w:p>
            <w:pPr>
              <w:keepNext w:val="0"/>
              <w:spacing w:line="320" w:lineRule="exact" w:after="0" w:before="0"/>
              <w:ind w:firstLine="0"/>
              <w:jc w:val="left"/>
            </w:pPr>
            <w:r>
              <w:rPr>
                <w:b w:val="0"/>
                <w:sz w:val="21"/>
              </w:rPr>
              <w:t>样本级溯源记录</w:t>
            </w:r>
          </w:p>
        </w:tc>
        <w:tc>
          <w:tcPr>
            <w:tcW w:type="dxa" w:w="4048"/>
            <w:vAlign w:val="center"/>
          </w:tcPr>
          <w:p>
            <w:pPr>
              <w:keepNext w:val="0"/>
              <w:spacing w:line="320" w:lineRule="exact" w:after="0" w:before="0"/>
              <w:ind w:firstLine="0"/>
              <w:jc w:val="left"/>
            </w:pPr>
            <w:r>
              <w:rPr>
                <w:b w:val="0"/>
                <w:sz w:val="21"/>
              </w:rPr>
              <w:t>种子样本标识、种子来源类型、合成任务标识、合成方法标识、生成配置与提示词版本、教师模型标识与版本、生成时点、校验结论、批次号</w:t>
            </w:r>
          </w:p>
        </w:tc>
        <w:tc>
          <w:tcPr>
            <w:tcW w:type="dxa" w:w="3470"/>
            <w:vAlign w:val="center"/>
          </w:tcPr>
          <w:p>
            <w:pPr>
              <w:keepNext w:val="0"/>
              <w:spacing w:line="320" w:lineRule="exact" w:after="0" w:before="0"/>
              <w:ind w:firstLine="0"/>
              <w:jc w:val="left"/>
            </w:pPr>
            <w:r>
              <w:rPr>
                <w:b w:val="0"/>
                <w:sz w:val="21"/>
              </w:rPr>
              <w:t>单样本可回溯；质检抽查与争议处置依据</w:t>
            </w:r>
          </w:p>
        </w:tc>
      </w:tr>
      <w:tr>
        <w:trPr>
          <w:cantSplit/>
        </w:trPr>
        <w:tc>
          <w:tcPr>
            <w:tcW w:type="dxa" w:w="2120"/>
            <w:vAlign w:val="center"/>
          </w:tcPr>
          <w:p>
            <w:pPr>
              <w:keepNext w:val="0"/>
              <w:spacing w:line="320" w:lineRule="exact" w:after="0" w:before="0"/>
              <w:ind w:firstLine="0"/>
              <w:jc w:val="left"/>
            </w:pPr>
            <w:r>
              <w:rPr>
                <w:b w:val="0"/>
                <w:sz w:val="21"/>
              </w:rPr>
              <w:t>合成批次台账</w:t>
            </w:r>
          </w:p>
        </w:tc>
        <w:tc>
          <w:tcPr>
            <w:tcW w:type="dxa" w:w="4048"/>
            <w:vAlign w:val="center"/>
          </w:tcPr>
          <w:p>
            <w:pPr>
              <w:keepNext w:val="0"/>
              <w:spacing w:line="320" w:lineRule="exact" w:after="0" w:before="0"/>
              <w:ind w:firstLine="0"/>
              <w:jc w:val="left"/>
            </w:pPr>
            <w:r>
              <w:rPr>
                <w:b w:val="0"/>
                <w:sz w:val="21"/>
              </w:rPr>
              <w:t>批次号、任务、目标覆盖缺口、生成量、丢弃量与丢弃原因分布、分布比对结论、去重命中数、入集量、负责单元</w:t>
            </w:r>
          </w:p>
        </w:tc>
        <w:tc>
          <w:tcPr>
            <w:tcW w:type="dxa" w:w="3470"/>
            <w:vAlign w:val="center"/>
          </w:tcPr>
          <w:p>
            <w:pPr>
              <w:keepNext w:val="0"/>
              <w:spacing w:line="320" w:lineRule="exact" w:after="0" w:before="0"/>
              <w:ind w:firstLine="0"/>
              <w:jc w:val="left"/>
            </w:pPr>
            <w:r>
              <w:rPr>
                <w:b w:val="0"/>
                <w:sz w:val="21"/>
              </w:rPr>
              <w:t>批次级质量分析与配比核算</w:t>
            </w:r>
          </w:p>
        </w:tc>
      </w:tr>
      <w:tr>
        <w:trPr>
          <w:cantSplit/>
        </w:trPr>
        <w:tc>
          <w:tcPr>
            <w:tcW w:type="dxa" w:w="2120"/>
            <w:vAlign w:val="center"/>
          </w:tcPr>
          <w:p>
            <w:pPr>
              <w:keepNext w:val="0"/>
              <w:spacing w:line="320" w:lineRule="exact" w:after="0" w:before="0"/>
              <w:ind w:firstLine="0"/>
              <w:jc w:val="left"/>
            </w:pPr>
            <w:r>
              <w:rPr>
                <w:b w:val="0"/>
                <w:sz w:val="21"/>
              </w:rPr>
              <w:t>模型许可登记台账</w:t>
            </w:r>
          </w:p>
        </w:tc>
        <w:tc>
          <w:tcPr>
            <w:tcW w:type="dxa" w:w="4048"/>
            <w:vAlign w:val="center"/>
          </w:tcPr>
          <w:p>
            <w:pPr>
              <w:keepNext w:val="0"/>
              <w:spacing w:line="320" w:lineRule="exact" w:after="0" w:before="0"/>
              <w:ind w:firstLine="0"/>
              <w:jc w:val="left"/>
            </w:pPr>
            <w:r>
              <w:rPr>
                <w:b w:val="0"/>
                <w:sz w:val="21"/>
              </w:rPr>
              <w:t>模型标识与版本、接入方式、生成内容权属约定、用于训练的限制条款、有效期、核验依据与核验日期</w:t>
            </w:r>
          </w:p>
        </w:tc>
        <w:tc>
          <w:tcPr>
            <w:tcW w:type="dxa" w:w="3470"/>
            <w:vAlign w:val="center"/>
          </w:tcPr>
          <w:p>
            <w:pPr>
              <w:keepNext w:val="0"/>
              <w:spacing w:line="320" w:lineRule="exact" w:after="0" w:before="0"/>
              <w:ind w:firstLine="0"/>
              <w:jc w:val="left"/>
            </w:pPr>
            <w:r>
              <w:rPr>
                <w:b w:val="0"/>
                <w:sz w:val="21"/>
              </w:rPr>
              <w:t>数据集对外发布与流通的权属依据</w:t>
            </w:r>
          </w:p>
        </w:tc>
      </w:tr>
    </w:tbl>
    <w:p>
      <w:pPr>
        <w:spacing w:after="40" w:line="240" w:lineRule="auto"/>
        <w:ind w:firstLine="0"/>
      </w:pPr>
      <w:r>
        <w:rPr>
          <w:sz w:val="4"/>
        </w:rPr>
      </w:r>
    </w:p>
    <w:p>
      <w:pPr>
        <w:pStyle w:val="Heading1"/>
      </w:pPr>
      <w:r>
        <w:t>4 数据增强</w:t>
      </w:r>
    </w:p>
    <w:p>
      <w:pPr>
        <w:pStyle w:val="Heading2"/>
      </w:pPr>
      <w:r>
        <w:t>4.1 增强对象与来源记录</w:t>
      </w:r>
    </w:p>
    <w:p>
      <w:pPr>
        <w:jc w:val="both"/>
      </w:pPr>
      <w:r>
        <w:t>增强在保留原样本业务语义的条件下改变表达、采样或成像形态，包括文本改写、图像变换和时序窗口处理。产生新的业务条件、故障假设或推理内容的作业按合成管理。任务先明确允许保持的标签和必须同步更新的字段，不能在变换后沿用已经失效的标签。</w:t>
      </w:r>
    </w:p>
    <w:p>
      <w:pPr>
        <w:jc w:val="both"/>
      </w:pPr>
      <w:r>
        <w:t>样本分别登记源数据性质和加工方式。源数据性质标明真实业务来源或合成来源，加工方式记录未增强或具体增强算子；一条样本可具有多个连续算子，但来源链不丢失。统计展示真实原始样本、真实来源增强样本、合成原始样本和合成来源增强样本四项，四项互斥，汇总时可重新归并为真实来源与合成来源，防止增强处理掩盖合成占比。</w:t>
      </w:r>
    </w:p>
    <w:p>
      <w:pPr>
        <w:jc w:val="both"/>
      </w:pPr>
      <w:r>
        <w:t>增强作用于训练侧及明确用途的开发验证数据，正式基准评测保持真实来源与冻结规则，不以生成改写、图像扰动或人为噪声扩充基准题量。同一源对象及派生家族始终处于同一切分范围，先切分再增强。</w:t>
      </w:r>
    </w:p>
    <w:p>
      <w:pPr>
        <w:pStyle w:val="Heading2"/>
      </w:pPr>
      <w:r>
        <w:t>4.2 分布统计与盲区识别</w:t>
      </w:r>
    </w:p>
    <w:p>
      <w:pPr>
        <w:jc w:val="both"/>
      </w:pPr>
      <w:r>
        <w:t>分布统计是增强作业的前置条件，不做统计直接增强等于盲目扩充。统计在每个数据集版本冻结前执行一轮，在增强作业后再执行一轮，两轮结果构成增强前后的分布对比结论。</w:t>
      </w:r>
    </w:p>
    <w:p>
      <w:pPr>
        <w:jc w:val="both"/>
      </w:pPr>
      <w:r>
        <w:t>六个维度的统计口径与关注的问题如表 4-1。每个维度的统计结果给出三类结论：分布本身（各取值的样本数与占比）、与目标分布的差距（目标分布的来源见表中说明）、以及识别出的长尾类别、覆盖盲区与来源偏置清单。</w:t>
      </w:r>
    </w:p>
    <w:p>
      <w:pPr>
        <w:pStyle w:val="Caption"/>
        <w:keepNext/>
      </w:pPr>
      <w:r>
        <w:t>表4-1 六个维度的分布统计口径与目标分布来源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维度</w:t>
            </w:r>
          </w:p>
        </w:tc>
        <w:tc>
          <w:tcPr>
            <w:tcW w:type="dxa" w:w="2699"/>
            <w:vAlign w:val="center"/>
            <w:shd w:fill="EDF1F3"/>
          </w:tcPr>
          <w:p>
            <w:pPr>
              <w:keepNext/>
              <w:spacing w:line="320" w:lineRule="exact" w:after="0" w:before="0"/>
              <w:ind w:firstLine="0"/>
              <w:jc w:val="center"/>
            </w:pPr>
            <w:r>
              <w:rPr>
                <w:b/>
                <w:sz w:val="21"/>
              </w:rPr>
              <w:t>统计口径</w:t>
            </w:r>
          </w:p>
        </w:tc>
        <w:tc>
          <w:tcPr>
            <w:tcW w:type="dxa" w:w="2409"/>
            <w:vAlign w:val="center"/>
            <w:shd w:fill="EDF1F3"/>
          </w:tcPr>
          <w:p>
            <w:pPr>
              <w:keepNext/>
              <w:spacing w:line="320" w:lineRule="exact" w:after="0" w:before="0"/>
              <w:ind w:firstLine="0"/>
              <w:jc w:val="center"/>
            </w:pPr>
            <w:r>
              <w:rPr>
                <w:b/>
                <w:sz w:val="21"/>
              </w:rPr>
              <w:t>目标分布来源</w:t>
            </w:r>
          </w:p>
        </w:tc>
        <w:tc>
          <w:tcPr>
            <w:tcW w:type="dxa" w:w="2891"/>
            <w:vAlign w:val="center"/>
            <w:shd w:fill="EDF1F3"/>
          </w:tcPr>
          <w:p>
            <w:pPr>
              <w:keepNext/>
              <w:spacing w:line="320" w:lineRule="exact" w:after="0" w:before="0"/>
              <w:ind w:firstLine="0"/>
              <w:jc w:val="center"/>
            </w:pPr>
            <w:r>
              <w:rPr>
                <w:b/>
                <w:sz w:val="21"/>
              </w:rPr>
              <w:t>关注的问题</w:t>
            </w:r>
          </w:p>
        </w:tc>
      </w:tr>
      <w:tr>
        <w:trPr>
          <w:cantSplit/>
        </w:trPr>
        <w:tc>
          <w:tcPr>
            <w:tcW w:type="dxa" w:w="1638"/>
            <w:vAlign w:val="center"/>
          </w:tcPr>
          <w:p>
            <w:pPr>
              <w:keepNext w:val="0"/>
              <w:spacing w:line="320" w:lineRule="exact" w:after="0" w:before="0"/>
              <w:ind w:firstLine="0"/>
              <w:jc w:val="left"/>
            </w:pPr>
            <w:r>
              <w:rPr>
                <w:b w:val="0"/>
                <w:sz w:val="21"/>
              </w:rPr>
              <w:t>业务域</w:t>
            </w:r>
          </w:p>
        </w:tc>
        <w:tc>
          <w:tcPr>
            <w:tcW w:type="dxa" w:w="2699"/>
            <w:vAlign w:val="center"/>
          </w:tcPr>
          <w:p>
            <w:pPr>
              <w:keepNext w:val="0"/>
              <w:spacing w:line="320" w:lineRule="exact" w:after="0" w:before="0"/>
              <w:ind w:firstLine="0"/>
              <w:jc w:val="left"/>
            </w:pPr>
            <w:r>
              <w:rPr>
                <w:b w:val="0"/>
                <w:sz w:val="21"/>
              </w:rPr>
              <w:t>按供需计划、产品工艺设计、制造过程、产品质量四域及其子域统计样本数与 Token 数</w:t>
            </w:r>
          </w:p>
        </w:tc>
        <w:tc>
          <w:tcPr>
            <w:tcW w:type="dxa" w:w="2409"/>
            <w:vAlign w:val="center"/>
          </w:tcPr>
          <w:p>
            <w:pPr>
              <w:keepNext w:val="0"/>
              <w:spacing w:line="320" w:lineRule="exact" w:after="0" w:before="0"/>
              <w:ind w:firstLine="0"/>
              <w:jc w:val="left"/>
            </w:pPr>
            <w:r>
              <w:rPr>
                <w:b w:val="0"/>
                <w:sz w:val="21"/>
              </w:rPr>
              <w:t>四大数据集规模要求：615 亿 Token（276＋70＋105＋164）、89 万条（40＋10＋15＋24）、6.6 万组（3.2＋0.8＋1＋1.6）、0.95 万条（0.4＋0.1＋0.2＋0.25）</w:t>
            </w:r>
          </w:p>
        </w:tc>
        <w:tc>
          <w:tcPr>
            <w:tcW w:type="dxa" w:w="2891"/>
            <w:vAlign w:val="center"/>
          </w:tcPr>
          <w:p>
            <w:pPr>
              <w:keepNext w:val="0"/>
              <w:spacing w:line="320" w:lineRule="exact" w:after="0" w:before="0"/>
              <w:ind w:firstLine="0"/>
              <w:jc w:val="left"/>
            </w:pPr>
            <w:r>
              <w:rPr>
                <w:b w:val="0"/>
                <w:sz w:val="21"/>
              </w:rPr>
              <w:t>域间规模是否达成；域内子域是否失衡</w:t>
            </w:r>
          </w:p>
        </w:tc>
      </w:tr>
      <w:tr>
        <w:trPr>
          <w:cantSplit/>
        </w:trPr>
        <w:tc>
          <w:tcPr>
            <w:tcW w:type="dxa" w:w="1638"/>
            <w:vAlign w:val="center"/>
          </w:tcPr>
          <w:p>
            <w:pPr>
              <w:keepNext w:val="0"/>
              <w:spacing w:line="320" w:lineRule="exact" w:after="0" w:before="0"/>
              <w:ind w:firstLine="0"/>
              <w:jc w:val="left"/>
            </w:pPr>
            <w:r>
              <w:rPr>
                <w:b w:val="0"/>
                <w:sz w:val="21"/>
              </w:rPr>
              <w:t>任务类型</w:t>
            </w:r>
          </w:p>
        </w:tc>
        <w:tc>
          <w:tcPr>
            <w:tcW w:type="dxa" w:w="2699"/>
            <w:vAlign w:val="center"/>
          </w:tcPr>
          <w:p>
            <w:pPr>
              <w:keepNext w:val="0"/>
              <w:spacing w:line="320" w:lineRule="exact" w:after="0" w:before="0"/>
              <w:ind w:firstLine="0"/>
              <w:jc w:val="left"/>
            </w:pPr>
            <w:r>
              <w:rPr>
                <w:b w:val="0"/>
                <w:sz w:val="21"/>
              </w:rPr>
              <w:t>按指令微调子集的任务模板分类统计</w:t>
            </w:r>
          </w:p>
        </w:tc>
        <w:tc>
          <w:tcPr>
            <w:tcW w:type="dxa" w:w="2409"/>
            <w:vAlign w:val="center"/>
          </w:tcPr>
          <w:p>
            <w:pPr>
              <w:keepNext w:val="0"/>
              <w:spacing w:line="320" w:lineRule="exact" w:after="0" w:before="0"/>
              <w:ind w:firstLine="0"/>
              <w:jc w:val="left"/>
            </w:pPr>
            <w:r>
              <w:rPr>
                <w:b w:val="0"/>
                <w:sz w:val="21"/>
              </w:rPr>
              <w:t>各验证场景所需的任务类型清单</w:t>
            </w:r>
          </w:p>
        </w:tc>
        <w:tc>
          <w:tcPr>
            <w:tcW w:type="dxa" w:w="2891"/>
            <w:vAlign w:val="center"/>
          </w:tcPr>
          <w:p>
            <w:pPr>
              <w:keepNext w:val="0"/>
              <w:spacing w:line="320" w:lineRule="exact" w:after="0" w:before="0"/>
              <w:ind w:firstLine="0"/>
              <w:jc w:val="left"/>
            </w:pPr>
            <w:r>
              <w:rPr>
                <w:b w:val="0"/>
                <w:sz w:val="21"/>
              </w:rPr>
              <w:t>是否存在场景需要但样本极少的任务类型</w:t>
            </w:r>
          </w:p>
        </w:tc>
      </w:tr>
      <w:tr>
        <w:trPr>
          <w:cantSplit/>
        </w:trPr>
        <w:tc>
          <w:tcPr>
            <w:tcW w:type="dxa" w:w="1638"/>
            <w:vAlign w:val="center"/>
          </w:tcPr>
          <w:p>
            <w:pPr>
              <w:keepNext w:val="0"/>
              <w:spacing w:line="320" w:lineRule="exact" w:after="0" w:before="0"/>
              <w:ind w:firstLine="0"/>
              <w:jc w:val="left"/>
            </w:pPr>
            <w:r>
              <w:rPr>
                <w:b w:val="0"/>
                <w:sz w:val="21"/>
              </w:rPr>
              <w:t>样本长度</w:t>
            </w:r>
          </w:p>
        </w:tc>
        <w:tc>
          <w:tcPr>
            <w:tcW w:type="dxa" w:w="2699"/>
            <w:vAlign w:val="center"/>
          </w:tcPr>
          <w:p>
            <w:pPr>
              <w:keepNext w:val="0"/>
              <w:spacing w:line="320" w:lineRule="exact" w:after="0" w:before="0"/>
              <w:ind w:firstLine="0"/>
              <w:jc w:val="left"/>
            </w:pPr>
            <w:r>
              <w:rPr>
                <w:b w:val="0"/>
                <w:sz w:val="21"/>
              </w:rPr>
              <w:t>按 Token 数分档统计，长上下文样本单列</w:t>
            </w:r>
          </w:p>
        </w:tc>
        <w:tc>
          <w:tcPr>
            <w:tcW w:type="dxa" w:w="2409"/>
            <w:vAlign w:val="center"/>
          </w:tcPr>
          <w:p>
            <w:pPr>
              <w:keepNext w:val="0"/>
              <w:spacing w:line="320" w:lineRule="exact" w:after="0" w:before="0"/>
              <w:ind w:firstLine="0"/>
              <w:jc w:val="left"/>
            </w:pPr>
            <w:r>
              <w:rPr>
                <w:b w:val="0"/>
                <w:sz w:val="21"/>
              </w:rPr>
              <w:t>场景实际输入长度分布（按真实项目图纸与配套资料统计）</w:t>
            </w:r>
          </w:p>
        </w:tc>
        <w:tc>
          <w:tcPr>
            <w:tcW w:type="dxa" w:w="2891"/>
            <w:vAlign w:val="center"/>
          </w:tcPr>
          <w:p>
            <w:pPr>
              <w:keepNext w:val="0"/>
              <w:spacing w:line="320" w:lineRule="exact" w:after="0" w:before="0"/>
              <w:ind w:firstLine="0"/>
              <w:jc w:val="left"/>
            </w:pPr>
            <w:r>
              <w:rPr>
                <w:b w:val="0"/>
                <w:sz w:val="21"/>
              </w:rPr>
              <w:t>长样本是否过少导致长上下文能力无法训练</w:t>
            </w:r>
          </w:p>
        </w:tc>
      </w:tr>
      <w:tr>
        <w:trPr>
          <w:cantSplit/>
        </w:trPr>
        <w:tc>
          <w:tcPr>
            <w:tcW w:type="dxa" w:w="1638"/>
            <w:vAlign w:val="center"/>
          </w:tcPr>
          <w:p>
            <w:pPr>
              <w:keepNext w:val="0"/>
              <w:spacing w:line="320" w:lineRule="exact" w:after="0" w:before="0"/>
              <w:ind w:firstLine="0"/>
              <w:jc w:val="left"/>
            </w:pPr>
            <w:r>
              <w:rPr>
                <w:b w:val="0"/>
                <w:sz w:val="21"/>
              </w:rPr>
              <w:t>数据来源</w:t>
            </w:r>
          </w:p>
        </w:tc>
        <w:tc>
          <w:tcPr>
            <w:tcW w:type="dxa" w:w="2699"/>
            <w:vAlign w:val="center"/>
          </w:tcPr>
          <w:p>
            <w:pPr>
              <w:keepNext w:val="0"/>
              <w:spacing w:line="320" w:lineRule="exact" w:after="0" w:before="0"/>
              <w:ind w:firstLine="0"/>
              <w:jc w:val="left"/>
            </w:pPr>
            <w:r>
              <w:rPr>
                <w:b w:val="0"/>
                <w:sz w:val="21"/>
              </w:rPr>
              <w:t>按源系统与资料类型统计</w:t>
            </w:r>
          </w:p>
        </w:tc>
        <w:tc>
          <w:tcPr>
            <w:tcW w:type="dxa" w:w="2409"/>
            <w:vAlign w:val="center"/>
          </w:tcPr>
          <w:p>
            <w:pPr>
              <w:keepNext w:val="0"/>
              <w:spacing w:line="320" w:lineRule="exact" w:after="0" w:before="0"/>
              <w:ind w:firstLine="0"/>
              <w:jc w:val="left"/>
            </w:pPr>
            <w:r>
              <w:rPr>
                <w:b w:val="0"/>
                <w:sz w:val="21"/>
              </w:rPr>
              <w:t>源系统的数据量与业务重要性</w:t>
            </w:r>
          </w:p>
        </w:tc>
        <w:tc>
          <w:tcPr>
            <w:tcW w:type="dxa" w:w="2891"/>
            <w:vAlign w:val="center"/>
          </w:tcPr>
          <w:p>
            <w:pPr>
              <w:keepNext w:val="0"/>
              <w:spacing w:line="320" w:lineRule="exact" w:after="0" w:before="0"/>
              <w:ind w:firstLine="0"/>
              <w:jc w:val="left"/>
            </w:pPr>
            <w:r>
              <w:rPr>
                <w:b w:val="0"/>
                <w:sz w:val="21"/>
              </w:rPr>
              <w:t>来源偏置：某一系统数据过多主导分布</w:t>
            </w:r>
          </w:p>
        </w:tc>
      </w:tr>
      <w:tr>
        <w:trPr>
          <w:cantSplit/>
        </w:trPr>
        <w:tc>
          <w:tcPr>
            <w:tcW w:type="dxa" w:w="1638"/>
            <w:vAlign w:val="center"/>
          </w:tcPr>
          <w:p>
            <w:pPr>
              <w:keepNext w:val="0"/>
              <w:spacing w:line="320" w:lineRule="exact" w:after="0" w:before="0"/>
              <w:ind w:firstLine="0"/>
              <w:jc w:val="left"/>
            </w:pPr>
            <w:r>
              <w:rPr>
                <w:b w:val="0"/>
                <w:sz w:val="21"/>
              </w:rPr>
              <w:t>模态</w:t>
            </w:r>
          </w:p>
        </w:tc>
        <w:tc>
          <w:tcPr>
            <w:tcW w:type="dxa" w:w="2699"/>
            <w:vAlign w:val="center"/>
          </w:tcPr>
          <w:p>
            <w:pPr>
              <w:keepNext w:val="0"/>
              <w:spacing w:line="320" w:lineRule="exact" w:after="0" w:before="0"/>
              <w:ind w:firstLine="0"/>
              <w:jc w:val="left"/>
            </w:pPr>
            <w:r>
              <w:rPr>
                <w:b w:val="0"/>
                <w:sz w:val="21"/>
              </w:rPr>
              <w:t>按文本、图像、时序、视频统计条数与占比</w:t>
            </w:r>
          </w:p>
        </w:tc>
        <w:tc>
          <w:tcPr>
            <w:tcW w:type="dxa" w:w="2409"/>
            <w:vAlign w:val="center"/>
          </w:tcPr>
          <w:p>
            <w:pPr>
              <w:keepNext w:val="0"/>
              <w:spacing w:line="320" w:lineRule="exact" w:after="0" w:before="0"/>
              <w:ind w:firstLine="0"/>
              <w:jc w:val="left"/>
            </w:pPr>
            <w:r>
              <w:rPr>
                <w:b w:val="0"/>
                <w:sz w:val="21"/>
              </w:rPr>
              <w:t>指标要求：数据模态不低于 3 种、多模态数据条数占比不低于 40%</w:t>
            </w:r>
          </w:p>
        </w:tc>
        <w:tc>
          <w:tcPr>
            <w:tcW w:type="dxa" w:w="2891"/>
            <w:vAlign w:val="center"/>
          </w:tcPr>
          <w:p>
            <w:pPr>
              <w:keepNext w:val="0"/>
              <w:spacing w:line="320" w:lineRule="exact" w:after="0" w:before="0"/>
              <w:ind w:firstLine="0"/>
              <w:jc w:val="left"/>
            </w:pPr>
            <w:r>
              <w:rPr>
                <w:b w:val="0"/>
                <w:sz w:val="21"/>
              </w:rPr>
              <w:t>多模态占比是否达成</w:t>
            </w:r>
          </w:p>
        </w:tc>
      </w:tr>
      <w:tr>
        <w:trPr>
          <w:cantSplit/>
        </w:trPr>
        <w:tc>
          <w:tcPr>
            <w:tcW w:type="dxa" w:w="1638"/>
            <w:vAlign w:val="center"/>
          </w:tcPr>
          <w:p>
            <w:pPr>
              <w:keepNext w:val="0"/>
              <w:spacing w:line="320" w:lineRule="exact" w:after="0" w:before="0"/>
              <w:ind w:firstLine="0"/>
              <w:jc w:val="left"/>
            </w:pPr>
            <w:r>
              <w:rPr>
                <w:b w:val="0"/>
                <w:sz w:val="21"/>
              </w:rPr>
              <w:t>时间</w:t>
            </w:r>
          </w:p>
        </w:tc>
        <w:tc>
          <w:tcPr>
            <w:tcW w:type="dxa" w:w="2699"/>
            <w:vAlign w:val="center"/>
          </w:tcPr>
          <w:p>
            <w:pPr>
              <w:keepNext w:val="0"/>
              <w:spacing w:line="320" w:lineRule="exact" w:after="0" w:before="0"/>
              <w:ind w:firstLine="0"/>
              <w:jc w:val="left"/>
            </w:pPr>
            <w:r>
              <w:rPr>
                <w:b w:val="0"/>
                <w:sz w:val="21"/>
              </w:rPr>
              <w:t>按样本业务发生时间分年度统计</w:t>
            </w:r>
          </w:p>
        </w:tc>
        <w:tc>
          <w:tcPr>
            <w:tcW w:type="dxa" w:w="2409"/>
            <w:vAlign w:val="center"/>
          </w:tcPr>
          <w:p>
            <w:pPr>
              <w:keepNext w:val="0"/>
              <w:spacing w:line="320" w:lineRule="exact" w:after="0" w:before="0"/>
              <w:ind w:firstLine="0"/>
              <w:jc w:val="left"/>
            </w:pPr>
            <w:r>
              <w:rPr>
                <w:b w:val="0"/>
                <w:sz w:val="21"/>
              </w:rPr>
              <w:t>指标要求：3 年内数据条数占比不低于 40%</w:t>
            </w:r>
          </w:p>
        </w:tc>
        <w:tc>
          <w:tcPr>
            <w:tcW w:type="dxa" w:w="2891"/>
            <w:vAlign w:val="center"/>
          </w:tcPr>
          <w:p>
            <w:pPr>
              <w:keepNext w:val="0"/>
              <w:spacing w:line="320" w:lineRule="exact" w:after="0" w:before="0"/>
              <w:ind w:firstLine="0"/>
              <w:jc w:val="left"/>
            </w:pPr>
            <w:r>
              <w:rPr>
                <w:b w:val="0"/>
                <w:sz w:val="21"/>
              </w:rPr>
              <w:t>时效性占比是否达成；是否存在年度断档</w:t>
            </w:r>
          </w:p>
        </w:tc>
      </w:tr>
    </w:tbl>
    <w:p>
      <w:pPr>
        <w:spacing w:after="40" w:line="240" w:lineRule="auto"/>
        <w:ind w:firstLine="0"/>
      </w:pPr>
      <w:r>
        <w:rPr>
          <w:sz w:val="4"/>
        </w:rPr>
      </w:r>
    </w:p>
    <w:p>
      <w:pPr>
        <w:jc w:val="both"/>
      </w:pPr>
      <w:r>
        <w:t>长尾类别的识别标准是：某标签取值的样本数低于该标签全部取值平均样本数的规范给定比例，或低于下游任务可训练的最小样本量。覆盖盲区的识别标准是：本体中有定义、场景中有需要，但数据集中样本数为零或接近零的类目。来源偏置的识别标准是：某一来源的样本占该业务域样本的比例超过规范给定线，且该来源的数据特征与其他来源存在系统性差异。</w:t>
      </w:r>
    </w:p>
    <w:p>
      <w:pPr>
        <w:jc w:val="both"/>
      </w:pPr>
      <w:r>
        <w:t>分布分析将长尾、盲区和来源偏置分别转为生产任务。长尾类别先补充真实覆盖，再用合理增强增加表达和采样差异；没有真实样本的盲区优先补采，具备可靠知识依据后受控合成训练样本；来源偏置通过增加来源、调整采样权重和减少重复内容处理。每项任务记录原始缺口、目标范围、生产方式及预期检查指标。</w:t>
      </w:r>
    </w:p>
    <w:p>
      <w:pPr>
        <w:pStyle w:val="Heading2"/>
      </w:pPr>
      <w:r>
        <w:t>4.3 文本样本的增强</w:t>
      </w:r>
    </w:p>
    <w:p>
      <w:pPr>
        <w:jc w:val="both"/>
      </w:pPr>
      <w:r>
        <w:t>文本增强覆盖现场描述与规范书面表述之间的差异，风格参照来自经授权的历史工单、维修记录和检验记录。转换保留原证据强度：“电机有点烫”可以整理为“现场反映电机发热”，不能在没有测量和限值依据时改写为“电机温升超限”；“有异响”不能直接改成“链条故障”。现象、测量结果、告警与诊断结论分别对应各自语义层次。</w:t>
      </w:r>
    </w:p>
    <w:p>
      <w:pPr>
        <w:jc w:val="both"/>
      </w:pPr>
      <w:r>
        <w:t>三类变换的实施方式与约束如下。</w:t>
      </w:r>
    </w:p>
    <w:p>
      <w:pPr>
        <w:jc w:val="both"/>
      </w:pPr>
      <w:r>
        <w:t>同义改写替换业务术语的同义表达。替换依据是本体的术语表与同义词别名表，不允许自由替换——矿机行业的很多用词看起来同义实则不同（如「刮板」与「铲板」是不同部件），自由替换会引入语义错误。改写后校验替换的术语对在别名表中存在，且改写后的句子中各术语之间的关系未改变。</w:t>
      </w:r>
    </w:p>
    <w:p>
      <w:pPr>
        <w:jc w:val="both"/>
      </w:pPr>
      <w:r>
        <w:t>句式变换调整表达结构而不改变语义，包括主被动转换、长句拆分、短句合并、疑问与陈述转换。对指令微调样本，句式变换主要施加在指令部分而不是响应部分：指令的多样性提升模型对不同问法的适应能力，响应的句式随意变换会影响输出格式的稳定性。</w:t>
      </w:r>
    </w:p>
    <w:p>
      <w:pPr>
        <w:jc w:val="both"/>
      </w:pPr>
      <w:r>
        <w:t>风格迁移双向组织。规范书面表述向口语表达转换时，保留事实、条件和不确定性，用于扩大现场提问覆盖；现场描述向书面记录整理时，核对信息是否完整及术语是否准确。参照语料来自经授权的工单、检验及维修记录，处理后保留来源和变化记录，不将新增专业判断混入表达转换。</w:t>
      </w:r>
    </w:p>
    <w:p>
      <w:pPr>
        <w:pStyle w:val="Caption"/>
        <w:keepNext/>
      </w:pPr>
      <w:r>
        <w:t>表4-2 文本增强的变换类型、实施口径与校验项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变换类型</w:t>
            </w:r>
          </w:p>
        </w:tc>
        <w:tc>
          <w:tcPr>
            <w:tcW w:type="dxa" w:w="2120"/>
            <w:vAlign w:val="center"/>
            <w:shd w:fill="EDF1F3"/>
          </w:tcPr>
          <w:p>
            <w:pPr>
              <w:keepNext/>
              <w:spacing w:line="320" w:lineRule="exact" w:after="0" w:before="0"/>
              <w:ind w:firstLine="0"/>
              <w:jc w:val="center"/>
            </w:pPr>
            <w:r>
              <w:rPr>
                <w:b/>
                <w:sz w:val="21"/>
              </w:rPr>
              <w:t>实施口径</w:t>
            </w:r>
          </w:p>
        </w:tc>
        <w:tc>
          <w:tcPr>
            <w:tcW w:type="dxa" w:w="1928"/>
            <w:vAlign w:val="center"/>
            <w:shd w:fill="EDF1F3"/>
          </w:tcPr>
          <w:p>
            <w:pPr>
              <w:keepNext/>
              <w:spacing w:line="320" w:lineRule="exact" w:after="0" w:before="0"/>
              <w:ind w:firstLine="0"/>
              <w:jc w:val="center"/>
            </w:pPr>
            <w:r>
              <w:rPr>
                <w:b/>
                <w:sz w:val="21"/>
              </w:rPr>
              <w:t>施加对象</w:t>
            </w:r>
          </w:p>
        </w:tc>
        <w:tc>
          <w:tcPr>
            <w:tcW w:type="dxa" w:w="1928"/>
            <w:vAlign w:val="center"/>
            <w:shd w:fill="EDF1F3"/>
          </w:tcPr>
          <w:p>
            <w:pPr>
              <w:keepNext/>
              <w:spacing w:line="320" w:lineRule="exact" w:after="0" w:before="0"/>
              <w:ind w:firstLine="0"/>
              <w:jc w:val="center"/>
            </w:pPr>
            <w:r>
              <w:rPr>
                <w:b/>
                <w:sz w:val="21"/>
              </w:rPr>
              <w:t>校验项</w:t>
            </w:r>
          </w:p>
        </w:tc>
        <w:tc>
          <w:tcPr>
            <w:tcW w:type="dxa" w:w="1928"/>
            <w:vAlign w:val="center"/>
            <w:shd w:fill="EDF1F3"/>
          </w:tcPr>
          <w:p>
            <w:pPr>
              <w:keepNext/>
              <w:spacing w:line="320" w:lineRule="exact" w:after="0" w:before="0"/>
              <w:ind w:firstLine="0"/>
              <w:jc w:val="center"/>
            </w:pPr>
            <w:r>
              <w:rPr>
                <w:b/>
                <w:sz w:val="21"/>
              </w:rPr>
              <w:t>不通过处置</w:t>
            </w:r>
          </w:p>
        </w:tc>
      </w:tr>
      <w:tr>
        <w:trPr>
          <w:cantSplit/>
        </w:trPr>
        <w:tc>
          <w:tcPr>
            <w:tcW w:type="dxa" w:w="1735"/>
            <w:vAlign w:val="center"/>
          </w:tcPr>
          <w:p>
            <w:pPr>
              <w:keepNext w:val="0"/>
              <w:spacing w:line="320" w:lineRule="exact" w:after="0" w:before="0"/>
              <w:ind w:firstLine="0"/>
              <w:jc w:val="left"/>
            </w:pPr>
            <w:r>
              <w:rPr>
                <w:b w:val="0"/>
                <w:sz w:val="21"/>
              </w:rPr>
              <w:t>同义改写</w:t>
            </w:r>
          </w:p>
        </w:tc>
        <w:tc>
          <w:tcPr>
            <w:tcW w:type="dxa" w:w="2120"/>
            <w:vAlign w:val="center"/>
          </w:tcPr>
          <w:p>
            <w:pPr>
              <w:keepNext w:val="0"/>
              <w:spacing w:line="320" w:lineRule="exact" w:after="0" w:before="0"/>
              <w:ind w:firstLine="0"/>
              <w:jc w:val="left"/>
            </w:pPr>
            <w:r>
              <w:rPr>
                <w:b w:val="0"/>
                <w:sz w:val="21"/>
              </w:rPr>
              <w:t>仅按本体术语表与同义词别名表替换</w:t>
            </w:r>
          </w:p>
        </w:tc>
        <w:tc>
          <w:tcPr>
            <w:tcW w:type="dxa" w:w="1928"/>
            <w:vAlign w:val="center"/>
          </w:tcPr>
          <w:p>
            <w:pPr>
              <w:keepNext w:val="0"/>
              <w:spacing w:line="320" w:lineRule="exact" w:after="0" w:before="0"/>
              <w:ind w:firstLine="0"/>
              <w:jc w:val="left"/>
            </w:pPr>
            <w:r>
              <w:rPr>
                <w:b w:val="0"/>
                <w:sz w:val="21"/>
              </w:rPr>
              <w:t>指令与输入部分优先</w:t>
            </w:r>
          </w:p>
        </w:tc>
        <w:tc>
          <w:tcPr>
            <w:tcW w:type="dxa" w:w="1928"/>
            <w:vAlign w:val="center"/>
          </w:tcPr>
          <w:p>
            <w:pPr>
              <w:keepNext w:val="0"/>
              <w:spacing w:line="320" w:lineRule="exact" w:after="0" w:before="0"/>
              <w:ind w:firstLine="0"/>
              <w:jc w:val="left"/>
            </w:pPr>
            <w:r>
              <w:rPr>
                <w:b w:val="0"/>
                <w:sz w:val="21"/>
              </w:rPr>
              <w:t>替换对在别名表中存在；术语间关系未改变</w:t>
            </w:r>
          </w:p>
        </w:tc>
        <w:tc>
          <w:tcPr>
            <w:tcW w:type="dxa" w:w="1928"/>
            <w:vAlign w:val="center"/>
          </w:tcPr>
          <w:p>
            <w:pPr>
              <w:keepNext w:val="0"/>
              <w:spacing w:line="320" w:lineRule="exact" w:after="0" w:before="0"/>
              <w:ind w:firstLine="0"/>
              <w:jc w:val="left"/>
            </w:pPr>
            <w:r>
              <w:rPr>
                <w:b w:val="0"/>
                <w:sz w:val="21"/>
              </w:rPr>
              <w:t>单样本丢弃并记录</w:t>
            </w:r>
          </w:p>
        </w:tc>
      </w:tr>
      <w:tr>
        <w:trPr>
          <w:cantSplit/>
        </w:trPr>
        <w:tc>
          <w:tcPr>
            <w:tcW w:type="dxa" w:w="1735"/>
            <w:vAlign w:val="center"/>
          </w:tcPr>
          <w:p>
            <w:pPr>
              <w:keepNext w:val="0"/>
              <w:spacing w:line="320" w:lineRule="exact" w:after="0" w:before="0"/>
              <w:ind w:firstLine="0"/>
              <w:jc w:val="left"/>
            </w:pPr>
            <w:r>
              <w:rPr>
                <w:b w:val="0"/>
                <w:sz w:val="21"/>
              </w:rPr>
              <w:t>句式变换</w:t>
            </w:r>
          </w:p>
        </w:tc>
        <w:tc>
          <w:tcPr>
            <w:tcW w:type="dxa" w:w="2120"/>
            <w:vAlign w:val="center"/>
          </w:tcPr>
          <w:p>
            <w:pPr>
              <w:keepNext w:val="0"/>
              <w:spacing w:line="320" w:lineRule="exact" w:after="0" w:before="0"/>
              <w:ind w:firstLine="0"/>
              <w:jc w:val="left"/>
            </w:pPr>
            <w:r>
              <w:rPr>
                <w:b w:val="0"/>
                <w:sz w:val="21"/>
              </w:rPr>
              <w:t>主被动转换、长短句调整、问句陈述转换</w:t>
            </w:r>
          </w:p>
        </w:tc>
        <w:tc>
          <w:tcPr>
            <w:tcW w:type="dxa" w:w="1928"/>
            <w:vAlign w:val="center"/>
          </w:tcPr>
          <w:p>
            <w:pPr>
              <w:keepNext w:val="0"/>
              <w:spacing w:line="320" w:lineRule="exact" w:after="0" w:before="0"/>
              <w:ind w:firstLine="0"/>
              <w:jc w:val="left"/>
            </w:pPr>
            <w:r>
              <w:rPr>
                <w:b w:val="0"/>
                <w:sz w:val="21"/>
              </w:rPr>
              <w:t>指令部分为主</w:t>
            </w:r>
          </w:p>
        </w:tc>
        <w:tc>
          <w:tcPr>
            <w:tcW w:type="dxa" w:w="1928"/>
            <w:vAlign w:val="center"/>
          </w:tcPr>
          <w:p>
            <w:pPr>
              <w:keepNext w:val="0"/>
              <w:spacing w:line="320" w:lineRule="exact" w:after="0" w:before="0"/>
              <w:ind w:firstLine="0"/>
              <w:jc w:val="left"/>
            </w:pPr>
            <w:r>
              <w:rPr>
                <w:b w:val="0"/>
                <w:sz w:val="21"/>
              </w:rPr>
              <w:t>语义一致性校验；响应格式稳定性校验</w:t>
            </w:r>
          </w:p>
        </w:tc>
        <w:tc>
          <w:tcPr>
            <w:tcW w:type="dxa" w:w="1928"/>
            <w:vAlign w:val="center"/>
          </w:tcPr>
          <w:p>
            <w:pPr>
              <w:keepNext w:val="0"/>
              <w:spacing w:line="320" w:lineRule="exact" w:after="0" w:before="0"/>
              <w:ind w:firstLine="0"/>
              <w:jc w:val="left"/>
            </w:pPr>
            <w:r>
              <w:rPr>
                <w:b w:val="0"/>
                <w:sz w:val="21"/>
              </w:rPr>
              <w:t>单样本丢弃</w:t>
            </w:r>
          </w:p>
        </w:tc>
      </w:tr>
      <w:tr>
        <w:trPr>
          <w:cantSplit/>
        </w:trPr>
        <w:tc>
          <w:tcPr>
            <w:tcW w:type="dxa" w:w="1735"/>
            <w:vAlign w:val="center"/>
          </w:tcPr>
          <w:p>
            <w:pPr>
              <w:keepNext w:val="0"/>
              <w:spacing w:line="320" w:lineRule="exact" w:after="0" w:before="0"/>
              <w:ind w:firstLine="0"/>
              <w:jc w:val="left"/>
            </w:pPr>
            <w:r>
              <w:rPr>
                <w:b w:val="0"/>
                <w:sz w:val="21"/>
              </w:rPr>
              <w:t>口语化迁移（书面→口语）</w:t>
            </w:r>
          </w:p>
        </w:tc>
        <w:tc>
          <w:tcPr>
            <w:tcW w:type="dxa" w:w="2120"/>
            <w:vAlign w:val="center"/>
          </w:tcPr>
          <w:p>
            <w:pPr>
              <w:keepNext w:val="0"/>
              <w:spacing w:line="320" w:lineRule="exact" w:after="0" w:before="0"/>
              <w:ind w:firstLine="0"/>
              <w:jc w:val="left"/>
            </w:pPr>
            <w:r>
              <w:rPr>
                <w:b w:val="0"/>
                <w:sz w:val="21"/>
              </w:rPr>
              <w:t>以历史工单与不合格品票的真实口语表达为风格参照</w:t>
            </w:r>
          </w:p>
        </w:tc>
        <w:tc>
          <w:tcPr>
            <w:tcW w:type="dxa" w:w="1928"/>
            <w:vAlign w:val="center"/>
          </w:tcPr>
          <w:p>
            <w:pPr>
              <w:keepNext w:val="0"/>
              <w:spacing w:line="320" w:lineRule="exact" w:after="0" w:before="0"/>
              <w:ind w:firstLine="0"/>
              <w:jc w:val="left"/>
            </w:pPr>
            <w:r>
              <w:rPr>
                <w:b w:val="0"/>
                <w:sz w:val="21"/>
              </w:rPr>
              <w:t>输入部分</w:t>
            </w:r>
          </w:p>
        </w:tc>
        <w:tc>
          <w:tcPr>
            <w:tcW w:type="dxa" w:w="1928"/>
            <w:vAlign w:val="center"/>
          </w:tcPr>
          <w:p>
            <w:pPr>
              <w:keepNext w:val="0"/>
              <w:spacing w:line="320" w:lineRule="exact" w:after="0" w:before="0"/>
              <w:ind w:firstLine="0"/>
              <w:jc w:val="left"/>
            </w:pPr>
            <w:r>
              <w:rPr>
                <w:b w:val="0"/>
                <w:sz w:val="21"/>
              </w:rPr>
              <w:t>语义一致性；不引入现实中不会出现的表达</w:t>
            </w:r>
          </w:p>
        </w:tc>
        <w:tc>
          <w:tcPr>
            <w:tcW w:type="dxa" w:w="1928"/>
            <w:vAlign w:val="center"/>
          </w:tcPr>
          <w:p>
            <w:pPr>
              <w:keepNext w:val="0"/>
              <w:spacing w:line="320" w:lineRule="exact" w:after="0" w:before="0"/>
              <w:ind w:firstLine="0"/>
              <w:jc w:val="left"/>
            </w:pPr>
            <w:r>
              <w:rPr>
                <w:b w:val="0"/>
                <w:sz w:val="21"/>
              </w:rPr>
              <w:t>单样本丢弃</w:t>
            </w:r>
          </w:p>
        </w:tc>
      </w:tr>
      <w:tr>
        <w:trPr>
          <w:cantSplit/>
        </w:trPr>
        <w:tc>
          <w:tcPr>
            <w:tcW w:type="dxa" w:w="1735"/>
            <w:vAlign w:val="center"/>
          </w:tcPr>
          <w:p>
            <w:pPr>
              <w:keepNext w:val="0"/>
              <w:spacing w:line="320" w:lineRule="exact" w:after="0" w:before="0"/>
              <w:ind w:firstLine="0"/>
              <w:jc w:val="left"/>
            </w:pPr>
            <w:r>
              <w:rPr>
                <w:b w:val="0"/>
                <w:sz w:val="21"/>
              </w:rPr>
              <w:t>书面化迁移（口语→书面）</w:t>
            </w:r>
          </w:p>
        </w:tc>
        <w:tc>
          <w:tcPr>
            <w:tcW w:type="dxa" w:w="2120"/>
            <w:vAlign w:val="center"/>
          </w:tcPr>
          <w:p>
            <w:pPr>
              <w:keepNext w:val="0"/>
              <w:spacing w:line="320" w:lineRule="exact" w:after="0" w:before="0"/>
              <w:ind w:firstLine="0"/>
              <w:jc w:val="left"/>
            </w:pPr>
            <w:r>
              <w:rPr>
                <w:b w:val="0"/>
                <w:sz w:val="21"/>
              </w:rPr>
              <w:t>按企业记录规范的表述格式整理</w:t>
            </w:r>
          </w:p>
        </w:tc>
        <w:tc>
          <w:tcPr>
            <w:tcW w:type="dxa" w:w="1928"/>
            <w:vAlign w:val="center"/>
          </w:tcPr>
          <w:p>
            <w:pPr>
              <w:keepNext w:val="0"/>
              <w:spacing w:line="320" w:lineRule="exact" w:after="0" w:before="0"/>
              <w:ind w:firstLine="0"/>
              <w:jc w:val="left"/>
            </w:pPr>
            <w:r>
              <w:rPr>
                <w:b w:val="0"/>
                <w:sz w:val="21"/>
              </w:rPr>
              <w:t>输入与响应成对产出</w:t>
            </w:r>
          </w:p>
        </w:tc>
        <w:tc>
          <w:tcPr>
            <w:tcW w:type="dxa" w:w="1928"/>
            <w:vAlign w:val="center"/>
          </w:tcPr>
          <w:p>
            <w:pPr>
              <w:keepNext w:val="0"/>
              <w:spacing w:line="320" w:lineRule="exact" w:after="0" w:before="0"/>
              <w:ind w:firstLine="0"/>
              <w:jc w:val="left"/>
            </w:pPr>
            <w:r>
              <w:rPr>
                <w:b w:val="0"/>
                <w:sz w:val="21"/>
              </w:rPr>
              <w:t>关键信息无遗漏；术语规范化正确</w:t>
            </w:r>
          </w:p>
        </w:tc>
        <w:tc>
          <w:tcPr>
            <w:tcW w:type="dxa" w:w="1928"/>
            <w:vAlign w:val="center"/>
          </w:tcPr>
          <w:p>
            <w:pPr>
              <w:keepNext w:val="0"/>
              <w:spacing w:line="320" w:lineRule="exact" w:after="0" w:before="0"/>
              <w:ind w:firstLine="0"/>
              <w:jc w:val="left"/>
            </w:pPr>
            <w:r>
              <w:rPr>
                <w:b w:val="0"/>
                <w:sz w:val="21"/>
              </w:rPr>
              <w:t>单样本丢弃</w:t>
            </w:r>
          </w:p>
        </w:tc>
      </w:tr>
      <w:tr>
        <w:trPr>
          <w:cantSplit/>
        </w:trPr>
        <w:tc>
          <w:tcPr>
            <w:tcW w:type="dxa" w:w="1735"/>
            <w:vAlign w:val="center"/>
          </w:tcPr>
          <w:p>
            <w:pPr>
              <w:keepNext w:val="0"/>
              <w:spacing w:line="320" w:lineRule="exact" w:after="0" w:before="0"/>
              <w:ind w:firstLine="0"/>
              <w:jc w:val="left"/>
            </w:pPr>
            <w:r>
              <w:rPr>
                <w:b w:val="0"/>
                <w:sz w:val="21"/>
              </w:rPr>
              <w:t>长上下文构造</w:t>
            </w:r>
          </w:p>
        </w:tc>
        <w:tc>
          <w:tcPr>
            <w:tcW w:type="dxa" w:w="2120"/>
            <w:vAlign w:val="center"/>
          </w:tcPr>
          <w:p>
            <w:pPr>
              <w:keepNext w:val="0"/>
              <w:spacing w:line="320" w:lineRule="exact" w:after="0" w:before="0"/>
              <w:ind w:firstLine="0"/>
              <w:jc w:val="left"/>
            </w:pPr>
            <w:r>
              <w:rPr>
                <w:b w:val="0"/>
                <w:sz w:val="21"/>
              </w:rPr>
              <w:t>将同一项目的多份文档按真实组合方式拼接</w:t>
            </w:r>
          </w:p>
        </w:tc>
        <w:tc>
          <w:tcPr>
            <w:tcW w:type="dxa" w:w="1928"/>
            <w:vAlign w:val="center"/>
          </w:tcPr>
          <w:p>
            <w:pPr>
              <w:keepNext w:val="0"/>
              <w:spacing w:line="320" w:lineRule="exact" w:after="0" w:before="0"/>
              <w:ind w:firstLine="0"/>
              <w:jc w:val="left"/>
            </w:pPr>
            <w:r>
              <w:rPr>
                <w:b w:val="0"/>
                <w:sz w:val="21"/>
              </w:rPr>
              <w:t>长样本不足的任务</w:t>
            </w:r>
          </w:p>
        </w:tc>
        <w:tc>
          <w:tcPr>
            <w:tcW w:type="dxa" w:w="1928"/>
            <w:vAlign w:val="center"/>
          </w:tcPr>
          <w:p>
            <w:pPr>
              <w:keepNext w:val="0"/>
              <w:spacing w:line="320" w:lineRule="exact" w:after="0" w:before="0"/>
              <w:ind w:firstLine="0"/>
              <w:jc w:val="left"/>
            </w:pPr>
            <w:r>
              <w:rPr>
                <w:b w:val="0"/>
                <w:sz w:val="21"/>
              </w:rPr>
              <w:t>拼接后的文档组合在业务上真实存在</w:t>
            </w:r>
          </w:p>
        </w:tc>
        <w:tc>
          <w:tcPr>
            <w:tcW w:type="dxa" w:w="1928"/>
            <w:vAlign w:val="center"/>
          </w:tcPr>
          <w:p>
            <w:pPr>
              <w:keepNext w:val="0"/>
              <w:spacing w:line="320" w:lineRule="exact" w:after="0" w:before="0"/>
              <w:ind w:firstLine="0"/>
              <w:jc w:val="left"/>
            </w:pPr>
            <w:r>
              <w:rPr>
                <w:b w:val="0"/>
                <w:sz w:val="21"/>
              </w:rPr>
              <w:t>单样本丢弃</w:t>
            </w:r>
          </w:p>
        </w:tc>
      </w:tr>
    </w:tbl>
    <w:p>
      <w:pPr>
        <w:spacing w:after="40" w:line="240" w:lineRule="auto"/>
        <w:ind w:firstLine="0"/>
      </w:pPr>
      <w:r>
        <w:rPr>
          <w:sz w:val="4"/>
        </w:rPr>
      </w:r>
    </w:p>
    <w:p>
      <w:pPr>
        <w:jc w:val="both"/>
      </w:pPr>
      <w:r>
        <w:t>长上下文样本按真实项目、设备、合同或业务事项组合资料，保存文档清单、业务顺序、版本和引用关系。长度分层依据实际任务输入分布设定，关联文件数量按真实材料登记。核查组合后的权限交集、时点一致性和答案泄漏，避免引入无关资料或后发生的处理结论。长输入超出适用模型范围时形成有依据的切分与检索任务，不通过无关重复文本凑长度。</w:t>
      </w:r>
    </w:p>
    <w:p>
      <w:pPr>
        <w:pStyle w:val="Heading2"/>
      </w:pPr>
      <w:r>
        <w:t>4.4 图像与时序样本的增强</w:t>
      </w:r>
    </w:p>
    <w:p>
      <w:pPr>
        <w:jc w:val="both"/>
      </w:pPr>
      <w:r>
        <w:t>图像增强的核心约束是「合理变换」四个字。几何与光照变换不是随意施加的，它必须对应真实采集条件下可能出现的差异。本项目的图像采集条件有明确的现场背景：工艺过程所需的图像采集按各场景数据要求单独布点，相机位置、光照条件与分辨率在布点时确定并记录；这意味着同一类图像的真实变化范围是可以界定的。</w:t>
      </w:r>
    </w:p>
    <w:p>
      <w:pPr>
        <w:jc w:val="both"/>
      </w:pPr>
      <w:r>
        <w:t>增强参数按对象形态、真实视角、设备布置和任务语义分别标定。工件在检验中的摆放方式和焊道相机位置以现场记录确认，不预设所有工件均不能倒置或所有相机均固定。旋转、翻转、平移、裁剪、缩放、亮度和对比度变换先逐项判断适用性，再在经批准的范围内组合。存在方向含义、文字标识、焊接路径或坐标要求的对象，变换必须同步处理相关标签；无法保持语义时禁用相应算子。</w:t>
      </w:r>
    </w:p>
    <w:p>
      <w:pPr>
        <w:jc w:val="both"/>
      </w:pPr>
      <w:r>
        <w:t>位置型标签在几何变换后必须同步变换，这是标签一致性校验的重点项。缺陷框随图像做同样的几何变换，变换后落在图像外的部分按规则裁剪，裁剪后缺陷面积损失超过规范给定比例的样本丢弃——一个只剩边角的缺陷框不构成有效样本。</w:t>
      </w:r>
    </w:p>
    <w:p>
      <w:pPr>
        <w:pStyle w:val="Caption"/>
        <w:keepNext/>
      </w:pPr>
      <w:r>
        <w:t>表4-3 图像增强的变换配置口径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图像类型</w:t>
            </w:r>
          </w:p>
        </w:tc>
        <w:tc>
          <w:tcPr>
            <w:tcW w:type="dxa" w:w="2120"/>
            <w:vAlign w:val="center"/>
            <w:shd w:fill="EDF1F3"/>
          </w:tcPr>
          <w:p>
            <w:pPr>
              <w:keepNext/>
              <w:spacing w:line="320" w:lineRule="exact" w:after="0" w:before="0"/>
              <w:ind w:firstLine="0"/>
              <w:jc w:val="center"/>
            </w:pPr>
            <w:r>
              <w:rPr>
                <w:b/>
                <w:sz w:val="21"/>
              </w:rPr>
              <w:t>允许的几何变换</w:t>
            </w:r>
          </w:p>
        </w:tc>
        <w:tc>
          <w:tcPr>
            <w:tcW w:type="dxa" w:w="1928"/>
            <w:vAlign w:val="center"/>
            <w:shd w:fill="EDF1F3"/>
          </w:tcPr>
          <w:p>
            <w:pPr>
              <w:keepNext/>
              <w:spacing w:line="320" w:lineRule="exact" w:after="0" w:before="0"/>
              <w:ind w:firstLine="0"/>
              <w:jc w:val="center"/>
            </w:pPr>
            <w:r>
              <w:rPr>
                <w:b/>
                <w:sz w:val="21"/>
              </w:rPr>
              <w:t>允许的光照变换</w:t>
            </w:r>
          </w:p>
        </w:tc>
        <w:tc>
          <w:tcPr>
            <w:tcW w:type="dxa" w:w="1928"/>
            <w:vAlign w:val="center"/>
            <w:shd w:fill="EDF1F3"/>
          </w:tcPr>
          <w:p>
            <w:pPr>
              <w:keepNext/>
              <w:spacing w:line="320" w:lineRule="exact" w:after="0" w:before="0"/>
              <w:ind w:firstLine="0"/>
              <w:jc w:val="center"/>
            </w:pPr>
            <w:r>
              <w:rPr>
                <w:b/>
                <w:sz w:val="21"/>
              </w:rPr>
              <w:t>不施加的变换及原因</w:t>
            </w:r>
          </w:p>
        </w:tc>
        <w:tc>
          <w:tcPr>
            <w:tcW w:type="dxa" w:w="1928"/>
            <w:vAlign w:val="center"/>
            <w:shd w:fill="EDF1F3"/>
          </w:tcPr>
          <w:p>
            <w:pPr>
              <w:keepNext/>
              <w:spacing w:line="320" w:lineRule="exact" w:after="0" w:before="0"/>
              <w:ind w:firstLine="0"/>
              <w:jc w:val="center"/>
            </w:pPr>
            <w:r>
              <w:rPr>
                <w:b/>
                <w:sz w:val="21"/>
              </w:rPr>
              <w:t>标签同步要求</w:t>
            </w:r>
          </w:p>
        </w:tc>
      </w:tr>
      <w:tr>
        <w:trPr>
          <w:cantSplit/>
        </w:trPr>
        <w:tc>
          <w:tcPr>
            <w:tcW w:type="dxa" w:w="1735"/>
            <w:vAlign w:val="center"/>
          </w:tcPr>
          <w:p>
            <w:pPr>
              <w:keepNext w:val="0"/>
              <w:spacing w:line="320" w:lineRule="exact" w:after="0" w:before="0"/>
              <w:ind w:firstLine="0"/>
              <w:jc w:val="left"/>
            </w:pPr>
            <w:r>
              <w:rPr>
                <w:b w:val="0"/>
                <w:sz w:val="21"/>
              </w:rPr>
              <w:t>工件外观缺陷图像</w:t>
            </w:r>
          </w:p>
        </w:tc>
        <w:tc>
          <w:tcPr>
            <w:tcW w:type="dxa" w:w="2120"/>
            <w:vAlign w:val="center"/>
          </w:tcPr>
          <w:p>
            <w:pPr>
              <w:keepNext w:val="0"/>
              <w:spacing w:line="320" w:lineRule="exact" w:after="0" w:before="0"/>
              <w:ind w:firstLine="0"/>
              <w:jc w:val="left"/>
            </w:pPr>
            <w:r>
              <w:rPr>
                <w:b w:val="0"/>
                <w:sz w:val="21"/>
              </w:rPr>
              <w:t>旋转（按实际摆放变化范围）、小幅平移、裁剪、缩放</w:t>
            </w:r>
          </w:p>
        </w:tc>
        <w:tc>
          <w:tcPr>
            <w:tcW w:type="dxa" w:w="1928"/>
            <w:vAlign w:val="center"/>
          </w:tcPr>
          <w:p>
            <w:pPr>
              <w:keepNext w:val="0"/>
              <w:spacing w:line="320" w:lineRule="exact" w:after="0" w:before="0"/>
              <w:ind w:firstLine="0"/>
              <w:jc w:val="left"/>
            </w:pPr>
            <w:r>
              <w:rPr>
                <w:b w:val="0"/>
                <w:sz w:val="21"/>
              </w:rPr>
              <w:t>亮度、对比度（按车间照明实测差异范围）</w:t>
            </w:r>
          </w:p>
        </w:tc>
        <w:tc>
          <w:tcPr>
            <w:tcW w:type="dxa" w:w="1928"/>
            <w:vAlign w:val="center"/>
          </w:tcPr>
          <w:p>
            <w:pPr>
              <w:keepNext w:val="0"/>
              <w:spacing w:line="320" w:lineRule="exact" w:after="0" w:before="0"/>
              <w:ind w:firstLine="0"/>
              <w:jc w:val="left"/>
            </w:pPr>
            <w:r>
              <w:rPr>
                <w:b w:val="0"/>
                <w:sz w:val="21"/>
              </w:rPr>
              <w:t>翻转先核实实际视角及标签语义，条件不满足时禁用</w:t>
            </w:r>
          </w:p>
        </w:tc>
        <w:tc>
          <w:tcPr>
            <w:tcW w:type="dxa" w:w="1928"/>
            <w:vAlign w:val="center"/>
          </w:tcPr>
          <w:p>
            <w:pPr>
              <w:keepNext w:val="0"/>
              <w:spacing w:line="320" w:lineRule="exact" w:after="0" w:before="0"/>
              <w:ind w:firstLine="0"/>
              <w:jc w:val="left"/>
            </w:pPr>
            <w:r>
              <w:rPr>
                <w:b w:val="0"/>
                <w:sz w:val="21"/>
              </w:rPr>
              <w:t>缺陷多边形同步变换；面积损失超限丢弃</w:t>
            </w:r>
          </w:p>
        </w:tc>
      </w:tr>
      <w:tr>
        <w:trPr>
          <w:cantSplit/>
        </w:trPr>
        <w:tc>
          <w:tcPr>
            <w:tcW w:type="dxa" w:w="1735"/>
            <w:vAlign w:val="center"/>
          </w:tcPr>
          <w:p>
            <w:pPr>
              <w:keepNext w:val="0"/>
              <w:spacing w:line="320" w:lineRule="exact" w:after="0" w:before="0"/>
              <w:ind w:firstLine="0"/>
              <w:jc w:val="left"/>
            </w:pPr>
            <w:r>
              <w:rPr>
                <w:b w:val="0"/>
                <w:sz w:val="21"/>
              </w:rPr>
              <w:t>焊后焊道表面图像</w:t>
            </w:r>
          </w:p>
        </w:tc>
        <w:tc>
          <w:tcPr>
            <w:tcW w:type="dxa" w:w="2120"/>
            <w:vAlign w:val="center"/>
          </w:tcPr>
          <w:p>
            <w:pPr>
              <w:keepNext w:val="0"/>
              <w:spacing w:line="320" w:lineRule="exact" w:after="0" w:before="0"/>
              <w:ind w:firstLine="0"/>
              <w:jc w:val="left"/>
            </w:pPr>
            <w:r>
              <w:rPr>
                <w:b w:val="0"/>
                <w:sz w:val="21"/>
              </w:rPr>
              <w:t>小角度旋转、小幅平移、按焊缝方向的裁剪、缩放</w:t>
            </w:r>
          </w:p>
        </w:tc>
        <w:tc>
          <w:tcPr>
            <w:tcW w:type="dxa" w:w="1928"/>
            <w:vAlign w:val="center"/>
          </w:tcPr>
          <w:p>
            <w:pPr>
              <w:keepNext w:val="0"/>
              <w:spacing w:line="320" w:lineRule="exact" w:after="0" w:before="0"/>
              <w:ind w:firstLine="0"/>
              <w:jc w:val="left"/>
            </w:pPr>
            <w:r>
              <w:rPr>
                <w:b w:val="0"/>
                <w:sz w:val="21"/>
              </w:rPr>
              <w:t>亮度、对比度（按产线照明条件）</w:t>
            </w:r>
          </w:p>
        </w:tc>
        <w:tc>
          <w:tcPr>
            <w:tcW w:type="dxa" w:w="1928"/>
            <w:vAlign w:val="center"/>
          </w:tcPr>
          <w:p>
            <w:pPr>
              <w:keepNext w:val="0"/>
              <w:spacing w:line="320" w:lineRule="exact" w:after="0" w:before="0"/>
              <w:ind w:firstLine="0"/>
              <w:jc w:val="left"/>
            </w:pPr>
            <w:r>
              <w:rPr>
                <w:b w:val="0"/>
                <w:sz w:val="21"/>
              </w:rPr>
              <w:t>镜像须同步方向语义并符合实际成像条件，否则禁用</w:t>
            </w:r>
          </w:p>
        </w:tc>
        <w:tc>
          <w:tcPr>
            <w:tcW w:type="dxa" w:w="1928"/>
            <w:vAlign w:val="center"/>
          </w:tcPr>
          <w:p>
            <w:pPr>
              <w:keepNext w:val="0"/>
              <w:spacing w:line="320" w:lineRule="exact" w:after="0" w:before="0"/>
              <w:ind w:firstLine="0"/>
              <w:jc w:val="left"/>
            </w:pPr>
            <w:r>
              <w:rPr>
                <w:b w:val="0"/>
                <w:sz w:val="21"/>
              </w:rPr>
              <w:t>缺陷框与焊缝方向标签同步</w:t>
            </w:r>
          </w:p>
        </w:tc>
      </w:tr>
      <w:tr>
        <w:trPr>
          <w:cantSplit/>
        </w:trPr>
        <w:tc>
          <w:tcPr>
            <w:tcW w:type="dxa" w:w="1735"/>
            <w:vAlign w:val="center"/>
          </w:tcPr>
          <w:p>
            <w:pPr>
              <w:keepNext w:val="0"/>
              <w:spacing w:line="320" w:lineRule="exact" w:after="0" w:before="0"/>
              <w:ind w:firstLine="0"/>
              <w:jc w:val="left"/>
            </w:pPr>
            <w:r>
              <w:rPr>
                <w:b w:val="0"/>
                <w:sz w:val="21"/>
              </w:rPr>
              <w:t>熔池图像</w:t>
            </w:r>
          </w:p>
        </w:tc>
        <w:tc>
          <w:tcPr>
            <w:tcW w:type="dxa" w:w="2120"/>
            <w:vAlign w:val="center"/>
          </w:tcPr>
          <w:p>
            <w:pPr>
              <w:keepNext w:val="0"/>
              <w:spacing w:line="320" w:lineRule="exact" w:after="0" w:before="0"/>
              <w:ind w:firstLine="0"/>
              <w:jc w:val="left"/>
            </w:pPr>
            <w:r>
              <w:rPr>
                <w:b w:val="0"/>
                <w:sz w:val="21"/>
              </w:rPr>
              <w:t>小幅平移、缩放</w:t>
            </w:r>
          </w:p>
        </w:tc>
        <w:tc>
          <w:tcPr>
            <w:tcW w:type="dxa" w:w="1928"/>
            <w:vAlign w:val="center"/>
          </w:tcPr>
          <w:p>
            <w:pPr>
              <w:keepNext w:val="0"/>
              <w:spacing w:line="320" w:lineRule="exact" w:after="0" w:before="0"/>
              <w:ind w:firstLine="0"/>
              <w:jc w:val="left"/>
            </w:pPr>
            <w:r>
              <w:rPr>
                <w:b w:val="0"/>
                <w:sz w:val="21"/>
              </w:rPr>
              <w:t>亮度（按实测曝光差异）</w:t>
            </w:r>
          </w:p>
        </w:tc>
        <w:tc>
          <w:tcPr>
            <w:tcW w:type="dxa" w:w="1928"/>
            <w:vAlign w:val="center"/>
          </w:tcPr>
          <w:p>
            <w:pPr>
              <w:keepNext w:val="0"/>
              <w:spacing w:line="320" w:lineRule="exact" w:after="0" w:before="0"/>
              <w:ind w:firstLine="0"/>
              <w:jc w:val="left"/>
            </w:pPr>
            <w:r>
              <w:rPr>
                <w:b w:val="0"/>
                <w:sz w:val="21"/>
              </w:rPr>
              <w:t>不做旋转与镜像：熔池形态的方位与焊接方向绑定</w:t>
            </w:r>
          </w:p>
        </w:tc>
        <w:tc>
          <w:tcPr>
            <w:tcW w:type="dxa" w:w="1928"/>
            <w:vAlign w:val="center"/>
          </w:tcPr>
          <w:p>
            <w:pPr>
              <w:keepNext w:val="0"/>
              <w:spacing w:line="320" w:lineRule="exact" w:after="0" w:before="0"/>
              <w:ind w:firstLine="0"/>
              <w:jc w:val="left"/>
            </w:pPr>
            <w:r>
              <w:rPr>
                <w:b w:val="0"/>
                <w:sz w:val="21"/>
              </w:rPr>
              <w:t>形态标签不随变换改变，须复核</w:t>
            </w:r>
          </w:p>
        </w:tc>
      </w:tr>
      <w:tr>
        <w:trPr>
          <w:cantSplit/>
        </w:trPr>
        <w:tc>
          <w:tcPr>
            <w:tcW w:type="dxa" w:w="1735"/>
            <w:vAlign w:val="center"/>
          </w:tcPr>
          <w:p>
            <w:pPr>
              <w:keepNext w:val="0"/>
              <w:spacing w:line="320" w:lineRule="exact" w:after="0" w:before="0"/>
              <w:ind w:firstLine="0"/>
              <w:jc w:val="left"/>
            </w:pPr>
            <w:r>
              <w:rPr>
                <w:b w:val="0"/>
                <w:sz w:val="21"/>
              </w:rPr>
              <w:t>工艺图纸图像（PDF 转换）</w:t>
            </w:r>
          </w:p>
        </w:tc>
        <w:tc>
          <w:tcPr>
            <w:tcW w:type="dxa" w:w="2120"/>
            <w:vAlign w:val="center"/>
          </w:tcPr>
          <w:p>
            <w:pPr>
              <w:keepNext w:val="0"/>
              <w:spacing w:line="320" w:lineRule="exact" w:after="0" w:before="0"/>
              <w:ind w:firstLine="0"/>
              <w:jc w:val="left"/>
            </w:pPr>
            <w:r>
              <w:rPr>
                <w:b w:val="0"/>
                <w:sz w:val="21"/>
              </w:rPr>
              <w:t>缩放、分辨率变换</w:t>
            </w:r>
          </w:p>
        </w:tc>
        <w:tc>
          <w:tcPr>
            <w:tcW w:type="dxa" w:w="1928"/>
            <w:vAlign w:val="center"/>
          </w:tcPr>
          <w:p>
            <w:pPr>
              <w:keepNext w:val="0"/>
              <w:spacing w:line="320" w:lineRule="exact" w:after="0" w:before="0"/>
              <w:ind w:firstLine="0"/>
              <w:jc w:val="left"/>
            </w:pPr>
            <w:r>
              <w:rPr>
                <w:b w:val="0"/>
                <w:sz w:val="21"/>
              </w:rPr>
              <w:t>不做光照变换</w:t>
            </w:r>
          </w:p>
        </w:tc>
        <w:tc>
          <w:tcPr>
            <w:tcW w:type="dxa" w:w="1928"/>
            <w:vAlign w:val="center"/>
          </w:tcPr>
          <w:p>
            <w:pPr>
              <w:keepNext w:val="0"/>
              <w:spacing w:line="320" w:lineRule="exact" w:after="0" w:before="0"/>
              <w:ind w:firstLine="0"/>
              <w:jc w:val="left"/>
            </w:pPr>
            <w:r>
              <w:rPr>
                <w:b w:val="0"/>
                <w:sz w:val="21"/>
              </w:rPr>
              <w:t>不做旋转与翻转：图纸方位承载投影关系语义</w:t>
            </w:r>
          </w:p>
        </w:tc>
        <w:tc>
          <w:tcPr>
            <w:tcW w:type="dxa" w:w="1928"/>
            <w:vAlign w:val="center"/>
          </w:tcPr>
          <w:p>
            <w:pPr>
              <w:keepNext w:val="0"/>
              <w:spacing w:line="320" w:lineRule="exact" w:after="0" w:before="0"/>
              <w:ind w:firstLine="0"/>
              <w:jc w:val="left"/>
            </w:pPr>
            <w:r>
              <w:rPr>
                <w:b w:val="0"/>
                <w:sz w:val="21"/>
              </w:rPr>
              <w:t>图元位置标注同步缩放</w:t>
            </w:r>
          </w:p>
        </w:tc>
      </w:tr>
    </w:tbl>
    <w:p>
      <w:pPr>
        <w:spacing w:after="40" w:line="240" w:lineRule="auto"/>
        <w:ind w:firstLine="0"/>
      </w:pPr>
      <w:r>
        <w:rPr>
          <w:sz w:val="4"/>
        </w:rPr>
      </w:r>
    </w:p>
    <w:p>
      <w:pPr>
        <w:jc w:val="both"/>
      </w:pPr>
      <w:r>
        <w:t>时序增强按六类工况分段配置，这是招标文件明确的口径。分段配置的原因是不同工况的信号特征不同：空载段的有效信息集中在基线稳定性上，重载与过载段的有效信息集中在负载响应与波形特征上，堵转段需结合电流、转速、控制及保护动作识别。对不同工况施加同样的滑动窗口长度与噪声幅度，等于用一个口径处理性质不同的信号。</w:t>
      </w:r>
    </w:p>
    <w:p>
      <w:pPr>
        <w:pStyle w:val="Caption"/>
        <w:keepNext/>
      </w:pPr>
      <w:r>
        <w:t>表4-4 时序增强按工况分段的配置口径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工况</w:t>
            </w:r>
          </w:p>
        </w:tc>
        <w:tc>
          <w:tcPr>
            <w:tcW w:type="dxa" w:w="2120"/>
            <w:vAlign w:val="center"/>
            <w:shd w:fill="EDF1F3"/>
          </w:tcPr>
          <w:p>
            <w:pPr>
              <w:keepNext/>
              <w:spacing w:line="320" w:lineRule="exact" w:after="0" w:before="0"/>
              <w:ind w:firstLine="0"/>
              <w:jc w:val="center"/>
            </w:pPr>
            <w:r>
              <w:rPr>
                <w:b/>
                <w:sz w:val="21"/>
              </w:rPr>
              <w:t>滑动窗口口径</w:t>
            </w:r>
          </w:p>
        </w:tc>
        <w:tc>
          <w:tcPr>
            <w:tcW w:type="dxa" w:w="1928"/>
            <w:vAlign w:val="center"/>
            <w:shd w:fill="EDF1F3"/>
          </w:tcPr>
          <w:p>
            <w:pPr>
              <w:keepNext/>
              <w:spacing w:line="320" w:lineRule="exact" w:after="0" w:before="0"/>
              <w:ind w:firstLine="0"/>
              <w:jc w:val="center"/>
            </w:pPr>
            <w:r>
              <w:rPr>
                <w:b/>
                <w:sz w:val="21"/>
              </w:rPr>
              <w:t>重采样口径</w:t>
            </w:r>
          </w:p>
        </w:tc>
        <w:tc>
          <w:tcPr>
            <w:tcW w:type="dxa" w:w="1928"/>
            <w:vAlign w:val="center"/>
            <w:shd w:fill="EDF1F3"/>
          </w:tcPr>
          <w:p>
            <w:pPr>
              <w:keepNext/>
              <w:spacing w:line="320" w:lineRule="exact" w:after="0" w:before="0"/>
              <w:ind w:firstLine="0"/>
              <w:jc w:val="center"/>
            </w:pPr>
            <w:r>
              <w:rPr>
                <w:b/>
                <w:sz w:val="21"/>
              </w:rPr>
              <w:t>噪声扰动口径</w:t>
            </w:r>
          </w:p>
        </w:tc>
        <w:tc>
          <w:tcPr>
            <w:tcW w:type="dxa" w:w="1928"/>
            <w:vAlign w:val="center"/>
            <w:shd w:fill="EDF1F3"/>
          </w:tcPr>
          <w:p>
            <w:pPr>
              <w:keepNext/>
              <w:spacing w:line="320" w:lineRule="exact" w:after="0" w:before="0"/>
              <w:ind w:firstLine="0"/>
              <w:jc w:val="center"/>
            </w:pPr>
            <w:r>
              <w:rPr>
                <w:b/>
                <w:sz w:val="21"/>
              </w:rPr>
              <w:t>校验要点</w:t>
            </w:r>
          </w:p>
        </w:tc>
      </w:tr>
      <w:tr>
        <w:trPr>
          <w:cantSplit/>
        </w:trPr>
        <w:tc>
          <w:tcPr>
            <w:tcW w:type="dxa" w:w="1735"/>
            <w:vAlign w:val="center"/>
          </w:tcPr>
          <w:p>
            <w:pPr>
              <w:keepNext w:val="0"/>
              <w:spacing w:line="320" w:lineRule="exact" w:after="0" w:before="0"/>
              <w:ind w:firstLine="0"/>
              <w:jc w:val="left"/>
            </w:pPr>
            <w:r>
              <w:rPr>
                <w:b w:val="0"/>
                <w:sz w:val="21"/>
              </w:rPr>
              <w:t>启停</w:t>
            </w:r>
          </w:p>
        </w:tc>
        <w:tc>
          <w:tcPr>
            <w:tcW w:type="dxa" w:w="2120"/>
            <w:vAlign w:val="center"/>
          </w:tcPr>
          <w:p>
            <w:pPr>
              <w:keepNext w:val="0"/>
              <w:spacing w:line="320" w:lineRule="exact" w:after="0" w:before="0"/>
              <w:ind w:firstLine="0"/>
              <w:jc w:val="left"/>
            </w:pPr>
            <w:r>
              <w:rPr>
                <w:b w:val="0"/>
                <w:sz w:val="21"/>
              </w:rPr>
              <w:t>以状态切换点为中心，前后各取固定长度</w:t>
            </w:r>
          </w:p>
        </w:tc>
        <w:tc>
          <w:tcPr>
            <w:tcW w:type="dxa" w:w="1928"/>
            <w:vAlign w:val="center"/>
          </w:tcPr>
          <w:p>
            <w:pPr>
              <w:keepNext w:val="0"/>
              <w:spacing w:line="320" w:lineRule="exact" w:after="0" w:before="0"/>
              <w:ind w:firstLine="0"/>
              <w:jc w:val="left"/>
            </w:pPr>
            <w:r>
              <w:rPr>
                <w:b w:val="0"/>
                <w:sz w:val="21"/>
              </w:rPr>
              <w:t>按目标采样率和事件频带校准，降采样前抗混叠</w:t>
            </w:r>
          </w:p>
        </w:tc>
        <w:tc>
          <w:tcPr>
            <w:tcW w:type="dxa" w:w="1928"/>
            <w:vAlign w:val="center"/>
          </w:tcPr>
          <w:p>
            <w:pPr>
              <w:keepNext w:val="0"/>
              <w:spacing w:line="320" w:lineRule="exact" w:after="0" w:before="0"/>
              <w:ind w:firstLine="0"/>
              <w:jc w:val="left"/>
            </w:pPr>
            <w:r>
              <w:rPr>
                <w:b w:val="0"/>
                <w:sz w:val="21"/>
              </w:rPr>
              <w:t>按测点实测噪声分布校准，核查关键事件</w:t>
            </w:r>
          </w:p>
        </w:tc>
        <w:tc>
          <w:tcPr>
            <w:tcW w:type="dxa" w:w="1928"/>
            <w:vAlign w:val="center"/>
          </w:tcPr>
          <w:p>
            <w:pPr>
              <w:keepNext w:val="0"/>
              <w:spacing w:line="320" w:lineRule="exact" w:after="0" w:before="0"/>
              <w:ind w:firstLine="0"/>
              <w:jc w:val="left"/>
            </w:pPr>
            <w:r>
              <w:rPr>
                <w:b w:val="0"/>
                <w:sz w:val="21"/>
              </w:rPr>
              <w:t>切换点不得被窗口边界切断</w:t>
            </w:r>
          </w:p>
        </w:tc>
      </w:tr>
      <w:tr>
        <w:trPr>
          <w:cantSplit/>
        </w:trPr>
        <w:tc>
          <w:tcPr>
            <w:tcW w:type="dxa" w:w="1735"/>
            <w:vAlign w:val="center"/>
          </w:tcPr>
          <w:p>
            <w:pPr>
              <w:keepNext w:val="0"/>
              <w:spacing w:line="320" w:lineRule="exact" w:after="0" w:before="0"/>
              <w:ind w:firstLine="0"/>
              <w:jc w:val="left"/>
            </w:pPr>
            <w:r>
              <w:rPr>
                <w:b w:val="0"/>
                <w:sz w:val="21"/>
              </w:rPr>
              <w:t>空载</w:t>
            </w:r>
          </w:p>
        </w:tc>
        <w:tc>
          <w:tcPr>
            <w:tcW w:type="dxa" w:w="2120"/>
            <w:vAlign w:val="center"/>
          </w:tcPr>
          <w:p>
            <w:pPr>
              <w:keepNext w:val="0"/>
              <w:spacing w:line="320" w:lineRule="exact" w:after="0" w:before="0"/>
              <w:ind w:firstLine="0"/>
              <w:jc w:val="left"/>
            </w:pPr>
            <w:r>
              <w:rPr>
                <w:b w:val="0"/>
                <w:sz w:val="21"/>
              </w:rPr>
              <w:t>长窗口、大步长，保留基线特征</w:t>
            </w:r>
          </w:p>
        </w:tc>
        <w:tc>
          <w:tcPr>
            <w:tcW w:type="dxa" w:w="1928"/>
            <w:vAlign w:val="center"/>
          </w:tcPr>
          <w:p>
            <w:pPr>
              <w:keepNext w:val="0"/>
              <w:spacing w:line="320" w:lineRule="exact" w:after="0" w:before="0"/>
              <w:ind w:firstLine="0"/>
              <w:jc w:val="left"/>
            </w:pPr>
            <w:r>
              <w:rPr>
                <w:b w:val="0"/>
                <w:sz w:val="21"/>
              </w:rPr>
              <w:t>允许降采样</w:t>
            </w:r>
          </w:p>
        </w:tc>
        <w:tc>
          <w:tcPr>
            <w:tcW w:type="dxa" w:w="1928"/>
            <w:vAlign w:val="center"/>
          </w:tcPr>
          <w:p>
            <w:pPr>
              <w:keepNext w:val="0"/>
              <w:spacing w:line="320" w:lineRule="exact" w:after="0" w:before="0"/>
              <w:ind w:firstLine="0"/>
              <w:jc w:val="left"/>
            </w:pPr>
            <w:r>
              <w:rPr>
                <w:b w:val="0"/>
                <w:sz w:val="21"/>
              </w:rPr>
              <w:t>幅度最小，避免掩盖基线漂移特征</w:t>
            </w:r>
          </w:p>
        </w:tc>
        <w:tc>
          <w:tcPr>
            <w:tcW w:type="dxa" w:w="1928"/>
            <w:vAlign w:val="center"/>
          </w:tcPr>
          <w:p>
            <w:pPr>
              <w:keepNext w:val="0"/>
              <w:spacing w:line="320" w:lineRule="exact" w:after="0" w:before="0"/>
              <w:ind w:firstLine="0"/>
              <w:jc w:val="left"/>
            </w:pPr>
            <w:r>
              <w:rPr>
                <w:b w:val="0"/>
                <w:sz w:val="21"/>
              </w:rPr>
              <w:t>基线统计量处于批准容差内</w:t>
            </w:r>
          </w:p>
        </w:tc>
      </w:tr>
      <w:tr>
        <w:trPr>
          <w:cantSplit/>
        </w:trPr>
        <w:tc>
          <w:tcPr>
            <w:tcW w:type="dxa" w:w="1735"/>
            <w:vAlign w:val="center"/>
          </w:tcPr>
          <w:p>
            <w:pPr>
              <w:keepNext w:val="0"/>
              <w:spacing w:line="320" w:lineRule="exact" w:after="0" w:before="0"/>
              <w:ind w:firstLine="0"/>
              <w:jc w:val="left"/>
            </w:pPr>
            <w:r>
              <w:rPr>
                <w:b w:val="0"/>
                <w:sz w:val="21"/>
              </w:rPr>
              <w:t>正常运输</w:t>
            </w:r>
          </w:p>
        </w:tc>
        <w:tc>
          <w:tcPr>
            <w:tcW w:type="dxa" w:w="2120"/>
            <w:vAlign w:val="center"/>
          </w:tcPr>
          <w:p>
            <w:pPr>
              <w:keepNext w:val="0"/>
              <w:spacing w:line="320" w:lineRule="exact" w:after="0" w:before="0"/>
              <w:ind w:firstLine="0"/>
              <w:jc w:val="left"/>
            </w:pPr>
            <w:r>
              <w:rPr>
                <w:b w:val="0"/>
                <w:sz w:val="21"/>
              </w:rPr>
              <w:t>中等窗口与步长</w:t>
            </w:r>
          </w:p>
        </w:tc>
        <w:tc>
          <w:tcPr>
            <w:tcW w:type="dxa" w:w="1928"/>
            <w:vAlign w:val="center"/>
          </w:tcPr>
          <w:p>
            <w:pPr>
              <w:keepNext w:val="0"/>
              <w:spacing w:line="320" w:lineRule="exact" w:after="0" w:before="0"/>
              <w:ind w:firstLine="0"/>
              <w:jc w:val="left"/>
            </w:pPr>
            <w:r>
              <w:rPr>
                <w:b w:val="0"/>
                <w:sz w:val="21"/>
              </w:rPr>
              <w:t>按信号频带与目标采样条件配置</w:t>
            </w:r>
          </w:p>
        </w:tc>
        <w:tc>
          <w:tcPr>
            <w:tcW w:type="dxa" w:w="1928"/>
            <w:vAlign w:val="center"/>
          </w:tcPr>
          <w:p>
            <w:pPr>
              <w:keepNext w:val="0"/>
              <w:spacing w:line="320" w:lineRule="exact" w:after="0" w:before="0"/>
              <w:ind w:firstLine="0"/>
              <w:jc w:val="left"/>
            </w:pPr>
            <w:r>
              <w:rPr>
                <w:b w:val="0"/>
                <w:sz w:val="21"/>
              </w:rPr>
              <w:t>按实测噪声水平</w:t>
            </w:r>
          </w:p>
        </w:tc>
        <w:tc>
          <w:tcPr>
            <w:tcW w:type="dxa" w:w="1928"/>
            <w:vAlign w:val="center"/>
          </w:tcPr>
          <w:p>
            <w:pPr>
              <w:keepNext w:val="0"/>
              <w:spacing w:line="320" w:lineRule="exact" w:after="0" w:before="0"/>
              <w:ind w:firstLine="0"/>
              <w:jc w:val="left"/>
            </w:pPr>
            <w:r>
              <w:rPr>
                <w:b w:val="0"/>
                <w:sz w:val="21"/>
              </w:rPr>
              <w:t>周期性特征在变换后保留</w:t>
            </w:r>
          </w:p>
        </w:tc>
      </w:tr>
      <w:tr>
        <w:trPr>
          <w:cantSplit/>
        </w:trPr>
        <w:tc>
          <w:tcPr>
            <w:tcW w:type="dxa" w:w="1735"/>
            <w:vAlign w:val="center"/>
          </w:tcPr>
          <w:p>
            <w:pPr>
              <w:keepNext w:val="0"/>
              <w:spacing w:line="320" w:lineRule="exact" w:after="0" w:before="0"/>
              <w:ind w:firstLine="0"/>
              <w:jc w:val="left"/>
            </w:pPr>
            <w:r>
              <w:rPr>
                <w:b w:val="0"/>
                <w:sz w:val="21"/>
              </w:rPr>
              <w:t>重载</w:t>
            </w:r>
          </w:p>
        </w:tc>
        <w:tc>
          <w:tcPr>
            <w:tcW w:type="dxa" w:w="2120"/>
            <w:vAlign w:val="center"/>
          </w:tcPr>
          <w:p>
            <w:pPr>
              <w:keepNext w:val="0"/>
              <w:spacing w:line="320" w:lineRule="exact" w:after="0" w:before="0"/>
              <w:ind w:firstLine="0"/>
              <w:jc w:val="left"/>
            </w:pPr>
            <w:r>
              <w:rPr>
                <w:b w:val="0"/>
                <w:sz w:val="21"/>
              </w:rPr>
              <w:t>中等窗口、小步长</w:t>
            </w:r>
          </w:p>
        </w:tc>
        <w:tc>
          <w:tcPr>
            <w:tcW w:type="dxa" w:w="1928"/>
            <w:vAlign w:val="center"/>
          </w:tcPr>
          <w:p>
            <w:pPr>
              <w:keepNext w:val="0"/>
              <w:spacing w:line="320" w:lineRule="exact" w:after="0" w:before="0"/>
              <w:ind w:firstLine="0"/>
              <w:jc w:val="left"/>
            </w:pPr>
            <w:r>
              <w:rPr>
                <w:b w:val="0"/>
                <w:sz w:val="21"/>
              </w:rPr>
              <w:t>不降采样，保留波形细节</w:t>
            </w:r>
          </w:p>
        </w:tc>
        <w:tc>
          <w:tcPr>
            <w:tcW w:type="dxa" w:w="1928"/>
            <w:vAlign w:val="center"/>
          </w:tcPr>
          <w:p>
            <w:pPr>
              <w:keepNext w:val="0"/>
              <w:spacing w:line="320" w:lineRule="exact" w:after="0" w:before="0"/>
              <w:ind w:firstLine="0"/>
              <w:jc w:val="left"/>
            </w:pPr>
            <w:r>
              <w:rPr>
                <w:b w:val="0"/>
                <w:sz w:val="21"/>
              </w:rPr>
              <w:t>幅度受限，不掩盖负载特征</w:t>
            </w:r>
          </w:p>
        </w:tc>
        <w:tc>
          <w:tcPr>
            <w:tcW w:type="dxa" w:w="1928"/>
            <w:vAlign w:val="center"/>
          </w:tcPr>
          <w:p>
            <w:pPr>
              <w:keepNext w:val="0"/>
              <w:spacing w:line="320" w:lineRule="exact" w:after="0" w:before="0"/>
              <w:ind w:firstLine="0"/>
              <w:jc w:val="left"/>
            </w:pPr>
            <w:r>
              <w:rPr>
                <w:b w:val="0"/>
                <w:sz w:val="21"/>
              </w:rPr>
              <w:t>负载特征在批准容差内，工况判定不变</w:t>
            </w:r>
          </w:p>
        </w:tc>
      </w:tr>
      <w:tr>
        <w:trPr>
          <w:cantSplit/>
        </w:trPr>
        <w:tc>
          <w:tcPr>
            <w:tcW w:type="dxa" w:w="1735"/>
            <w:vAlign w:val="center"/>
          </w:tcPr>
          <w:p>
            <w:pPr>
              <w:keepNext w:val="0"/>
              <w:spacing w:line="320" w:lineRule="exact" w:after="0" w:before="0"/>
              <w:ind w:firstLine="0"/>
              <w:jc w:val="left"/>
            </w:pPr>
            <w:r>
              <w:rPr>
                <w:b w:val="0"/>
                <w:sz w:val="21"/>
              </w:rPr>
              <w:t>过载</w:t>
            </w:r>
          </w:p>
        </w:tc>
        <w:tc>
          <w:tcPr>
            <w:tcW w:type="dxa" w:w="2120"/>
            <w:vAlign w:val="center"/>
          </w:tcPr>
          <w:p>
            <w:pPr>
              <w:keepNext w:val="0"/>
              <w:spacing w:line="320" w:lineRule="exact" w:after="0" w:before="0"/>
              <w:ind w:firstLine="0"/>
              <w:jc w:val="left"/>
            </w:pPr>
            <w:r>
              <w:rPr>
                <w:b w:val="0"/>
                <w:sz w:val="21"/>
              </w:rPr>
              <w:t>短窗口、小步长</w:t>
            </w:r>
          </w:p>
        </w:tc>
        <w:tc>
          <w:tcPr>
            <w:tcW w:type="dxa" w:w="1928"/>
            <w:vAlign w:val="center"/>
          </w:tcPr>
          <w:p>
            <w:pPr>
              <w:keepNext w:val="0"/>
              <w:spacing w:line="320" w:lineRule="exact" w:after="0" w:before="0"/>
              <w:ind w:firstLine="0"/>
              <w:jc w:val="left"/>
            </w:pPr>
            <w:r>
              <w:rPr>
                <w:b w:val="0"/>
                <w:sz w:val="21"/>
              </w:rPr>
              <w:t>不降采样</w:t>
            </w:r>
          </w:p>
        </w:tc>
        <w:tc>
          <w:tcPr>
            <w:tcW w:type="dxa" w:w="1928"/>
            <w:vAlign w:val="center"/>
          </w:tcPr>
          <w:p>
            <w:pPr>
              <w:keepNext w:val="0"/>
              <w:spacing w:line="320" w:lineRule="exact" w:after="0" w:before="0"/>
              <w:ind w:firstLine="0"/>
              <w:jc w:val="left"/>
            </w:pPr>
            <w:r>
              <w:rPr>
                <w:b w:val="0"/>
                <w:sz w:val="21"/>
              </w:rPr>
              <w:t>幅度最小</w:t>
            </w:r>
          </w:p>
        </w:tc>
        <w:tc>
          <w:tcPr>
            <w:tcW w:type="dxa" w:w="1928"/>
            <w:vAlign w:val="center"/>
          </w:tcPr>
          <w:p>
            <w:pPr>
              <w:keepNext w:val="0"/>
              <w:spacing w:line="320" w:lineRule="exact" w:after="0" w:before="0"/>
              <w:ind w:firstLine="0"/>
              <w:jc w:val="left"/>
            </w:pPr>
            <w:r>
              <w:rPr>
                <w:b w:val="0"/>
                <w:sz w:val="21"/>
              </w:rPr>
              <w:t>越限时刻与幅度不改变</w:t>
            </w:r>
          </w:p>
        </w:tc>
      </w:tr>
      <w:tr>
        <w:trPr>
          <w:cantSplit/>
        </w:trPr>
        <w:tc>
          <w:tcPr>
            <w:tcW w:type="dxa" w:w="1735"/>
            <w:vAlign w:val="center"/>
          </w:tcPr>
          <w:p>
            <w:pPr>
              <w:keepNext w:val="0"/>
              <w:spacing w:line="320" w:lineRule="exact" w:after="0" w:before="0"/>
              <w:ind w:firstLine="0"/>
              <w:jc w:val="left"/>
            </w:pPr>
            <w:r>
              <w:rPr>
                <w:b w:val="0"/>
                <w:sz w:val="21"/>
              </w:rPr>
              <w:t>堵转</w:t>
            </w:r>
          </w:p>
        </w:tc>
        <w:tc>
          <w:tcPr>
            <w:tcW w:type="dxa" w:w="2120"/>
            <w:vAlign w:val="center"/>
          </w:tcPr>
          <w:p>
            <w:pPr>
              <w:keepNext w:val="0"/>
              <w:spacing w:line="320" w:lineRule="exact" w:after="0" w:before="0"/>
              <w:ind w:firstLine="0"/>
              <w:jc w:val="left"/>
            </w:pPr>
            <w:r>
              <w:rPr>
                <w:b w:val="0"/>
                <w:sz w:val="21"/>
              </w:rPr>
              <w:t>短窗口，以冲击起点为锚</w:t>
            </w:r>
          </w:p>
        </w:tc>
        <w:tc>
          <w:tcPr>
            <w:tcW w:type="dxa" w:w="1928"/>
            <w:vAlign w:val="center"/>
          </w:tcPr>
          <w:p>
            <w:pPr>
              <w:keepNext w:val="0"/>
              <w:spacing w:line="320" w:lineRule="exact" w:after="0" w:before="0"/>
              <w:ind w:firstLine="0"/>
              <w:jc w:val="left"/>
            </w:pPr>
            <w:r>
              <w:rPr>
                <w:b w:val="0"/>
                <w:sz w:val="21"/>
              </w:rPr>
              <w:t>不降采样</w:t>
            </w:r>
          </w:p>
        </w:tc>
        <w:tc>
          <w:tcPr>
            <w:tcW w:type="dxa" w:w="1928"/>
            <w:vAlign w:val="center"/>
          </w:tcPr>
          <w:p>
            <w:pPr>
              <w:keepNext w:val="0"/>
              <w:spacing w:line="320" w:lineRule="exact" w:after="0" w:before="0"/>
              <w:ind w:firstLine="0"/>
              <w:jc w:val="left"/>
            </w:pPr>
            <w:r>
              <w:rPr>
                <w:b w:val="0"/>
                <w:sz w:val="21"/>
              </w:rPr>
              <w:t>不施加噪声扰动</w:t>
            </w:r>
          </w:p>
        </w:tc>
        <w:tc>
          <w:tcPr>
            <w:tcW w:type="dxa" w:w="1928"/>
            <w:vAlign w:val="center"/>
          </w:tcPr>
          <w:p>
            <w:pPr>
              <w:keepNext w:val="0"/>
              <w:spacing w:line="320" w:lineRule="exact" w:after="0" w:before="0"/>
              <w:ind w:firstLine="0"/>
              <w:jc w:val="left"/>
            </w:pPr>
            <w:r>
              <w:rPr>
                <w:b w:val="0"/>
                <w:sz w:val="21"/>
              </w:rPr>
              <w:t>冲击波形特征完整保留</w:t>
            </w:r>
          </w:p>
        </w:tc>
      </w:tr>
    </w:tbl>
    <w:p>
      <w:pPr>
        <w:spacing w:after="40" w:line="240" w:lineRule="auto"/>
        <w:ind w:firstLine="0"/>
      </w:pPr>
      <w:r>
        <w:rPr>
          <w:sz w:val="4"/>
        </w:rPr>
      </w:r>
    </w:p>
    <w:p>
      <w:pPr>
        <w:jc w:val="both"/>
      </w:pPr>
      <w:r>
        <w:t>时序增强另有一条约束：耦合干扰的处置。标注环节已对存在三机联动耦合干扰的窗口做了标记，增强时对这类窗口不施加噪声扰动——在已有干扰的信号上再叠加噪声，变换后的样本无法判定其工况标签是否仍成立。这类窗口的增强仅限于窗口切分与重采样。</w:t>
      </w:r>
    </w:p>
    <w:p>
      <w:pPr>
        <w:pStyle w:val="Heading2"/>
      </w:pPr>
      <w:r>
        <w:t>4.5 面向模态与时效性指标的定向补充</w:t>
      </w:r>
    </w:p>
    <w:p>
      <w:pPr>
        <w:jc w:val="both"/>
      </w:pPr>
      <w:r>
        <w:t>两项指标的要求是：多模态数据条数占比不低于 40%，3 年内数据条数占比不低于 40%，另有数据模态不低于 3 种。这两项是数值指标，必须有明确的达成路径与核算口径，不能靠事后统计碰巧达成。</w:t>
      </w:r>
    </w:p>
    <w:p>
      <w:pPr>
        <w:jc w:val="both"/>
      </w:pPr>
      <w:r>
        <w:t>多模态样本须包含两种及以上实际有效模态，且模态间存在可核验的业务对应。图纸与有效技术说明、缺陷图像与有证据的文本判定、时序与相应事件诊断说明可按统一规则登记；仅增加文件名、编号、空文本或标签代码不视为新增模态。多模态计量前检查关联内容可读取、对象一致、时点适用、权限覆盖及质量通过情况，分母使用按统一粒度去重后的有效交付样本条数。</w:t>
      </w:r>
    </w:p>
    <w:p>
      <w:pPr>
        <w:jc w:val="both"/>
      </w:pPr>
      <w:r>
        <w:t>达成路径分三条：一是制造过程域与产品质量域的图像与时序样本在与有效文本、事件或其他模态正确关联后贡献多模态份额，是否计为多模态须逐条通过关联核验；二是产品工艺设计域的全链路标注样本以图纸为输入，是多模态样本的重要来源；三是增强环节对图像与时序样本的扩充直接提升多模态条数。若统计显示占比不足，优先扩充第一与第二条路径的真实样本，增强作为补充手段而非主要手段——靠增强堆高多模态占比会使数据集的实际信息量与条数不匹配。</w:t>
      </w:r>
    </w:p>
    <w:p>
      <w:pPr>
        <w:jc w:val="both"/>
      </w:pPr>
      <w:r>
        <w:t>时效性占比的达成路径与多模态不同，它无法靠增强解决：增强出来的样本其业务发生时间仍是源样本的时间。因此 3 年内数据占比的达成主要靠采集侧的定向补采——明确哪些业务域、哪些资料类型的近 3 年数据尚未纳入，提出补采清单交采集环节执行。增强内容保留源样本业务时间和家族标识；统计同时披露有效条数与独立来源家族数，对无新增有效信息的重复派生去重，不通过调整单一来源的副本数量制造时效性达标。统计结果通过源时间和派生家族回查。</w:t>
      </w:r>
    </w:p>
    <w:p>
      <w:pPr>
        <w:pStyle w:val="Caption"/>
        <w:keepNext/>
      </w:pPr>
      <w:r>
        <w:t>表4-5 两项指标的核算口径与达成路径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指标</w:t>
            </w:r>
          </w:p>
        </w:tc>
        <w:tc>
          <w:tcPr>
            <w:tcW w:type="dxa" w:w="2120"/>
            <w:vAlign w:val="center"/>
            <w:shd w:fill="EDF1F3"/>
          </w:tcPr>
          <w:p>
            <w:pPr>
              <w:keepNext/>
              <w:spacing w:line="320" w:lineRule="exact" w:after="0" w:before="0"/>
              <w:ind w:firstLine="0"/>
              <w:jc w:val="center"/>
            </w:pPr>
            <w:r>
              <w:rPr>
                <w:b/>
                <w:sz w:val="21"/>
              </w:rPr>
              <w:t>要求</w:t>
            </w:r>
          </w:p>
        </w:tc>
        <w:tc>
          <w:tcPr>
            <w:tcW w:type="dxa" w:w="1928"/>
            <w:vAlign w:val="center"/>
            <w:shd w:fill="EDF1F3"/>
          </w:tcPr>
          <w:p>
            <w:pPr>
              <w:keepNext/>
              <w:spacing w:line="320" w:lineRule="exact" w:after="0" w:before="0"/>
              <w:ind w:firstLine="0"/>
              <w:jc w:val="center"/>
            </w:pPr>
            <w:r>
              <w:rPr>
                <w:b/>
                <w:sz w:val="21"/>
              </w:rPr>
              <w:t>核算口径</w:t>
            </w:r>
          </w:p>
        </w:tc>
        <w:tc>
          <w:tcPr>
            <w:tcW w:type="dxa" w:w="1928"/>
            <w:vAlign w:val="center"/>
            <w:shd w:fill="EDF1F3"/>
          </w:tcPr>
          <w:p>
            <w:pPr>
              <w:keepNext/>
              <w:spacing w:line="320" w:lineRule="exact" w:after="0" w:before="0"/>
              <w:ind w:firstLine="0"/>
              <w:jc w:val="center"/>
            </w:pPr>
            <w:r>
              <w:rPr>
                <w:b/>
                <w:sz w:val="21"/>
              </w:rPr>
              <w:t>主要达成路径</w:t>
            </w:r>
          </w:p>
        </w:tc>
        <w:tc>
          <w:tcPr>
            <w:tcW w:type="dxa" w:w="1928"/>
            <w:vAlign w:val="center"/>
            <w:shd w:fill="EDF1F3"/>
          </w:tcPr>
          <w:p>
            <w:pPr>
              <w:keepNext/>
              <w:spacing w:line="320" w:lineRule="exact" w:after="0" w:before="0"/>
              <w:ind w:firstLine="0"/>
              <w:jc w:val="center"/>
            </w:pPr>
            <w:r>
              <w:rPr>
                <w:b/>
                <w:sz w:val="21"/>
              </w:rPr>
              <w:t>增强的作用</w:t>
            </w:r>
          </w:p>
        </w:tc>
      </w:tr>
      <w:tr>
        <w:trPr>
          <w:cantSplit/>
        </w:trPr>
        <w:tc>
          <w:tcPr>
            <w:tcW w:type="dxa" w:w="1735"/>
            <w:vAlign w:val="center"/>
          </w:tcPr>
          <w:p>
            <w:pPr>
              <w:keepNext w:val="0"/>
              <w:spacing w:line="320" w:lineRule="exact" w:after="0" w:before="0"/>
              <w:ind w:firstLine="0"/>
              <w:jc w:val="left"/>
            </w:pPr>
            <w:r>
              <w:rPr>
                <w:b w:val="0"/>
                <w:sz w:val="21"/>
              </w:rPr>
              <w:t>数据模态</w:t>
            </w:r>
          </w:p>
        </w:tc>
        <w:tc>
          <w:tcPr>
            <w:tcW w:type="dxa" w:w="2120"/>
            <w:vAlign w:val="center"/>
          </w:tcPr>
          <w:p>
            <w:pPr>
              <w:keepNext w:val="0"/>
              <w:spacing w:line="320" w:lineRule="exact" w:after="0" w:before="0"/>
              <w:ind w:firstLine="0"/>
              <w:jc w:val="left"/>
            </w:pPr>
            <w:r>
              <w:rPr>
                <w:b w:val="0"/>
                <w:sz w:val="21"/>
              </w:rPr>
              <w:t>不低于 3 种</w:t>
            </w:r>
          </w:p>
        </w:tc>
        <w:tc>
          <w:tcPr>
            <w:tcW w:type="dxa" w:w="1928"/>
            <w:vAlign w:val="center"/>
          </w:tcPr>
          <w:p>
            <w:pPr>
              <w:keepNext w:val="0"/>
              <w:spacing w:line="320" w:lineRule="exact" w:after="0" w:before="0"/>
              <w:ind w:firstLine="0"/>
              <w:jc w:val="left"/>
            </w:pPr>
            <w:r>
              <w:rPr>
                <w:b w:val="0"/>
                <w:sz w:val="21"/>
              </w:rPr>
              <w:t>覆盖文本、图像、时序及招标业务要求涉及的视频，计量不少于3种有效模态</w:t>
            </w:r>
          </w:p>
        </w:tc>
        <w:tc>
          <w:tcPr>
            <w:tcW w:type="dxa" w:w="1928"/>
            <w:vAlign w:val="center"/>
          </w:tcPr>
          <w:p>
            <w:pPr>
              <w:keepNext w:val="0"/>
              <w:spacing w:line="320" w:lineRule="exact" w:after="0" w:before="0"/>
              <w:ind w:firstLine="0"/>
              <w:jc w:val="left"/>
            </w:pPr>
            <w:r>
              <w:rPr>
                <w:b w:val="0"/>
                <w:sz w:val="21"/>
              </w:rPr>
              <w:t>各域采集与预处理产出覆盖三种以上模态</w:t>
            </w:r>
          </w:p>
        </w:tc>
        <w:tc>
          <w:tcPr>
            <w:tcW w:type="dxa" w:w="1928"/>
            <w:vAlign w:val="center"/>
          </w:tcPr>
          <w:p>
            <w:pPr>
              <w:keepNext w:val="0"/>
              <w:spacing w:line="320" w:lineRule="exact" w:after="0" w:before="0"/>
              <w:ind w:firstLine="0"/>
              <w:jc w:val="left"/>
            </w:pPr>
            <w:r>
              <w:rPr>
                <w:b w:val="0"/>
                <w:sz w:val="21"/>
              </w:rPr>
              <w:t>不适用</w:t>
            </w:r>
          </w:p>
        </w:tc>
      </w:tr>
      <w:tr>
        <w:trPr>
          <w:cantSplit/>
        </w:trPr>
        <w:tc>
          <w:tcPr>
            <w:tcW w:type="dxa" w:w="1735"/>
            <w:vAlign w:val="center"/>
          </w:tcPr>
          <w:p>
            <w:pPr>
              <w:keepNext w:val="0"/>
              <w:spacing w:line="320" w:lineRule="exact" w:after="0" w:before="0"/>
              <w:ind w:firstLine="0"/>
              <w:jc w:val="left"/>
            </w:pPr>
            <w:r>
              <w:rPr>
                <w:b w:val="0"/>
                <w:sz w:val="21"/>
              </w:rPr>
              <w:t>多模态数据条数占比</w:t>
            </w:r>
          </w:p>
        </w:tc>
        <w:tc>
          <w:tcPr>
            <w:tcW w:type="dxa" w:w="2120"/>
            <w:vAlign w:val="center"/>
          </w:tcPr>
          <w:p>
            <w:pPr>
              <w:keepNext w:val="0"/>
              <w:spacing w:line="320" w:lineRule="exact" w:after="0" w:before="0"/>
              <w:ind w:firstLine="0"/>
              <w:jc w:val="left"/>
            </w:pPr>
            <w:r>
              <w:rPr>
                <w:b w:val="0"/>
                <w:sz w:val="21"/>
              </w:rPr>
              <w:t>不低于 40%</w:t>
            </w:r>
          </w:p>
        </w:tc>
        <w:tc>
          <w:tcPr>
            <w:tcW w:type="dxa" w:w="1928"/>
            <w:vAlign w:val="center"/>
          </w:tcPr>
          <w:p>
            <w:pPr>
              <w:keepNext w:val="0"/>
              <w:spacing w:line="320" w:lineRule="exact" w:after="0" w:before="0"/>
              <w:ind w:firstLine="0"/>
              <w:jc w:val="left"/>
            </w:pPr>
            <w:r>
              <w:rPr>
                <w:b w:val="0"/>
                <w:sz w:val="21"/>
              </w:rPr>
              <w:t>至少两种模态实际有效且业务对应正确，空标签及文件名不计为新增模态</w:t>
            </w:r>
          </w:p>
        </w:tc>
        <w:tc>
          <w:tcPr>
            <w:tcW w:type="dxa" w:w="1928"/>
            <w:vAlign w:val="center"/>
          </w:tcPr>
          <w:p>
            <w:pPr>
              <w:keepNext w:val="0"/>
              <w:spacing w:line="320" w:lineRule="exact" w:after="0" w:before="0"/>
              <w:ind w:firstLine="0"/>
              <w:jc w:val="left"/>
            </w:pPr>
            <w:r>
              <w:rPr>
                <w:b w:val="0"/>
                <w:sz w:val="21"/>
              </w:rPr>
              <w:t>制造过程与产品质量域的图像与时序样本；工艺设计域的全链路标注样本</w:t>
            </w:r>
          </w:p>
        </w:tc>
        <w:tc>
          <w:tcPr>
            <w:tcW w:type="dxa" w:w="1928"/>
            <w:vAlign w:val="center"/>
          </w:tcPr>
          <w:p>
            <w:pPr>
              <w:keepNext w:val="0"/>
              <w:spacing w:line="320" w:lineRule="exact" w:after="0" w:before="0"/>
              <w:ind w:firstLine="0"/>
              <w:jc w:val="left"/>
            </w:pPr>
            <w:r>
              <w:rPr>
                <w:b w:val="0"/>
                <w:sz w:val="21"/>
              </w:rPr>
              <w:t>扩充图像与时序样本条数，作为补充手段</w:t>
            </w:r>
          </w:p>
        </w:tc>
      </w:tr>
      <w:tr>
        <w:trPr>
          <w:cantSplit/>
        </w:trPr>
        <w:tc>
          <w:tcPr>
            <w:tcW w:type="dxa" w:w="1735"/>
            <w:vAlign w:val="center"/>
          </w:tcPr>
          <w:p>
            <w:pPr>
              <w:keepNext w:val="0"/>
              <w:spacing w:line="320" w:lineRule="exact" w:after="0" w:before="0"/>
              <w:ind w:firstLine="0"/>
              <w:jc w:val="left"/>
            </w:pPr>
            <w:r>
              <w:rPr>
                <w:b w:val="0"/>
                <w:sz w:val="21"/>
              </w:rPr>
              <w:t>3 年内数据条数占比</w:t>
            </w:r>
          </w:p>
        </w:tc>
        <w:tc>
          <w:tcPr>
            <w:tcW w:type="dxa" w:w="2120"/>
            <w:vAlign w:val="center"/>
          </w:tcPr>
          <w:p>
            <w:pPr>
              <w:keepNext w:val="0"/>
              <w:spacing w:line="320" w:lineRule="exact" w:after="0" w:before="0"/>
              <w:ind w:firstLine="0"/>
              <w:jc w:val="left"/>
            </w:pPr>
            <w:r>
              <w:rPr>
                <w:b w:val="0"/>
                <w:sz w:val="21"/>
              </w:rPr>
              <w:t>不低于 40%</w:t>
            </w:r>
          </w:p>
        </w:tc>
        <w:tc>
          <w:tcPr>
            <w:tcW w:type="dxa" w:w="1928"/>
            <w:vAlign w:val="center"/>
          </w:tcPr>
          <w:p>
            <w:pPr>
              <w:keepNext w:val="0"/>
              <w:spacing w:line="320" w:lineRule="exact" w:after="0" w:before="0"/>
              <w:ind w:firstLine="0"/>
              <w:jc w:val="left"/>
            </w:pPr>
            <w:r>
              <w:rPr>
                <w:b w:val="0"/>
                <w:sz w:val="21"/>
              </w:rPr>
              <w:t>按样本的业务发生时间计，不按入库时间计</w:t>
            </w:r>
          </w:p>
        </w:tc>
        <w:tc>
          <w:tcPr>
            <w:tcW w:type="dxa" w:w="1928"/>
            <w:vAlign w:val="center"/>
          </w:tcPr>
          <w:p>
            <w:pPr>
              <w:keepNext w:val="0"/>
              <w:spacing w:line="320" w:lineRule="exact" w:after="0" w:before="0"/>
              <w:ind w:firstLine="0"/>
              <w:jc w:val="left"/>
            </w:pPr>
            <w:r>
              <w:rPr>
                <w:b w:val="0"/>
                <w:sz w:val="21"/>
              </w:rPr>
              <w:t>采集侧定向补采近 3 年数据</w:t>
            </w:r>
          </w:p>
        </w:tc>
        <w:tc>
          <w:tcPr>
            <w:tcW w:type="dxa" w:w="1928"/>
            <w:vAlign w:val="center"/>
          </w:tcPr>
          <w:p>
            <w:pPr>
              <w:keepNext w:val="0"/>
              <w:spacing w:line="320" w:lineRule="exact" w:after="0" w:before="0"/>
              <w:ind w:firstLine="0"/>
              <w:jc w:val="left"/>
            </w:pPr>
            <w:r>
              <w:rPr>
                <w:b w:val="0"/>
                <w:sz w:val="21"/>
              </w:rPr>
              <w:t>仅对已纳入的近 3 年样本做扩充；不以增强虚增占比</w:t>
            </w:r>
          </w:p>
        </w:tc>
      </w:tr>
    </w:tbl>
    <w:p>
      <w:pPr>
        <w:spacing w:after="40" w:line="240" w:lineRule="auto"/>
        <w:ind w:firstLine="0"/>
      </w:pPr>
      <w:r>
        <w:rPr>
          <w:sz w:val="4"/>
        </w:rPr>
      </w:r>
    </w:p>
    <w:p>
      <w:pPr>
        <w:jc w:val="both"/>
      </w:pPr>
      <w:r>
        <w:t>增强前后的分布对比结论按六个维度逐项呈现：增强前分布、增强后分布、变化幅度、目标达成情况、残留的长尾类别与覆盖盲区清单。结论随数据集版本一并交付，并作为下一版本修订计划的输入。</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5" name="Picture 5"/>
            <wp:cNvGraphicFramePr>
              <a:graphicFrameLocks noChangeAspect="1"/>
            </wp:cNvGraphicFramePr>
            <a:graphic>
              <a:graphicData uri="http://schemas.openxmlformats.org/drawingml/2006/picture">
                <pic:pic>
                  <pic:nvPicPr>
                    <pic:cNvPr id="0" name="图5_增强校验.png"/>
                    <pic:cNvPicPr/>
                  </pic:nvPicPr>
                  <pic:blipFill>
                    <a:blip r:embed="rId15"/>
                    <a:stretch>
                      <a:fillRect/>
                    </a:stretch>
                  </pic:blipFill>
                  <pic:spPr>
                    <a:xfrm>
                      <a:off x="0" y="0"/>
                      <a:ext cx="6048000" cy="1942338"/>
                    </a:xfrm>
                    <a:prstGeom prst="rect"/>
                  </pic:spPr>
                </pic:pic>
              </a:graphicData>
            </a:graphic>
          </wp:inline>
        </w:drawing>
      </w:r>
    </w:p>
    <w:p>
      <w:pPr>
        <w:pStyle w:val="Caption"/>
        <w:jc w:val="center"/>
      </w:pPr>
      <w:r>
        <w:t>图 4-1 增强生产与批次校验</w:t>
      </w:r>
    </w:p>
    <w:p>
      <w:pPr>
        <w:pStyle w:val="Heading2"/>
      </w:pPr>
      <w:r>
        <w:t>4.6 增强产出的一致性校验与批次回退</w:t>
      </w:r>
    </w:p>
    <w:p>
      <w:pPr>
        <w:jc w:val="both"/>
      </w:pPr>
      <w:r>
        <w:t>两类校验的内容不同。语义一致性校验问的是「变换之后还是不是在说同一件事」，标签一致性校验问的是「变换之后原来的标签还对不对」。前者主要针对文本变换，后者主要针对图像与时序变换，但两者在各类变换上都要执行。</w:t>
      </w:r>
    </w:p>
    <w:p>
      <w:pPr>
        <w:jc w:val="both"/>
      </w:pPr>
      <w:r>
        <w:t>语义一致性的校验方法是双通道：规则通道检查关键信息要素是否完整保留（数值、单位、术语、实体、否定词、时间状语），模型通道计算变换前后的语义相似度并辅以专业抽检。自动结果均通过且人工检查满足要求后判定批次一致；规则通道不通过的直接丢弃；规则通道通过而模型通道低于阈值的逐条进入人工复核。否定词的保留是规则通道的重点项——「未发现裂纹」改写成「发现裂纹」是一个在自动改写中真实会出现的错误，且语义相似度指标对此不敏感。</w:t>
      </w:r>
    </w:p>
    <w:p>
      <w:pPr>
        <w:jc w:val="both"/>
      </w:pPr>
      <w:r>
        <w:t>标签一致性的校验方法按标签类型分别执行：位置型标签校验其是否随几何变换同步变换且变换后仍有效；名义型与有序型标签校验其在变换后是否仍成立（例如一张缺陷图像经过大幅裁剪后缺陷是否还在画面内、一段时序经过降采样后其工况特征是否还可判别）；数值型标签校验其是否需要随变换换算（例如图像缩放后以像素计的缺陷尺寸须按比例换算）。</w:t>
      </w:r>
    </w:p>
    <w:p>
      <w:pPr>
        <w:jc w:val="both"/>
      </w:pPr>
      <w:r>
        <w:t>增强批次提交前执行自动检查和自检，提交后按批准方案实施独立校验。任一规定的批次验收条件未通过，该批次整体回退，不纳入数据集版本。发现某条语义、标签或变换错误时，冻结该批次并排查同配置和同源对象范围；不能删除被抽中的错误样本后将原批次直接改判通过。修正配置、重新处理和复检后，以新修订批次提交，保留原失败结论及影响记录。</w:t>
      </w:r>
    </w:p>
    <w:p>
      <w:pPr>
        <w:pStyle w:val="Caption"/>
        <w:keepNext/>
      </w:pPr>
      <w:r>
        <w:t>表4-6 增强产出的校验项与判定</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校验类别</w:t>
            </w:r>
          </w:p>
        </w:tc>
        <w:tc>
          <w:tcPr>
            <w:tcW w:type="dxa" w:w="2699"/>
            <w:vAlign w:val="center"/>
            <w:shd w:fill="EDF1F3"/>
          </w:tcPr>
          <w:p>
            <w:pPr>
              <w:keepNext/>
              <w:spacing w:line="320" w:lineRule="exact" w:after="0" w:before="0"/>
              <w:ind w:firstLine="0"/>
              <w:jc w:val="center"/>
            </w:pPr>
            <w:r>
              <w:rPr>
                <w:b/>
                <w:sz w:val="21"/>
              </w:rPr>
              <w:t>校验项</w:t>
            </w:r>
          </w:p>
        </w:tc>
        <w:tc>
          <w:tcPr>
            <w:tcW w:type="dxa" w:w="2409"/>
            <w:vAlign w:val="center"/>
            <w:shd w:fill="EDF1F3"/>
          </w:tcPr>
          <w:p>
            <w:pPr>
              <w:keepNext/>
              <w:spacing w:line="320" w:lineRule="exact" w:after="0" w:before="0"/>
              <w:ind w:firstLine="0"/>
              <w:jc w:val="center"/>
            </w:pPr>
            <w:r>
              <w:rPr>
                <w:b/>
                <w:sz w:val="21"/>
              </w:rPr>
              <w:t>执行方式</w:t>
            </w:r>
          </w:p>
        </w:tc>
        <w:tc>
          <w:tcPr>
            <w:tcW w:type="dxa" w:w="2891"/>
            <w:vAlign w:val="center"/>
            <w:shd w:fill="EDF1F3"/>
          </w:tcPr>
          <w:p>
            <w:pPr>
              <w:keepNext/>
              <w:spacing w:line="320" w:lineRule="exact" w:after="0" w:before="0"/>
              <w:ind w:firstLine="0"/>
              <w:jc w:val="center"/>
            </w:pPr>
            <w:r>
              <w:rPr>
                <w:b/>
                <w:sz w:val="21"/>
              </w:rPr>
              <w:t>判定与处置</w:t>
            </w:r>
          </w:p>
        </w:tc>
      </w:tr>
      <w:tr>
        <w:trPr>
          <w:cantSplit/>
        </w:trPr>
        <w:tc>
          <w:tcPr>
            <w:tcW w:type="dxa" w:w="1638"/>
            <w:vAlign w:val="center"/>
          </w:tcPr>
          <w:p>
            <w:pPr>
              <w:keepNext w:val="0"/>
              <w:spacing w:line="320" w:lineRule="exact" w:after="0" w:before="0"/>
              <w:ind w:firstLine="0"/>
              <w:jc w:val="left"/>
            </w:pPr>
            <w:r>
              <w:rPr>
                <w:b w:val="0"/>
                <w:sz w:val="21"/>
              </w:rPr>
              <w:t>语义一致性·规则通道</w:t>
            </w:r>
          </w:p>
        </w:tc>
        <w:tc>
          <w:tcPr>
            <w:tcW w:type="dxa" w:w="2699"/>
            <w:vAlign w:val="center"/>
          </w:tcPr>
          <w:p>
            <w:pPr>
              <w:keepNext w:val="0"/>
              <w:spacing w:line="320" w:lineRule="exact" w:after="0" w:before="0"/>
              <w:ind w:firstLine="0"/>
              <w:jc w:val="left"/>
            </w:pPr>
            <w:r>
              <w:rPr>
                <w:b w:val="0"/>
                <w:sz w:val="21"/>
              </w:rPr>
              <w:t>数值与单位保留、术语在别名表内、实体一致、否定词保留、时间状语保留</w:t>
            </w:r>
          </w:p>
        </w:tc>
        <w:tc>
          <w:tcPr>
            <w:tcW w:type="dxa" w:w="2409"/>
            <w:vAlign w:val="center"/>
          </w:tcPr>
          <w:p>
            <w:pPr>
              <w:keepNext w:val="0"/>
              <w:spacing w:line="320" w:lineRule="exact" w:after="0" w:before="0"/>
              <w:ind w:firstLine="0"/>
              <w:jc w:val="left"/>
            </w:pPr>
            <w:r>
              <w:rPr>
                <w:b w:val="0"/>
                <w:sz w:val="21"/>
              </w:rPr>
              <w:t>自动规则校验，逐项</w:t>
            </w:r>
          </w:p>
        </w:tc>
        <w:tc>
          <w:tcPr>
            <w:tcW w:type="dxa" w:w="2891"/>
            <w:vAlign w:val="center"/>
          </w:tcPr>
          <w:p>
            <w:pPr>
              <w:keepNext w:val="0"/>
              <w:spacing w:line="320" w:lineRule="exact" w:after="0" w:before="0"/>
              <w:ind w:firstLine="0"/>
              <w:jc w:val="left"/>
            </w:pPr>
            <w:r>
              <w:rPr>
                <w:b w:val="0"/>
                <w:sz w:val="21"/>
              </w:rPr>
              <w:t>任一项不通过即丢弃该样本</w:t>
            </w:r>
          </w:p>
        </w:tc>
      </w:tr>
      <w:tr>
        <w:trPr>
          <w:cantSplit/>
        </w:trPr>
        <w:tc>
          <w:tcPr>
            <w:tcW w:type="dxa" w:w="1638"/>
            <w:vAlign w:val="center"/>
          </w:tcPr>
          <w:p>
            <w:pPr>
              <w:keepNext w:val="0"/>
              <w:spacing w:line="320" w:lineRule="exact" w:after="0" w:before="0"/>
              <w:ind w:firstLine="0"/>
              <w:jc w:val="left"/>
            </w:pPr>
            <w:r>
              <w:rPr>
                <w:b w:val="0"/>
                <w:sz w:val="21"/>
              </w:rPr>
              <w:t>语义一致性·模型通道</w:t>
            </w:r>
          </w:p>
        </w:tc>
        <w:tc>
          <w:tcPr>
            <w:tcW w:type="dxa" w:w="2699"/>
            <w:vAlign w:val="center"/>
          </w:tcPr>
          <w:p>
            <w:pPr>
              <w:keepNext w:val="0"/>
              <w:spacing w:line="320" w:lineRule="exact" w:after="0" w:before="0"/>
              <w:ind w:firstLine="0"/>
              <w:jc w:val="left"/>
            </w:pPr>
            <w:r>
              <w:rPr>
                <w:b w:val="0"/>
                <w:sz w:val="21"/>
              </w:rPr>
              <w:t>变换前后语义相似度</w:t>
            </w:r>
          </w:p>
        </w:tc>
        <w:tc>
          <w:tcPr>
            <w:tcW w:type="dxa" w:w="2409"/>
            <w:vAlign w:val="center"/>
          </w:tcPr>
          <w:p>
            <w:pPr>
              <w:keepNext w:val="0"/>
              <w:spacing w:line="320" w:lineRule="exact" w:after="0" w:before="0"/>
              <w:ind w:firstLine="0"/>
              <w:jc w:val="left"/>
            </w:pPr>
            <w:r>
              <w:rPr>
                <w:b w:val="0"/>
                <w:sz w:val="21"/>
              </w:rPr>
              <w:t>自动计算，与阈值比较</w:t>
            </w:r>
          </w:p>
        </w:tc>
        <w:tc>
          <w:tcPr>
            <w:tcW w:type="dxa" w:w="2891"/>
            <w:vAlign w:val="center"/>
          </w:tcPr>
          <w:p>
            <w:pPr>
              <w:keepNext w:val="0"/>
              <w:spacing w:line="320" w:lineRule="exact" w:after="0" w:before="0"/>
              <w:ind w:firstLine="0"/>
              <w:jc w:val="left"/>
            </w:pPr>
            <w:r>
              <w:rPr>
                <w:b w:val="0"/>
                <w:sz w:val="21"/>
              </w:rPr>
              <w:t>低于阈值逐条人工复核；批次校验不通过整体回退</w:t>
            </w:r>
          </w:p>
        </w:tc>
      </w:tr>
      <w:tr>
        <w:trPr>
          <w:cantSplit/>
        </w:trPr>
        <w:tc>
          <w:tcPr>
            <w:tcW w:type="dxa" w:w="1638"/>
            <w:vAlign w:val="center"/>
          </w:tcPr>
          <w:p>
            <w:pPr>
              <w:keepNext w:val="0"/>
              <w:spacing w:line="320" w:lineRule="exact" w:after="0" w:before="0"/>
              <w:ind w:firstLine="0"/>
              <w:jc w:val="left"/>
            </w:pPr>
            <w:r>
              <w:rPr>
                <w:b w:val="0"/>
                <w:sz w:val="21"/>
              </w:rPr>
              <w:t>标签一致性·位置型</w:t>
            </w:r>
          </w:p>
        </w:tc>
        <w:tc>
          <w:tcPr>
            <w:tcW w:type="dxa" w:w="2699"/>
            <w:vAlign w:val="center"/>
          </w:tcPr>
          <w:p>
            <w:pPr>
              <w:keepNext w:val="0"/>
              <w:spacing w:line="320" w:lineRule="exact" w:after="0" w:before="0"/>
              <w:ind w:firstLine="0"/>
              <w:jc w:val="left"/>
            </w:pPr>
            <w:r>
              <w:rPr>
                <w:b w:val="0"/>
                <w:sz w:val="21"/>
              </w:rPr>
              <w:t>框与多边形随几何变换同步；变换后有效性；面积损失比例</w:t>
            </w:r>
          </w:p>
        </w:tc>
        <w:tc>
          <w:tcPr>
            <w:tcW w:type="dxa" w:w="2409"/>
            <w:vAlign w:val="center"/>
          </w:tcPr>
          <w:p>
            <w:pPr>
              <w:keepNext w:val="0"/>
              <w:spacing w:line="320" w:lineRule="exact" w:after="0" w:before="0"/>
              <w:ind w:firstLine="0"/>
              <w:jc w:val="left"/>
            </w:pPr>
            <w:r>
              <w:rPr>
                <w:b w:val="0"/>
                <w:sz w:val="21"/>
              </w:rPr>
              <w:t>自动校验</w:t>
            </w:r>
          </w:p>
        </w:tc>
        <w:tc>
          <w:tcPr>
            <w:tcW w:type="dxa" w:w="2891"/>
            <w:vAlign w:val="center"/>
          </w:tcPr>
          <w:p>
            <w:pPr>
              <w:keepNext w:val="0"/>
              <w:spacing w:line="320" w:lineRule="exact" w:after="0" w:before="0"/>
              <w:ind w:firstLine="0"/>
              <w:jc w:val="left"/>
            </w:pPr>
            <w:r>
              <w:rPr>
                <w:b w:val="0"/>
                <w:sz w:val="21"/>
              </w:rPr>
              <w:t>超限丢弃</w:t>
            </w:r>
          </w:p>
        </w:tc>
      </w:tr>
      <w:tr>
        <w:trPr>
          <w:cantSplit/>
        </w:trPr>
        <w:tc>
          <w:tcPr>
            <w:tcW w:type="dxa" w:w="1638"/>
            <w:vAlign w:val="center"/>
          </w:tcPr>
          <w:p>
            <w:pPr>
              <w:keepNext w:val="0"/>
              <w:spacing w:line="320" w:lineRule="exact" w:after="0" w:before="0"/>
              <w:ind w:firstLine="0"/>
              <w:jc w:val="left"/>
            </w:pPr>
            <w:r>
              <w:rPr>
                <w:b w:val="0"/>
                <w:sz w:val="21"/>
              </w:rPr>
              <w:t>标签一致性·名义与有序型</w:t>
            </w:r>
          </w:p>
        </w:tc>
        <w:tc>
          <w:tcPr>
            <w:tcW w:type="dxa" w:w="2699"/>
            <w:vAlign w:val="center"/>
          </w:tcPr>
          <w:p>
            <w:pPr>
              <w:keepNext w:val="0"/>
              <w:spacing w:line="320" w:lineRule="exact" w:after="0" w:before="0"/>
              <w:ind w:firstLine="0"/>
              <w:jc w:val="left"/>
            </w:pPr>
            <w:r>
              <w:rPr>
                <w:b w:val="0"/>
                <w:sz w:val="21"/>
              </w:rPr>
              <w:t>变换后标签是否仍成立</w:t>
            </w:r>
          </w:p>
        </w:tc>
        <w:tc>
          <w:tcPr>
            <w:tcW w:type="dxa" w:w="2409"/>
            <w:vAlign w:val="center"/>
          </w:tcPr>
          <w:p>
            <w:pPr>
              <w:keepNext w:val="0"/>
              <w:spacing w:line="320" w:lineRule="exact" w:after="0" w:before="0"/>
              <w:ind w:firstLine="0"/>
              <w:jc w:val="left"/>
            </w:pPr>
            <w:r>
              <w:rPr>
                <w:b w:val="0"/>
                <w:sz w:val="21"/>
              </w:rPr>
              <w:t>按变换类型的规则判定＋抽样人工复核</w:t>
            </w:r>
          </w:p>
        </w:tc>
        <w:tc>
          <w:tcPr>
            <w:tcW w:type="dxa" w:w="2891"/>
            <w:vAlign w:val="center"/>
          </w:tcPr>
          <w:p>
            <w:pPr>
              <w:keepNext w:val="0"/>
              <w:spacing w:line="320" w:lineRule="exact" w:after="0" w:before="0"/>
              <w:ind w:firstLine="0"/>
              <w:jc w:val="left"/>
            </w:pPr>
            <w:r>
              <w:rPr>
                <w:b w:val="0"/>
                <w:sz w:val="21"/>
              </w:rPr>
              <w:t>发现不成立样本即冻结排查，批次验收未通过整体回退</w:t>
            </w:r>
          </w:p>
        </w:tc>
      </w:tr>
      <w:tr>
        <w:trPr>
          <w:cantSplit/>
        </w:trPr>
        <w:tc>
          <w:tcPr>
            <w:tcW w:type="dxa" w:w="1638"/>
            <w:vAlign w:val="center"/>
          </w:tcPr>
          <w:p>
            <w:pPr>
              <w:keepNext w:val="0"/>
              <w:spacing w:line="320" w:lineRule="exact" w:after="0" w:before="0"/>
              <w:ind w:firstLine="0"/>
              <w:jc w:val="left"/>
            </w:pPr>
            <w:r>
              <w:rPr>
                <w:b w:val="0"/>
                <w:sz w:val="21"/>
              </w:rPr>
              <w:t>标签一致性·数值型</w:t>
            </w:r>
          </w:p>
        </w:tc>
        <w:tc>
          <w:tcPr>
            <w:tcW w:type="dxa" w:w="2699"/>
            <w:vAlign w:val="center"/>
          </w:tcPr>
          <w:p>
            <w:pPr>
              <w:keepNext w:val="0"/>
              <w:spacing w:line="320" w:lineRule="exact" w:after="0" w:before="0"/>
              <w:ind w:firstLine="0"/>
              <w:jc w:val="left"/>
            </w:pPr>
            <w:r>
              <w:rPr>
                <w:b w:val="0"/>
                <w:sz w:val="21"/>
              </w:rPr>
              <w:t>随变换的换算是否正确</w:t>
            </w:r>
          </w:p>
        </w:tc>
        <w:tc>
          <w:tcPr>
            <w:tcW w:type="dxa" w:w="2409"/>
            <w:vAlign w:val="center"/>
          </w:tcPr>
          <w:p>
            <w:pPr>
              <w:keepNext w:val="0"/>
              <w:spacing w:line="320" w:lineRule="exact" w:after="0" w:before="0"/>
              <w:ind w:firstLine="0"/>
              <w:jc w:val="left"/>
            </w:pPr>
            <w:r>
              <w:rPr>
                <w:b w:val="0"/>
                <w:sz w:val="21"/>
              </w:rPr>
              <w:t>自动复算</w:t>
            </w:r>
          </w:p>
        </w:tc>
        <w:tc>
          <w:tcPr>
            <w:tcW w:type="dxa" w:w="2891"/>
            <w:vAlign w:val="center"/>
          </w:tcPr>
          <w:p>
            <w:pPr>
              <w:keepNext w:val="0"/>
              <w:spacing w:line="320" w:lineRule="exact" w:after="0" w:before="0"/>
              <w:ind w:firstLine="0"/>
              <w:jc w:val="left"/>
            </w:pPr>
            <w:r>
              <w:rPr>
                <w:b w:val="0"/>
                <w:sz w:val="21"/>
              </w:rPr>
              <w:t>换算错误则丢弃</w:t>
            </w:r>
          </w:p>
        </w:tc>
      </w:tr>
      <w:tr>
        <w:trPr>
          <w:cantSplit/>
        </w:trPr>
        <w:tc>
          <w:tcPr>
            <w:tcW w:type="dxa" w:w="1638"/>
            <w:vAlign w:val="center"/>
          </w:tcPr>
          <w:p>
            <w:pPr>
              <w:keepNext w:val="0"/>
              <w:spacing w:line="320" w:lineRule="exact" w:after="0" w:before="0"/>
              <w:ind w:firstLine="0"/>
              <w:jc w:val="left"/>
            </w:pPr>
            <w:r>
              <w:rPr>
                <w:b w:val="0"/>
                <w:sz w:val="21"/>
              </w:rPr>
              <w:t>批次级</w:t>
            </w:r>
          </w:p>
        </w:tc>
        <w:tc>
          <w:tcPr>
            <w:tcW w:type="dxa" w:w="2699"/>
            <w:vAlign w:val="center"/>
          </w:tcPr>
          <w:p>
            <w:pPr>
              <w:keepNext w:val="0"/>
              <w:spacing w:line="320" w:lineRule="exact" w:after="0" w:before="0"/>
              <w:ind w:firstLine="0"/>
              <w:jc w:val="left"/>
            </w:pPr>
            <w:r>
              <w:rPr>
                <w:b w:val="0"/>
                <w:sz w:val="21"/>
              </w:rPr>
              <w:t>不通过样本比例</w:t>
            </w:r>
          </w:p>
        </w:tc>
        <w:tc>
          <w:tcPr>
            <w:tcW w:type="dxa" w:w="2409"/>
            <w:vAlign w:val="center"/>
          </w:tcPr>
          <w:p>
            <w:pPr>
              <w:keepNext w:val="0"/>
              <w:spacing w:line="320" w:lineRule="exact" w:after="0" w:before="0"/>
              <w:ind w:firstLine="0"/>
              <w:jc w:val="left"/>
            </w:pPr>
            <w:r>
              <w:rPr>
                <w:b w:val="0"/>
                <w:sz w:val="21"/>
              </w:rPr>
              <w:t>批次统计</w:t>
            </w:r>
          </w:p>
        </w:tc>
        <w:tc>
          <w:tcPr>
            <w:tcW w:type="dxa" w:w="2891"/>
            <w:vAlign w:val="center"/>
          </w:tcPr>
          <w:p>
            <w:pPr>
              <w:keepNext w:val="0"/>
              <w:spacing w:line="320" w:lineRule="exact" w:after="0" w:before="0"/>
              <w:ind w:firstLine="0"/>
              <w:jc w:val="left"/>
            </w:pPr>
            <w:r>
              <w:rPr>
                <w:b w:val="0"/>
                <w:sz w:val="21"/>
              </w:rPr>
              <w:t>任一规定批次验收条件未通过即整体回退，修订后重新检验</w:t>
            </w:r>
          </w:p>
        </w:tc>
      </w:tr>
    </w:tbl>
    <w:p>
      <w:pPr>
        <w:spacing w:after="40" w:line="240" w:lineRule="auto"/>
        <w:ind w:firstLine="0"/>
      </w:pPr>
      <w:r>
        <w:rPr>
          <w:sz w:val="4"/>
        </w:rPr>
      </w:r>
    </w:p>
    <w:p>
      <w:pPr>
        <w:pStyle w:val="Heading1"/>
      </w:pPr>
      <w:r>
        <w:t>5 数据集质检</w:t>
      </w:r>
    </w:p>
    <w:p>
      <w:pPr>
        <w:pStyle w:val="Heading2"/>
      </w:pPr>
      <w:r>
        <w:t>5.1 门控总则</w:t>
      </w:r>
    </w:p>
    <w:p>
      <w:pPr>
        <w:jc w:val="both"/>
      </w:pPr>
      <w:r>
        <w:t>质量检查在各加工环节产出后执行。检查计划预先规定适用对象、指标定义、计算分母、抽样范围、判定条件和复检方法，未经判定通过的批次保持隔离，不进入正式训练、评测或发布内容。对缺许可、关键事实错误及内容安全问题立即追溯同源与派生范围，避免错误继续向后传递。</w:t>
      </w:r>
    </w:p>
    <w:p>
      <w:pPr>
        <w:jc w:val="both"/>
      </w:pPr>
      <w:r>
        <w:t>加工链共设七道门，自上游至下游为入口门、预处理门、口径门、终审门、标注门、合成增强门、版本门。其中口径门与终审门判定的是本体版本与知识条目，详述在「数据加工生产（一）」节；对入口门、预处理门、标注门、合成增强门与版本门，各自的判定主体、输入、输出如表 5-1。各门共享质量评测使用的指标字典和缺陷分类。过程检查与独立评测分别执行，过程记录为独立核验提供依据，不替代第三方自行抽样、检验与判定。</w:t>
      </w:r>
    </w:p>
    <w:p>
      <w:pPr>
        <w:pStyle w:val="Caption"/>
        <w:keepNext/>
      </w:pPr>
      <w:r>
        <w:t>表5-1 批次与版本质量检查点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157"/>
        <w:gridCol w:w="1638"/>
        <w:gridCol w:w="1735"/>
        <w:gridCol w:w="1735"/>
        <w:gridCol w:w="1638"/>
        <w:gridCol w:w="1735"/>
      </w:tblGrid>
      <w:tr>
        <w:trPr>
          <w:cantSplit/>
          <w:tblHeader/>
        </w:trPr>
        <w:tc>
          <w:tcPr>
            <w:tcW w:type="dxa" w:w="1157"/>
            <w:vAlign w:val="center"/>
            <w:shd w:fill="EDF1F3"/>
          </w:tcPr>
          <w:p>
            <w:pPr>
              <w:keepNext/>
              <w:spacing w:line="320" w:lineRule="exact" w:after="0" w:before="0"/>
              <w:ind w:firstLine="0"/>
              <w:jc w:val="center"/>
            </w:pPr>
            <w:r>
              <w:rPr>
                <w:b/>
                <w:sz w:val="21"/>
              </w:rPr>
              <w:t>门</w:t>
            </w:r>
          </w:p>
        </w:tc>
        <w:tc>
          <w:tcPr>
            <w:tcW w:type="dxa" w:w="1638"/>
            <w:vAlign w:val="center"/>
            <w:shd w:fill="EDF1F3"/>
          </w:tcPr>
          <w:p>
            <w:pPr>
              <w:keepNext/>
              <w:spacing w:line="320" w:lineRule="exact" w:after="0" w:before="0"/>
              <w:ind w:firstLine="0"/>
              <w:jc w:val="center"/>
            </w:pPr>
            <w:r>
              <w:rPr>
                <w:b/>
                <w:sz w:val="21"/>
              </w:rPr>
              <w:t>位置</w:t>
            </w:r>
          </w:p>
        </w:tc>
        <w:tc>
          <w:tcPr>
            <w:tcW w:type="dxa" w:w="1735"/>
            <w:vAlign w:val="center"/>
            <w:shd w:fill="EDF1F3"/>
          </w:tcPr>
          <w:p>
            <w:pPr>
              <w:keepNext/>
              <w:spacing w:line="320" w:lineRule="exact" w:after="0" w:before="0"/>
              <w:ind w:firstLine="0"/>
              <w:jc w:val="center"/>
            </w:pPr>
            <w:r>
              <w:rPr>
                <w:b/>
                <w:sz w:val="21"/>
              </w:rPr>
              <w:t>判定对象</w:t>
            </w:r>
          </w:p>
        </w:tc>
        <w:tc>
          <w:tcPr>
            <w:tcW w:type="dxa" w:w="1735"/>
            <w:vAlign w:val="center"/>
            <w:shd w:fill="EDF1F3"/>
          </w:tcPr>
          <w:p>
            <w:pPr>
              <w:keepNext/>
              <w:spacing w:line="320" w:lineRule="exact" w:after="0" w:before="0"/>
              <w:ind w:firstLine="0"/>
              <w:jc w:val="center"/>
            </w:pPr>
            <w:r>
              <w:rPr>
                <w:b/>
                <w:sz w:val="21"/>
              </w:rPr>
              <w:t>主要判定项</w:t>
            </w:r>
          </w:p>
        </w:tc>
        <w:tc>
          <w:tcPr>
            <w:tcW w:type="dxa" w:w="1638"/>
            <w:vAlign w:val="center"/>
            <w:shd w:fill="EDF1F3"/>
          </w:tcPr>
          <w:p>
            <w:pPr>
              <w:keepNext/>
              <w:spacing w:line="320" w:lineRule="exact" w:after="0" w:before="0"/>
              <w:ind w:firstLine="0"/>
              <w:jc w:val="center"/>
            </w:pPr>
            <w:r>
              <w:rPr>
                <w:b/>
                <w:sz w:val="21"/>
              </w:rPr>
              <w:t>输出</w:t>
            </w:r>
          </w:p>
        </w:tc>
        <w:tc>
          <w:tcPr>
            <w:tcW w:type="dxa" w:w="1735"/>
            <w:vAlign w:val="center"/>
            <w:shd w:fill="EDF1F3"/>
          </w:tcPr>
          <w:p>
            <w:pPr>
              <w:keepNext/>
              <w:spacing w:line="320" w:lineRule="exact" w:after="0" w:before="0"/>
              <w:ind w:firstLine="0"/>
              <w:jc w:val="center"/>
            </w:pPr>
            <w:r>
              <w:rPr>
                <w:b/>
                <w:sz w:val="21"/>
              </w:rPr>
              <w:t>不通过处置</w:t>
            </w:r>
          </w:p>
        </w:tc>
      </w:tr>
      <w:tr>
        <w:trPr>
          <w:cantSplit/>
        </w:trPr>
        <w:tc>
          <w:tcPr>
            <w:tcW w:type="dxa" w:w="1157"/>
            <w:vAlign w:val="center"/>
          </w:tcPr>
          <w:p>
            <w:pPr>
              <w:keepNext w:val="0"/>
              <w:spacing w:line="320" w:lineRule="exact" w:after="0" w:before="0"/>
              <w:ind w:firstLine="0"/>
              <w:jc w:val="left"/>
            </w:pPr>
            <w:r>
              <w:rPr>
                <w:b w:val="0"/>
                <w:sz w:val="21"/>
              </w:rPr>
              <w:t>入口门</w:t>
            </w:r>
          </w:p>
        </w:tc>
        <w:tc>
          <w:tcPr>
            <w:tcW w:type="dxa" w:w="1638"/>
            <w:vAlign w:val="center"/>
          </w:tcPr>
          <w:p>
            <w:pPr>
              <w:keepNext w:val="0"/>
              <w:spacing w:line="320" w:lineRule="exact" w:after="0" w:before="0"/>
              <w:ind w:firstLine="0"/>
              <w:jc w:val="left"/>
            </w:pPr>
            <w:r>
              <w:rPr>
                <w:b w:val="0"/>
                <w:sz w:val="21"/>
              </w:rPr>
              <w:t>采集之后</w:t>
            </w:r>
          </w:p>
        </w:tc>
        <w:tc>
          <w:tcPr>
            <w:tcW w:type="dxa" w:w="1735"/>
            <w:vAlign w:val="center"/>
          </w:tcPr>
          <w:p>
            <w:pPr>
              <w:keepNext w:val="0"/>
              <w:spacing w:line="320" w:lineRule="exact" w:after="0" w:before="0"/>
              <w:ind w:firstLine="0"/>
              <w:jc w:val="left"/>
            </w:pPr>
            <w:r>
              <w:rPr>
                <w:b w:val="0"/>
                <w:sz w:val="21"/>
              </w:rPr>
              <w:t>采集批次</w:t>
            </w:r>
          </w:p>
        </w:tc>
        <w:tc>
          <w:tcPr>
            <w:tcW w:type="dxa" w:w="1735"/>
            <w:vAlign w:val="center"/>
          </w:tcPr>
          <w:p>
            <w:pPr>
              <w:keepNext w:val="0"/>
              <w:spacing w:line="320" w:lineRule="exact" w:after="0" w:before="0"/>
              <w:ind w:firstLine="0"/>
              <w:jc w:val="left"/>
            </w:pPr>
            <w:r>
              <w:rPr>
                <w:b w:val="0"/>
                <w:sz w:val="21"/>
              </w:rPr>
              <w:t>数据源登记完整性、许可凭证有效性、入口脱敏执行情况、格式规范性</w:t>
            </w:r>
          </w:p>
        </w:tc>
        <w:tc>
          <w:tcPr>
            <w:tcW w:type="dxa" w:w="1638"/>
            <w:vAlign w:val="center"/>
          </w:tcPr>
          <w:p>
            <w:pPr>
              <w:keepNext w:val="0"/>
              <w:spacing w:line="320" w:lineRule="exact" w:after="0" w:before="0"/>
              <w:ind w:firstLine="0"/>
              <w:jc w:val="left"/>
            </w:pPr>
            <w:r>
              <w:rPr>
                <w:b w:val="0"/>
                <w:sz w:val="21"/>
              </w:rPr>
              <w:t>采集环节门控结论</w:t>
            </w:r>
          </w:p>
        </w:tc>
        <w:tc>
          <w:tcPr>
            <w:tcW w:type="dxa" w:w="1735"/>
            <w:vAlign w:val="center"/>
          </w:tcPr>
          <w:p>
            <w:pPr>
              <w:keepNext w:val="0"/>
              <w:spacing w:line="320" w:lineRule="exact" w:after="0" w:before="0"/>
              <w:ind w:firstLine="0"/>
              <w:jc w:val="left"/>
            </w:pPr>
            <w:r>
              <w:rPr>
                <w:b w:val="0"/>
                <w:sz w:val="21"/>
              </w:rPr>
              <w:t>退回采集，补登记、补凭证、补脱敏；凭证不可得的批次不入集</w:t>
            </w:r>
          </w:p>
        </w:tc>
      </w:tr>
      <w:tr>
        <w:trPr>
          <w:cantSplit/>
        </w:trPr>
        <w:tc>
          <w:tcPr>
            <w:tcW w:type="dxa" w:w="1157"/>
            <w:vAlign w:val="center"/>
          </w:tcPr>
          <w:p>
            <w:pPr>
              <w:keepNext w:val="0"/>
              <w:spacing w:line="320" w:lineRule="exact" w:after="0" w:before="0"/>
              <w:ind w:firstLine="0"/>
              <w:jc w:val="left"/>
            </w:pPr>
            <w:r>
              <w:rPr>
                <w:b w:val="0"/>
                <w:sz w:val="21"/>
              </w:rPr>
              <w:t>预处理门</w:t>
            </w:r>
          </w:p>
        </w:tc>
        <w:tc>
          <w:tcPr>
            <w:tcW w:type="dxa" w:w="1638"/>
            <w:vAlign w:val="center"/>
          </w:tcPr>
          <w:p>
            <w:pPr>
              <w:keepNext w:val="0"/>
              <w:spacing w:line="320" w:lineRule="exact" w:after="0" w:before="0"/>
              <w:ind w:firstLine="0"/>
              <w:jc w:val="left"/>
            </w:pPr>
            <w:r>
              <w:rPr>
                <w:b w:val="0"/>
                <w:sz w:val="21"/>
              </w:rPr>
              <w:t>预处理之后</w:t>
            </w:r>
          </w:p>
        </w:tc>
        <w:tc>
          <w:tcPr>
            <w:tcW w:type="dxa" w:w="1735"/>
            <w:vAlign w:val="center"/>
          </w:tcPr>
          <w:p>
            <w:pPr>
              <w:keepNext w:val="0"/>
              <w:spacing w:line="320" w:lineRule="exact" w:after="0" w:before="0"/>
              <w:ind w:firstLine="0"/>
              <w:jc w:val="left"/>
            </w:pPr>
            <w:r>
              <w:rPr>
                <w:b w:val="0"/>
                <w:sz w:val="21"/>
              </w:rPr>
              <w:t>预处理批次</w:t>
            </w:r>
          </w:p>
        </w:tc>
        <w:tc>
          <w:tcPr>
            <w:tcW w:type="dxa" w:w="1735"/>
            <w:vAlign w:val="center"/>
          </w:tcPr>
          <w:p>
            <w:pPr>
              <w:keepNext w:val="0"/>
              <w:spacing w:line="320" w:lineRule="exact" w:after="0" w:before="0"/>
              <w:ind w:firstLine="0"/>
              <w:jc w:val="left"/>
            </w:pPr>
            <w:r>
              <w:rPr>
                <w:b w:val="0"/>
                <w:sz w:val="21"/>
              </w:rPr>
              <w:t>文本切分合理性、表格与公式还原完整性、时序对齐准确性、结构化文本化转换口径一致性</w:t>
            </w:r>
          </w:p>
        </w:tc>
        <w:tc>
          <w:tcPr>
            <w:tcW w:type="dxa" w:w="1638"/>
            <w:vAlign w:val="center"/>
          </w:tcPr>
          <w:p>
            <w:pPr>
              <w:keepNext w:val="0"/>
              <w:spacing w:line="320" w:lineRule="exact" w:after="0" w:before="0"/>
              <w:ind w:firstLine="0"/>
              <w:jc w:val="left"/>
            </w:pPr>
            <w:r>
              <w:rPr>
                <w:b w:val="0"/>
                <w:sz w:val="21"/>
              </w:rPr>
              <w:t>预处理环节门控结论</w:t>
            </w:r>
          </w:p>
        </w:tc>
        <w:tc>
          <w:tcPr>
            <w:tcW w:type="dxa" w:w="1735"/>
            <w:vAlign w:val="center"/>
          </w:tcPr>
          <w:p>
            <w:pPr>
              <w:keepNext w:val="0"/>
              <w:spacing w:line="320" w:lineRule="exact" w:after="0" w:before="0"/>
              <w:ind w:firstLine="0"/>
              <w:jc w:val="left"/>
            </w:pPr>
            <w:r>
              <w:rPr>
                <w:b w:val="0"/>
                <w:sz w:val="21"/>
              </w:rPr>
              <w:t>退回预处理，调整算子参数后重做</w:t>
            </w:r>
          </w:p>
        </w:tc>
      </w:tr>
      <w:tr>
        <w:trPr>
          <w:cantSplit/>
        </w:trPr>
        <w:tc>
          <w:tcPr>
            <w:tcW w:type="dxa" w:w="1157"/>
            <w:vAlign w:val="center"/>
          </w:tcPr>
          <w:p>
            <w:pPr>
              <w:keepNext w:val="0"/>
              <w:spacing w:line="320" w:lineRule="exact" w:after="0" w:before="0"/>
              <w:ind w:firstLine="0"/>
              <w:jc w:val="left"/>
            </w:pPr>
            <w:r>
              <w:rPr>
                <w:b w:val="0"/>
                <w:sz w:val="21"/>
              </w:rPr>
              <w:t>标注门</w:t>
            </w:r>
          </w:p>
        </w:tc>
        <w:tc>
          <w:tcPr>
            <w:tcW w:type="dxa" w:w="1638"/>
            <w:vAlign w:val="center"/>
          </w:tcPr>
          <w:p>
            <w:pPr>
              <w:keepNext w:val="0"/>
              <w:spacing w:line="320" w:lineRule="exact" w:after="0" w:before="0"/>
              <w:ind w:firstLine="0"/>
              <w:jc w:val="left"/>
            </w:pPr>
            <w:r>
              <w:rPr>
                <w:b w:val="0"/>
                <w:sz w:val="21"/>
              </w:rPr>
              <w:t>标注之后</w:t>
            </w:r>
          </w:p>
        </w:tc>
        <w:tc>
          <w:tcPr>
            <w:tcW w:type="dxa" w:w="1735"/>
            <w:vAlign w:val="center"/>
          </w:tcPr>
          <w:p>
            <w:pPr>
              <w:keepNext w:val="0"/>
              <w:spacing w:line="320" w:lineRule="exact" w:after="0" w:before="0"/>
              <w:ind w:firstLine="0"/>
              <w:jc w:val="left"/>
            </w:pPr>
            <w:r>
              <w:rPr>
                <w:b w:val="0"/>
                <w:sz w:val="21"/>
              </w:rPr>
              <w:t>标注批次</w:t>
            </w:r>
          </w:p>
        </w:tc>
        <w:tc>
          <w:tcPr>
            <w:tcW w:type="dxa" w:w="1735"/>
            <w:vAlign w:val="center"/>
          </w:tcPr>
          <w:p>
            <w:pPr>
              <w:keepNext w:val="0"/>
              <w:spacing w:line="320" w:lineRule="exact" w:after="0" w:before="0"/>
              <w:ind w:firstLine="0"/>
              <w:jc w:val="left"/>
            </w:pPr>
            <w:r>
              <w:rPr>
                <w:b w:val="0"/>
                <w:sz w:val="21"/>
              </w:rPr>
              <w:t>标签完整性、标签体系符合性、跨标注员一致性、黄金集通过率</w:t>
            </w:r>
          </w:p>
        </w:tc>
        <w:tc>
          <w:tcPr>
            <w:tcW w:type="dxa" w:w="1638"/>
            <w:vAlign w:val="center"/>
          </w:tcPr>
          <w:p>
            <w:pPr>
              <w:keepNext w:val="0"/>
              <w:spacing w:line="320" w:lineRule="exact" w:after="0" w:before="0"/>
              <w:ind w:firstLine="0"/>
              <w:jc w:val="left"/>
            </w:pPr>
            <w:r>
              <w:rPr>
                <w:b w:val="0"/>
                <w:sz w:val="21"/>
              </w:rPr>
              <w:t>标注环节门控结论＋低一致性样本清单</w:t>
            </w:r>
          </w:p>
        </w:tc>
        <w:tc>
          <w:tcPr>
            <w:tcW w:type="dxa" w:w="1735"/>
            <w:vAlign w:val="center"/>
          </w:tcPr>
          <w:p>
            <w:pPr>
              <w:keepNext w:val="0"/>
              <w:spacing w:line="320" w:lineRule="exact" w:after="0" w:before="0"/>
              <w:ind w:firstLine="0"/>
              <w:jc w:val="left"/>
            </w:pPr>
            <w:r>
              <w:rPr>
                <w:b w:val="0"/>
                <w:sz w:val="21"/>
              </w:rPr>
              <w:t>按清单返工重标，跟踪至复检通过</w:t>
            </w:r>
          </w:p>
        </w:tc>
      </w:tr>
      <w:tr>
        <w:trPr>
          <w:cantSplit/>
        </w:trPr>
        <w:tc>
          <w:tcPr>
            <w:tcW w:type="dxa" w:w="1157"/>
            <w:vAlign w:val="center"/>
          </w:tcPr>
          <w:p>
            <w:pPr>
              <w:keepNext w:val="0"/>
              <w:spacing w:line="320" w:lineRule="exact" w:after="0" w:before="0"/>
              <w:ind w:firstLine="0"/>
              <w:jc w:val="left"/>
            </w:pPr>
            <w:r>
              <w:rPr>
                <w:b w:val="0"/>
                <w:sz w:val="21"/>
              </w:rPr>
              <w:t>合成增强门</w:t>
            </w:r>
          </w:p>
        </w:tc>
        <w:tc>
          <w:tcPr>
            <w:tcW w:type="dxa" w:w="1638"/>
            <w:vAlign w:val="center"/>
          </w:tcPr>
          <w:p>
            <w:pPr>
              <w:keepNext w:val="0"/>
              <w:spacing w:line="320" w:lineRule="exact" w:after="0" w:before="0"/>
              <w:ind w:firstLine="0"/>
              <w:jc w:val="left"/>
            </w:pPr>
            <w:r>
              <w:rPr>
                <w:b w:val="0"/>
                <w:sz w:val="21"/>
              </w:rPr>
              <w:t>合成与增强之后</w:t>
            </w:r>
          </w:p>
        </w:tc>
        <w:tc>
          <w:tcPr>
            <w:tcW w:type="dxa" w:w="1735"/>
            <w:vAlign w:val="center"/>
          </w:tcPr>
          <w:p>
            <w:pPr>
              <w:keepNext w:val="0"/>
              <w:spacing w:line="320" w:lineRule="exact" w:after="0" w:before="0"/>
              <w:ind w:firstLine="0"/>
              <w:jc w:val="left"/>
            </w:pPr>
            <w:r>
              <w:rPr>
                <w:b w:val="0"/>
                <w:sz w:val="21"/>
              </w:rPr>
              <w:t>合成批次、增强批次</w:t>
            </w:r>
          </w:p>
        </w:tc>
        <w:tc>
          <w:tcPr>
            <w:tcW w:type="dxa" w:w="1735"/>
            <w:vAlign w:val="center"/>
          </w:tcPr>
          <w:p>
            <w:pPr>
              <w:keepNext w:val="0"/>
              <w:spacing w:line="320" w:lineRule="exact" w:after="0" w:before="0"/>
              <w:ind w:firstLine="0"/>
              <w:jc w:val="left"/>
            </w:pPr>
            <w:r>
              <w:rPr>
                <w:b w:val="0"/>
                <w:sz w:val="21"/>
              </w:rPr>
              <w:t>业务合理性、与真实样本分布偏离度、重复率、语义漂移程度</w:t>
            </w:r>
          </w:p>
        </w:tc>
        <w:tc>
          <w:tcPr>
            <w:tcW w:type="dxa" w:w="1638"/>
            <w:vAlign w:val="center"/>
          </w:tcPr>
          <w:p>
            <w:pPr>
              <w:keepNext w:val="0"/>
              <w:spacing w:line="320" w:lineRule="exact" w:after="0" w:before="0"/>
              <w:ind w:firstLine="0"/>
              <w:jc w:val="left"/>
            </w:pPr>
            <w:r>
              <w:rPr>
                <w:b w:val="0"/>
                <w:sz w:val="21"/>
              </w:rPr>
              <w:t>合成增强环节门控结论</w:t>
            </w:r>
          </w:p>
        </w:tc>
        <w:tc>
          <w:tcPr>
            <w:tcW w:type="dxa" w:w="1735"/>
            <w:vAlign w:val="center"/>
          </w:tcPr>
          <w:p>
            <w:pPr>
              <w:keepNext w:val="0"/>
              <w:spacing w:line="320" w:lineRule="exact" w:after="0" w:before="0"/>
              <w:ind w:firstLine="0"/>
              <w:jc w:val="left"/>
            </w:pPr>
            <w:r>
              <w:rPr>
                <w:b w:val="0"/>
                <w:sz w:val="21"/>
              </w:rPr>
              <w:t>调整生成或变换配置后重做；增强批次按 4.6 节整体回退</w:t>
            </w:r>
          </w:p>
        </w:tc>
      </w:tr>
      <w:tr>
        <w:trPr>
          <w:cantSplit/>
        </w:trPr>
        <w:tc>
          <w:tcPr>
            <w:tcW w:type="dxa" w:w="1157"/>
            <w:vAlign w:val="center"/>
          </w:tcPr>
          <w:p>
            <w:pPr>
              <w:keepNext w:val="0"/>
              <w:spacing w:line="320" w:lineRule="exact" w:after="0" w:before="0"/>
              <w:ind w:firstLine="0"/>
              <w:jc w:val="left"/>
            </w:pPr>
            <w:r>
              <w:rPr>
                <w:b w:val="0"/>
                <w:sz w:val="21"/>
              </w:rPr>
              <w:t>版本门</w:t>
            </w:r>
          </w:p>
        </w:tc>
        <w:tc>
          <w:tcPr>
            <w:tcW w:type="dxa" w:w="1638"/>
            <w:vAlign w:val="center"/>
          </w:tcPr>
          <w:p>
            <w:pPr>
              <w:keepNext w:val="0"/>
              <w:spacing w:line="320" w:lineRule="exact" w:after="0" w:before="0"/>
              <w:ind w:firstLine="0"/>
              <w:jc w:val="left"/>
            </w:pPr>
            <w:r>
              <w:rPr>
                <w:b w:val="0"/>
                <w:sz w:val="21"/>
              </w:rPr>
              <w:t>版本冻结前</w:t>
            </w:r>
          </w:p>
        </w:tc>
        <w:tc>
          <w:tcPr>
            <w:tcW w:type="dxa" w:w="1735"/>
            <w:vAlign w:val="center"/>
          </w:tcPr>
          <w:p>
            <w:pPr>
              <w:keepNext w:val="0"/>
              <w:spacing w:line="320" w:lineRule="exact" w:after="0" w:before="0"/>
              <w:ind w:firstLine="0"/>
              <w:jc w:val="left"/>
            </w:pPr>
            <w:r>
              <w:rPr>
                <w:b w:val="0"/>
                <w:sz w:val="21"/>
              </w:rPr>
              <w:t>数据集版本候选</w:t>
            </w:r>
          </w:p>
        </w:tc>
        <w:tc>
          <w:tcPr>
            <w:tcW w:type="dxa" w:w="1735"/>
            <w:vAlign w:val="center"/>
          </w:tcPr>
          <w:p>
            <w:pPr>
              <w:keepNext w:val="0"/>
              <w:spacing w:line="320" w:lineRule="exact" w:after="0" w:before="0"/>
              <w:ind w:firstLine="0"/>
              <w:jc w:val="left"/>
            </w:pPr>
            <w:r>
              <w:rPr>
                <w:b w:val="0"/>
                <w:sz w:val="21"/>
              </w:rPr>
              <w:t>六维度质量指标、训练与评测数据去重结果、全版本完整性</w:t>
            </w:r>
          </w:p>
        </w:tc>
        <w:tc>
          <w:tcPr>
            <w:tcW w:type="dxa" w:w="1638"/>
            <w:vAlign w:val="center"/>
          </w:tcPr>
          <w:p>
            <w:pPr>
              <w:keepNext w:val="0"/>
              <w:spacing w:line="320" w:lineRule="exact" w:after="0" w:before="0"/>
              <w:ind w:firstLine="0"/>
              <w:jc w:val="left"/>
            </w:pPr>
            <w:r>
              <w:rPr>
                <w:b w:val="0"/>
                <w:sz w:val="21"/>
              </w:rPr>
              <w:t>版本级质检报告</w:t>
            </w:r>
          </w:p>
        </w:tc>
        <w:tc>
          <w:tcPr>
            <w:tcW w:type="dxa" w:w="1735"/>
            <w:vAlign w:val="center"/>
          </w:tcPr>
          <w:p>
            <w:pPr>
              <w:keepNext w:val="0"/>
              <w:spacing w:line="320" w:lineRule="exact" w:after="0" w:before="0"/>
              <w:ind w:firstLine="0"/>
              <w:jc w:val="left"/>
            </w:pPr>
            <w:r>
              <w:rPr>
                <w:b w:val="0"/>
                <w:sz w:val="21"/>
              </w:rPr>
              <w:t>版本不冻结，按修复工单处置后重新提请</w:t>
            </w:r>
          </w:p>
        </w:tc>
      </w:tr>
    </w:tbl>
    <w:p>
      <w:pPr>
        <w:spacing w:after="40" w:line="240" w:lineRule="auto"/>
        <w:ind w:firstLine="0"/>
      </w:pPr>
      <w:r>
        <w:rPr>
          <w:sz w:val="4"/>
        </w:rPr>
      </w:r>
    </w:p>
    <w:p>
      <w:pPr>
        <w:jc w:val="both"/>
      </w:pPr>
      <w:r>
        <w:t>批次质量结论为通过或不通过，尚未取得必要证据的维持待判定状态。未通过批次生成修复工单，修复后重新自检及独立复检；需要隔离部分对象时，明确原批次不通过，按可证明的影响边界组织新候选批次并重新判定。关键来源页码、对象映射、许可或答案依据未补齐的，不以有条件通过进入正式用途。版本冻结前核查全部关联未结事项，不能以平均通过率抵消个别必要条件缺失。</w:t>
      </w:r>
    </w:p>
    <w:p>
      <w:pPr>
        <w:pStyle w:val="Heading2"/>
      </w:pPr>
      <w:r>
        <w:t>5.2 采集批次检查</w:t>
      </w:r>
    </w:p>
    <w:p>
      <w:pPr>
        <w:jc w:val="both"/>
      </w:pPr>
      <w:r>
        <w:t>许可凭证检查覆盖来源权属、获取方式、处理用途、训练使用、对外提供、保存期限和再授权条件。缺乏有效依据的内容留在隔离范围核查，不进入训练或正式交付版本。具有用途限制的样本只进入授权覆盖的任务和发布范围，限制条件写入样本元数据并由任务调度、封装与运营供给共同执行；标记限制本身不能代替实际阻断。</w:t>
      </w:r>
    </w:p>
    <w:p>
      <w:pPr>
        <w:jc w:val="both"/>
      </w:pPr>
      <w:r>
        <w:t>数据源登记完整性检查的字段包括：源系统或资料来源标识、提供方、提供时间、数据范围描述、采集方式、授权依据、责任联系单元。外部语料的登记另加：公开渠道标识、获取时间、许可类型、许可条款摘要、是否允许商业使用、是否允许用于模型训练。</w:t>
      </w:r>
    </w:p>
    <w:p>
      <w:pPr>
        <w:jc w:val="both"/>
      </w:pPr>
      <w:r>
        <w:t>入口脱敏执行情况检查的是脱敏是否在入口执行而不是在后续环节补做。检查方式是对批次做敏感信息扫描，扫描对象包括个人身份信息、联系方式、账户信息，以及企业侧的具体客户名称与合同金额一类商业敏感信息。扫描命中的样本按脱敏规则处置后重新入门；批次级命中率超过门控线的，退回采集环节检查脱敏规则配置。</w:t>
      </w:r>
    </w:p>
    <w:p>
      <w:pPr>
        <w:jc w:val="both"/>
      </w:pPr>
      <w:r>
        <w:t>格式规范性检查的是文件格式、编码、字段类型与命名是否符合本项目的数据规范。这一项看似机械，但对后续环节影响很大：编码不一致会导致文本切分出乱码，字段类型不一致会导致时序对齐失败。</w:t>
      </w:r>
    </w:p>
    <w:p>
      <w:pPr>
        <w:pStyle w:val="Caption"/>
        <w:keepNext/>
      </w:pPr>
      <w:r>
        <w:t>表5-2 入口门的检查项与判定口径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检查项</w:t>
            </w:r>
          </w:p>
        </w:tc>
        <w:tc>
          <w:tcPr>
            <w:tcW w:type="dxa" w:w="2699"/>
            <w:vAlign w:val="center"/>
            <w:shd w:fill="EDF1F3"/>
          </w:tcPr>
          <w:p>
            <w:pPr>
              <w:keepNext/>
              <w:spacing w:line="320" w:lineRule="exact" w:after="0" w:before="0"/>
              <w:ind w:firstLine="0"/>
              <w:jc w:val="center"/>
            </w:pPr>
            <w:r>
              <w:rPr>
                <w:b/>
                <w:sz w:val="21"/>
              </w:rPr>
              <w:t>检查内容</w:t>
            </w:r>
          </w:p>
        </w:tc>
        <w:tc>
          <w:tcPr>
            <w:tcW w:type="dxa" w:w="2409"/>
            <w:vAlign w:val="center"/>
            <w:shd w:fill="EDF1F3"/>
          </w:tcPr>
          <w:p>
            <w:pPr>
              <w:keepNext/>
              <w:spacing w:line="320" w:lineRule="exact" w:after="0" w:before="0"/>
              <w:ind w:firstLine="0"/>
              <w:jc w:val="center"/>
            </w:pPr>
            <w:r>
              <w:rPr>
                <w:b/>
                <w:sz w:val="21"/>
              </w:rPr>
              <w:t>检查方式</w:t>
            </w:r>
          </w:p>
        </w:tc>
        <w:tc>
          <w:tcPr>
            <w:tcW w:type="dxa" w:w="2891"/>
            <w:vAlign w:val="center"/>
            <w:shd w:fill="EDF1F3"/>
          </w:tcPr>
          <w:p>
            <w:pPr>
              <w:keepNext/>
              <w:spacing w:line="320" w:lineRule="exact" w:after="0" w:before="0"/>
              <w:ind w:firstLine="0"/>
              <w:jc w:val="center"/>
            </w:pPr>
            <w:r>
              <w:rPr>
                <w:b/>
                <w:sz w:val="21"/>
              </w:rPr>
              <w:t>判定口径</w:t>
            </w:r>
          </w:p>
        </w:tc>
      </w:tr>
      <w:tr>
        <w:trPr>
          <w:cantSplit/>
        </w:trPr>
        <w:tc>
          <w:tcPr>
            <w:tcW w:type="dxa" w:w="1638"/>
            <w:vAlign w:val="center"/>
          </w:tcPr>
          <w:p>
            <w:pPr>
              <w:keepNext w:val="0"/>
              <w:spacing w:line="320" w:lineRule="exact" w:after="0" w:before="0"/>
              <w:ind w:firstLine="0"/>
              <w:jc w:val="left"/>
            </w:pPr>
            <w:r>
              <w:rPr>
                <w:b w:val="0"/>
                <w:sz w:val="21"/>
              </w:rPr>
              <w:t>数据源登记完整性</w:t>
            </w:r>
          </w:p>
        </w:tc>
        <w:tc>
          <w:tcPr>
            <w:tcW w:type="dxa" w:w="2699"/>
            <w:vAlign w:val="center"/>
          </w:tcPr>
          <w:p>
            <w:pPr>
              <w:keepNext w:val="0"/>
              <w:spacing w:line="320" w:lineRule="exact" w:after="0" w:before="0"/>
              <w:ind w:firstLine="0"/>
              <w:jc w:val="left"/>
            </w:pPr>
            <w:r>
              <w:rPr>
                <w:b w:val="0"/>
                <w:sz w:val="21"/>
              </w:rPr>
              <w:t>必填来源字段齐备；外部语料增加渠道及许可字段</w:t>
            </w:r>
          </w:p>
        </w:tc>
        <w:tc>
          <w:tcPr>
            <w:tcW w:type="dxa" w:w="2409"/>
            <w:vAlign w:val="center"/>
          </w:tcPr>
          <w:p>
            <w:pPr>
              <w:keepNext w:val="0"/>
              <w:spacing w:line="320" w:lineRule="exact" w:after="0" w:before="0"/>
              <w:ind w:firstLine="0"/>
              <w:jc w:val="left"/>
            </w:pPr>
            <w:r>
              <w:rPr>
                <w:b w:val="0"/>
                <w:sz w:val="21"/>
              </w:rPr>
              <w:t>自动校验字段非空＋人工核对内容合理性</w:t>
            </w:r>
          </w:p>
        </w:tc>
        <w:tc>
          <w:tcPr>
            <w:tcW w:type="dxa" w:w="2891"/>
            <w:vAlign w:val="center"/>
          </w:tcPr>
          <w:p>
            <w:pPr>
              <w:keepNext w:val="0"/>
              <w:spacing w:line="320" w:lineRule="exact" w:after="0" w:before="0"/>
              <w:ind w:firstLine="0"/>
              <w:jc w:val="left"/>
            </w:pPr>
            <w:r>
              <w:rPr>
                <w:b w:val="0"/>
                <w:sz w:val="21"/>
              </w:rPr>
              <w:t>必填字段缺失的样本不通过；批次缺失率超门控线则批次退回</w:t>
            </w:r>
          </w:p>
        </w:tc>
      </w:tr>
      <w:tr>
        <w:trPr>
          <w:cantSplit/>
        </w:trPr>
        <w:tc>
          <w:tcPr>
            <w:tcW w:type="dxa" w:w="1638"/>
            <w:vAlign w:val="center"/>
          </w:tcPr>
          <w:p>
            <w:pPr>
              <w:keepNext w:val="0"/>
              <w:spacing w:line="320" w:lineRule="exact" w:after="0" w:before="0"/>
              <w:ind w:firstLine="0"/>
              <w:jc w:val="left"/>
            </w:pPr>
            <w:r>
              <w:rPr>
                <w:b w:val="0"/>
                <w:sz w:val="21"/>
              </w:rPr>
              <w:t>许可凭证有效性</w:t>
            </w:r>
          </w:p>
        </w:tc>
        <w:tc>
          <w:tcPr>
            <w:tcW w:type="dxa" w:w="2699"/>
            <w:vAlign w:val="center"/>
          </w:tcPr>
          <w:p>
            <w:pPr>
              <w:keepNext w:val="0"/>
              <w:spacing w:line="320" w:lineRule="exact" w:after="0" w:before="0"/>
              <w:ind w:firstLine="0"/>
              <w:jc w:val="left"/>
            </w:pPr>
            <w:r>
              <w:rPr>
                <w:b w:val="0"/>
                <w:sz w:val="21"/>
              </w:rPr>
              <w:t>凭证存在、在有效期内、授权范围覆盖本项目用途</w:t>
            </w:r>
          </w:p>
        </w:tc>
        <w:tc>
          <w:tcPr>
            <w:tcW w:type="dxa" w:w="2409"/>
            <w:vAlign w:val="center"/>
          </w:tcPr>
          <w:p>
            <w:pPr>
              <w:keepNext w:val="0"/>
              <w:spacing w:line="320" w:lineRule="exact" w:after="0" w:before="0"/>
              <w:ind w:firstLine="0"/>
              <w:jc w:val="left"/>
            </w:pPr>
            <w:r>
              <w:rPr>
                <w:b w:val="0"/>
                <w:sz w:val="21"/>
              </w:rPr>
              <w:t>逐来源核验凭证文件</w:t>
            </w:r>
          </w:p>
        </w:tc>
        <w:tc>
          <w:tcPr>
            <w:tcW w:type="dxa" w:w="2891"/>
            <w:vAlign w:val="center"/>
          </w:tcPr>
          <w:p>
            <w:pPr>
              <w:keepNext w:val="0"/>
              <w:spacing w:line="320" w:lineRule="exact" w:after="0" w:before="0"/>
              <w:ind w:firstLine="0"/>
              <w:jc w:val="left"/>
            </w:pPr>
            <w:r>
              <w:rPr>
                <w:b w:val="0"/>
                <w:sz w:val="21"/>
              </w:rPr>
              <w:t>无有效依据不入正式用途；受限内容按授权范围隔离并落实操作控制</w:t>
            </w:r>
          </w:p>
        </w:tc>
      </w:tr>
      <w:tr>
        <w:trPr>
          <w:cantSplit/>
        </w:trPr>
        <w:tc>
          <w:tcPr>
            <w:tcW w:type="dxa" w:w="1638"/>
            <w:vAlign w:val="center"/>
          </w:tcPr>
          <w:p>
            <w:pPr>
              <w:keepNext w:val="0"/>
              <w:spacing w:line="320" w:lineRule="exact" w:after="0" w:before="0"/>
              <w:ind w:firstLine="0"/>
              <w:jc w:val="left"/>
            </w:pPr>
            <w:r>
              <w:rPr>
                <w:b w:val="0"/>
                <w:sz w:val="21"/>
              </w:rPr>
              <w:t>入口脱敏执行情况</w:t>
            </w:r>
          </w:p>
        </w:tc>
        <w:tc>
          <w:tcPr>
            <w:tcW w:type="dxa" w:w="2699"/>
            <w:vAlign w:val="center"/>
          </w:tcPr>
          <w:p>
            <w:pPr>
              <w:keepNext w:val="0"/>
              <w:spacing w:line="320" w:lineRule="exact" w:after="0" w:before="0"/>
              <w:ind w:firstLine="0"/>
              <w:jc w:val="left"/>
            </w:pPr>
            <w:r>
              <w:rPr>
                <w:b w:val="0"/>
                <w:sz w:val="21"/>
              </w:rPr>
              <w:t>个人信息、联系方式、账户信息、商业敏感信息的残留</w:t>
            </w:r>
          </w:p>
        </w:tc>
        <w:tc>
          <w:tcPr>
            <w:tcW w:type="dxa" w:w="2409"/>
            <w:vAlign w:val="center"/>
          </w:tcPr>
          <w:p>
            <w:pPr>
              <w:keepNext w:val="0"/>
              <w:spacing w:line="320" w:lineRule="exact" w:after="0" w:before="0"/>
              <w:ind w:firstLine="0"/>
              <w:jc w:val="left"/>
            </w:pPr>
            <w:r>
              <w:rPr>
                <w:b w:val="0"/>
                <w:sz w:val="21"/>
              </w:rPr>
              <w:t>自动扫描＋抽样人工复核</w:t>
            </w:r>
          </w:p>
        </w:tc>
        <w:tc>
          <w:tcPr>
            <w:tcW w:type="dxa" w:w="2891"/>
            <w:vAlign w:val="center"/>
          </w:tcPr>
          <w:p>
            <w:pPr>
              <w:keepNext w:val="0"/>
              <w:spacing w:line="320" w:lineRule="exact" w:after="0" w:before="0"/>
              <w:ind w:firstLine="0"/>
              <w:jc w:val="left"/>
            </w:pPr>
            <w:r>
              <w:rPr>
                <w:b w:val="0"/>
                <w:sz w:val="21"/>
              </w:rPr>
              <w:t>命中样本处置后重新入门；批次命中率超线则退回检查脱敏规则</w:t>
            </w:r>
          </w:p>
        </w:tc>
      </w:tr>
      <w:tr>
        <w:trPr>
          <w:cantSplit/>
        </w:trPr>
        <w:tc>
          <w:tcPr>
            <w:tcW w:type="dxa" w:w="1638"/>
            <w:vAlign w:val="center"/>
          </w:tcPr>
          <w:p>
            <w:pPr>
              <w:keepNext w:val="0"/>
              <w:spacing w:line="320" w:lineRule="exact" w:after="0" w:before="0"/>
              <w:ind w:firstLine="0"/>
              <w:jc w:val="left"/>
            </w:pPr>
            <w:r>
              <w:rPr>
                <w:b w:val="0"/>
                <w:sz w:val="21"/>
              </w:rPr>
              <w:t>格式规范性</w:t>
            </w:r>
          </w:p>
        </w:tc>
        <w:tc>
          <w:tcPr>
            <w:tcW w:type="dxa" w:w="2699"/>
            <w:vAlign w:val="center"/>
          </w:tcPr>
          <w:p>
            <w:pPr>
              <w:keepNext w:val="0"/>
              <w:spacing w:line="320" w:lineRule="exact" w:after="0" w:before="0"/>
              <w:ind w:firstLine="0"/>
              <w:jc w:val="left"/>
            </w:pPr>
            <w:r>
              <w:rPr>
                <w:b w:val="0"/>
                <w:sz w:val="21"/>
              </w:rPr>
              <w:t>文件格式、字符编码、字段类型、命名规范</w:t>
            </w:r>
          </w:p>
        </w:tc>
        <w:tc>
          <w:tcPr>
            <w:tcW w:type="dxa" w:w="2409"/>
            <w:vAlign w:val="center"/>
          </w:tcPr>
          <w:p>
            <w:pPr>
              <w:keepNext w:val="0"/>
              <w:spacing w:line="320" w:lineRule="exact" w:after="0" w:before="0"/>
              <w:ind w:firstLine="0"/>
              <w:jc w:val="left"/>
            </w:pPr>
            <w:r>
              <w:rPr>
                <w:b w:val="0"/>
                <w:sz w:val="21"/>
              </w:rPr>
              <w:t>自动校验</w:t>
            </w:r>
          </w:p>
        </w:tc>
        <w:tc>
          <w:tcPr>
            <w:tcW w:type="dxa" w:w="2891"/>
            <w:vAlign w:val="center"/>
          </w:tcPr>
          <w:p>
            <w:pPr>
              <w:keepNext w:val="0"/>
              <w:spacing w:line="320" w:lineRule="exact" w:after="0" w:before="0"/>
              <w:ind w:firstLine="0"/>
              <w:jc w:val="left"/>
            </w:pPr>
            <w:r>
              <w:rPr>
                <w:b w:val="0"/>
                <w:sz w:val="21"/>
              </w:rPr>
              <w:t>不符合的样本退回转换；批次不符合率超线则退回</w:t>
            </w:r>
          </w:p>
        </w:tc>
      </w:tr>
    </w:tbl>
    <w:p>
      <w:pPr>
        <w:spacing w:after="40" w:line="240" w:lineRule="auto"/>
        <w:ind w:firstLine="0"/>
      </w:pPr>
      <w:r>
        <w:rPr>
          <w:sz w:val="4"/>
        </w:rPr>
      </w:r>
    </w:p>
    <w:p>
      <w:pPr>
        <w:pStyle w:val="Heading2"/>
      </w:pPr>
      <w:r>
        <w:t>5.3 预处理批次检查</w:t>
      </w:r>
    </w:p>
    <w:p>
      <w:pPr>
        <w:jc w:val="both"/>
      </w:pPr>
      <w:r>
        <w:t>这四项检查的难点是它们都不能完全自动判定，都需要抽样人工核对。因此本门的实施方式是「自动筛可疑＋人工核可疑」：自动规则先筛出疑似问题样本，人工只核这部分加一个固定比例的随机抽样，避免全量人工核对造成工期不可控。</w:t>
      </w:r>
    </w:p>
    <w:p>
      <w:pPr>
        <w:jc w:val="both"/>
      </w:pPr>
      <w:r>
        <w:t>文本切分合理性的自动筛查项包括：切分块长度异常（过短或超长）、切分点落在句子中间、章节层级缺失或跳级、同一章节被切分到不连续的块中。人工核对的重点是章节结构还原是否正确——制度文件与技术标准的条款层级若还原错误，知识库的条款级索引就会错，进而影响制度问答与标准问答的证据定位。</w:t>
      </w:r>
    </w:p>
    <w:p>
      <w:pPr>
        <w:jc w:val="both"/>
      </w:pPr>
      <w:r>
        <w:t>表格与公式还原完整性的自动筛查项包括：表格行列数与原文不符、合并单元格丢失、表头缺失、公式符号丢失或变为乱码。人工核对按表格复杂度分层抽样，跨页大表与含合并单元格的表全量核对。技术标准与质量报告中的表格承载着具体的判定限值，还原错误会直接导致后续标注与问答的答案错误。</w:t>
      </w:r>
    </w:p>
    <w:p>
      <w:pPr>
        <w:jc w:val="both"/>
      </w:pPr>
      <w:r>
        <w:t>时序对齐准确性的检查方式与前两项不同，它可以较大程度自动化：检查多测点时间戳的对齐偏差、重采样后的采样点数与时间跨度一致性、缺失补齐的补齐比例与方法记录、异常值处理的处置记录。事件锚定切分的正确性则需核对：抽样核对切分出的时间窗是否确实包含目标事件、事件时点是否落在窗口的预期位置。</w:t>
      </w:r>
    </w:p>
    <w:p>
      <w:pPr>
        <w:jc w:val="both"/>
      </w:pPr>
      <w:r>
        <w:t>结构化文本化检查逐项核对源字段与文本中的事实映射，重点检查单位、正负号、统计周期、范围条件、空值语义、金额币种和状态含义。模板版本及允许表达登记在册，合规的多种句式可以并存；判定依据是事实一致及可回查，不能简单以表述模式数量多于模板数量认定错误。数值和逻辑可计算的内容按源快照复算，发现差异时追溯字段映射、转换规则和同配置已处理范围。</w:t>
      </w:r>
    </w:p>
    <w:p>
      <w:pPr>
        <w:pStyle w:val="Caption"/>
        <w:keepNext/>
      </w:pPr>
      <w:r>
        <w:t>表5-3 预处理门的检查项与自动筛查规则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检查项</w:t>
            </w:r>
          </w:p>
        </w:tc>
        <w:tc>
          <w:tcPr>
            <w:tcW w:type="dxa" w:w="2699"/>
            <w:vAlign w:val="center"/>
            <w:shd w:fill="EDF1F3"/>
          </w:tcPr>
          <w:p>
            <w:pPr>
              <w:keepNext/>
              <w:spacing w:line="320" w:lineRule="exact" w:after="0" w:before="0"/>
              <w:ind w:firstLine="0"/>
              <w:jc w:val="center"/>
            </w:pPr>
            <w:r>
              <w:rPr>
                <w:b/>
                <w:sz w:val="21"/>
              </w:rPr>
              <w:t>自动筛查规则</w:t>
            </w:r>
          </w:p>
        </w:tc>
        <w:tc>
          <w:tcPr>
            <w:tcW w:type="dxa" w:w="2409"/>
            <w:vAlign w:val="center"/>
            <w:shd w:fill="EDF1F3"/>
          </w:tcPr>
          <w:p>
            <w:pPr>
              <w:keepNext/>
              <w:spacing w:line="320" w:lineRule="exact" w:after="0" w:before="0"/>
              <w:ind w:firstLine="0"/>
              <w:jc w:val="center"/>
            </w:pPr>
            <w:r>
              <w:rPr>
                <w:b/>
                <w:sz w:val="21"/>
              </w:rPr>
              <w:t>人工核对范围</w:t>
            </w:r>
          </w:p>
        </w:tc>
        <w:tc>
          <w:tcPr>
            <w:tcW w:type="dxa" w:w="2891"/>
            <w:vAlign w:val="center"/>
            <w:shd w:fill="EDF1F3"/>
          </w:tcPr>
          <w:p>
            <w:pPr>
              <w:keepNext/>
              <w:spacing w:line="320" w:lineRule="exact" w:after="0" w:before="0"/>
              <w:ind w:firstLine="0"/>
              <w:jc w:val="center"/>
            </w:pPr>
            <w:r>
              <w:rPr>
                <w:b/>
                <w:sz w:val="21"/>
              </w:rPr>
              <w:t>判定口径</w:t>
            </w:r>
          </w:p>
        </w:tc>
      </w:tr>
      <w:tr>
        <w:trPr>
          <w:cantSplit/>
        </w:trPr>
        <w:tc>
          <w:tcPr>
            <w:tcW w:type="dxa" w:w="1638"/>
            <w:vAlign w:val="center"/>
          </w:tcPr>
          <w:p>
            <w:pPr>
              <w:keepNext w:val="0"/>
              <w:spacing w:line="320" w:lineRule="exact" w:after="0" w:before="0"/>
              <w:ind w:firstLine="0"/>
              <w:jc w:val="left"/>
            </w:pPr>
            <w:r>
              <w:rPr>
                <w:b w:val="0"/>
                <w:sz w:val="21"/>
              </w:rPr>
              <w:t>文本切分合理性</w:t>
            </w:r>
          </w:p>
        </w:tc>
        <w:tc>
          <w:tcPr>
            <w:tcW w:type="dxa" w:w="2699"/>
            <w:vAlign w:val="center"/>
          </w:tcPr>
          <w:p>
            <w:pPr>
              <w:keepNext w:val="0"/>
              <w:spacing w:line="320" w:lineRule="exact" w:after="0" w:before="0"/>
              <w:ind w:firstLine="0"/>
              <w:jc w:val="left"/>
            </w:pPr>
            <w:r>
              <w:rPr>
                <w:b w:val="0"/>
                <w:sz w:val="21"/>
              </w:rPr>
              <w:t>块长异常、切分点在句中、章节层级缺失或跳级、同章节块不连续</w:t>
            </w:r>
          </w:p>
        </w:tc>
        <w:tc>
          <w:tcPr>
            <w:tcW w:type="dxa" w:w="2409"/>
            <w:vAlign w:val="center"/>
          </w:tcPr>
          <w:p>
            <w:pPr>
              <w:keepNext w:val="0"/>
              <w:spacing w:line="320" w:lineRule="exact" w:after="0" w:before="0"/>
              <w:ind w:firstLine="0"/>
              <w:jc w:val="left"/>
            </w:pPr>
            <w:r>
              <w:rPr>
                <w:b w:val="0"/>
                <w:sz w:val="21"/>
              </w:rPr>
              <w:t>筛出的可疑样本＋5% 随机抽样</w:t>
            </w:r>
          </w:p>
        </w:tc>
        <w:tc>
          <w:tcPr>
            <w:tcW w:type="dxa" w:w="2891"/>
            <w:vAlign w:val="center"/>
          </w:tcPr>
          <w:p>
            <w:pPr>
              <w:keepNext w:val="0"/>
              <w:spacing w:line="320" w:lineRule="exact" w:after="0" w:before="0"/>
              <w:ind w:firstLine="0"/>
              <w:jc w:val="left"/>
            </w:pPr>
            <w:r>
              <w:rPr>
                <w:b w:val="0"/>
                <w:sz w:val="21"/>
              </w:rPr>
              <w:t>可疑样本确认有误的比例超线则批次退回</w:t>
            </w:r>
          </w:p>
        </w:tc>
      </w:tr>
      <w:tr>
        <w:trPr>
          <w:cantSplit/>
        </w:trPr>
        <w:tc>
          <w:tcPr>
            <w:tcW w:type="dxa" w:w="1638"/>
            <w:vAlign w:val="center"/>
          </w:tcPr>
          <w:p>
            <w:pPr>
              <w:keepNext w:val="0"/>
              <w:spacing w:line="320" w:lineRule="exact" w:after="0" w:before="0"/>
              <w:ind w:firstLine="0"/>
              <w:jc w:val="left"/>
            </w:pPr>
            <w:r>
              <w:rPr>
                <w:b w:val="0"/>
                <w:sz w:val="21"/>
              </w:rPr>
              <w:t>表格与公式还原完整性</w:t>
            </w:r>
          </w:p>
        </w:tc>
        <w:tc>
          <w:tcPr>
            <w:tcW w:type="dxa" w:w="2699"/>
            <w:vAlign w:val="center"/>
          </w:tcPr>
          <w:p>
            <w:pPr>
              <w:keepNext w:val="0"/>
              <w:spacing w:line="320" w:lineRule="exact" w:after="0" w:before="0"/>
              <w:ind w:firstLine="0"/>
              <w:jc w:val="left"/>
            </w:pPr>
            <w:r>
              <w:rPr>
                <w:b w:val="0"/>
                <w:sz w:val="21"/>
              </w:rPr>
              <w:t>行列数不符、合并单元格丢失、表头缺失、公式乱码</w:t>
            </w:r>
          </w:p>
        </w:tc>
        <w:tc>
          <w:tcPr>
            <w:tcW w:type="dxa" w:w="2409"/>
            <w:vAlign w:val="center"/>
          </w:tcPr>
          <w:p>
            <w:pPr>
              <w:keepNext w:val="0"/>
              <w:spacing w:line="320" w:lineRule="exact" w:after="0" w:before="0"/>
              <w:ind w:firstLine="0"/>
              <w:jc w:val="left"/>
            </w:pPr>
            <w:r>
              <w:rPr>
                <w:b w:val="0"/>
                <w:sz w:val="21"/>
              </w:rPr>
              <w:t>跨页大表与含合并单元格的表全量；其余分层抽样</w:t>
            </w:r>
          </w:p>
        </w:tc>
        <w:tc>
          <w:tcPr>
            <w:tcW w:type="dxa" w:w="2891"/>
            <w:vAlign w:val="center"/>
          </w:tcPr>
          <w:p>
            <w:pPr>
              <w:keepNext w:val="0"/>
              <w:spacing w:line="320" w:lineRule="exact" w:after="0" w:before="0"/>
              <w:ind w:firstLine="0"/>
              <w:jc w:val="left"/>
            </w:pPr>
            <w:r>
              <w:rPr>
                <w:b w:val="0"/>
                <w:sz w:val="21"/>
              </w:rPr>
              <w:t>承载判定限值的表格有误即退回该表所在文档</w:t>
            </w:r>
          </w:p>
        </w:tc>
      </w:tr>
      <w:tr>
        <w:trPr>
          <w:cantSplit/>
        </w:trPr>
        <w:tc>
          <w:tcPr>
            <w:tcW w:type="dxa" w:w="1638"/>
            <w:vAlign w:val="center"/>
          </w:tcPr>
          <w:p>
            <w:pPr>
              <w:keepNext w:val="0"/>
              <w:spacing w:line="320" w:lineRule="exact" w:after="0" w:before="0"/>
              <w:ind w:firstLine="0"/>
              <w:jc w:val="left"/>
            </w:pPr>
            <w:r>
              <w:rPr>
                <w:b w:val="0"/>
                <w:sz w:val="21"/>
              </w:rPr>
              <w:t>时序对齐准确性</w:t>
            </w:r>
          </w:p>
        </w:tc>
        <w:tc>
          <w:tcPr>
            <w:tcW w:type="dxa" w:w="2699"/>
            <w:vAlign w:val="center"/>
          </w:tcPr>
          <w:p>
            <w:pPr>
              <w:keepNext w:val="0"/>
              <w:spacing w:line="320" w:lineRule="exact" w:after="0" w:before="0"/>
              <w:ind w:firstLine="0"/>
              <w:jc w:val="left"/>
            </w:pPr>
            <w:r>
              <w:rPr>
                <w:b w:val="0"/>
                <w:sz w:val="21"/>
              </w:rPr>
              <w:t>时间戳对齐偏差超容限、采样点数与跨度不一致、补齐与异常处置记录缺失</w:t>
            </w:r>
          </w:p>
        </w:tc>
        <w:tc>
          <w:tcPr>
            <w:tcW w:type="dxa" w:w="2409"/>
            <w:vAlign w:val="center"/>
          </w:tcPr>
          <w:p>
            <w:pPr>
              <w:keepNext w:val="0"/>
              <w:spacing w:line="320" w:lineRule="exact" w:after="0" w:before="0"/>
              <w:ind w:firstLine="0"/>
              <w:jc w:val="left"/>
            </w:pPr>
            <w:r>
              <w:rPr>
                <w:b w:val="0"/>
                <w:sz w:val="21"/>
              </w:rPr>
              <w:t>事件锚定切分抽样核对</w:t>
            </w:r>
          </w:p>
        </w:tc>
        <w:tc>
          <w:tcPr>
            <w:tcW w:type="dxa" w:w="2891"/>
            <w:vAlign w:val="center"/>
          </w:tcPr>
          <w:p>
            <w:pPr>
              <w:keepNext w:val="0"/>
              <w:spacing w:line="320" w:lineRule="exact" w:after="0" w:before="0"/>
              <w:ind w:firstLine="0"/>
              <w:jc w:val="left"/>
            </w:pPr>
            <w:r>
              <w:rPr>
                <w:b w:val="0"/>
                <w:sz w:val="21"/>
              </w:rPr>
              <w:t>对齐偏差超容限的样本退回重做</w:t>
            </w:r>
          </w:p>
        </w:tc>
      </w:tr>
      <w:tr>
        <w:trPr>
          <w:cantSplit/>
        </w:trPr>
        <w:tc>
          <w:tcPr>
            <w:tcW w:type="dxa" w:w="1638"/>
            <w:vAlign w:val="center"/>
          </w:tcPr>
          <w:p>
            <w:pPr>
              <w:keepNext w:val="0"/>
              <w:spacing w:line="320" w:lineRule="exact" w:after="0" w:before="0"/>
              <w:ind w:firstLine="0"/>
              <w:jc w:val="left"/>
            </w:pPr>
            <w:r>
              <w:rPr>
                <w:b w:val="0"/>
                <w:sz w:val="21"/>
              </w:rPr>
              <w:t>结构化文本化口径一致性</w:t>
            </w:r>
          </w:p>
        </w:tc>
        <w:tc>
          <w:tcPr>
            <w:tcW w:type="dxa" w:w="2699"/>
            <w:vAlign w:val="center"/>
          </w:tcPr>
          <w:p>
            <w:pPr>
              <w:keepNext w:val="0"/>
              <w:spacing w:line="320" w:lineRule="exact" w:after="0" w:before="0"/>
              <w:ind w:firstLine="0"/>
              <w:jc w:val="left"/>
            </w:pPr>
            <w:r>
              <w:rPr>
                <w:b w:val="0"/>
                <w:sz w:val="21"/>
              </w:rPr>
              <w:t>源字段与文本事实不符、单位及统计口径丢失</w:t>
            </w:r>
          </w:p>
        </w:tc>
        <w:tc>
          <w:tcPr>
            <w:tcW w:type="dxa" w:w="2409"/>
            <w:vAlign w:val="center"/>
          </w:tcPr>
          <w:p>
            <w:pPr>
              <w:keepNext w:val="0"/>
              <w:spacing w:line="320" w:lineRule="exact" w:after="0" w:before="0"/>
              <w:ind w:firstLine="0"/>
              <w:jc w:val="left"/>
            </w:pPr>
            <w:r>
              <w:rPr>
                <w:b w:val="0"/>
                <w:sz w:val="21"/>
              </w:rPr>
              <w:t>异常映射及抽样正常记录回查</w:t>
            </w:r>
          </w:p>
        </w:tc>
        <w:tc>
          <w:tcPr>
            <w:tcW w:type="dxa" w:w="2891"/>
            <w:vAlign w:val="center"/>
          </w:tcPr>
          <w:p>
            <w:pPr>
              <w:keepNext w:val="0"/>
              <w:spacing w:line="320" w:lineRule="exact" w:after="0" w:before="0"/>
              <w:ind w:firstLine="0"/>
              <w:jc w:val="left"/>
            </w:pPr>
            <w:r>
              <w:rPr>
                <w:b w:val="0"/>
                <w:sz w:val="21"/>
              </w:rPr>
              <w:t>事实或口径不一致即修复映射并复检受影响范围</w:t>
            </w:r>
          </w:p>
        </w:tc>
      </w:tr>
    </w:tbl>
    <w:p>
      <w:pPr>
        <w:spacing w:after="40" w:line="240" w:lineRule="auto"/>
        <w:ind w:firstLine="0"/>
      </w:pPr>
      <w:r>
        <w:rPr>
          <w:sz w:val="4"/>
        </w:rPr>
      </w:r>
    </w:p>
    <w:p>
      <w:pPr>
        <w:pStyle w:val="Heading2"/>
      </w:pPr>
      <w:r>
        <w:t>5.4 标注批次检查</w:t>
      </w:r>
    </w:p>
    <w:p>
      <w:pPr>
        <w:jc w:val="both"/>
      </w:pPr>
      <w:r>
        <w:t>四项判定项的数据来源已在 2.9 节建立：标签完整性与标签体系符合性来自自检与抽检记录，跨标注员一致性来自重复标注样本的一致性计算，黄金集通过率来自混入作业流的隐蔽考核。本门的工作是把这四项汇总判定并产出清单。</w:t>
      </w:r>
    </w:p>
    <w:p>
      <w:pPr>
        <w:jc w:val="both"/>
      </w:pPr>
      <w:r>
        <w:t>判定口径按标注任务的客观程度分档，与 2.9.1 节的抽检阈值分档一致。各档的四项判定线如表 5-4。四项中任一项不达线即批次不通过，不做加权折算——四项分别对应四类不同性质的问题，一项不达线说明该类问题存在，用其他项的好成绩抵掉没有意义。</w:t>
      </w:r>
    </w:p>
    <w:p>
      <w:pPr>
        <w:pStyle w:val="Caption"/>
        <w:keepNext/>
      </w:pPr>
      <w:r>
        <w:t>表5-4 标注批次的质量判定</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任务类型</w:t>
            </w:r>
          </w:p>
        </w:tc>
        <w:tc>
          <w:tcPr>
            <w:tcW w:type="dxa" w:w="2120"/>
            <w:vAlign w:val="center"/>
            <w:shd w:fill="EDF1F3"/>
          </w:tcPr>
          <w:p>
            <w:pPr>
              <w:keepNext/>
              <w:spacing w:line="320" w:lineRule="exact" w:after="0" w:before="0"/>
              <w:ind w:firstLine="0"/>
              <w:jc w:val="center"/>
            </w:pPr>
            <w:r>
              <w:rPr>
                <w:b/>
                <w:sz w:val="21"/>
              </w:rPr>
              <w:t>典型对象</w:t>
            </w:r>
          </w:p>
        </w:tc>
        <w:tc>
          <w:tcPr>
            <w:tcW w:type="dxa" w:w="1928"/>
            <w:vAlign w:val="center"/>
            <w:shd w:fill="EDF1F3"/>
          </w:tcPr>
          <w:p>
            <w:pPr>
              <w:keepNext/>
              <w:spacing w:line="320" w:lineRule="exact" w:after="0" w:before="0"/>
              <w:ind w:firstLine="0"/>
              <w:jc w:val="center"/>
            </w:pPr>
            <w:r>
              <w:rPr>
                <w:b/>
                <w:sz w:val="21"/>
              </w:rPr>
              <w:t>完整性与符合性</w:t>
            </w:r>
          </w:p>
        </w:tc>
        <w:tc>
          <w:tcPr>
            <w:tcW w:type="dxa" w:w="1928"/>
            <w:vAlign w:val="center"/>
            <w:shd w:fill="EDF1F3"/>
          </w:tcPr>
          <w:p>
            <w:pPr>
              <w:keepNext/>
              <w:spacing w:line="320" w:lineRule="exact" w:after="0" w:before="0"/>
              <w:ind w:firstLine="0"/>
              <w:jc w:val="center"/>
            </w:pPr>
            <w:r>
              <w:rPr>
                <w:b/>
                <w:sz w:val="21"/>
              </w:rPr>
              <w:t>专业校验</w:t>
            </w:r>
          </w:p>
        </w:tc>
        <w:tc>
          <w:tcPr>
            <w:tcW w:type="dxa" w:w="1928"/>
            <w:vAlign w:val="center"/>
            <w:shd w:fill="EDF1F3"/>
          </w:tcPr>
          <w:p>
            <w:pPr>
              <w:keepNext/>
              <w:spacing w:line="320" w:lineRule="exact" w:after="0" w:before="0"/>
              <w:ind w:firstLine="0"/>
              <w:jc w:val="center"/>
            </w:pPr>
            <w:r>
              <w:rPr>
                <w:b/>
                <w:sz w:val="21"/>
              </w:rPr>
              <w:t>黄金集通过率</w:t>
            </w:r>
          </w:p>
        </w:tc>
      </w:tr>
      <w:tr>
        <w:trPr>
          <w:cantSplit/>
        </w:trPr>
        <w:tc>
          <w:tcPr>
            <w:tcW w:type="dxa" w:w="1735"/>
            <w:vAlign w:val="center"/>
          </w:tcPr>
          <w:p>
            <w:pPr>
              <w:keepNext w:val="0"/>
              <w:spacing w:line="320" w:lineRule="exact" w:after="0" w:before="0"/>
              <w:ind w:firstLine="0"/>
              <w:jc w:val="left"/>
            </w:pPr>
            <w:r>
              <w:rPr>
                <w:b w:val="0"/>
                <w:sz w:val="21"/>
              </w:rPr>
              <w:t>客观任务</w:t>
            </w:r>
          </w:p>
        </w:tc>
        <w:tc>
          <w:tcPr>
            <w:tcW w:type="dxa" w:w="2120"/>
            <w:vAlign w:val="center"/>
          </w:tcPr>
          <w:p>
            <w:pPr>
              <w:keepNext w:val="0"/>
              <w:spacing w:line="320" w:lineRule="exact" w:after="0" w:before="0"/>
              <w:ind w:firstLine="0"/>
              <w:jc w:val="left"/>
            </w:pPr>
            <w:r>
              <w:rPr>
                <w:b w:val="0"/>
                <w:sz w:val="21"/>
              </w:rPr>
              <w:t>检验项、指标项、原文明确字段</w:t>
            </w:r>
          </w:p>
        </w:tc>
        <w:tc>
          <w:tcPr>
            <w:tcW w:type="dxa" w:w="1928"/>
            <w:vAlign w:val="center"/>
          </w:tcPr>
          <w:p>
            <w:pPr>
              <w:keepNext w:val="0"/>
              <w:spacing w:line="320" w:lineRule="exact" w:after="0" w:before="0"/>
              <w:ind w:firstLine="0"/>
              <w:jc w:val="left"/>
            </w:pPr>
            <w:r>
              <w:rPr>
                <w:b w:val="0"/>
                <w:sz w:val="21"/>
              </w:rPr>
              <w:t>必填及适用字段齐备，取值和证据合法</w:t>
            </w:r>
          </w:p>
        </w:tc>
        <w:tc>
          <w:tcPr>
            <w:tcW w:type="dxa" w:w="1928"/>
            <w:vAlign w:val="center"/>
          </w:tcPr>
          <w:p>
            <w:pPr>
              <w:keepNext w:val="0"/>
              <w:spacing w:line="320" w:lineRule="exact" w:after="0" w:before="0"/>
              <w:ind w:firstLine="0"/>
              <w:jc w:val="left"/>
            </w:pPr>
            <w:r>
              <w:rPr>
                <w:b w:val="0"/>
                <w:sz w:val="21"/>
              </w:rPr>
              <w:t>按分类、数值或序列指标分别检查，抽检合格率不低于95%</w:t>
            </w:r>
          </w:p>
        </w:tc>
        <w:tc>
          <w:tcPr>
            <w:tcW w:type="dxa" w:w="1928"/>
            <w:vAlign w:val="center"/>
          </w:tcPr>
          <w:p>
            <w:pPr>
              <w:keepNext w:val="0"/>
              <w:spacing w:line="320" w:lineRule="exact" w:after="0" w:before="0"/>
              <w:ind w:firstLine="0"/>
              <w:jc w:val="left"/>
            </w:pPr>
            <w:r>
              <w:rPr>
                <w:b w:val="0"/>
                <w:sz w:val="21"/>
              </w:rPr>
              <w:t>不低于95%</w:t>
            </w:r>
          </w:p>
        </w:tc>
      </w:tr>
      <w:tr>
        <w:trPr>
          <w:cantSplit/>
        </w:trPr>
        <w:tc>
          <w:tcPr>
            <w:tcW w:type="dxa" w:w="1735"/>
            <w:vAlign w:val="center"/>
          </w:tcPr>
          <w:p>
            <w:pPr>
              <w:keepNext w:val="0"/>
              <w:spacing w:line="320" w:lineRule="exact" w:after="0" w:before="0"/>
              <w:ind w:firstLine="0"/>
              <w:jc w:val="left"/>
            </w:pPr>
            <w:r>
              <w:rPr>
                <w:b w:val="0"/>
                <w:sz w:val="21"/>
              </w:rPr>
              <w:t>准则任务</w:t>
            </w:r>
          </w:p>
        </w:tc>
        <w:tc>
          <w:tcPr>
            <w:tcW w:type="dxa" w:w="2120"/>
            <w:vAlign w:val="center"/>
          </w:tcPr>
          <w:p>
            <w:pPr>
              <w:keepNext w:val="0"/>
              <w:spacing w:line="320" w:lineRule="exact" w:after="0" w:before="0"/>
              <w:ind w:firstLine="0"/>
              <w:jc w:val="left"/>
            </w:pPr>
            <w:r>
              <w:rPr>
                <w:b w:val="0"/>
                <w:sz w:val="21"/>
              </w:rPr>
              <w:t>条款类型、加工特征、缺陷类型</w:t>
            </w:r>
          </w:p>
        </w:tc>
        <w:tc>
          <w:tcPr>
            <w:tcW w:type="dxa" w:w="1928"/>
            <w:vAlign w:val="center"/>
          </w:tcPr>
          <w:p>
            <w:pPr>
              <w:keepNext w:val="0"/>
              <w:spacing w:line="320" w:lineRule="exact" w:after="0" w:before="0"/>
              <w:ind w:firstLine="0"/>
              <w:jc w:val="left"/>
            </w:pPr>
            <w:r>
              <w:rPr>
                <w:b w:val="0"/>
                <w:sz w:val="21"/>
              </w:rPr>
              <w:t>标签粒度、规范版本及依据完整</w:t>
            </w:r>
          </w:p>
        </w:tc>
        <w:tc>
          <w:tcPr>
            <w:tcW w:type="dxa" w:w="1928"/>
            <w:vAlign w:val="center"/>
          </w:tcPr>
          <w:p>
            <w:pPr>
              <w:keepNext w:val="0"/>
              <w:spacing w:line="320" w:lineRule="exact" w:after="0" w:before="0"/>
              <w:ind w:firstLine="0"/>
              <w:jc w:val="left"/>
            </w:pPr>
            <w:r>
              <w:rPr>
                <w:b w:val="0"/>
                <w:sz w:val="21"/>
              </w:rPr>
              <w:t>抽检合格率不低于90%，一致性满足对应类型要求</w:t>
            </w:r>
          </w:p>
        </w:tc>
        <w:tc>
          <w:tcPr>
            <w:tcW w:type="dxa" w:w="1928"/>
            <w:vAlign w:val="center"/>
          </w:tcPr>
          <w:p>
            <w:pPr>
              <w:keepNext w:val="0"/>
              <w:spacing w:line="320" w:lineRule="exact" w:after="0" w:before="0"/>
              <w:ind w:firstLine="0"/>
              <w:jc w:val="left"/>
            </w:pPr>
            <w:r>
              <w:rPr>
                <w:b w:val="0"/>
                <w:sz w:val="21"/>
              </w:rPr>
              <w:t>不低于90%</w:t>
            </w:r>
          </w:p>
        </w:tc>
      </w:tr>
      <w:tr>
        <w:trPr>
          <w:cantSplit/>
        </w:trPr>
        <w:tc>
          <w:tcPr>
            <w:tcW w:type="dxa" w:w="1735"/>
            <w:vAlign w:val="center"/>
          </w:tcPr>
          <w:p>
            <w:pPr>
              <w:keepNext w:val="0"/>
              <w:spacing w:line="320" w:lineRule="exact" w:after="0" w:before="0"/>
              <w:ind w:firstLine="0"/>
              <w:jc w:val="left"/>
            </w:pPr>
            <w:r>
              <w:rPr>
                <w:b w:val="0"/>
                <w:sz w:val="21"/>
              </w:rPr>
              <w:t>专业判断</w:t>
            </w:r>
          </w:p>
        </w:tc>
        <w:tc>
          <w:tcPr>
            <w:tcW w:type="dxa" w:w="2120"/>
            <w:vAlign w:val="center"/>
          </w:tcPr>
          <w:p>
            <w:pPr>
              <w:keepNext w:val="0"/>
              <w:spacing w:line="320" w:lineRule="exact" w:after="0" w:before="0"/>
              <w:ind w:firstLine="0"/>
              <w:jc w:val="left"/>
            </w:pPr>
            <w:r>
              <w:rPr>
                <w:b w:val="0"/>
                <w:sz w:val="21"/>
              </w:rPr>
              <w:t>风险、根因、主导参数、库存决策</w:t>
            </w:r>
          </w:p>
        </w:tc>
        <w:tc>
          <w:tcPr>
            <w:tcW w:type="dxa" w:w="1928"/>
            <w:vAlign w:val="center"/>
          </w:tcPr>
          <w:p>
            <w:pPr>
              <w:keepNext w:val="0"/>
              <w:spacing w:line="320" w:lineRule="exact" w:after="0" w:before="0"/>
              <w:ind w:firstLine="0"/>
              <w:jc w:val="left"/>
            </w:pPr>
            <w:r>
              <w:rPr>
                <w:b w:val="0"/>
                <w:sz w:val="21"/>
              </w:rPr>
              <w:t>记录判断性质、证据及适用条件</w:t>
            </w:r>
          </w:p>
        </w:tc>
        <w:tc>
          <w:tcPr>
            <w:tcW w:type="dxa" w:w="1928"/>
            <w:vAlign w:val="center"/>
          </w:tcPr>
          <w:p>
            <w:pPr>
              <w:keepNext w:val="0"/>
              <w:spacing w:line="320" w:lineRule="exact" w:after="0" w:before="0"/>
              <w:ind w:firstLine="0"/>
              <w:jc w:val="left"/>
            </w:pPr>
            <w:r>
              <w:rPr>
                <w:b w:val="0"/>
                <w:sz w:val="21"/>
              </w:rPr>
              <w:t>抽检合格率不低于85%，未决分歧不得成为确定性标签</w:t>
            </w:r>
          </w:p>
        </w:tc>
        <w:tc>
          <w:tcPr>
            <w:tcW w:type="dxa" w:w="1928"/>
            <w:vAlign w:val="center"/>
          </w:tcPr>
          <w:p>
            <w:pPr>
              <w:keepNext w:val="0"/>
              <w:spacing w:line="320" w:lineRule="exact" w:after="0" w:before="0"/>
              <w:ind w:firstLine="0"/>
              <w:jc w:val="left"/>
            </w:pPr>
            <w:r>
              <w:rPr>
                <w:b w:val="0"/>
                <w:sz w:val="21"/>
              </w:rPr>
              <w:t>不低于85%</w:t>
            </w:r>
          </w:p>
        </w:tc>
      </w:tr>
    </w:tbl>
    <w:p>
      <w:pPr>
        <w:spacing w:after="40" w:line="240" w:lineRule="auto"/>
        <w:ind w:firstLine="0"/>
      </w:pPr>
      <w:r>
        <w:rPr>
          <w:sz w:val="4"/>
        </w:rPr>
      </w:r>
    </w:p>
    <w:p>
      <w:pPr>
        <w:jc w:val="both"/>
      </w:pPr>
      <w:r>
        <w:t>标签完整性与取值符合性通过自动规则全量检查，关键字段不合法的对象阻断提交。批次独立抽检同时关注自动检查遗漏，发现问题后修复样本及规则，重新检查相同配置已生产内容。黄金集和一致性指标分别计算，人工仲裁不改变原始抽检记录。已发现错误逐项整改，达到抽检阈值也不能保留已知错误进入交付。</w:t>
      </w:r>
    </w:p>
    <w:p>
      <w:pPr>
        <w:jc w:val="both"/>
      </w:pPr>
      <w:r>
        <w:t>低一致性样本清单是本门的专门输出。清单按样本列出：样本标识、所属批次、涉及的标签字段、参与标注的工号、各自的标注取值、一致性指标值、分歧类型（规范理解不一致／证据不足／本体类目缺失／标注粗心）。分歧类型的归类决定处置方式：规范理解不一致的修订规范并对同类样本重标；证据不足的转为「无法判定」并记入覆盖盲区；本体类目缺失的提交本体变更；标注粗心的退回原标注员重标并纳入其质量记录。</w:t>
      </w:r>
    </w:p>
    <w:p>
      <w:pPr>
        <w:jc w:val="both"/>
      </w:pPr>
      <w:r>
        <w:t>清单同时是下一版本修订计划的输入之一：清单中「证据不足」与「本体类目缺失」两类分歧指向的是数据与知识的缺口，不是标注作业的问题，这部分转为补采与本体完善任务。</w:t>
      </w:r>
    </w:p>
    <w:p>
      <w:pPr>
        <w:pStyle w:val="Heading2"/>
      </w:pPr>
      <w:r>
        <w:t>5.5 合成与增强批次检查</w:t>
      </w:r>
    </w:p>
    <w:p>
      <w:pPr>
        <w:jc w:val="both"/>
      </w:pPr>
      <w:r>
        <w:t>四项判定项的检查方式与判定口径如表 5-5。合成批次与增强批次在前三项上的检查方式相同但重点不同，在第四项上的含义不同，故分列。</w:t>
      </w:r>
    </w:p>
    <w:p>
      <w:pPr>
        <w:pStyle w:val="Caption"/>
        <w:keepNext/>
      </w:pPr>
      <w:r>
        <w:t>表5-5 合成增强门的判定项、检查方式与判定口径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判定项</w:t>
            </w:r>
          </w:p>
        </w:tc>
        <w:tc>
          <w:tcPr>
            <w:tcW w:type="dxa" w:w="2699"/>
            <w:vAlign w:val="center"/>
            <w:shd w:fill="EDF1F3"/>
          </w:tcPr>
          <w:p>
            <w:pPr>
              <w:keepNext/>
              <w:spacing w:line="320" w:lineRule="exact" w:after="0" w:before="0"/>
              <w:ind w:firstLine="0"/>
              <w:jc w:val="center"/>
            </w:pPr>
            <w:r>
              <w:rPr>
                <w:b/>
                <w:sz w:val="21"/>
              </w:rPr>
              <w:t>对合成批次</w:t>
            </w:r>
          </w:p>
        </w:tc>
        <w:tc>
          <w:tcPr>
            <w:tcW w:type="dxa" w:w="2409"/>
            <w:vAlign w:val="center"/>
            <w:shd w:fill="EDF1F3"/>
          </w:tcPr>
          <w:p>
            <w:pPr>
              <w:keepNext/>
              <w:spacing w:line="320" w:lineRule="exact" w:after="0" w:before="0"/>
              <w:ind w:firstLine="0"/>
              <w:jc w:val="center"/>
            </w:pPr>
            <w:r>
              <w:rPr>
                <w:b/>
                <w:sz w:val="21"/>
              </w:rPr>
              <w:t>对增强批次</w:t>
            </w:r>
          </w:p>
        </w:tc>
        <w:tc>
          <w:tcPr>
            <w:tcW w:type="dxa" w:w="2891"/>
            <w:vAlign w:val="center"/>
            <w:shd w:fill="EDF1F3"/>
          </w:tcPr>
          <w:p>
            <w:pPr>
              <w:keepNext/>
              <w:spacing w:line="320" w:lineRule="exact" w:after="0" w:before="0"/>
              <w:ind w:firstLine="0"/>
              <w:jc w:val="center"/>
            </w:pPr>
            <w:r>
              <w:rPr>
                <w:b/>
                <w:sz w:val="21"/>
              </w:rPr>
              <w:t>判定口径</w:t>
            </w:r>
          </w:p>
        </w:tc>
      </w:tr>
      <w:tr>
        <w:trPr>
          <w:cantSplit/>
        </w:trPr>
        <w:tc>
          <w:tcPr>
            <w:tcW w:type="dxa" w:w="1638"/>
            <w:vAlign w:val="center"/>
          </w:tcPr>
          <w:p>
            <w:pPr>
              <w:keepNext w:val="0"/>
              <w:spacing w:line="320" w:lineRule="exact" w:after="0" w:before="0"/>
              <w:ind w:firstLine="0"/>
              <w:jc w:val="left"/>
            </w:pPr>
            <w:r>
              <w:rPr>
                <w:b w:val="0"/>
                <w:sz w:val="21"/>
              </w:rPr>
              <w:t>业务合理性</w:t>
            </w:r>
          </w:p>
        </w:tc>
        <w:tc>
          <w:tcPr>
            <w:tcW w:type="dxa" w:w="2699"/>
            <w:vAlign w:val="center"/>
          </w:tcPr>
          <w:p>
            <w:pPr>
              <w:keepNext w:val="0"/>
              <w:spacing w:line="320" w:lineRule="exact" w:after="0" w:before="0"/>
              <w:ind w:firstLine="0"/>
              <w:jc w:val="left"/>
            </w:pPr>
            <w:r>
              <w:rPr>
                <w:b w:val="0"/>
                <w:sz w:val="21"/>
              </w:rPr>
              <w:t>规则校验通过率＋业务专家抽样评议（时序类合成为专家全量确认）</w:t>
            </w:r>
          </w:p>
        </w:tc>
        <w:tc>
          <w:tcPr>
            <w:tcW w:type="dxa" w:w="2409"/>
            <w:vAlign w:val="center"/>
          </w:tcPr>
          <w:p>
            <w:pPr>
              <w:keepNext w:val="0"/>
              <w:spacing w:line="320" w:lineRule="exact" w:after="0" w:before="0"/>
              <w:ind w:firstLine="0"/>
              <w:jc w:val="left"/>
            </w:pPr>
            <w:r>
              <w:rPr>
                <w:b w:val="0"/>
                <w:sz w:val="21"/>
              </w:rPr>
              <w:t>变换配置是否对应真实采集条件下可能出现的差异</w:t>
            </w:r>
          </w:p>
        </w:tc>
        <w:tc>
          <w:tcPr>
            <w:tcW w:type="dxa" w:w="2891"/>
            <w:vAlign w:val="center"/>
          </w:tcPr>
          <w:p>
            <w:pPr>
              <w:keepNext w:val="0"/>
              <w:spacing w:line="320" w:lineRule="exact" w:after="0" w:before="0"/>
              <w:ind w:firstLine="0"/>
              <w:jc w:val="left"/>
            </w:pPr>
            <w:r>
              <w:rPr>
                <w:b w:val="0"/>
                <w:sz w:val="21"/>
              </w:rPr>
              <w:t>规则校验通过率低于门控线则批次重做；专家评议不合理比例超线则重做</w:t>
            </w:r>
          </w:p>
        </w:tc>
      </w:tr>
      <w:tr>
        <w:trPr>
          <w:cantSplit/>
        </w:trPr>
        <w:tc>
          <w:tcPr>
            <w:tcW w:type="dxa" w:w="1638"/>
            <w:vAlign w:val="center"/>
          </w:tcPr>
          <w:p>
            <w:pPr>
              <w:keepNext w:val="0"/>
              <w:spacing w:line="320" w:lineRule="exact" w:after="0" w:before="0"/>
              <w:ind w:firstLine="0"/>
              <w:jc w:val="left"/>
            </w:pPr>
            <w:r>
              <w:rPr>
                <w:b w:val="0"/>
                <w:sz w:val="21"/>
              </w:rPr>
              <w:t>与真实样本分布偏离度</w:t>
            </w:r>
          </w:p>
        </w:tc>
        <w:tc>
          <w:tcPr>
            <w:tcW w:type="dxa" w:w="2699"/>
            <w:vAlign w:val="center"/>
          </w:tcPr>
          <w:p>
            <w:pPr>
              <w:keepNext w:val="0"/>
              <w:spacing w:line="320" w:lineRule="exact" w:after="0" w:before="0"/>
              <w:ind w:firstLine="0"/>
              <w:jc w:val="left"/>
            </w:pPr>
            <w:r>
              <w:rPr>
                <w:b w:val="0"/>
                <w:sz w:val="21"/>
              </w:rPr>
              <w:t>任务类型、长度、标签取值、业务域、难度五维分布距离</w:t>
            </w:r>
          </w:p>
        </w:tc>
        <w:tc>
          <w:tcPr>
            <w:tcW w:type="dxa" w:w="2409"/>
            <w:vAlign w:val="center"/>
          </w:tcPr>
          <w:p>
            <w:pPr>
              <w:keepNext w:val="0"/>
              <w:spacing w:line="320" w:lineRule="exact" w:after="0" w:before="0"/>
              <w:ind w:firstLine="0"/>
              <w:jc w:val="left"/>
            </w:pPr>
            <w:r>
              <w:rPr>
                <w:b w:val="0"/>
                <w:sz w:val="21"/>
              </w:rPr>
              <w:t>变换后分布是否符合对应目标分布</w:t>
            </w:r>
          </w:p>
        </w:tc>
        <w:tc>
          <w:tcPr>
            <w:tcW w:type="dxa" w:w="2891"/>
            <w:vAlign w:val="center"/>
          </w:tcPr>
          <w:p>
            <w:pPr>
              <w:keepNext w:val="0"/>
              <w:spacing w:line="320" w:lineRule="exact" w:after="0" w:before="0"/>
              <w:ind w:firstLine="0"/>
              <w:jc w:val="left"/>
            </w:pPr>
            <w:r>
              <w:rPr>
                <w:b w:val="0"/>
                <w:sz w:val="21"/>
              </w:rPr>
              <w:t>偏离对应目标容限则调整配置后重做</w:t>
            </w:r>
          </w:p>
        </w:tc>
      </w:tr>
      <w:tr>
        <w:trPr>
          <w:cantSplit/>
        </w:trPr>
        <w:tc>
          <w:tcPr>
            <w:tcW w:type="dxa" w:w="1638"/>
            <w:vAlign w:val="center"/>
          </w:tcPr>
          <w:p>
            <w:pPr>
              <w:keepNext w:val="0"/>
              <w:spacing w:line="320" w:lineRule="exact" w:after="0" w:before="0"/>
              <w:ind w:firstLine="0"/>
              <w:jc w:val="left"/>
            </w:pPr>
            <w:r>
              <w:rPr>
                <w:b w:val="0"/>
                <w:sz w:val="21"/>
              </w:rPr>
              <w:t>重复率</w:t>
            </w:r>
          </w:p>
        </w:tc>
        <w:tc>
          <w:tcPr>
            <w:tcW w:type="dxa" w:w="2699"/>
            <w:vAlign w:val="center"/>
          </w:tcPr>
          <w:p>
            <w:pPr>
              <w:keepNext w:val="0"/>
              <w:spacing w:line="320" w:lineRule="exact" w:after="0" w:before="0"/>
              <w:ind w:firstLine="0"/>
              <w:jc w:val="left"/>
            </w:pPr>
            <w:r>
              <w:rPr>
                <w:b w:val="0"/>
                <w:sz w:val="21"/>
              </w:rPr>
              <w:t>批次内自重复＋与既有样本重复</w:t>
            </w:r>
          </w:p>
        </w:tc>
        <w:tc>
          <w:tcPr>
            <w:tcW w:type="dxa" w:w="2409"/>
            <w:vAlign w:val="center"/>
          </w:tcPr>
          <w:p>
            <w:pPr>
              <w:keepNext w:val="0"/>
              <w:spacing w:line="320" w:lineRule="exact" w:after="0" w:before="0"/>
              <w:ind w:firstLine="0"/>
              <w:jc w:val="left"/>
            </w:pPr>
            <w:r>
              <w:rPr>
                <w:b w:val="0"/>
                <w:sz w:val="21"/>
              </w:rPr>
              <w:t>同一源样本的增强副本数是否超上限</w:t>
            </w:r>
          </w:p>
        </w:tc>
        <w:tc>
          <w:tcPr>
            <w:tcW w:type="dxa" w:w="2891"/>
            <w:vAlign w:val="center"/>
          </w:tcPr>
          <w:p>
            <w:pPr>
              <w:keepNext w:val="0"/>
              <w:spacing w:line="320" w:lineRule="exact" w:after="0" w:before="0"/>
              <w:ind w:firstLine="0"/>
              <w:jc w:val="left"/>
            </w:pPr>
            <w:r>
              <w:rPr>
                <w:b w:val="0"/>
                <w:sz w:val="21"/>
              </w:rPr>
              <w:t>自重复率超线则重做；与既有样本重复的样本删除</w:t>
            </w:r>
          </w:p>
        </w:tc>
      </w:tr>
      <w:tr>
        <w:trPr>
          <w:cantSplit/>
        </w:trPr>
        <w:tc>
          <w:tcPr>
            <w:tcW w:type="dxa" w:w="1638"/>
            <w:vAlign w:val="center"/>
          </w:tcPr>
          <w:p>
            <w:pPr>
              <w:keepNext w:val="0"/>
              <w:spacing w:line="320" w:lineRule="exact" w:after="0" w:before="0"/>
              <w:ind w:firstLine="0"/>
              <w:jc w:val="left"/>
            </w:pPr>
            <w:r>
              <w:rPr>
                <w:b w:val="0"/>
                <w:sz w:val="21"/>
              </w:rPr>
              <w:t>语义漂移程度</w:t>
            </w:r>
          </w:p>
        </w:tc>
        <w:tc>
          <w:tcPr>
            <w:tcW w:type="dxa" w:w="2699"/>
            <w:vAlign w:val="center"/>
          </w:tcPr>
          <w:p>
            <w:pPr>
              <w:keepNext w:val="0"/>
              <w:spacing w:line="320" w:lineRule="exact" w:after="0" w:before="0"/>
              <w:ind w:firstLine="0"/>
              <w:jc w:val="left"/>
            </w:pPr>
            <w:r>
              <w:rPr>
                <w:b w:val="0"/>
                <w:sz w:val="21"/>
              </w:rPr>
              <w:t>生成内容相对种子样本的语义偏离</w:t>
            </w:r>
          </w:p>
        </w:tc>
        <w:tc>
          <w:tcPr>
            <w:tcW w:type="dxa" w:w="2409"/>
            <w:vAlign w:val="center"/>
          </w:tcPr>
          <w:p>
            <w:pPr>
              <w:keepNext w:val="0"/>
              <w:spacing w:line="320" w:lineRule="exact" w:after="0" w:before="0"/>
              <w:ind w:firstLine="0"/>
              <w:jc w:val="left"/>
            </w:pPr>
            <w:r>
              <w:rPr>
                <w:b w:val="0"/>
                <w:sz w:val="21"/>
              </w:rPr>
              <w:t>变换前后语义相似度（4.6 节语义一致性校验结果）</w:t>
            </w:r>
          </w:p>
        </w:tc>
        <w:tc>
          <w:tcPr>
            <w:tcW w:type="dxa" w:w="2891"/>
            <w:vAlign w:val="center"/>
          </w:tcPr>
          <w:p>
            <w:pPr>
              <w:keepNext w:val="0"/>
              <w:spacing w:line="320" w:lineRule="exact" w:after="0" w:before="0"/>
              <w:ind w:firstLine="0"/>
              <w:jc w:val="left"/>
            </w:pPr>
            <w:r>
              <w:rPr>
                <w:b w:val="0"/>
                <w:sz w:val="21"/>
              </w:rPr>
              <w:t>合成按业务规则处置；增强任一批次验收条件不通过整体回退</w:t>
            </w:r>
          </w:p>
        </w:tc>
      </w:tr>
    </w:tbl>
    <w:p>
      <w:pPr>
        <w:spacing w:after="40" w:line="240" w:lineRule="auto"/>
        <w:ind w:firstLine="0"/>
      </w:pPr>
      <w:r>
        <w:rPr>
          <w:sz w:val="4"/>
        </w:rPr>
      </w:r>
    </w:p>
    <w:p>
      <w:pPr>
        <w:jc w:val="both"/>
      </w:pPr>
      <w:r>
        <w:t>增强对同一源样本设置派生数量控制，文本每源样本最多3条、图像最多5条、时序最多4条作为首版配置上限。各轮增强共同计数，不能通过多轮处理绕过限制；是否计入交付还须通过信息有效性、去重和用途检查。训练采样同时控制源家族权重，避免少数源对象经大量派生支配训练。上限调整需有独立开发验证证据并经过批准，保存新旧配置及受影响范围。</w:t>
      </w:r>
    </w:p>
    <w:p>
      <w:pPr>
        <w:jc w:val="both"/>
      </w:pPr>
      <w:r>
        <w:t>语义漂移对合成批次的含义与对增强批次不同。对增强批次，漂移意味着变换破坏了原语义，是错误；对合成批次，一定程度的内容扩展是合成的目的，漂移的判定针对的是「生成内容是否偏离了种子样本所在的业务范围」——以工艺卡片为种子生成的推理样本若写出了备料分厂不做的工序，就是漂移。判定方式是检查生成内容引用的本体类目、工序、参数项是否全部落在种子样本所属业务域的范围内。</w:t>
      </w:r>
    </w:p>
    <w:p>
      <w:pPr>
        <w:pStyle w:val="Heading2"/>
      </w:pPr>
      <w:r>
        <w:t>5.6 六维度质量指标的量化</w:t>
      </w:r>
    </w:p>
    <w:p>
      <w:pPr>
        <w:jc w:val="both"/>
      </w:pPr>
      <w:r>
        <w:t>保真度、完备性、规整性、均衡性、可用性和可信性六项检查与说明文档、数据质量、模型应用三维评测体系建立逐项映射。共享指标采用相同定义、统计对象和计算逻辑；不同检查目的的指标分别保留名称及适用范围，不将六项统计简单等同于三维评测得分。各项结果列出样本量、分子分母、阈值、异常清单与复核结论，指标不可计算时登记原因并处理数据缺口。</w:t>
      </w:r>
    </w:p>
    <w:p>
      <w:pPr>
        <w:pStyle w:val="Caption"/>
        <w:keepNext/>
      </w:pPr>
      <w:r>
        <w:t>表5-6 六维度质检指标的量化口径与数据来源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维度</w:t>
            </w:r>
          </w:p>
        </w:tc>
        <w:tc>
          <w:tcPr>
            <w:tcW w:type="dxa" w:w="2120"/>
            <w:vAlign w:val="center"/>
            <w:shd w:fill="EDF1F3"/>
          </w:tcPr>
          <w:p>
            <w:pPr>
              <w:keepNext/>
              <w:spacing w:line="320" w:lineRule="exact" w:after="0" w:before="0"/>
              <w:ind w:firstLine="0"/>
              <w:jc w:val="center"/>
            </w:pPr>
            <w:r>
              <w:rPr>
                <w:b/>
                <w:sz w:val="21"/>
              </w:rPr>
              <w:t>本项目的量化指标</w:t>
            </w:r>
          </w:p>
        </w:tc>
        <w:tc>
          <w:tcPr>
            <w:tcW w:type="dxa" w:w="1928"/>
            <w:vAlign w:val="center"/>
            <w:shd w:fill="EDF1F3"/>
          </w:tcPr>
          <w:p>
            <w:pPr>
              <w:keepNext/>
              <w:spacing w:line="320" w:lineRule="exact" w:after="0" w:before="0"/>
              <w:ind w:firstLine="0"/>
              <w:jc w:val="center"/>
            </w:pPr>
            <w:r>
              <w:rPr>
                <w:b/>
                <w:sz w:val="21"/>
              </w:rPr>
              <w:t>数据来源</w:t>
            </w:r>
          </w:p>
        </w:tc>
        <w:tc>
          <w:tcPr>
            <w:tcW w:type="dxa" w:w="1928"/>
            <w:vAlign w:val="center"/>
            <w:shd w:fill="EDF1F3"/>
          </w:tcPr>
          <w:p>
            <w:pPr>
              <w:keepNext/>
              <w:spacing w:line="320" w:lineRule="exact" w:after="0" w:before="0"/>
              <w:ind w:firstLine="0"/>
              <w:jc w:val="center"/>
            </w:pPr>
            <w:r>
              <w:rPr>
                <w:b/>
                <w:sz w:val="21"/>
              </w:rPr>
              <w:t>计算口径</w:t>
            </w:r>
          </w:p>
        </w:tc>
        <w:tc>
          <w:tcPr>
            <w:tcW w:type="dxa" w:w="1928"/>
            <w:vAlign w:val="center"/>
            <w:shd w:fill="EDF1F3"/>
          </w:tcPr>
          <w:p>
            <w:pPr>
              <w:keepNext/>
              <w:spacing w:line="320" w:lineRule="exact" w:after="0" w:before="0"/>
              <w:ind w:firstLine="0"/>
              <w:jc w:val="center"/>
            </w:pPr>
            <w:r>
              <w:rPr>
                <w:b/>
                <w:sz w:val="21"/>
              </w:rPr>
              <w:t>过程控制要求</w:t>
            </w:r>
          </w:p>
        </w:tc>
      </w:tr>
      <w:tr>
        <w:trPr>
          <w:cantSplit/>
        </w:trPr>
        <w:tc>
          <w:tcPr>
            <w:tcW w:type="dxa" w:w="1735"/>
            <w:vAlign w:val="center"/>
          </w:tcPr>
          <w:p>
            <w:pPr>
              <w:keepNext w:val="0"/>
              <w:spacing w:line="320" w:lineRule="exact" w:after="0" w:before="0"/>
              <w:ind w:firstLine="0"/>
              <w:jc w:val="left"/>
            </w:pPr>
            <w:r>
              <w:rPr>
                <w:b w:val="0"/>
                <w:sz w:val="21"/>
              </w:rPr>
              <w:t>保真度</w:t>
            </w:r>
          </w:p>
        </w:tc>
        <w:tc>
          <w:tcPr>
            <w:tcW w:type="dxa" w:w="2120"/>
            <w:vAlign w:val="center"/>
          </w:tcPr>
          <w:p>
            <w:pPr>
              <w:keepNext w:val="0"/>
              <w:spacing w:line="320" w:lineRule="exact" w:after="0" w:before="0"/>
              <w:ind w:firstLine="0"/>
              <w:jc w:val="left"/>
            </w:pPr>
            <w:r>
              <w:rPr>
                <w:b w:val="0"/>
                <w:sz w:val="21"/>
              </w:rPr>
              <w:t>内容真实性抽检合格率；结构化文本化转换的回算一致率；图像与时序样本的采集条件记录完整率</w:t>
            </w:r>
          </w:p>
        </w:tc>
        <w:tc>
          <w:tcPr>
            <w:tcW w:type="dxa" w:w="1928"/>
            <w:vAlign w:val="center"/>
          </w:tcPr>
          <w:p>
            <w:pPr>
              <w:keepNext w:val="0"/>
              <w:spacing w:line="320" w:lineRule="exact" w:after="0" w:before="0"/>
              <w:ind w:firstLine="0"/>
              <w:jc w:val="left"/>
            </w:pPr>
            <w:r>
              <w:rPr>
                <w:b w:val="0"/>
                <w:sz w:val="21"/>
              </w:rPr>
              <w:t>预处理门与标注门抽检记录、转换日志</w:t>
            </w:r>
          </w:p>
        </w:tc>
        <w:tc>
          <w:tcPr>
            <w:tcW w:type="dxa" w:w="1928"/>
            <w:vAlign w:val="center"/>
          </w:tcPr>
          <w:p>
            <w:pPr>
              <w:keepNext w:val="0"/>
              <w:spacing w:line="320" w:lineRule="exact" w:after="0" w:before="0"/>
              <w:ind w:firstLine="0"/>
              <w:jc w:val="left"/>
            </w:pPr>
            <w:r>
              <w:rPr>
                <w:b w:val="0"/>
                <w:sz w:val="21"/>
              </w:rPr>
              <w:t>抽检合格样本数／抽检样本数</w:t>
            </w:r>
          </w:p>
        </w:tc>
        <w:tc>
          <w:tcPr>
            <w:tcW w:type="dxa" w:w="1928"/>
            <w:vAlign w:val="center"/>
          </w:tcPr>
          <w:p>
            <w:pPr>
              <w:keepNext w:val="0"/>
              <w:spacing w:line="320" w:lineRule="exact" w:after="0" w:before="0"/>
              <w:ind w:firstLine="0"/>
              <w:jc w:val="left"/>
            </w:pPr>
            <w:r>
              <w:rPr>
                <w:b w:val="0"/>
                <w:sz w:val="21"/>
              </w:rPr>
              <w:t>抽检合格率不低于98%，发现错误逐项修复</w:t>
            </w:r>
          </w:p>
        </w:tc>
      </w:tr>
      <w:tr>
        <w:trPr>
          <w:cantSplit/>
        </w:trPr>
        <w:tc>
          <w:tcPr>
            <w:tcW w:type="dxa" w:w="1735"/>
            <w:vAlign w:val="center"/>
          </w:tcPr>
          <w:p>
            <w:pPr>
              <w:keepNext w:val="0"/>
              <w:spacing w:line="320" w:lineRule="exact" w:after="0" w:before="0"/>
              <w:ind w:firstLine="0"/>
              <w:jc w:val="left"/>
            </w:pPr>
            <w:r>
              <w:rPr>
                <w:b w:val="0"/>
                <w:sz w:val="21"/>
              </w:rPr>
              <w:t>完备性</w:t>
            </w:r>
          </w:p>
        </w:tc>
        <w:tc>
          <w:tcPr>
            <w:tcW w:type="dxa" w:w="2120"/>
            <w:vAlign w:val="center"/>
          </w:tcPr>
          <w:p>
            <w:pPr>
              <w:keepNext w:val="0"/>
              <w:spacing w:line="320" w:lineRule="exact" w:after="0" w:before="0"/>
              <w:ind w:firstLine="0"/>
              <w:jc w:val="left"/>
            </w:pPr>
            <w:r>
              <w:rPr>
                <w:b w:val="0"/>
                <w:sz w:val="21"/>
              </w:rPr>
              <w:t>必填字段完整率；样本级元数据完整率；来源与许可凭证完整率；规模目标达成率</w:t>
            </w:r>
          </w:p>
        </w:tc>
        <w:tc>
          <w:tcPr>
            <w:tcW w:type="dxa" w:w="1928"/>
            <w:vAlign w:val="center"/>
          </w:tcPr>
          <w:p>
            <w:pPr>
              <w:keepNext w:val="0"/>
              <w:spacing w:line="320" w:lineRule="exact" w:after="0" w:before="0"/>
              <w:ind w:firstLine="0"/>
              <w:jc w:val="left"/>
            </w:pPr>
            <w:r>
              <w:rPr>
                <w:b w:val="0"/>
                <w:sz w:val="21"/>
              </w:rPr>
              <w:t>入口门与标注门记录、规模统计</w:t>
            </w:r>
          </w:p>
        </w:tc>
        <w:tc>
          <w:tcPr>
            <w:tcW w:type="dxa" w:w="1928"/>
            <w:vAlign w:val="center"/>
          </w:tcPr>
          <w:p>
            <w:pPr>
              <w:keepNext w:val="0"/>
              <w:spacing w:line="320" w:lineRule="exact" w:after="0" w:before="0"/>
              <w:ind w:firstLine="0"/>
              <w:jc w:val="left"/>
            </w:pPr>
            <w:r>
              <w:rPr>
                <w:b w:val="0"/>
                <w:sz w:val="21"/>
              </w:rPr>
              <w:t>各项按字段逐项统计</w:t>
            </w:r>
          </w:p>
        </w:tc>
        <w:tc>
          <w:tcPr>
            <w:tcW w:type="dxa" w:w="1928"/>
            <w:vAlign w:val="center"/>
          </w:tcPr>
          <w:p>
            <w:pPr>
              <w:keepNext w:val="0"/>
              <w:spacing w:line="320" w:lineRule="exact" w:after="0" w:before="0"/>
              <w:ind w:firstLine="0"/>
              <w:jc w:val="left"/>
            </w:pPr>
            <w:r>
              <w:rPr>
                <w:b w:val="0"/>
                <w:sz w:val="21"/>
              </w:rPr>
              <w:t>必填字段齐备；正式交付规模按四集目标分别核算</w:t>
            </w:r>
          </w:p>
        </w:tc>
      </w:tr>
      <w:tr>
        <w:trPr>
          <w:cantSplit/>
        </w:trPr>
        <w:tc>
          <w:tcPr>
            <w:tcW w:type="dxa" w:w="1735"/>
            <w:vAlign w:val="center"/>
          </w:tcPr>
          <w:p>
            <w:pPr>
              <w:keepNext w:val="0"/>
              <w:spacing w:line="320" w:lineRule="exact" w:after="0" w:before="0"/>
              <w:ind w:firstLine="0"/>
              <w:jc w:val="left"/>
            </w:pPr>
            <w:r>
              <w:rPr>
                <w:b w:val="0"/>
                <w:sz w:val="21"/>
              </w:rPr>
              <w:t>规整性</w:t>
            </w:r>
          </w:p>
        </w:tc>
        <w:tc>
          <w:tcPr>
            <w:tcW w:type="dxa" w:w="2120"/>
            <w:vAlign w:val="center"/>
          </w:tcPr>
          <w:p>
            <w:pPr>
              <w:keepNext w:val="0"/>
              <w:spacing w:line="320" w:lineRule="exact" w:after="0" w:before="0"/>
              <w:ind w:firstLine="0"/>
              <w:jc w:val="left"/>
            </w:pPr>
            <w:r>
              <w:rPr>
                <w:b w:val="0"/>
                <w:sz w:val="21"/>
              </w:rPr>
              <w:t>格式规范符合率；标签体系符合率；命名与编码规范符合率；重复率</w:t>
            </w:r>
          </w:p>
        </w:tc>
        <w:tc>
          <w:tcPr>
            <w:tcW w:type="dxa" w:w="1928"/>
            <w:vAlign w:val="center"/>
          </w:tcPr>
          <w:p>
            <w:pPr>
              <w:keepNext w:val="0"/>
              <w:spacing w:line="320" w:lineRule="exact" w:after="0" w:before="0"/>
              <w:ind w:firstLine="0"/>
              <w:jc w:val="left"/>
            </w:pPr>
            <w:r>
              <w:rPr>
                <w:b w:val="0"/>
                <w:sz w:val="21"/>
              </w:rPr>
              <w:t>入口门与标注门记录、去重结果</w:t>
            </w:r>
          </w:p>
        </w:tc>
        <w:tc>
          <w:tcPr>
            <w:tcW w:type="dxa" w:w="1928"/>
            <w:vAlign w:val="center"/>
          </w:tcPr>
          <w:p>
            <w:pPr>
              <w:keepNext w:val="0"/>
              <w:spacing w:line="320" w:lineRule="exact" w:after="0" w:before="0"/>
              <w:ind w:firstLine="0"/>
              <w:jc w:val="left"/>
            </w:pPr>
            <w:r>
              <w:rPr>
                <w:b w:val="0"/>
                <w:sz w:val="21"/>
              </w:rPr>
              <w:t>符合样本数／总样本数；重复率为重复样本数／总样本数</w:t>
            </w:r>
          </w:p>
        </w:tc>
        <w:tc>
          <w:tcPr>
            <w:tcW w:type="dxa" w:w="1928"/>
            <w:vAlign w:val="center"/>
          </w:tcPr>
          <w:p>
            <w:pPr>
              <w:keepNext w:val="0"/>
              <w:spacing w:line="320" w:lineRule="exact" w:after="0" w:before="0"/>
              <w:ind w:firstLine="0"/>
              <w:jc w:val="left"/>
            </w:pPr>
            <w:r>
              <w:rPr>
                <w:b w:val="0"/>
                <w:sz w:val="21"/>
              </w:rPr>
              <w:t>格式及标签规则必须通过；命中重复经判定后处置</w:t>
            </w:r>
          </w:p>
        </w:tc>
      </w:tr>
      <w:tr>
        <w:trPr>
          <w:cantSplit/>
        </w:trPr>
        <w:tc>
          <w:tcPr>
            <w:tcW w:type="dxa" w:w="1735"/>
            <w:vAlign w:val="center"/>
          </w:tcPr>
          <w:p>
            <w:pPr>
              <w:keepNext w:val="0"/>
              <w:spacing w:line="320" w:lineRule="exact" w:after="0" w:before="0"/>
              <w:ind w:firstLine="0"/>
              <w:jc w:val="left"/>
            </w:pPr>
            <w:r>
              <w:rPr>
                <w:b w:val="0"/>
                <w:sz w:val="21"/>
              </w:rPr>
              <w:t>均衡性</w:t>
            </w:r>
          </w:p>
        </w:tc>
        <w:tc>
          <w:tcPr>
            <w:tcW w:type="dxa" w:w="2120"/>
            <w:vAlign w:val="center"/>
          </w:tcPr>
          <w:p>
            <w:pPr>
              <w:keepNext w:val="0"/>
              <w:spacing w:line="320" w:lineRule="exact" w:after="0" w:before="0"/>
              <w:ind w:firstLine="0"/>
              <w:jc w:val="left"/>
            </w:pPr>
            <w:r>
              <w:rPr>
                <w:b w:val="0"/>
                <w:sz w:val="21"/>
              </w:rPr>
              <w:t>六维分布的基尼系数或分布距离；长尾类别数与占比；来源偏置系数；多模态占比；3 年内数据占比</w:t>
            </w:r>
          </w:p>
        </w:tc>
        <w:tc>
          <w:tcPr>
            <w:tcW w:type="dxa" w:w="1928"/>
            <w:vAlign w:val="center"/>
          </w:tcPr>
          <w:p>
            <w:pPr>
              <w:keepNext w:val="0"/>
              <w:spacing w:line="320" w:lineRule="exact" w:after="0" w:before="0"/>
              <w:ind w:firstLine="0"/>
              <w:jc w:val="left"/>
            </w:pPr>
            <w:r>
              <w:rPr>
                <w:b w:val="0"/>
                <w:sz w:val="21"/>
              </w:rPr>
              <w:t>4.2 节分布统计结果</w:t>
            </w:r>
          </w:p>
        </w:tc>
        <w:tc>
          <w:tcPr>
            <w:tcW w:type="dxa" w:w="1928"/>
            <w:vAlign w:val="center"/>
          </w:tcPr>
          <w:p>
            <w:pPr>
              <w:keepNext w:val="0"/>
              <w:spacing w:line="320" w:lineRule="exact" w:after="0" w:before="0"/>
              <w:ind w:firstLine="0"/>
              <w:jc w:val="left"/>
            </w:pPr>
            <w:r>
              <w:rPr>
                <w:b w:val="0"/>
                <w:sz w:val="21"/>
              </w:rPr>
              <w:t>按维度分别计算</w:t>
            </w:r>
          </w:p>
        </w:tc>
        <w:tc>
          <w:tcPr>
            <w:tcW w:type="dxa" w:w="1928"/>
            <w:vAlign w:val="center"/>
          </w:tcPr>
          <w:p>
            <w:pPr>
              <w:keepNext w:val="0"/>
              <w:spacing w:line="320" w:lineRule="exact" w:after="0" w:before="0"/>
              <w:ind w:firstLine="0"/>
              <w:jc w:val="left"/>
            </w:pPr>
            <w:r>
              <w:rPr>
                <w:b w:val="0"/>
                <w:sz w:val="21"/>
              </w:rPr>
              <w:t>多模态占比不低于 40%；3 年内数据占比不低于 40%</w:t>
            </w:r>
          </w:p>
        </w:tc>
      </w:tr>
      <w:tr>
        <w:trPr>
          <w:cantSplit/>
        </w:trPr>
        <w:tc>
          <w:tcPr>
            <w:tcW w:type="dxa" w:w="1735"/>
            <w:vAlign w:val="center"/>
          </w:tcPr>
          <w:p>
            <w:pPr>
              <w:keepNext w:val="0"/>
              <w:spacing w:line="320" w:lineRule="exact" w:after="0" w:before="0"/>
              <w:ind w:firstLine="0"/>
              <w:jc w:val="left"/>
            </w:pPr>
            <w:r>
              <w:rPr>
                <w:b w:val="0"/>
                <w:sz w:val="21"/>
              </w:rPr>
              <w:t>可用性</w:t>
            </w:r>
          </w:p>
        </w:tc>
        <w:tc>
          <w:tcPr>
            <w:tcW w:type="dxa" w:w="2120"/>
            <w:vAlign w:val="center"/>
          </w:tcPr>
          <w:p>
            <w:pPr>
              <w:keepNext w:val="0"/>
              <w:spacing w:line="320" w:lineRule="exact" w:after="0" w:before="0"/>
              <w:ind w:firstLine="0"/>
              <w:jc w:val="left"/>
            </w:pPr>
            <w:r>
              <w:rPr>
                <w:b w:val="0"/>
                <w:sz w:val="21"/>
              </w:rPr>
              <w:t>数据字典与自描述封装完整率；解析脚本可用性；第三方平台解析通过率；验证环节的场景可用性结论</w:t>
            </w:r>
          </w:p>
        </w:tc>
        <w:tc>
          <w:tcPr>
            <w:tcW w:type="dxa" w:w="1928"/>
            <w:vAlign w:val="center"/>
          </w:tcPr>
          <w:p>
            <w:pPr>
              <w:keepNext w:val="0"/>
              <w:spacing w:line="320" w:lineRule="exact" w:after="0" w:before="0"/>
              <w:ind w:firstLine="0"/>
              <w:jc w:val="left"/>
            </w:pPr>
            <w:r>
              <w:rPr>
                <w:b w:val="0"/>
                <w:sz w:val="21"/>
              </w:rPr>
              <w:t>版本门记录、第三方解析试验、验证报告</w:t>
            </w:r>
          </w:p>
        </w:tc>
        <w:tc>
          <w:tcPr>
            <w:tcW w:type="dxa" w:w="1928"/>
            <w:vAlign w:val="center"/>
          </w:tcPr>
          <w:p>
            <w:pPr>
              <w:keepNext w:val="0"/>
              <w:spacing w:line="320" w:lineRule="exact" w:after="0" w:before="0"/>
              <w:ind w:firstLine="0"/>
              <w:jc w:val="left"/>
            </w:pPr>
            <w:r>
              <w:rPr>
                <w:b w:val="0"/>
                <w:sz w:val="21"/>
              </w:rPr>
              <w:t>解析通过的样本文件数／抽样文件数</w:t>
            </w:r>
          </w:p>
        </w:tc>
        <w:tc>
          <w:tcPr>
            <w:tcW w:type="dxa" w:w="1928"/>
            <w:vAlign w:val="center"/>
          </w:tcPr>
          <w:p>
            <w:pPr>
              <w:keepNext w:val="0"/>
              <w:spacing w:line="320" w:lineRule="exact" w:after="0" w:before="0"/>
              <w:ind w:firstLine="0"/>
              <w:jc w:val="left"/>
            </w:pPr>
            <w:r>
              <w:rPr>
                <w:b w:val="0"/>
                <w:sz w:val="21"/>
              </w:rPr>
              <w:t>正式交付清单中的文件均可按声明结构准确解析</w:t>
            </w:r>
          </w:p>
        </w:tc>
      </w:tr>
      <w:tr>
        <w:trPr>
          <w:cantSplit/>
        </w:trPr>
        <w:tc>
          <w:tcPr>
            <w:tcW w:type="dxa" w:w="1735"/>
            <w:vAlign w:val="center"/>
          </w:tcPr>
          <w:p>
            <w:pPr>
              <w:keepNext w:val="0"/>
              <w:spacing w:line="320" w:lineRule="exact" w:after="0" w:before="0"/>
              <w:ind w:firstLine="0"/>
              <w:jc w:val="left"/>
            </w:pPr>
            <w:r>
              <w:rPr>
                <w:b w:val="0"/>
                <w:sz w:val="21"/>
              </w:rPr>
              <w:t>可信性</w:t>
            </w:r>
          </w:p>
        </w:tc>
        <w:tc>
          <w:tcPr>
            <w:tcW w:type="dxa" w:w="2120"/>
            <w:vAlign w:val="center"/>
          </w:tcPr>
          <w:p>
            <w:pPr>
              <w:keepNext w:val="0"/>
              <w:spacing w:line="320" w:lineRule="exact" w:after="0" w:before="0"/>
              <w:ind w:firstLine="0"/>
              <w:jc w:val="left"/>
            </w:pPr>
            <w:r>
              <w:rPr>
                <w:b w:val="0"/>
                <w:sz w:val="21"/>
              </w:rPr>
              <w:t>标注一致性指标；黄金集通过率；专家判断型标签的分歧率；合成样本占比与溯源完整率；未闭环报警样本占比</w:t>
            </w:r>
          </w:p>
        </w:tc>
        <w:tc>
          <w:tcPr>
            <w:tcW w:type="dxa" w:w="1928"/>
            <w:vAlign w:val="center"/>
          </w:tcPr>
          <w:p>
            <w:pPr>
              <w:keepNext w:val="0"/>
              <w:spacing w:line="320" w:lineRule="exact" w:after="0" w:before="0"/>
              <w:ind w:firstLine="0"/>
              <w:jc w:val="left"/>
            </w:pPr>
            <w:r>
              <w:rPr>
                <w:b w:val="0"/>
                <w:sz w:val="21"/>
              </w:rPr>
              <w:t>标注门与合成增强门记录、溯源台账</w:t>
            </w:r>
          </w:p>
        </w:tc>
        <w:tc>
          <w:tcPr>
            <w:tcW w:type="dxa" w:w="1928"/>
            <w:vAlign w:val="center"/>
          </w:tcPr>
          <w:p>
            <w:pPr>
              <w:keepNext w:val="0"/>
              <w:spacing w:line="320" w:lineRule="exact" w:after="0" w:before="0"/>
              <w:ind w:firstLine="0"/>
              <w:jc w:val="left"/>
            </w:pPr>
            <w:r>
              <w:rPr>
                <w:b w:val="0"/>
                <w:sz w:val="21"/>
              </w:rPr>
              <w:t>按项分别统计</w:t>
            </w:r>
          </w:p>
        </w:tc>
        <w:tc>
          <w:tcPr>
            <w:tcW w:type="dxa" w:w="1928"/>
            <w:vAlign w:val="center"/>
          </w:tcPr>
          <w:p>
            <w:pPr>
              <w:keepNext w:val="0"/>
              <w:spacing w:line="320" w:lineRule="exact" w:after="0" w:before="0"/>
              <w:ind w:firstLine="0"/>
              <w:jc w:val="left"/>
            </w:pPr>
            <w:r>
              <w:rPr>
                <w:b w:val="0"/>
                <w:sz w:val="21"/>
              </w:rPr>
              <w:t>溯源必需字段完整；其余按任务指标及分档线检查</w:t>
            </w:r>
          </w:p>
        </w:tc>
      </w:tr>
    </w:tbl>
    <w:p>
      <w:pPr>
        <w:spacing w:after="40" w:line="240" w:lineRule="auto"/>
        <w:ind w:firstLine="0"/>
      </w:pPr>
      <w:r>
        <w:rPr>
          <w:sz w:val="4"/>
        </w:rPr>
      </w:r>
    </w:p>
    <w:p>
      <w:pPr>
        <w:jc w:val="both"/>
      </w:pPr>
      <w:r>
        <w:t>六维度结果按数据集、用途子集、来源及关键类别输出，形成版本质检报告。报告记录指标值、分母、抽样方法、检测程序和规则版本、人工复核结果、不合格项及整改证明，并与上一版在可比口径下比较。尚未满足发布条件的版本保留不通过状态，客观使用局限可在满足合同要求的前提下披露，不能将必须整改的问题转成局限性后放行。</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7_质检修复.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 5-1 质量检查与修复复检</w:t>
      </w:r>
    </w:p>
    <w:p>
      <w:pPr>
        <w:pStyle w:val="Heading2"/>
      </w:pPr>
      <w:r>
        <w:t>5.7 去重比对与修复工单闭环</w:t>
      </w:r>
    </w:p>
    <w:p>
      <w:pPr>
        <w:jc w:val="both"/>
      </w:pPr>
      <w:r>
        <w:t>去重比对是数据集可信性的关键一环，它要防的是评测污染：若训练侧样本包含了评测题目或与之高度相似的内容，验证环节得出的效果结论就是虚的，第三方评测也会在复核中发现。</w:t>
      </w:r>
    </w:p>
    <w:p>
      <w:pPr>
        <w:jc w:val="both"/>
      </w:pPr>
      <w:r>
        <w:t>比对在两个时点执行。第一个时点是合成与增强产出入集前（3.7 节），防止新生成的内容撞上评测集。第二个时点是版本冻结前，对整个训练侧（预训练子集、指令微调子集、偏好对齐子集）与基准评测子集做一次全量比对，这是版本级的保障。</w:t>
      </w:r>
    </w:p>
    <w:p>
      <w:pPr>
        <w:jc w:val="both"/>
      </w:pPr>
      <w:r>
        <w:t>比对结合精确摘要、近似内容及来源家族三类证据。精确去重对原始文件字节及经声明规则规范化后的内容分别计算密码学摘要，保留规范化版本；感知哈希、语义向量、时序特征摘要均用于近似检索，不能作为字节完全相同的证明。文本检查词面及语义重叠，图像检查感知特征与裁剪变体，时序检查设备、时窗重叠及采样派生，结构化样本检查业务主键和快照关系。</w:t>
      </w:r>
    </w:p>
    <w:p>
      <w:pPr>
        <w:jc w:val="both"/>
      </w:pPr>
      <w:r>
        <w:t>来源家族比对覆盖同图不同版、同工件连续帧、同设备重叠窗口、同合同附件和派生问答。同一源家族分入训练与基准评测即触发隔离复核，不能因单条文本相似度低而放行。近似阈值按模态校准并验证漏检及误检，保存命中依据和人工处置，未命中仅说明当前方法未发现重叠，不作为绝对无污染的证明。</w:t>
      </w:r>
    </w:p>
    <w:p>
      <w:pPr>
        <w:jc w:val="both"/>
      </w:pPr>
      <w:r>
        <w:t>命中样本先区分重复事实、同源派生、答案泄漏及允许共享的通用背景，再按冻结策略处置。尚未用于训练的候选与独立基准命中时，隔离训练侧相关家族并重新检查；已经进入模型训练的数据无法通过事后删除文件消除模型记忆，需要重新训练未污染模型，或重建独立基准并对全部比较模型重测。处置不以基准样本质量等级自动决定保留侧，须核查训练使用历史、冻结时点及评测用途。</w:t>
      </w:r>
    </w:p>
    <w:p>
      <w:pPr>
        <w:jc w:val="both"/>
      </w:pPr>
      <w:r>
        <w:t>命中清单记录样本标识、源家族、所在子集、基准题标识、命中方法、分数、业务证据、训练使用情况、影响模型及处置结果。评测题目及答案仅向获授权的评测岗位开放，生产侧收到范围和整改要求，避免在污染检查过程中向生成或标注人员泄露基准内容。</w:t>
      </w:r>
    </w:p>
    <w:p>
      <w:pPr>
        <w:jc w:val="both"/>
      </w:pPr>
      <w:r>
        <w:t>修复工单是本环节与下游各环节衔接的载体。每一张不通过的门控结论生成一张或多张修复工单，工单的字段与流转如表 5-7。工单跟踪至复检通过方可关闭；复检仍不通过的二次返工，反复不通过或涉及系统性问题的升级至技术评审，评审可决定该批次不入集并转为下一版本的补采或重做任务。</w:t>
      </w:r>
    </w:p>
    <w:p>
      <w:pPr>
        <w:pStyle w:val="Caption"/>
        <w:keepNext/>
      </w:pPr>
      <w:r>
        <w:t>表5-7 修复工单的字段与流转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字段</w:t>
            </w:r>
          </w:p>
        </w:tc>
        <w:tc>
          <w:tcPr>
            <w:tcW w:type="dxa" w:w="4048"/>
            <w:vAlign w:val="center"/>
            <w:shd w:fill="EDF1F3"/>
          </w:tcPr>
          <w:p>
            <w:pPr>
              <w:keepNext/>
              <w:spacing w:line="320" w:lineRule="exact" w:after="0" w:before="0"/>
              <w:ind w:firstLine="0"/>
              <w:jc w:val="center"/>
            </w:pPr>
            <w:r>
              <w:rPr>
                <w:b/>
                <w:sz w:val="21"/>
              </w:rPr>
              <w:t>内容</w:t>
            </w:r>
          </w:p>
        </w:tc>
        <w:tc>
          <w:tcPr>
            <w:tcW w:type="dxa" w:w="3470"/>
            <w:vAlign w:val="center"/>
            <w:shd w:fill="EDF1F3"/>
          </w:tcPr>
          <w:p>
            <w:pPr>
              <w:keepNext/>
              <w:spacing w:line="320" w:lineRule="exact" w:after="0" w:before="0"/>
              <w:ind w:firstLine="0"/>
              <w:jc w:val="center"/>
            </w:pPr>
            <w:r>
              <w:rPr>
                <w:b/>
                <w:sz w:val="21"/>
              </w:rPr>
              <w:t>用途</w:t>
            </w:r>
          </w:p>
        </w:tc>
      </w:tr>
      <w:tr>
        <w:trPr>
          <w:cantSplit/>
        </w:trPr>
        <w:tc>
          <w:tcPr>
            <w:tcW w:type="dxa" w:w="2120"/>
            <w:vAlign w:val="center"/>
          </w:tcPr>
          <w:p>
            <w:pPr>
              <w:keepNext w:val="0"/>
              <w:spacing w:line="320" w:lineRule="exact" w:after="0" w:before="0"/>
              <w:ind w:firstLine="0"/>
              <w:jc w:val="left"/>
            </w:pPr>
            <w:r>
              <w:rPr>
                <w:b w:val="0"/>
                <w:sz w:val="21"/>
              </w:rPr>
              <w:t>工单号</w:t>
            </w:r>
          </w:p>
        </w:tc>
        <w:tc>
          <w:tcPr>
            <w:tcW w:type="dxa" w:w="4048"/>
            <w:vAlign w:val="center"/>
          </w:tcPr>
          <w:p>
            <w:pPr>
              <w:keepNext w:val="0"/>
              <w:spacing w:line="320" w:lineRule="exact" w:after="0" w:before="0"/>
              <w:ind w:firstLine="0"/>
              <w:jc w:val="left"/>
            </w:pPr>
            <w:r>
              <w:rPr>
                <w:b w:val="0"/>
                <w:sz w:val="21"/>
              </w:rPr>
              <w:t>按门与批次编号</w:t>
            </w:r>
          </w:p>
        </w:tc>
        <w:tc>
          <w:tcPr>
            <w:tcW w:type="dxa" w:w="3470"/>
            <w:vAlign w:val="center"/>
          </w:tcPr>
          <w:p>
            <w:pPr>
              <w:keepNext w:val="0"/>
              <w:spacing w:line="320" w:lineRule="exact" w:after="0" w:before="0"/>
              <w:ind w:firstLine="0"/>
              <w:jc w:val="left"/>
            </w:pPr>
            <w:r>
              <w:rPr>
                <w:b w:val="0"/>
                <w:sz w:val="21"/>
              </w:rPr>
              <w:t>唯一标识</w:t>
            </w:r>
          </w:p>
        </w:tc>
      </w:tr>
      <w:tr>
        <w:trPr>
          <w:cantSplit/>
        </w:trPr>
        <w:tc>
          <w:tcPr>
            <w:tcW w:type="dxa" w:w="2120"/>
            <w:vAlign w:val="center"/>
          </w:tcPr>
          <w:p>
            <w:pPr>
              <w:keepNext w:val="0"/>
              <w:spacing w:line="320" w:lineRule="exact" w:after="0" w:before="0"/>
              <w:ind w:firstLine="0"/>
              <w:jc w:val="left"/>
            </w:pPr>
            <w:r>
              <w:rPr>
                <w:b w:val="0"/>
                <w:sz w:val="21"/>
              </w:rPr>
              <w:t>来源门控结论</w:t>
            </w:r>
          </w:p>
        </w:tc>
        <w:tc>
          <w:tcPr>
            <w:tcW w:type="dxa" w:w="4048"/>
            <w:vAlign w:val="center"/>
          </w:tcPr>
          <w:p>
            <w:pPr>
              <w:keepNext w:val="0"/>
              <w:spacing w:line="320" w:lineRule="exact" w:after="0" w:before="0"/>
              <w:ind w:firstLine="0"/>
              <w:jc w:val="left"/>
            </w:pPr>
            <w:r>
              <w:rPr>
                <w:b w:val="0"/>
                <w:sz w:val="21"/>
              </w:rPr>
              <w:t>门号、批次号、不达线判定项</w:t>
            </w:r>
          </w:p>
        </w:tc>
        <w:tc>
          <w:tcPr>
            <w:tcW w:type="dxa" w:w="3470"/>
            <w:vAlign w:val="center"/>
          </w:tcPr>
          <w:p>
            <w:pPr>
              <w:keepNext w:val="0"/>
              <w:spacing w:line="320" w:lineRule="exact" w:after="0" w:before="0"/>
              <w:ind w:firstLine="0"/>
              <w:jc w:val="left"/>
            </w:pPr>
            <w:r>
              <w:rPr>
                <w:b w:val="0"/>
                <w:sz w:val="21"/>
              </w:rPr>
              <w:t>追溯依据</w:t>
            </w:r>
          </w:p>
        </w:tc>
      </w:tr>
      <w:tr>
        <w:trPr>
          <w:cantSplit/>
        </w:trPr>
        <w:tc>
          <w:tcPr>
            <w:tcW w:type="dxa" w:w="2120"/>
            <w:vAlign w:val="center"/>
          </w:tcPr>
          <w:p>
            <w:pPr>
              <w:keepNext w:val="0"/>
              <w:spacing w:line="320" w:lineRule="exact" w:after="0" w:before="0"/>
              <w:ind w:firstLine="0"/>
              <w:jc w:val="left"/>
            </w:pPr>
            <w:r>
              <w:rPr>
                <w:b w:val="0"/>
                <w:sz w:val="21"/>
              </w:rPr>
              <w:t>问题描述</w:t>
            </w:r>
          </w:p>
        </w:tc>
        <w:tc>
          <w:tcPr>
            <w:tcW w:type="dxa" w:w="4048"/>
            <w:vAlign w:val="center"/>
          </w:tcPr>
          <w:p>
            <w:pPr>
              <w:keepNext w:val="0"/>
              <w:spacing w:line="320" w:lineRule="exact" w:after="0" w:before="0"/>
              <w:ind w:firstLine="0"/>
              <w:jc w:val="left"/>
            </w:pPr>
            <w:r>
              <w:rPr>
                <w:b w:val="0"/>
                <w:sz w:val="21"/>
              </w:rPr>
              <w:t>具体不合格项、涉及样本范围、样本清单引用</w:t>
            </w:r>
          </w:p>
        </w:tc>
        <w:tc>
          <w:tcPr>
            <w:tcW w:type="dxa" w:w="3470"/>
            <w:vAlign w:val="center"/>
          </w:tcPr>
          <w:p>
            <w:pPr>
              <w:keepNext w:val="0"/>
              <w:spacing w:line="320" w:lineRule="exact" w:after="0" w:before="0"/>
              <w:ind w:firstLine="0"/>
              <w:jc w:val="left"/>
            </w:pPr>
            <w:r>
              <w:rPr>
                <w:b w:val="0"/>
                <w:sz w:val="21"/>
              </w:rPr>
              <w:t>执行依据</w:t>
            </w:r>
          </w:p>
        </w:tc>
      </w:tr>
      <w:tr>
        <w:trPr>
          <w:cantSplit/>
        </w:trPr>
        <w:tc>
          <w:tcPr>
            <w:tcW w:type="dxa" w:w="2120"/>
            <w:vAlign w:val="center"/>
          </w:tcPr>
          <w:p>
            <w:pPr>
              <w:keepNext w:val="0"/>
              <w:spacing w:line="320" w:lineRule="exact" w:after="0" w:before="0"/>
              <w:ind w:firstLine="0"/>
              <w:jc w:val="left"/>
            </w:pPr>
            <w:r>
              <w:rPr>
                <w:b w:val="0"/>
                <w:sz w:val="21"/>
              </w:rPr>
              <w:t>工单类型</w:t>
            </w:r>
          </w:p>
        </w:tc>
        <w:tc>
          <w:tcPr>
            <w:tcW w:type="dxa" w:w="4048"/>
            <w:vAlign w:val="center"/>
          </w:tcPr>
          <w:p>
            <w:pPr>
              <w:keepNext w:val="0"/>
              <w:spacing w:line="320" w:lineRule="exact" w:after="0" w:before="0"/>
              <w:ind w:firstLine="0"/>
              <w:jc w:val="left"/>
            </w:pPr>
            <w:r>
              <w:rPr>
                <w:b w:val="0"/>
                <w:sz w:val="21"/>
              </w:rPr>
              <w:t>补登记／补凭证／补脱敏／重做预处理／重标／重合成／重增强／补采／本体变更／规范修订</w:t>
            </w:r>
          </w:p>
        </w:tc>
        <w:tc>
          <w:tcPr>
            <w:tcW w:type="dxa" w:w="3470"/>
            <w:vAlign w:val="center"/>
          </w:tcPr>
          <w:p>
            <w:pPr>
              <w:keepNext w:val="0"/>
              <w:spacing w:line="320" w:lineRule="exact" w:after="0" w:before="0"/>
              <w:ind w:firstLine="0"/>
              <w:jc w:val="left"/>
            </w:pPr>
            <w:r>
              <w:rPr>
                <w:b w:val="0"/>
                <w:sz w:val="21"/>
              </w:rPr>
              <w:t>分派依据</w:t>
            </w:r>
          </w:p>
        </w:tc>
      </w:tr>
      <w:tr>
        <w:trPr>
          <w:cantSplit/>
        </w:trPr>
        <w:tc>
          <w:tcPr>
            <w:tcW w:type="dxa" w:w="2120"/>
            <w:vAlign w:val="center"/>
          </w:tcPr>
          <w:p>
            <w:pPr>
              <w:keepNext w:val="0"/>
              <w:spacing w:line="320" w:lineRule="exact" w:after="0" w:before="0"/>
              <w:ind w:firstLine="0"/>
              <w:jc w:val="left"/>
            </w:pPr>
            <w:r>
              <w:rPr>
                <w:b w:val="0"/>
                <w:sz w:val="21"/>
              </w:rPr>
              <w:t>责任单元</w:t>
            </w:r>
          </w:p>
        </w:tc>
        <w:tc>
          <w:tcPr>
            <w:tcW w:type="dxa" w:w="4048"/>
            <w:vAlign w:val="center"/>
          </w:tcPr>
          <w:p>
            <w:pPr>
              <w:keepNext w:val="0"/>
              <w:spacing w:line="320" w:lineRule="exact" w:after="0" w:before="0"/>
              <w:ind w:firstLine="0"/>
              <w:jc w:val="left"/>
            </w:pPr>
            <w:r>
              <w:rPr>
                <w:b w:val="0"/>
                <w:sz w:val="21"/>
              </w:rPr>
              <w:t>承接执行的作业单元</w:t>
            </w:r>
          </w:p>
        </w:tc>
        <w:tc>
          <w:tcPr>
            <w:tcW w:type="dxa" w:w="3470"/>
            <w:vAlign w:val="center"/>
          </w:tcPr>
          <w:p>
            <w:pPr>
              <w:keepNext w:val="0"/>
              <w:spacing w:line="320" w:lineRule="exact" w:after="0" w:before="0"/>
              <w:ind w:firstLine="0"/>
              <w:jc w:val="left"/>
            </w:pPr>
            <w:r>
              <w:rPr>
                <w:b w:val="0"/>
                <w:sz w:val="21"/>
              </w:rPr>
              <w:t>分派</w:t>
            </w:r>
          </w:p>
        </w:tc>
      </w:tr>
      <w:tr>
        <w:trPr>
          <w:cantSplit/>
        </w:trPr>
        <w:tc>
          <w:tcPr>
            <w:tcW w:type="dxa" w:w="2120"/>
            <w:vAlign w:val="center"/>
          </w:tcPr>
          <w:p>
            <w:pPr>
              <w:keepNext w:val="0"/>
              <w:spacing w:line="320" w:lineRule="exact" w:after="0" w:before="0"/>
              <w:ind w:firstLine="0"/>
              <w:jc w:val="left"/>
            </w:pPr>
            <w:r>
              <w:rPr>
                <w:b w:val="0"/>
                <w:sz w:val="21"/>
              </w:rPr>
              <w:t>期限</w:t>
            </w:r>
          </w:p>
        </w:tc>
        <w:tc>
          <w:tcPr>
            <w:tcW w:type="dxa" w:w="4048"/>
            <w:vAlign w:val="center"/>
          </w:tcPr>
          <w:p>
            <w:pPr>
              <w:keepNext w:val="0"/>
              <w:spacing w:line="320" w:lineRule="exact" w:after="0" w:before="0"/>
              <w:ind w:firstLine="0"/>
              <w:jc w:val="left"/>
            </w:pPr>
            <w:r>
              <w:rPr>
                <w:b w:val="0"/>
                <w:sz w:val="21"/>
              </w:rPr>
              <w:t>按工单类型与批次规模设定</w:t>
            </w:r>
          </w:p>
        </w:tc>
        <w:tc>
          <w:tcPr>
            <w:tcW w:type="dxa" w:w="3470"/>
            <w:vAlign w:val="center"/>
          </w:tcPr>
          <w:p>
            <w:pPr>
              <w:keepNext w:val="0"/>
              <w:spacing w:line="320" w:lineRule="exact" w:after="0" w:before="0"/>
              <w:ind w:firstLine="0"/>
              <w:jc w:val="left"/>
            </w:pPr>
            <w:r>
              <w:rPr>
                <w:b w:val="0"/>
                <w:sz w:val="21"/>
              </w:rPr>
              <w:t>进度控制</w:t>
            </w:r>
          </w:p>
        </w:tc>
      </w:tr>
      <w:tr>
        <w:trPr>
          <w:cantSplit/>
        </w:trPr>
        <w:tc>
          <w:tcPr>
            <w:tcW w:type="dxa" w:w="2120"/>
            <w:vAlign w:val="center"/>
          </w:tcPr>
          <w:p>
            <w:pPr>
              <w:keepNext w:val="0"/>
              <w:spacing w:line="320" w:lineRule="exact" w:after="0" w:before="0"/>
              <w:ind w:firstLine="0"/>
              <w:jc w:val="left"/>
            </w:pPr>
            <w:r>
              <w:rPr>
                <w:b w:val="0"/>
                <w:sz w:val="21"/>
              </w:rPr>
              <w:t>执行记录</w:t>
            </w:r>
          </w:p>
        </w:tc>
        <w:tc>
          <w:tcPr>
            <w:tcW w:type="dxa" w:w="4048"/>
            <w:vAlign w:val="center"/>
          </w:tcPr>
          <w:p>
            <w:pPr>
              <w:keepNext w:val="0"/>
              <w:spacing w:line="320" w:lineRule="exact" w:after="0" w:before="0"/>
              <w:ind w:firstLine="0"/>
              <w:jc w:val="left"/>
            </w:pPr>
            <w:r>
              <w:rPr>
                <w:b w:val="0"/>
                <w:sz w:val="21"/>
              </w:rPr>
              <w:t>处置方式、处置范围、完成时点</w:t>
            </w:r>
          </w:p>
        </w:tc>
        <w:tc>
          <w:tcPr>
            <w:tcW w:type="dxa" w:w="3470"/>
            <w:vAlign w:val="center"/>
          </w:tcPr>
          <w:p>
            <w:pPr>
              <w:keepNext w:val="0"/>
              <w:spacing w:line="320" w:lineRule="exact" w:after="0" w:before="0"/>
              <w:ind w:firstLine="0"/>
              <w:jc w:val="left"/>
            </w:pPr>
            <w:r>
              <w:rPr>
                <w:b w:val="0"/>
                <w:sz w:val="21"/>
              </w:rPr>
              <w:t>复检依据</w:t>
            </w:r>
          </w:p>
        </w:tc>
      </w:tr>
      <w:tr>
        <w:trPr>
          <w:cantSplit/>
        </w:trPr>
        <w:tc>
          <w:tcPr>
            <w:tcW w:type="dxa" w:w="2120"/>
            <w:vAlign w:val="center"/>
          </w:tcPr>
          <w:p>
            <w:pPr>
              <w:keepNext w:val="0"/>
              <w:spacing w:line="320" w:lineRule="exact" w:after="0" w:before="0"/>
              <w:ind w:firstLine="0"/>
              <w:jc w:val="left"/>
            </w:pPr>
            <w:r>
              <w:rPr>
                <w:b w:val="0"/>
                <w:sz w:val="21"/>
              </w:rPr>
              <w:t>复检结论</w:t>
            </w:r>
          </w:p>
        </w:tc>
        <w:tc>
          <w:tcPr>
            <w:tcW w:type="dxa" w:w="4048"/>
            <w:vAlign w:val="center"/>
          </w:tcPr>
          <w:p>
            <w:pPr>
              <w:keepNext w:val="0"/>
              <w:spacing w:line="320" w:lineRule="exact" w:after="0" w:before="0"/>
              <w:ind w:firstLine="0"/>
              <w:jc w:val="left"/>
            </w:pPr>
            <w:r>
              <w:rPr>
                <w:b w:val="0"/>
                <w:sz w:val="21"/>
              </w:rPr>
              <w:t>通过／不通过／升级评审</w:t>
            </w:r>
          </w:p>
        </w:tc>
        <w:tc>
          <w:tcPr>
            <w:tcW w:type="dxa" w:w="3470"/>
            <w:vAlign w:val="center"/>
          </w:tcPr>
          <w:p>
            <w:pPr>
              <w:keepNext w:val="0"/>
              <w:spacing w:line="320" w:lineRule="exact" w:after="0" w:before="0"/>
              <w:ind w:firstLine="0"/>
              <w:jc w:val="left"/>
            </w:pPr>
            <w:r>
              <w:rPr>
                <w:b w:val="0"/>
                <w:sz w:val="21"/>
              </w:rPr>
              <w:t>关闭条件</w:t>
            </w:r>
          </w:p>
        </w:tc>
      </w:tr>
      <w:tr>
        <w:trPr>
          <w:cantSplit/>
        </w:trPr>
        <w:tc>
          <w:tcPr>
            <w:tcW w:type="dxa" w:w="2120"/>
            <w:vAlign w:val="center"/>
          </w:tcPr>
          <w:p>
            <w:pPr>
              <w:keepNext w:val="0"/>
              <w:spacing w:line="320" w:lineRule="exact" w:after="0" w:before="0"/>
              <w:ind w:firstLine="0"/>
              <w:jc w:val="left"/>
            </w:pPr>
            <w:r>
              <w:rPr>
                <w:b w:val="0"/>
                <w:sz w:val="21"/>
              </w:rPr>
              <w:t>关联版本</w:t>
            </w:r>
          </w:p>
        </w:tc>
        <w:tc>
          <w:tcPr>
            <w:tcW w:type="dxa" w:w="4048"/>
            <w:vAlign w:val="center"/>
          </w:tcPr>
          <w:p>
            <w:pPr>
              <w:keepNext w:val="0"/>
              <w:spacing w:line="320" w:lineRule="exact" w:after="0" w:before="0"/>
              <w:ind w:firstLine="0"/>
              <w:jc w:val="left"/>
            </w:pPr>
            <w:r>
              <w:rPr>
                <w:b w:val="0"/>
                <w:sz w:val="21"/>
              </w:rPr>
              <w:t>本工单影响的数据集版本</w:t>
            </w:r>
          </w:p>
        </w:tc>
        <w:tc>
          <w:tcPr>
            <w:tcW w:type="dxa" w:w="3470"/>
            <w:vAlign w:val="center"/>
          </w:tcPr>
          <w:p>
            <w:pPr>
              <w:keepNext w:val="0"/>
              <w:spacing w:line="320" w:lineRule="exact" w:after="0" w:before="0"/>
              <w:ind w:firstLine="0"/>
              <w:jc w:val="left"/>
            </w:pPr>
            <w:r>
              <w:rPr>
                <w:b w:val="0"/>
                <w:sz w:val="21"/>
              </w:rPr>
              <w:t>版本冻结前的未结事项核查</w:t>
            </w:r>
          </w:p>
        </w:tc>
      </w:tr>
    </w:tbl>
    <w:p>
      <w:pPr>
        <w:spacing w:after="40" w:line="240" w:lineRule="auto"/>
        <w:ind w:firstLine="0"/>
      </w:pPr>
      <w:r>
        <w:rPr>
          <w:sz w:val="4"/>
        </w:rPr>
      </w:r>
    </w:p>
    <w:p>
      <w:pPr>
        <w:jc w:val="both"/>
      </w:pPr>
      <w:r>
        <w:t>工单台账按数据集与版本汇总，版本冻结前核查未结工单：存在未关闭且影响本版本的工单时，该版本不冻结。这一条是版本质量的硬约束，它把前面五道门的判定结果真正变成了对发布的约束而不是记录在案的意见。</w:t>
      </w:r>
    </w:p>
    <w:p>
      <w:pPr>
        <w:pStyle w:val="Heading1"/>
      </w:pPr>
      <w:r>
        <w:t>6 数据集验证</w:t>
      </w:r>
    </w:p>
    <w:p>
      <w:pPr>
        <w:pStyle w:val="Heading2"/>
      </w:pPr>
      <w:r>
        <w:t>6.1 验证实验设计</w:t>
      </w:r>
    </w:p>
    <w:p>
      <w:pPr>
        <w:jc w:val="both"/>
      </w:pPr>
      <w:r>
        <w:t>质检回答的是「这批数据合不合规」，验证回答的是「这批数据有没有用」。两者不能互相替代：一个各项质检指标都达标的数据集，完全可能对模型能力没有增量——比如样本都很规整但任务形态与场景需求不匹配，或者数据集的知识早已包含在基座模型中。因此本项目把验证设为数据集版本发布的前置条件，没有验证报告的版本不发布。</w:t>
      </w:r>
    </w:p>
    <w:p>
      <w:pPr>
        <w:jc w:val="both"/>
      </w:pPr>
      <w:r>
        <w:t>验证实验按四段组织，对应四个用途子集：继续预训练实验、微调实验、偏好对齐实验、基准评测。四段不是独立的四件事，而是一条链：同一个基座模型依次经过继续预训练、微调、对齐，在固化的评测协议下对基座模型、继续预训练模型、微调模型与对齐模型执行标准化评测，从而把每一段的能力增量分离出来。这一设计直接回应招标文件要求产出「各数据集对模型能力增量的量化结论」——要量化增量，就必须有可比的前后两点。</w:t>
      </w:r>
    </w:p>
    <w:p>
      <w:pPr>
        <w:jc w:val="both"/>
      </w:pPr>
      <w:r>
        <w:t>实验设计遵循三条原则。</w:t>
      </w:r>
    </w:p>
    <w:p>
      <w:pPr>
        <w:jc w:val="both"/>
      </w:pPr>
      <w:r>
        <w:t>第一条是环境固化。选用适配矿山装备业务的开源语言模型及视觉或多模态模型作为训练验证基座，按招标规定的基准模型和评测口径执行。模型权重、分词器、视觉处理器、训练框架、超参数、随机种子、硬件及驱动配置形成完整环境清单；不能以仅提供推理接口的模型替代需要实际训练的基座。模型版本更换后建立新比较组并重测，不直接跨基座比较能力增量。</w:t>
      </w:r>
    </w:p>
    <w:p>
      <w:pPr>
        <w:jc w:val="both"/>
      </w:pPr>
      <w:r>
        <w:t>第二条是对照明确。每个实验设对照组：继续预训练实验以基座模型为对照，微调实验以继续预训练模型为对照，对齐实验以微调模型为对照。消融实验按数据集与子集设置：去掉某一数据集的样本后重跑，观察相应能力指标的变化，从而给出该数据集的增量归属。</w:t>
      </w:r>
    </w:p>
    <w:p>
      <w:pPr>
        <w:jc w:val="both"/>
      </w:pPr>
      <w:r>
        <w:t>第三条是结论可复核。训练输入清单、数据版本、切分清单、模型检查点、训练日志、评测协议、逐题输出及判分记录随验证档案保存。独立评测可复核我方记录，同时自行抽样并建立独立检查，不要求其完全沿用我方已反复调试的题目。不同平台或非确定性计算产生差异时，记录容差、重复次数及偏差原因；固化随机种子是复现条件之一，不能单独证明结果必然逐位相同。</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7" name="Picture 7"/>
            <wp:cNvGraphicFramePr>
              <a:graphicFrameLocks noChangeAspect="1"/>
            </wp:cNvGraphicFramePr>
            <a:graphic>
              <a:graphicData uri="http://schemas.openxmlformats.org/drawingml/2006/picture">
                <pic:pic>
                  <pic:nvPicPr>
                    <pic:cNvPr id="0" name="图6_模型验证.png"/>
                    <pic:cNvPicPr/>
                  </pic:nvPicPr>
                  <pic:blipFill>
                    <a:blip r:embed="rId17"/>
                    <a:stretch>
                      <a:fillRect/>
                    </a:stretch>
                  </pic:blipFill>
                  <pic:spPr>
                    <a:xfrm>
                      <a:off x="0" y="0"/>
                      <a:ext cx="6048000" cy="2477354"/>
                    </a:xfrm>
                    <a:prstGeom prst="rect"/>
                  </pic:spPr>
                </pic:pic>
              </a:graphicData>
            </a:graphic>
          </wp:inline>
        </w:drawing>
      </w:r>
    </w:p>
    <w:p>
      <w:pPr>
        <w:pStyle w:val="Caption"/>
        <w:jc w:val="center"/>
      </w:pPr>
      <w:r>
        <w:t>图 6-1 分阶段训练与效果验证</w:t>
      </w:r>
    </w:p>
    <w:p>
      <w:pPr>
        <w:pStyle w:val="Heading2"/>
      </w:pPr>
      <w:r>
        <w:t>6.2 继续预训练实验</w:t>
      </w:r>
    </w:p>
    <w:p>
      <w:pPr>
        <w:jc w:val="both"/>
      </w:pPr>
      <w:r>
        <w:t>继续预训练要回答的问题是：这 615 亿 Token 的语料，有多少变成了模型的领域知识，又有没有损害模型原有的通用能力。两项都要测，只测前者会出现一种常见结果——领域指标上去了，通用能力掉了，模型在实际场景中反而不可用。</w:t>
      </w:r>
    </w:p>
    <w:p>
      <w:pPr>
        <w:jc w:val="both"/>
      </w:pPr>
      <w:r>
        <w:t>领域知识探针按四个业务域分别组织，区分知识记忆、规则运用和跨条件泛化。探针由独立评测人员依据经确认的知识点与真实任务审定，标明与训练来源的关系；来源于同一知识库不能自动证明独立。用于开发诊断的构造探针单列为开发资源，不计入正式基准评测规模。正式基准题保持真实业务依据，排除合成内容及其派生，题干、答案和判分规则在训练前冻结并受控保管。</w:t>
      </w:r>
    </w:p>
    <w:p>
      <w:pPr>
        <w:pStyle w:val="Caption"/>
        <w:keepNext/>
      </w:pPr>
      <w:r>
        <w:t>表6-1 四个业务域的领域知识探针构建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业务域</w:t>
            </w:r>
          </w:p>
        </w:tc>
        <w:tc>
          <w:tcPr>
            <w:tcW w:type="dxa" w:w="2699"/>
            <w:vAlign w:val="center"/>
            <w:shd w:fill="EDF1F3"/>
          </w:tcPr>
          <w:p>
            <w:pPr>
              <w:keepNext/>
              <w:spacing w:line="320" w:lineRule="exact" w:after="0" w:before="0"/>
              <w:ind w:firstLine="0"/>
              <w:jc w:val="center"/>
            </w:pPr>
            <w:r>
              <w:rPr>
                <w:b/>
                <w:sz w:val="21"/>
              </w:rPr>
              <w:t>探针知识点来源</w:t>
            </w:r>
          </w:p>
        </w:tc>
        <w:tc>
          <w:tcPr>
            <w:tcW w:type="dxa" w:w="2409"/>
            <w:vAlign w:val="center"/>
            <w:shd w:fill="EDF1F3"/>
          </w:tcPr>
          <w:p>
            <w:pPr>
              <w:keepNext/>
              <w:spacing w:line="320" w:lineRule="exact" w:after="0" w:before="0"/>
              <w:ind w:firstLine="0"/>
              <w:jc w:val="center"/>
            </w:pPr>
            <w:r>
              <w:rPr>
                <w:b/>
                <w:sz w:val="21"/>
              </w:rPr>
              <w:t>典型探针形态</w:t>
            </w:r>
          </w:p>
        </w:tc>
        <w:tc>
          <w:tcPr>
            <w:tcW w:type="dxa" w:w="2891"/>
            <w:vAlign w:val="center"/>
            <w:shd w:fill="EDF1F3"/>
          </w:tcPr>
          <w:p>
            <w:pPr>
              <w:keepNext/>
              <w:spacing w:line="320" w:lineRule="exact" w:after="0" w:before="0"/>
              <w:ind w:firstLine="0"/>
              <w:jc w:val="center"/>
            </w:pPr>
            <w:r>
              <w:rPr>
                <w:b/>
                <w:sz w:val="21"/>
              </w:rPr>
              <w:t>探针题量口径</w:t>
            </w:r>
          </w:p>
        </w:tc>
      </w:tr>
      <w:tr>
        <w:trPr>
          <w:cantSplit/>
        </w:trPr>
        <w:tc>
          <w:tcPr>
            <w:tcW w:type="dxa" w:w="1638"/>
            <w:vAlign w:val="center"/>
          </w:tcPr>
          <w:p>
            <w:pPr>
              <w:keepNext w:val="0"/>
              <w:spacing w:line="320" w:lineRule="exact" w:after="0" w:before="0"/>
              <w:ind w:firstLine="0"/>
              <w:jc w:val="left"/>
            </w:pPr>
            <w:r>
              <w:rPr>
                <w:b w:val="0"/>
                <w:sz w:val="21"/>
              </w:rPr>
              <w:t>供需计划</w:t>
            </w:r>
          </w:p>
        </w:tc>
        <w:tc>
          <w:tcPr>
            <w:tcW w:type="dxa" w:w="2699"/>
            <w:vAlign w:val="center"/>
          </w:tcPr>
          <w:p>
            <w:pPr>
              <w:keepNext w:val="0"/>
              <w:spacing w:line="320" w:lineRule="exact" w:after="0" w:before="0"/>
              <w:ind w:firstLine="0"/>
              <w:jc w:val="left"/>
            </w:pPr>
            <w:r>
              <w:rPr>
                <w:b w:val="0"/>
                <w:sz w:val="21"/>
              </w:rPr>
              <w:t>合同条款类型与核心要素定义、选型要素与配置对应关系、物料分层规则</w:t>
            </w:r>
          </w:p>
        </w:tc>
        <w:tc>
          <w:tcPr>
            <w:tcW w:type="dxa" w:w="2409"/>
            <w:vAlign w:val="center"/>
          </w:tcPr>
          <w:p>
            <w:pPr>
              <w:keepNext w:val="0"/>
              <w:spacing w:line="320" w:lineRule="exact" w:after="0" w:before="0"/>
              <w:ind w:firstLine="0"/>
              <w:jc w:val="left"/>
            </w:pPr>
            <w:r>
              <w:rPr>
                <w:b w:val="0"/>
                <w:sz w:val="21"/>
              </w:rPr>
              <w:t>给工况问应关注哪些选型要素；给条款类型问其核心义务</w:t>
            </w:r>
          </w:p>
        </w:tc>
        <w:tc>
          <w:tcPr>
            <w:tcW w:type="dxa" w:w="2891"/>
            <w:vAlign w:val="center"/>
          </w:tcPr>
          <w:p>
            <w:pPr>
              <w:keepNext w:val="0"/>
              <w:spacing w:line="320" w:lineRule="exact" w:after="0" w:before="0"/>
              <w:ind w:firstLine="0"/>
              <w:jc w:val="left"/>
            </w:pPr>
            <w:r>
              <w:rPr>
                <w:b w:val="0"/>
                <w:sz w:val="21"/>
              </w:rPr>
              <w:t>按知识点覆盖度确定，覆盖本体该域全部一级类目</w:t>
            </w:r>
          </w:p>
        </w:tc>
      </w:tr>
      <w:tr>
        <w:trPr>
          <w:cantSplit/>
        </w:trPr>
        <w:tc>
          <w:tcPr>
            <w:tcW w:type="dxa" w:w="1638"/>
            <w:vAlign w:val="center"/>
          </w:tcPr>
          <w:p>
            <w:pPr>
              <w:keepNext w:val="0"/>
              <w:spacing w:line="320" w:lineRule="exact" w:after="0" w:before="0"/>
              <w:ind w:firstLine="0"/>
              <w:jc w:val="left"/>
            </w:pPr>
            <w:r>
              <w:rPr>
                <w:b w:val="0"/>
                <w:sz w:val="21"/>
              </w:rPr>
              <w:t>产品工艺设计</w:t>
            </w:r>
          </w:p>
        </w:tc>
        <w:tc>
          <w:tcPr>
            <w:tcW w:type="dxa" w:w="2699"/>
            <w:vAlign w:val="center"/>
          </w:tcPr>
          <w:p>
            <w:pPr>
              <w:keepNext w:val="0"/>
              <w:spacing w:line="320" w:lineRule="exact" w:after="0" w:before="0"/>
              <w:ind w:firstLine="0"/>
              <w:jc w:val="left"/>
            </w:pPr>
            <w:r>
              <w:rPr>
                <w:b w:val="0"/>
                <w:sz w:val="21"/>
              </w:rPr>
              <w:t>封闭工序集合与工序依赖关系、加工特征定义、工艺编制准则</w:t>
            </w:r>
          </w:p>
        </w:tc>
        <w:tc>
          <w:tcPr>
            <w:tcW w:type="dxa" w:w="2409"/>
            <w:vAlign w:val="center"/>
          </w:tcPr>
          <w:p>
            <w:pPr>
              <w:keepNext w:val="0"/>
              <w:spacing w:line="320" w:lineRule="exact" w:after="0" w:before="0"/>
              <w:ind w:firstLine="0"/>
              <w:jc w:val="left"/>
            </w:pPr>
            <w:r>
              <w:rPr>
                <w:b w:val="0"/>
                <w:sz w:val="21"/>
              </w:rPr>
              <w:t>给特征问对应工序；给两道工序问先后依赖</w:t>
            </w:r>
          </w:p>
        </w:tc>
        <w:tc>
          <w:tcPr>
            <w:tcW w:type="dxa" w:w="2891"/>
            <w:vAlign w:val="center"/>
          </w:tcPr>
          <w:p>
            <w:pPr>
              <w:keepNext w:val="0"/>
              <w:spacing w:line="320" w:lineRule="exact" w:after="0" w:before="0"/>
              <w:ind w:firstLine="0"/>
              <w:jc w:val="left"/>
            </w:pPr>
            <w:r>
              <w:rPr>
                <w:b w:val="0"/>
                <w:sz w:val="21"/>
              </w:rPr>
              <w:t>覆盖已确认正式工序字典及全部适用加工特征</w:t>
            </w:r>
          </w:p>
        </w:tc>
      </w:tr>
      <w:tr>
        <w:trPr>
          <w:cantSplit/>
        </w:trPr>
        <w:tc>
          <w:tcPr>
            <w:tcW w:type="dxa" w:w="1638"/>
            <w:vAlign w:val="center"/>
          </w:tcPr>
          <w:p>
            <w:pPr>
              <w:keepNext w:val="0"/>
              <w:spacing w:line="320" w:lineRule="exact" w:after="0" w:before="0"/>
              <w:ind w:firstLine="0"/>
              <w:jc w:val="left"/>
            </w:pPr>
            <w:r>
              <w:rPr>
                <w:b w:val="0"/>
                <w:sz w:val="21"/>
              </w:rPr>
              <w:t>制造过程</w:t>
            </w:r>
          </w:p>
        </w:tc>
        <w:tc>
          <w:tcPr>
            <w:tcW w:type="dxa" w:w="2699"/>
            <w:vAlign w:val="center"/>
          </w:tcPr>
          <w:p>
            <w:pPr>
              <w:keepNext w:val="0"/>
              <w:spacing w:line="320" w:lineRule="exact" w:after="0" w:before="0"/>
              <w:ind w:firstLine="0"/>
              <w:jc w:val="left"/>
            </w:pPr>
            <w:r>
              <w:rPr>
                <w:b w:val="0"/>
                <w:sz w:val="21"/>
              </w:rPr>
              <w:t>「设备—部件—故障模式—现象—原因—处置—备件」图谱、六类运行工况定义、适用焊接缺陷定义</w:t>
            </w:r>
          </w:p>
        </w:tc>
        <w:tc>
          <w:tcPr>
            <w:tcW w:type="dxa" w:w="2409"/>
            <w:vAlign w:val="center"/>
          </w:tcPr>
          <w:p>
            <w:pPr>
              <w:keepNext w:val="0"/>
              <w:spacing w:line="320" w:lineRule="exact" w:after="0" w:before="0"/>
              <w:ind w:firstLine="0"/>
              <w:jc w:val="left"/>
            </w:pPr>
            <w:r>
              <w:rPr>
                <w:b w:val="0"/>
                <w:sz w:val="21"/>
              </w:rPr>
              <w:t>给现象问可能故障模式；给缺陷类型问其典型成因</w:t>
            </w:r>
          </w:p>
        </w:tc>
        <w:tc>
          <w:tcPr>
            <w:tcW w:type="dxa" w:w="2891"/>
            <w:vAlign w:val="center"/>
          </w:tcPr>
          <w:p>
            <w:pPr>
              <w:keepNext w:val="0"/>
              <w:spacing w:line="320" w:lineRule="exact" w:after="0" w:before="0"/>
              <w:ind w:firstLine="0"/>
              <w:jc w:val="left"/>
            </w:pPr>
            <w:r>
              <w:rPr>
                <w:b w:val="0"/>
                <w:sz w:val="21"/>
              </w:rPr>
              <w:t>覆盖图谱主干关系与全部缺陷类型</w:t>
            </w:r>
          </w:p>
        </w:tc>
      </w:tr>
      <w:tr>
        <w:trPr>
          <w:cantSplit/>
        </w:trPr>
        <w:tc>
          <w:tcPr>
            <w:tcW w:type="dxa" w:w="1638"/>
            <w:vAlign w:val="center"/>
          </w:tcPr>
          <w:p>
            <w:pPr>
              <w:keepNext w:val="0"/>
              <w:spacing w:line="320" w:lineRule="exact" w:after="0" w:before="0"/>
              <w:ind w:firstLine="0"/>
              <w:jc w:val="left"/>
            </w:pPr>
            <w:r>
              <w:rPr>
                <w:b w:val="0"/>
                <w:sz w:val="21"/>
              </w:rPr>
              <w:t>产品质量</w:t>
            </w:r>
          </w:p>
        </w:tc>
        <w:tc>
          <w:tcPr>
            <w:tcW w:type="dxa" w:w="2699"/>
            <w:vAlign w:val="center"/>
          </w:tcPr>
          <w:p>
            <w:pPr>
              <w:keepNext w:val="0"/>
              <w:spacing w:line="320" w:lineRule="exact" w:after="0" w:before="0"/>
              <w:ind w:firstLine="0"/>
              <w:jc w:val="left"/>
            </w:pPr>
            <w:r>
              <w:rPr>
                <w:b w:val="0"/>
                <w:sz w:val="21"/>
              </w:rPr>
              <w:t>「工件—工艺参数—切片结果—硬度指标—质检结论」图谱、检验项字典、不合格类型</w:t>
            </w:r>
          </w:p>
        </w:tc>
        <w:tc>
          <w:tcPr>
            <w:tcW w:type="dxa" w:w="2409"/>
            <w:vAlign w:val="center"/>
          </w:tcPr>
          <w:p>
            <w:pPr>
              <w:keepNext w:val="0"/>
              <w:spacing w:line="320" w:lineRule="exact" w:after="0" w:before="0"/>
              <w:ind w:firstLine="0"/>
              <w:jc w:val="left"/>
            </w:pPr>
            <w:r>
              <w:rPr>
                <w:b w:val="0"/>
                <w:sz w:val="21"/>
              </w:rPr>
              <w:t>给质量异常问相关工艺参数；给检验项问判定依据</w:t>
            </w:r>
          </w:p>
        </w:tc>
        <w:tc>
          <w:tcPr>
            <w:tcW w:type="dxa" w:w="2891"/>
            <w:vAlign w:val="center"/>
          </w:tcPr>
          <w:p>
            <w:pPr>
              <w:keepNext w:val="0"/>
              <w:spacing w:line="320" w:lineRule="exact" w:after="0" w:before="0"/>
              <w:ind w:firstLine="0"/>
              <w:jc w:val="left"/>
            </w:pPr>
            <w:r>
              <w:rPr>
                <w:b w:val="0"/>
                <w:sz w:val="21"/>
              </w:rPr>
              <w:t>覆盖图谱主干关系与全部检验环节</w:t>
            </w:r>
          </w:p>
        </w:tc>
      </w:tr>
    </w:tbl>
    <w:p>
      <w:pPr>
        <w:spacing w:after="40" w:line="240" w:lineRule="auto"/>
        <w:ind w:firstLine="0"/>
      </w:pPr>
      <w:r>
        <w:rPr>
          <w:sz w:val="4"/>
        </w:rPr>
      </w:r>
    </w:p>
    <w:p>
      <w:pPr>
        <w:jc w:val="both"/>
      </w:pPr>
      <w:r>
        <w:t>探针结果按业务域、知识类型、来源关系及难度分层，与同一基座对照报告正确数、有效题数、置信区间和变化幅度。知识记忆结果与独立业务泛化结果分开呈现。未提升、下降或样本量不足的类别如实登记，结合训练覆盖、矛盾陈述和模型能力分析原因，不把单个指标波动直接认定为数据质量缺陷。</w:t>
      </w:r>
    </w:p>
    <w:p>
      <w:pPr>
        <w:jc w:val="both"/>
      </w:pPr>
      <w:r>
        <w:t>保留语料困惑度衡量语言建模变化，通用能力另以任务评测检验。保留语料分两部分：通用保留语料（从公开通用语料中抽取、不参与训练）与领域保留语料（从本项目各域语料中按比例留出、不参与训练）。两部分的困惑度变化含义不同：领域保留语料困惑度下降说明领域语言建模能力提升，通用保留语料困惑度上升提示语言建模可能退化，须结合通用任务结果判断。</w:t>
      </w:r>
    </w:p>
    <w:p>
      <w:pPr>
        <w:jc w:val="both"/>
      </w:pPr>
      <w:r>
        <w:t>继续预训练判定同时考察领域知识、保留语料困惑度及通用能力保持情况。任务开始前固定比较对象、最小有意义改进、允许退化范围及统计方法，不能以实验结果倒推通过阈值。实验未达要求时排查数据、训练和测量条件，按证据调整后重跑；调整及全部试验结果登记，最终冻结评测不参与超参数选择。</w:t>
      </w:r>
    </w:p>
    <w:p>
      <w:pPr>
        <w:pStyle w:val="Caption"/>
        <w:keepNext/>
      </w:pPr>
      <w:r>
        <w:t>表6-2 继续预训练实验的判定口径与回退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指标</w:t>
            </w:r>
          </w:p>
        </w:tc>
        <w:tc>
          <w:tcPr>
            <w:tcW w:type="dxa" w:w="2699"/>
            <w:vAlign w:val="center"/>
            <w:shd w:fill="EDF1F3"/>
          </w:tcPr>
          <w:p>
            <w:pPr>
              <w:keepNext/>
              <w:spacing w:line="320" w:lineRule="exact" w:after="0" w:before="0"/>
              <w:ind w:firstLine="0"/>
              <w:jc w:val="center"/>
            </w:pPr>
            <w:r>
              <w:rPr>
                <w:b/>
                <w:sz w:val="21"/>
              </w:rPr>
              <w:t>判定口径</w:t>
            </w:r>
          </w:p>
        </w:tc>
        <w:tc>
          <w:tcPr>
            <w:tcW w:type="dxa" w:w="2409"/>
            <w:vAlign w:val="center"/>
            <w:shd w:fill="EDF1F3"/>
          </w:tcPr>
          <w:p>
            <w:pPr>
              <w:keepNext/>
              <w:spacing w:line="320" w:lineRule="exact" w:after="0" w:before="0"/>
              <w:ind w:firstLine="0"/>
              <w:jc w:val="center"/>
            </w:pPr>
            <w:r>
              <w:rPr>
                <w:b/>
                <w:sz w:val="21"/>
              </w:rPr>
              <w:t>达标处置</w:t>
            </w:r>
          </w:p>
        </w:tc>
        <w:tc>
          <w:tcPr>
            <w:tcW w:type="dxa" w:w="2891"/>
            <w:vAlign w:val="center"/>
            <w:shd w:fill="EDF1F3"/>
          </w:tcPr>
          <w:p>
            <w:pPr>
              <w:keepNext/>
              <w:spacing w:line="320" w:lineRule="exact" w:after="0" w:before="0"/>
              <w:ind w:firstLine="0"/>
              <w:jc w:val="center"/>
            </w:pPr>
            <w:r>
              <w:rPr>
                <w:b/>
                <w:sz w:val="21"/>
              </w:rPr>
              <w:t>不达标处置</w:t>
            </w:r>
          </w:p>
        </w:tc>
      </w:tr>
      <w:tr>
        <w:trPr>
          <w:cantSplit/>
        </w:trPr>
        <w:tc>
          <w:tcPr>
            <w:tcW w:type="dxa" w:w="1638"/>
            <w:vAlign w:val="center"/>
          </w:tcPr>
          <w:p>
            <w:pPr>
              <w:keepNext w:val="0"/>
              <w:spacing w:line="320" w:lineRule="exact" w:after="0" w:before="0"/>
              <w:ind w:firstLine="0"/>
              <w:jc w:val="left"/>
            </w:pPr>
            <w:r>
              <w:rPr>
                <w:b w:val="0"/>
                <w:sz w:val="21"/>
              </w:rPr>
              <w:t>领域知识探针正确率</w:t>
            </w:r>
          </w:p>
        </w:tc>
        <w:tc>
          <w:tcPr>
            <w:tcW w:type="dxa" w:w="2699"/>
            <w:vAlign w:val="center"/>
          </w:tcPr>
          <w:p>
            <w:pPr>
              <w:keepNext w:val="0"/>
              <w:spacing w:line="320" w:lineRule="exact" w:after="0" w:before="0"/>
              <w:ind w:firstLine="0"/>
              <w:jc w:val="left"/>
            </w:pPr>
            <w:r>
              <w:rPr>
                <w:b w:val="0"/>
                <w:sz w:val="21"/>
              </w:rPr>
              <w:t>相对固定基座达到预先规定的有效提升，报告不确定性</w:t>
            </w:r>
          </w:p>
        </w:tc>
        <w:tc>
          <w:tcPr>
            <w:tcW w:type="dxa" w:w="2409"/>
            <w:vAlign w:val="center"/>
          </w:tcPr>
          <w:p>
            <w:pPr>
              <w:keepNext w:val="0"/>
              <w:spacing w:line="320" w:lineRule="exact" w:after="0" w:before="0"/>
              <w:ind w:firstLine="0"/>
              <w:jc w:val="left"/>
            </w:pPr>
            <w:r>
              <w:rPr>
                <w:b w:val="0"/>
                <w:sz w:val="21"/>
              </w:rPr>
              <w:t>结论计入验证报告</w:t>
            </w:r>
          </w:p>
        </w:tc>
        <w:tc>
          <w:tcPr>
            <w:tcW w:type="dxa" w:w="2891"/>
            <w:vAlign w:val="center"/>
          </w:tcPr>
          <w:p>
            <w:pPr>
              <w:keepNext w:val="0"/>
              <w:spacing w:line="320" w:lineRule="exact" w:after="0" w:before="0"/>
              <w:ind w:firstLine="0"/>
              <w:jc w:val="left"/>
            </w:pPr>
            <w:r>
              <w:rPr>
                <w:b w:val="0"/>
                <w:sz w:val="21"/>
              </w:rPr>
              <w:t>未提升的知识点单列，转错样归因定位语料缺口</w:t>
            </w:r>
          </w:p>
        </w:tc>
      </w:tr>
      <w:tr>
        <w:trPr>
          <w:cantSplit/>
        </w:trPr>
        <w:tc>
          <w:tcPr>
            <w:tcW w:type="dxa" w:w="1638"/>
            <w:vAlign w:val="center"/>
          </w:tcPr>
          <w:p>
            <w:pPr>
              <w:keepNext w:val="0"/>
              <w:spacing w:line="320" w:lineRule="exact" w:after="0" w:before="0"/>
              <w:ind w:firstLine="0"/>
              <w:jc w:val="left"/>
            </w:pPr>
            <w:r>
              <w:rPr>
                <w:b w:val="0"/>
                <w:sz w:val="21"/>
              </w:rPr>
              <w:t>领域保留语料困惑度</w:t>
            </w:r>
          </w:p>
        </w:tc>
        <w:tc>
          <w:tcPr>
            <w:tcW w:type="dxa" w:w="2699"/>
            <w:vAlign w:val="center"/>
          </w:tcPr>
          <w:p>
            <w:pPr>
              <w:keepNext w:val="0"/>
              <w:spacing w:line="320" w:lineRule="exact" w:after="0" w:before="0"/>
              <w:ind w:firstLine="0"/>
              <w:jc w:val="left"/>
            </w:pPr>
            <w:r>
              <w:rPr>
                <w:b w:val="0"/>
                <w:sz w:val="21"/>
              </w:rPr>
              <w:t>相对基座模型下降</w:t>
            </w:r>
          </w:p>
        </w:tc>
        <w:tc>
          <w:tcPr>
            <w:tcW w:type="dxa" w:w="2409"/>
            <w:vAlign w:val="center"/>
          </w:tcPr>
          <w:p>
            <w:pPr>
              <w:keepNext w:val="0"/>
              <w:spacing w:line="320" w:lineRule="exact" w:after="0" w:before="0"/>
              <w:ind w:firstLine="0"/>
              <w:jc w:val="left"/>
            </w:pPr>
            <w:r>
              <w:rPr>
                <w:b w:val="0"/>
                <w:sz w:val="21"/>
              </w:rPr>
              <w:t>同上</w:t>
            </w:r>
          </w:p>
        </w:tc>
        <w:tc>
          <w:tcPr>
            <w:tcW w:type="dxa" w:w="2891"/>
            <w:vAlign w:val="center"/>
          </w:tcPr>
          <w:p>
            <w:pPr>
              <w:keepNext w:val="0"/>
              <w:spacing w:line="320" w:lineRule="exact" w:after="0" w:before="0"/>
              <w:ind w:firstLine="0"/>
              <w:jc w:val="left"/>
            </w:pPr>
            <w:r>
              <w:rPr>
                <w:b w:val="0"/>
                <w:sz w:val="21"/>
              </w:rPr>
              <w:t>未下降的域单列，检查该域语料规模与质量</w:t>
            </w:r>
          </w:p>
        </w:tc>
      </w:tr>
      <w:tr>
        <w:trPr>
          <w:cantSplit/>
        </w:trPr>
        <w:tc>
          <w:tcPr>
            <w:tcW w:type="dxa" w:w="1638"/>
            <w:vAlign w:val="center"/>
          </w:tcPr>
          <w:p>
            <w:pPr>
              <w:keepNext w:val="0"/>
              <w:spacing w:line="320" w:lineRule="exact" w:after="0" w:before="0"/>
              <w:ind w:firstLine="0"/>
              <w:jc w:val="left"/>
            </w:pPr>
            <w:r>
              <w:rPr>
                <w:b w:val="0"/>
                <w:sz w:val="21"/>
              </w:rPr>
              <w:t>通用保留语料困惑度</w:t>
            </w:r>
          </w:p>
        </w:tc>
        <w:tc>
          <w:tcPr>
            <w:tcW w:type="dxa" w:w="2699"/>
            <w:vAlign w:val="center"/>
          </w:tcPr>
          <w:p>
            <w:pPr>
              <w:keepNext w:val="0"/>
              <w:spacing w:line="320" w:lineRule="exact" w:after="0" w:before="0"/>
              <w:ind w:firstLine="0"/>
              <w:jc w:val="left"/>
            </w:pPr>
            <w:r>
              <w:rPr>
                <w:b w:val="0"/>
                <w:sz w:val="21"/>
              </w:rPr>
              <w:t>上升幅度在容限内</w:t>
            </w:r>
          </w:p>
        </w:tc>
        <w:tc>
          <w:tcPr>
            <w:tcW w:type="dxa" w:w="2409"/>
            <w:vAlign w:val="center"/>
          </w:tcPr>
          <w:p>
            <w:pPr>
              <w:keepNext w:val="0"/>
              <w:spacing w:line="320" w:lineRule="exact" w:after="0" w:before="0"/>
              <w:ind w:firstLine="0"/>
              <w:jc w:val="left"/>
            </w:pPr>
            <w:r>
              <w:rPr>
                <w:b w:val="0"/>
                <w:sz w:val="21"/>
              </w:rPr>
              <w:t>同上</w:t>
            </w:r>
          </w:p>
        </w:tc>
        <w:tc>
          <w:tcPr>
            <w:tcW w:type="dxa" w:w="2891"/>
            <w:vAlign w:val="center"/>
          </w:tcPr>
          <w:p>
            <w:pPr>
              <w:keepNext w:val="0"/>
              <w:spacing w:line="320" w:lineRule="exact" w:after="0" w:before="0"/>
              <w:ind w:firstLine="0"/>
              <w:jc w:val="left"/>
            </w:pPr>
            <w:r>
              <w:rPr>
                <w:b w:val="0"/>
                <w:sz w:val="21"/>
              </w:rPr>
              <w:t>超容限则调整语料混比与训练配置后重跑；反复不达标时联合核查语料与训练配置</w:t>
            </w:r>
          </w:p>
        </w:tc>
      </w:tr>
      <w:tr>
        <w:trPr>
          <w:cantSplit/>
        </w:trPr>
        <w:tc>
          <w:tcPr>
            <w:tcW w:type="dxa" w:w="1638"/>
            <w:vAlign w:val="center"/>
          </w:tcPr>
          <w:p>
            <w:pPr>
              <w:keepNext w:val="0"/>
              <w:spacing w:line="320" w:lineRule="exact" w:after="0" w:before="0"/>
              <w:ind w:firstLine="0"/>
              <w:jc w:val="left"/>
            </w:pPr>
            <w:r>
              <w:rPr>
                <w:b w:val="0"/>
                <w:sz w:val="21"/>
              </w:rPr>
              <w:t>通用能力抽样评测</w:t>
            </w:r>
          </w:p>
        </w:tc>
        <w:tc>
          <w:tcPr>
            <w:tcW w:type="dxa" w:w="2699"/>
            <w:vAlign w:val="center"/>
          </w:tcPr>
          <w:p>
            <w:pPr>
              <w:keepNext w:val="0"/>
              <w:spacing w:line="320" w:lineRule="exact" w:after="0" w:before="0"/>
              <w:ind w:firstLine="0"/>
              <w:jc w:val="left"/>
            </w:pPr>
            <w:r>
              <w:rPr>
                <w:b w:val="0"/>
                <w:sz w:val="21"/>
              </w:rPr>
              <w:t>在通用评测题目上的表现不显著低于基座</w:t>
            </w:r>
          </w:p>
        </w:tc>
        <w:tc>
          <w:tcPr>
            <w:tcW w:type="dxa" w:w="2409"/>
            <w:vAlign w:val="center"/>
          </w:tcPr>
          <w:p>
            <w:pPr>
              <w:keepNext w:val="0"/>
              <w:spacing w:line="320" w:lineRule="exact" w:after="0" w:before="0"/>
              <w:ind w:firstLine="0"/>
              <w:jc w:val="left"/>
            </w:pPr>
            <w:r>
              <w:rPr>
                <w:b w:val="0"/>
                <w:sz w:val="21"/>
              </w:rPr>
              <w:t>同上</w:t>
            </w:r>
          </w:p>
        </w:tc>
        <w:tc>
          <w:tcPr>
            <w:tcW w:type="dxa" w:w="2891"/>
            <w:vAlign w:val="center"/>
          </w:tcPr>
          <w:p>
            <w:pPr>
              <w:keepNext w:val="0"/>
              <w:spacing w:line="320" w:lineRule="exact" w:after="0" w:before="0"/>
              <w:ind w:firstLine="0"/>
              <w:jc w:val="left"/>
            </w:pPr>
            <w:r>
              <w:rPr>
                <w:b w:val="0"/>
                <w:sz w:val="21"/>
              </w:rPr>
              <w:t>显著下降则按上条处置，并在验证报告中如实记录</w:t>
            </w:r>
          </w:p>
        </w:tc>
      </w:tr>
    </w:tbl>
    <w:p>
      <w:pPr>
        <w:spacing w:after="40" w:line="240" w:lineRule="auto"/>
        <w:ind w:firstLine="0"/>
      </w:pPr>
      <w:r>
        <w:rPr>
          <w:sz w:val="4"/>
        </w:rPr>
      </w:r>
    </w:p>
    <w:p>
      <w:pPr>
        <w:pStyle w:val="Heading2"/>
      </w:pPr>
      <w:r>
        <w:t>6.3 指令微调实验</w:t>
      </w:r>
    </w:p>
    <w:p>
      <w:pPr>
        <w:jc w:val="both"/>
      </w:pPr>
      <w:r>
        <w:t>四个方面的评测内容、题目来源与指标如表 6-3。四项中「任务完成质量」与各验证场景的关系最直接，它测的不是通用的回答质量，而是本项目十一个验证场景所需的具体任务能不能完成。</w:t>
      </w:r>
    </w:p>
    <w:p>
      <w:pPr>
        <w:pStyle w:val="Caption"/>
        <w:keepNext/>
      </w:pPr>
      <w:r>
        <w:t>表6-3 指令微调实验的四类评测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评测方面</w:t>
            </w:r>
          </w:p>
        </w:tc>
        <w:tc>
          <w:tcPr>
            <w:tcW w:type="dxa" w:w="2120"/>
            <w:vAlign w:val="center"/>
            <w:shd w:fill="EDF1F3"/>
          </w:tcPr>
          <w:p>
            <w:pPr>
              <w:keepNext/>
              <w:spacing w:line="320" w:lineRule="exact" w:after="0" w:before="0"/>
              <w:ind w:firstLine="0"/>
              <w:jc w:val="center"/>
            </w:pPr>
            <w:r>
              <w:rPr>
                <w:b/>
                <w:sz w:val="21"/>
              </w:rPr>
              <w:t>评测内容</w:t>
            </w:r>
          </w:p>
        </w:tc>
        <w:tc>
          <w:tcPr>
            <w:tcW w:type="dxa" w:w="1928"/>
            <w:vAlign w:val="center"/>
            <w:shd w:fill="EDF1F3"/>
          </w:tcPr>
          <w:p>
            <w:pPr>
              <w:keepNext/>
              <w:spacing w:line="320" w:lineRule="exact" w:after="0" w:before="0"/>
              <w:ind w:firstLine="0"/>
              <w:jc w:val="center"/>
            </w:pPr>
            <w:r>
              <w:rPr>
                <w:b/>
                <w:sz w:val="21"/>
              </w:rPr>
              <w:t>题目来源</w:t>
            </w:r>
          </w:p>
        </w:tc>
        <w:tc>
          <w:tcPr>
            <w:tcW w:type="dxa" w:w="1928"/>
            <w:vAlign w:val="center"/>
            <w:shd w:fill="EDF1F3"/>
          </w:tcPr>
          <w:p>
            <w:pPr>
              <w:keepNext/>
              <w:spacing w:line="320" w:lineRule="exact" w:after="0" w:before="0"/>
              <w:ind w:firstLine="0"/>
              <w:jc w:val="center"/>
            </w:pPr>
            <w:r>
              <w:rPr>
                <w:b/>
                <w:sz w:val="21"/>
              </w:rPr>
              <w:t>指标</w:t>
            </w:r>
          </w:p>
        </w:tc>
        <w:tc>
          <w:tcPr>
            <w:tcW w:type="dxa" w:w="1928"/>
            <w:vAlign w:val="center"/>
            <w:shd w:fill="EDF1F3"/>
          </w:tcPr>
          <w:p>
            <w:pPr>
              <w:keepNext/>
              <w:spacing w:line="320" w:lineRule="exact" w:after="0" w:before="0"/>
              <w:ind w:firstLine="0"/>
              <w:jc w:val="center"/>
            </w:pPr>
            <w:r>
              <w:rPr>
                <w:b/>
                <w:sz w:val="21"/>
              </w:rPr>
              <w:t>判分方式</w:t>
            </w:r>
          </w:p>
        </w:tc>
      </w:tr>
      <w:tr>
        <w:trPr>
          <w:cantSplit/>
        </w:trPr>
        <w:tc>
          <w:tcPr>
            <w:tcW w:type="dxa" w:w="1735"/>
            <w:vAlign w:val="center"/>
          </w:tcPr>
          <w:p>
            <w:pPr>
              <w:keepNext w:val="0"/>
              <w:spacing w:line="320" w:lineRule="exact" w:after="0" w:before="0"/>
              <w:ind w:firstLine="0"/>
              <w:jc w:val="left"/>
            </w:pPr>
            <w:r>
              <w:rPr>
                <w:b w:val="0"/>
                <w:sz w:val="21"/>
              </w:rPr>
              <w:t>指令遵循</w:t>
            </w:r>
          </w:p>
        </w:tc>
        <w:tc>
          <w:tcPr>
            <w:tcW w:type="dxa" w:w="2120"/>
            <w:vAlign w:val="center"/>
          </w:tcPr>
          <w:p>
            <w:pPr>
              <w:keepNext w:val="0"/>
              <w:spacing w:line="320" w:lineRule="exact" w:after="0" w:before="0"/>
              <w:ind w:firstLine="0"/>
              <w:jc w:val="left"/>
            </w:pPr>
            <w:r>
              <w:rPr>
                <w:b w:val="0"/>
                <w:sz w:val="21"/>
              </w:rPr>
              <w:t>是否按要求的格式、字段、口径输出；多约束指令的约束满足率</w:t>
            </w:r>
          </w:p>
        </w:tc>
        <w:tc>
          <w:tcPr>
            <w:tcW w:type="dxa" w:w="1928"/>
            <w:vAlign w:val="center"/>
          </w:tcPr>
          <w:p>
            <w:pPr>
              <w:keepNext w:val="0"/>
              <w:spacing w:line="320" w:lineRule="exact" w:after="0" w:before="0"/>
              <w:ind w:firstLine="0"/>
              <w:jc w:val="left"/>
            </w:pPr>
            <w:r>
              <w:rPr>
                <w:b w:val="0"/>
                <w:sz w:val="21"/>
              </w:rPr>
              <w:t>基准评测子集的格式约束题</w:t>
            </w:r>
          </w:p>
        </w:tc>
        <w:tc>
          <w:tcPr>
            <w:tcW w:type="dxa" w:w="1928"/>
            <w:vAlign w:val="center"/>
          </w:tcPr>
          <w:p>
            <w:pPr>
              <w:keepNext w:val="0"/>
              <w:spacing w:line="320" w:lineRule="exact" w:after="0" w:before="0"/>
              <w:ind w:firstLine="0"/>
              <w:jc w:val="left"/>
            </w:pPr>
            <w:r>
              <w:rPr>
                <w:b w:val="0"/>
                <w:sz w:val="21"/>
              </w:rPr>
              <w:t>格式合规率、约束满足率</w:t>
            </w:r>
          </w:p>
        </w:tc>
        <w:tc>
          <w:tcPr>
            <w:tcW w:type="dxa" w:w="1928"/>
            <w:vAlign w:val="center"/>
          </w:tcPr>
          <w:p>
            <w:pPr>
              <w:keepNext w:val="0"/>
              <w:spacing w:line="320" w:lineRule="exact" w:after="0" w:before="0"/>
              <w:ind w:firstLine="0"/>
              <w:jc w:val="left"/>
            </w:pPr>
            <w:r>
              <w:rPr>
                <w:b w:val="0"/>
                <w:sz w:val="21"/>
              </w:rPr>
              <w:t>规则判分</w:t>
            </w:r>
          </w:p>
        </w:tc>
      </w:tr>
      <w:tr>
        <w:trPr>
          <w:cantSplit/>
        </w:trPr>
        <w:tc>
          <w:tcPr>
            <w:tcW w:type="dxa" w:w="1735"/>
            <w:vAlign w:val="center"/>
          </w:tcPr>
          <w:p>
            <w:pPr>
              <w:keepNext w:val="0"/>
              <w:spacing w:line="320" w:lineRule="exact" w:after="0" w:before="0"/>
              <w:ind w:firstLine="0"/>
              <w:jc w:val="left"/>
            </w:pPr>
            <w:r>
              <w:rPr>
                <w:b w:val="0"/>
                <w:sz w:val="21"/>
              </w:rPr>
              <w:t>任务完成质量</w:t>
            </w:r>
          </w:p>
        </w:tc>
        <w:tc>
          <w:tcPr>
            <w:tcW w:type="dxa" w:w="2120"/>
            <w:vAlign w:val="center"/>
          </w:tcPr>
          <w:p>
            <w:pPr>
              <w:keepNext w:val="0"/>
              <w:spacing w:line="320" w:lineRule="exact" w:after="0" w:before="0"/>
              <w:ind w:firstLine="0"/>
              <w:jc w:val="left"/>
            </w:pPr>
            <w:r>
              <w:rPr>
                <w:b w:val="0"/>
                <w:sz w:val="21"/>
              </w:rPr>
              <w:t>工艺卡片工序序列生成、合同要素抽取、缺陷判定、诊断说明撰写、指标问答取数逻辑</w:t>
            </w:r>
          </w:p>
        </w:tc>
        <w:tc>
          <w:tcPr>
            <w:tcW w:type="dxa" w:w="1928"/>
            <w:vAlign w:val="center"/>
          </w:tcPr>
          <w:p>
            <w:pPr>
              <w:keepNext w:val="0"/>
              <w:spacing w:line="320" w:lineRule="exact" w:after="0" w:before="0"/>
              <w:ind w:firstLine="0"/>
              <w:jc w:val="left"/>
            </w:pPr>
            <w:r>
              <w:rPr>
                <w:b w:val="0"/>
                <w:sz w:val="21"/>
              </w:rPr>
              <w:t>基准评测子集的各场景任务题</w:t>
            </w:r>
          </w:p>
        </w:tc>
        <w:tc>
          <w:tcPr>
            <w:tcW w:type="dxa" w:w="1928"/>
            <w:vAlign w:val="center"/>
          </w:tcPr>
          <w:p>
            <w:pPr>
              <w:keepNext w:val="0"/>
              <w:spacing w:line="320" w:lineRule="exact" w:after="0" w:before="0"/>
              <w:ind w:firstLine="0"/>
              <w:jc w:val="left"/>
            </w:pPr>
            <w:r>
              <w:rPr>
                <w:b w:val="0"/>
                <w:sz w:val="21"/>
              </w:rPr>
              <w:t>按任务类型分别计：序列相似度、要素 F1、分类准确率、要点覆盖率、取数逻辑一致率</w:t>
            </w:r>
          </w:p>
        </w:tc>
        <w:tc>
          <w:tcPr>
            <w:tcW w:type="dxa" w:w="1928"/>
            <w:vAlign w:val="center"/>
          </w:tcPr>
          <w:p>
            <w:pPr>
              <w:keepNext w:val="0"/>
              <w:spacing w:line="320" w:lineRule="exact" w:after="0" w:before="0"/>
              <w:ind w:firstLine="0"/>
              <w:jc w:val="left"/>
            </w:pPr>
            <w:r>
              <w:rPr>
                <w:b w:val="0"/>
                <w:sz w:val="21"/>
              </w:rPr>
              <w:t>规则判分＋人工复核</w:t>
            </w:r>
          </w:p>
        </w:tc>
      </w:tr>
      <w:tr>
        <w:trPr>
          <w:cantSplit/>
        </w:trPr>
        <w:tc>
          <w:tcPr>
            <w:tcW w:type="dxa" w:w="1735"/>
            <w:vAlign w:val="center"/>
          </w:tcPr>
          <w:p>
            <w:pPr>
              <w:keepNext w:val="0"/>
              <w:spacing w:line="320" w:lineRule="exact" w:after="0" w:before="0"/>
              <w:ind w:firstLine="0"/>
              <w:jc w:val="left"/>
            </w:pPr>
            <w:r>
              <w:rPr>
                <w:b w:val="0"/>
                <w:sz w:val="21"/>
              </w:rPr>
              <w:t>行业问答准确性</w:t>
            </w:r>
          </w:p>
        </w:tc>
        <w:tc>
          <w:tcPr>
            <w:tcW w:type="dxa" w:w="2120"/>
            <w:vAlign w:val="center"/>
          </w:tcPr>
          <w:p>
            <w:pPr>
              <w:keepNext w:val="0"/>
              <w:spacing w:line="320" w:lineRule="exact" w:after="0" w:before="0"/>
              <w:ind w:firstLine="0"/>
              <w:jc w:val="left"/>
            </w:pPr>
            <w:r>
              <w:rPr>
                <w:b w:val="0"/>
                <w:sz w:val="21"/>
              </w:rPr>
              <w:t>制度、标准、标书、决策数据问答的答案正确性与出处正确性</w:t>
            </w:r>
          </w:p>
        </w:tc>
        <w:tc>
          <w:tcPr>
            <w:tcW w:type="dxa" w:w="1928"/>
            <w:vAlign w:val="center"/>
          </w:tcPr>
          <w:p>
            <w:pPr>
              <w:keepNext w:val="0"/>
              <w:spacing w:line="320" w:lineRule="exact" w:after="0" w:before="0"/>
              <w:ind w:firstLine="0"/>
              <w:jc w:val="left"/>
            </w:pPr>
            <w:r>
              <w:rPr>
                <w:b w:val="0"/>
                <w:sz w:val="21"/>
              </w:rPr>
              <w:t>基准评测子集的问答题</w:t>
            </w:r>
          </w:p>
        </w:tc>
        <w:tc>
          <w:tcPr>
            <w:tcW w:type="dxa" w:w="1928"/>
            <w:vAlign w:val="center"/>
          </w:tcPr>
          <w:p>
            <w:pPr>
              <w:keepNext w:val="0"/>
              <w:spacing w:line="320" w:lineRule="exact" w:after="0" w:before="0"/>
              <w:ind w:firstLine="0"/>
              <w:jc w:val="left"/>
            </w:pPr>
            <w:r>
              <w:rPr>
                <w:b w:val="0"/>
                <w:sz w:val="21"/>
              </w:rPr>
              <w:t>答案正确率、出处命中率</w:t>
            </w:r>
          </w:p>
        </w:tc>
        <w:tc>
          <w:tcPr>
            <w:tcW w:type="dxa" w:w="1928"/>
            <w:vAlign w:val="center"/>
          </w:tcPr>
          <w:p>
            <w:pPr>
              <w:keepNext w:val="0"/>
              <w:spacing w:line="320" w:lineRule="exact" w:after="0" w:before="0"/>
              <w:ind w:firstLine="0"/>
              <w:jc w:val="left"/>
            </w:pPr>
            <w:r>
              <w:rPr>
                <w:b w:val="0"/>
                <w:sz w:val="21"/>
              </w:rPr>
              <w:t>规则判分＋人工复核</w:t>
            </w:r>
          </w:p>
        </w:tc>
      </w:tr>
      <w:tr>
        <w:trPr>
          <w:cantSplit/>
        </w:trPr>
        <w:tc>
          <w:tcPr>
            <w:tcW w:type="dxa" w:w="1735"/>
            <w:vAlign w:val="center"/>
          </w:tcPr>
          <w:p>
            <w:pPr>
              <w:keepNext w:val="0"/>
              <w:spacing w:line="320" w:lineRule="exact" w:after="0" w:before="0"/>
              <w:ind w:firstLine="0"/>
              <w:jc w:val="left"/>
            </w:pPr>
            <w:r>
              <w:rPr>
                <w:b w:val="0"/>
                <w:sz w:val="21"/>
              </w:rPr>
              <w:t>长上下文理解</w:t>
            </w:r>
          </w:p>
        </w:tc>
        <w:tc>
          <w:tcPr>
            <w:tcW w:type="dxa" w:w="2120"/>
            <w:vAlign w:val="center"/>
          </w:tcPr>
          <w:p>
            <w:pPr>
              <w:keepNext w:val="0"/>
              <w:spacing w:line="320" w:lineRule="exact" w:after="0" w:before="0"/>
              <w:ind w:firstLine="0"/>
              <w:jc w:val="left"/>
            </w:pPr>
            <w:r>
              <w:rPr>
                <w:b w:val="0"/>
                <w:sz w:val="21"/>
              </w:rPr>
              <w:t>在项目级多文档输入下的信息定位与跨文档比对</w:t>
            </w:r>
          </w:p>
        </w:tc>
        <w:tc>
          <w:tcPr>
            <w:tcW w:type="dxa" w:w="1928"/>
            <w:vAlign w:val="center"/>
          </w:tcPr>
          <w:p>
            <w:pPr>
              <w:keepNext w:val="0"/>
              <w:spacing w:line="320" w:lineRule="exact" w:after="0" w:before="0"/>
              <w:ind w:firstLine="0"/>
              <w:jc w:val="left"/>
            </w:pPr>
            <w:r>
              <w:rPr>
                <w:b w:val="0"/>
                <w:sz w:val="21"/>
              </w:rPr>
              <w:t>按真实项目边界构造的长上下文题</w:t>
            </w:r>
          </w:p>
        </w:tc>
        <w:tc>
          <w:tcPr>
            <w:tcW w:type="dxa" w:w="1928"/>
            <w:vAlign w:val="center"/>
          </w:tcPr>
          <w:p>
            <w:pPr>
              <w:keepNext w:val="0"/>
              <w:spacing w:line="320" w:lineRule="exact" w:after="0" w:before="0"/>
              <w:ind w:firstLine="0"/>
              <w:jc w:val="left"/>
            </w:pPr>
            <w:r>
              <w:rPr>
                <w:b w:val="0"/>
                <w:sz w:val="21"/>
              </w:rPr>
              <w:t>定位准确率、跨文档比对正确率、不同长度区间的表现曲线</w:t>
            </w:r>
          </w:p>
        </w:tc>
        <w:tc>
          <w:tcPr>
            <w:tcW w:type="dxa" w:w="1928"/>
            <w:vAlign w:val="center"/>
          </w:tcPr>
          <w:p>
            <w:pPr>
              <w:keepNext w:val="0"/>
              <w:spacing w:line="320" w:lineRule="exact" w:after="0" w:before="0"/>
              <w:ind w:firstLine="0"/>
              <w:jc w:val="left"/>
            </w:pPr>
            <w:r>
              <w:rPr>
                <w:b w:val="0"/>
                <w:sz w:val="21"/>
              </w:rPr>
              <w:t>规则判分</w:t>
            </w:r>
          </w:p>
        </w:tc>
      </w:tr>
    </w:tbl>
    <w:p>
      <w:pPr>
        <w:spacing w:after="40" w:line="240" w:lineRule="auto"/>
        <w:ind w:firstLine="0"/>
      </w:pPr>
      <w:r>
        <w:rPr>
          <w:sz w:val="4"/>
        </w:rPr>
      </w:r>
    </w:p>
    <w:p>
      <w:pPr>
        <w:jc w:val="both"/>
      </w:pPr>
      <w:r>
        <w:t>长上下文评测需要专门设计，因为它最容易出现虚高。若评测题目的答案都集中在输入的前部，模型只要读前面就能答对，长上下文指标会显著好于实际能力。本方案的处置是按答案位置分层出题：答案位于输入前段、中段、后段与分散在多处的题目各占一定比例，分别统计表现，并给出随输入长度增长的表现曲线。这一曲线的实际用途是告诉场景侧「输入超过多长之后效果开始下降」，从而决定场景的输入切分策略。</w:t>
      </w:r>
    </w:p>
    <w:p>
      <w:pPr>
        <w:jc w:val="both"/>
      </w:pPr>
      <w:r>
        <w:t>消融实验在本段按数据集设置：分别去掉四个数据集的指令微调样本后重跑微调，观察各类任务指标的变化，产出「某数据集贡献了哪些任务能力」的归属结论。这一结论是四个数据集各自价值的直接证据，也是下一版本资源投向的依据。</w:t>
      </w:r>
    </w:p>
    <w:p>
      <w:pPr>
        <w:jc w:val="both"/>
      </w:pPr>
      <w:r>
        <w:t>出处正确性在行业问答评测中单独计分，这是本项目的一项实质要求：各通用场景都要求给出出处。只测答案正确率会漏掉一种典型失败——答案对但出处编造。因此评测要求同时判定答案与出处，两者都正确才计全分，答案正确而出处错误计部分分并在错样归因中单列。</w:t>
      </w:r>
    </w:p>
    <w:p>
      <w:pPr>
        <w:pStyle w:val="Heading2"/>
      </w:pPr>
      <w:r>
        <w:t>6.4 偏好对齐实验与奖励模型</w:t>
      </w:r>
    </w:p>
    <w:p>
      <w:pPr>
        <w:jc w:val="both"/>
      </w:pPr>
      <w:r>
        <w:t>奖励模型按四个数据集的偏好对训练，交付规模分别为3.2万组、0.8万组、1万组和1.6万组，合计6.6万组。训练、开发验证及独立测试按源任务和回答家族隔离，报告实际参与各阶段的组数及抽样权重，不能把交付总量直接写成每次训练实际用量。偏好判别结果按差异类型、业务域及难度统计，检查模型是否只利用回答长度、措辞或来源等无关线索。</w:t>
      </w:r>
    </w:p>
    <w:p>
      <w:pPr>
        <w:jc w:val="both"/>
      </w:pPr>
      <w:r>
        <w:t>回答质量改善情况的测量方式是对齐前后的成对比较：在同一组指令上分别采集微调模型与对齐模型的输出，由业务专家做成对偏好判定，统计对齐模型胜出比例。成对比较的组织要点是盲评与随机顺序，评判人不知道哪个输出来自哪个模型。评判维度按本项目场景的实际需求设定：结论正确性、依据充分性、适用边界说明是否恰当、表述是否符合企业规范。</w:t>
      </w:r>
    </w:p>
    <w:p>
      <w:pPr>
        <w:jc w:val="both"/>
      </w:pPr>
      <w:r>
        <w:t>安全合规通过率测的是输出的内容安全与合规性，评测题目包括三类：涉及工艺参数敏感信息的提问（检验模型是否按权限边界回答）、涉及商业敏感信息的提问（检验是否泄露客户与合同信息）、以及诱导性提问（检验是否在证据不足时给出确定性结论）。第三类对本项目尤其重要：诊断与质检场景中模型在证据不足时给出确定性结论，比拒答的危害大得多。本方案要求对齐后的模型在证据不足时输出证据等级与建议的进一步检查项，这与 2.6.4 节诊断说明样本中「证据等级」字段的设计是对应的。</w:t>
      </w:r>
    </w:p>
    <w:p>
      <w:pPr>
        <w:pStyle w:val="Caption"/>
        <w:keepNext/>
      </w:pPr>
      <w:r>
        <w:t>表6-4 偏好对齐实验的指标与判定</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指标</w:t>
            </w:r>
          </w:p>
        </w:tc>
        <w:tc>
          <w:tcPr>
            <w:tcW w:type="dxa" w:w="2699"/>
            <w:vAlign w:val="center"/>
            <w:shd w:fill="EDF1F3"/>
          </w:tcPr>
          <w:p>
            <w:pPr>
              <w:keepNext/>
              <w:spacing w:line="320" w:lineRule="exact" w:after="0" w:before="0"/>
              <w:ind w:firstLine="0"/>
              <w:jc w:val="center"/>
            </w:pPr>
            <w:r>
              <w:rPr>
                <w:b/>
                <w:sz w:val="21"/>
              </w:rPr>
              <w:t>测量方式</w:t>
            </w:r>
          </w:p>
        </w:tc>
        <w:tc>
          <w:tcPr>
            <w:tcW w:type="dxa" w:w="2409"/>
            <w:vAlign w:val="center"/>
            <w:shd w:fill="EDF1F3"/>
          </w:tcPr>
          <w:p>
            <w:pPr>
              <w:keepNext/>
              <w:spacing w:line="320" w:lineRule="exact" w:after="0" w:before="0"/>
              <w:ind w:firstLine="0"/>
              <w:jc w:val="center"/>
            </w:pPr>
            <w:r>
              <w:rPr>
                <w:b/>
                <w:sz w:val="21"/>
              </w:rPr>
              <w:t>分类统计维度</w:t>
            </w:r>
          </w:p>
        </w:tc>
        <w:tc>
          <w:tcPr>
            <w:tcW w:type="dxa" w:w="2891"/>
            <w:vAlign w:val="center"/>
            <w:shd w:fill="EDF1F3"/>
          </w:tcPr>
          <w:p>
            <w:pPr>
              <w:keepNext/>
              <w:spacing w:line="320" w:lineRule="exact" w:after="0" w:before="0"/>
              <w:ind w:firstLine="0"/>
              <w:jc w:val="center"/>
            </w:pPr>
            <w:r>
              <w:rPr>
                <w:b/>
                <w:sz w:val="21"/>
              </w:rPr>
              <w:t>判定口径</w:t>
            </w:r>
          </w:p>
        </w:tc>
      </w:tr>
      <w:tr>
        <w:trPr>
          <w:cantSplit/>
        </w:trPr>
        <w:tc>
          <w:tcPr>
            <w:tcW w:type="dxa" w:w="1638"/>
            <w:vAlign w:val="center"/>
          </w:tcPr>
          <w:p>
            <w:pPr>
              <w:keepNext w:val="0"/>
              <w:spacing w:line="320" w:lineRule="exact" w:after="0" w:before="0"/>
              <w:ind w:firstLine="0"/>
              <w:jc w:val="left"/>
            </w:pPr>
            <w:r>
              <w:rPr>
                <w:b w:val="0"/>
                <w:sz w:val="21"/>
              </w:rPr>
              <w:t>偏好判别准确率</w:t>
            </w:r>
          </w:p>
        </w:tc>
        <w:tc>
          <w:tcPr>
            <w:tcW w:type="dxa" w:w="2699"/>
            <w:vAlign w:val="center"/>
          </w:tcPr>
          <w:p>
            <w:pPr>
              <w:keepNext w:val="0"/>
              <w:spacing w:line="320" w:lineRule="exact" w:after="0" w:before="0"/>
              <w:ind w:firstLine="0"/>
              <w:jc w:val="left"/>
            </w:pPr>
            <w:r>
              <w:rPr>
                <w:b w:val="0"/>
                <w:sz w:val="21"/>
              </w:rPr>
              <w:t>留出偏好对上的判别正确率</w:t>
            </w:r>
          </w:p>
        </w:tc>
        <w:tc>
          <w:tcPr>
            <w:tcW w:type="dxa" w:w="2409"/>
            <w:vAlign w:val="center"/>
          </w:tcPr>
          <w:p>
            <w:pPr>
              <w:keepNext w:val="0"/>
              <w:spacing w:line="320" w:lineRule="exact" w:after="0" w:before="0"/>
              <w:ind w:firstLine="0"/>
              <w:jc w:val="left"/>
            </w:pPr>
            <w:r>
              <w:rPr>
                <w:b w:val="0"/>
                <w:sz w:val="21"/>
              </w:rPr>
              <w:t>按优劣差异归因类型分类</w:t>
            </w:r>
          </w:p>
        </w:tc>
        <w:tc>
          <w:tcPr>
            <w:tcW w:type="dxa" w:w="2891"/>
            <w:vAlign w:val="center"/>
          </w:tcPr>
          <w:p>
            <w:pPr>
              <w:keepNext w:val="0"/>
              <w:spacing w:line="320" w:lineRule="exact" w:after="0" w:before="0"/>
              <w:ind w:firstLine="0"/>
              <w:jc w:val="left"/>
            </w:pPr>
            <w:r>
              <w:rPr>
                <w:b w:val="0"/>
                <w:sz w:val="21"/>
              </w:rPr>
              <w:t>总体准确率与各类准确率均记录；某类显著偏低的补充该类样本</w:t>
            </w:r>
          </w:p>
        </w:tc>
      </w:tr>
      <w:tr>
        <w:trPr>
          <w:cantSplit/>
        </w:trPr>
        <w:tc>
          <w:tcPr>
            <w:tcW w:type="dxa" w:w="1638"/>
            <w:vAlign w:val="center"/>
          </w:tcPr>
          <w:p>
            <w:pPr>
              <w:keepNext w:val="0"/>
              <w:spacing w:line="320" w:lineRule="exact" w:after="0" w:before="0"/>
              <w:ind w:firstLine="0"/>
              <w:jc w:val="left"/>
            </w:pPr>
            <w:r>
              <w:rPr>
                <w:b w:val="0"/>
                <w:sz w:val="21"/>
              </w:rPr>
              <w:t>回答质量改善</w:t>
            </w:r>
          </w:p>
        </w:tc>
        <w:tc>
          <w:tcPr>
            <w:tcW w:type="dxa" w:w="2699"/>
            <w:vAlign w:val="center"/>
          </w:tcPr>
          <w:p>
            <w:pPr>
              <w:keepNext w:val="0"/>
              <w:spacing w:line="320" w:lineRule="exact" w:after="0" w:before="0"/>
              <w:ind w:firstLine="0"/>
              <w:jc w:val="left"/>
            </w:pPr>
            <w:r>
              <w:rPr>
                <w:b w:val="0"/>
                <w:sz w:val="21"/>
              </w:rPr>
              <w:t>对齐前后输出的盲评成对比较</w:t>
            </w:r>
          </w:p>
        </w:tc>
        <w:tc>
          <w:tcPr>
            <w:tcW w:type="dxa" w:w="2409"/>
            <w:vAlign w:val="center"/>
          </w:tcPr>
          <w:p>
            <w:pPr>
              <w:keepNext w:val="0"/>
              <w:spacing w:line="320" w:lineRule="exact" w:after="0" w:before="0"/>
              <w:ind w:firstLine="0"/>
              <w:jc w:val="left"/>
            </w:pPr>
            <w:r>
              <w:rPr>
                <w:b w:val="0"/>
                <w:sz w:val="21"/>
              </w:rPr>
              <w:t>按结论正确性、依据充分性、适用边界、表述规范四维</w:t>
            </w:r>
          </w:p>
        </w:tc>
        <w:tc>
          <w:tcPr>
            <w:tcW w:type="dxa" w:w="2891"/>
            <w:vAlign w:val="center"/>
          </w:tcPr>
          <w:p>
            <w:pPr>
              <w:keepNext w:val="0"/>
              <w:spacing w:line="320" w:lineRule="exact" w:after="0" w:before="0"/>
              <w:ind w:firstLine="0"/>
              <w:jc w:val="left"/>
            </w:pPr>
            <w:r>
              <w:rPr>
                <w:b w:val="0"/>
                <w:sz w:val="21"/>
              </w:rPr>
              <w:t>报告胜平负及计平局后的偏好得分，按预定统计方法和最低改善要求判定</w:t>
            </w:r>
          </w:p>
        </w:tc>
      </w:tr>
      <w:tr>
        <w:trPr>
          <w:cantSplit/>
        </w:trPr>
        <w:tc>
          <w:tcPr>
            <w:tcW w:type="dxa" w:w="1638"/>
            <w:vAlign w:val="center"/>
          </w:tcPr>
          <w:p>
            <w:pPr>
              <w:keepNext w:val="0"/>
              <w:spacing w:line="320" w:lineRule="exact" w:after="0" w:before="0"/>
              <w:ind w:firstLine="0"/>
              <w:jc w:val="left"/>
            </w:pPr>
            <w:r>
              <w:rPr>
                <w:b w:val="0"/>
                <w:sz w:val="21"/>
              </w:rPr>
              <w:t>安全合规通过率</w:t>
            </w:r>
          </w:p>
        </w:tc>
        <w:tc>
          <w:tcPr>
            <w:tcW w:type="dxa" w:w="2699"/>
            <w:vAlign w:val="center"/>
          </w:tcPr>
          <w:p>
            <w:pPr>
              <w:keepNext w:val="0"/>
              <w:spacing w:line="320" w:lineRule="exact" w:after="0" w:before="0"/>
              <w:ind w:firstLine="0"/>
              <w:jc w:val="left"/>
            </w:pPr>
            <w:r>
              <w:rPr>
                <w:b w:val="0"/>
                <w:sz w:val="21"/>
              </w:rPr>
              <w:t>三类评测题目上的通过率</w:t>
            </w:r>
          </w:p>
        </w:tc>
        <w:tc>
          <w:tcPr>
            <w:tcW w:type="dxa" w:w="2409"/>
            <w:vAlign w:val="center"/>
          </w:tcPr>
          <w:p>
            <w:pPr>
              <w:keepNext w:val="0"/>
              <w:spacing w:line="320" w:lineRule="exact" w:after="0" w:before="0"/>
              <w:ind w:firstLine="0"/>
              <w:jc w:val="left"/>
            </w:pPr>
            <w:r>
              <w:rPr>
                <w:b w:val="0"/>
                <w:sz w:val="21"/>
              </w:rPr>
              <w:t>按权限边界、商业敏感、证据不足三类</w:t>
            </w:r>
          </w:p>
        </w:tc>
        <w:tc>
          <w:tcPr>
            <w:tcW w:type="dxa" w:w="2891"/>
            <w:vAlign w:val="center"/>
          </w:tcPr>
          <w:p>
            <w:pPr>
              <w:keepNext w:val="0"/>
              <w:spacing w:line="320" w:lineRule="exact" w:after="0" w:before="0"/>
              <w:ind w:firstLine="0"/>
              <w:jc w:val="left"/>
            </w:pPr>
            <w:r>
              <w:rPr>
                <w:b w:val="0"/>
                <w:sz w:val="21"/>
              </w:rPr>
              <w:t>三类分别统计；证据不足类要求输出证据等级而非确定性结论</w:t>
            </w:r>
          </w:p>
        </w:tc>
      </w:tr>
      <w:tr>
        <w:trPr>
          <w:cantSplit/>
        </w:trPr>
        <w:tc>
          <w:tcPr>
            <w:tcW w:type="dxa" w:w="1638"/>
            <w:vAlign w:val="center"/>
          </w:tcPr>
          <w:p>
            <w:pPr>
              <w:keepNext w:val="0"/>
              <w:spacing w:line="320" w:lineRule="exact" w:after="0" w:before="0"/>
              <w:ind w:firstLine="0"/>
              <w:jc w:val="left"/>
            </w:pPr>
            <w:r>
              <w:rPr>
                <w:b w:val="0"/>
                <w:sz w:val="21"/>
              </w:rPr>
              <w:t>对齐后能力保持</w:t>
            </w:r>
          </w:p>
        </w:tc>
        <w:tc>
          <w:tcPr>
            <w:tcW w:type="dxa" w:w="2699"/>
            <w:vAlign w:val="center"/>
          </w:tcPr>
          <w:p>
            <w:pPr>
              <w:keepNext w:val="0"/>
              <w:spacing w:line="320" w:lineRule="exact" w:after="0" w:before="0"/>
              <w:ind w:firstLine="0"/>
              <w:jc w:val="left"/>
            </w:pPr>
            <w:r>
              <w:rPr>
                <w:b w:val="0"/>
                <w:sz w:val="21"/>
              </w:rPr>
              <w:t>在指令微调实验的四类评测上重测</w:t>
            </w:r>
          </w:p>
        </w:tc>
        <w:tc>
          <w:tcPr>
            <w:tcW w:type="dxa" w:w="2409"/>
            <w:vAlign w:val="center"/>
          </w:tcPr>
          <w:p>
            <w:pPr>
              <w:keepNext w:val="0"/>
              <w:spacing w:line="320" w:lineRule="exact" w:after="0" w:before="0"/>
              <w:ind w:firstLine="0"/>
              <w:jc w:val="left"/>
            </w:pPr>
            <w:r>
              <w:rPr>
                <w:b w:val="0"/>
                <w:sz w:val="21"/>
              </w:rPr>
              <w:t>同表 6-3</w:t>
            </w:r>
          </w:p>
        </w:tc>
        <w:tc>
          <w:tcPr>
            <w:tcW w:type="dxa" w:w="2891"/>
            <w:vAlign w:val="center"/>
          </w:tcPr>
          <w:p>
            <w:pPr>
              <w:keepNext w:val="0"/>
              <w:spacing w:line="320" w:lineRule="exact" w:after="0" w:before="0"/>
              <w:ind w:firstLine="0"/>
              <w:jc w:val="left"/>
            </w:pPr>
            <w:r>
              <w:rPr>
                <w:b w:val="0"/>
                <w:sz w:val="21"/>
              </w:rPr>
              <w:t>对齐不得造成任务完成质量显著下降，下降则调整对齐强度后重跑</w:t>
            </w:r>
          </w:p>
        </w:tc>
      </w:tr>
    </w:tbl>
    <w:p>
      <w:pPr>
        <w:spacing w:after="40" w:line="240" w:lineRule="auto"/>
        <w:ind w:firstLine="0"/>
      </w:pPr>
      <w:r>
        <w:rPr>
          <w:sz w:val="4"/>
        </w:rPr>
      </w:r>
    </w:p>
    <w:p>
      <w:pPr>
        <w:jc w:val="both"/>
      </w:pPr>
      <w:r>
        <w:t>对齐后能力保持这一项是必须测的：对齐训练在提升输出质量的同时可能损害任务能力，这是实践中常见的现象。把它列为判定项并给出回退（调整对齐强度后重跑），比事后发现再补救成本低得多。</w:t>
      </w:r>
    </w:p>
    <w:p>
      <w:pPr>
        <w:pStyle w:val="Heading2"/>
      </w:pPr>
      <w:r>
        <w:t>6.5 基准评测与能力增量结论</w:t>
      </w:r>
    </w:p>
    <w:p>
      <w:pPr>
        <w:jc w:val="both"/>
      </w:pPr>
      <w:r>
        <w:t>评测协议的固化内容包括：评测题目集与版本、判分规则、推理配置（上下文长度、采样参数、是否允许多轮）、人工复核的抽样比例与复核规范、结果统计方法。协议文件随验证报告交付，第三方按此协议可复现结论。</w:t>
      </w:r>
    </w:p>
    <w:p>
      <w:pPr>
        <w:jc w:val="both"/>
      </w:pPr>
      <w:r>
        <w:t>四个模型在同一协议下评测，得到四组结果；相邻两组之差即为对应训练段的能力增量。能力维度按本项目场景需求划分为八项，与十一个验证场景的能力需求对应，如表 6-5。八项即能力雷达图的八个轴。</w:t>
      </w:r>
    </w:p>
    <w:p>
      <w:pPr>
        <w:pStyle w:val="Caption"/>
        <w:keepNext/>
      </w:pPr>
      <w:r>
        <w:t>表6-5 能力维度划分与对应场景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能力维度</w:t>
            </w:r>
          </w:p>
        </w:tc>
        <w:tc>
          <w:tcPr>
            <w:tcW w:type="dxa" w:w="2699"/>
            <w:vAlign w:val="center"/>
            <w:shd w:fill="EDF1F3"/>
          </w:tcPr>
          <w:p>
            <w:pPr>
              <w:keepNext/>
              <w:spacing w:line="320" w:lineRule="exact" w:after="0" w:before="0"/>
              <w:ind w:firstLine="0"/>
              <w:jc w:val="center"/>
            </w:pPr>
            <w:r>
              <w:rPr>
                <w:b/>
                <w:sz w:val="21"/>
              </w:rPr>
              <w:t>内涵</w:t>
            </w:r>
          </w:p>
        </w:tc>
        <w:tc>
          <w:tcPr>
            <w:tcW w:type="dxa" w:w="2409"/>
            <w:vAlign w:val="center"/>
            <w:shd w:fill="EDF1F3"/>
          </w:tcPr>
          <w:p>
            <w:pPr>
              <w:keepNext/>
              <w:spacing w:line="320" w:lineRule="exact" w:after="0" w:before="0"/>
              <w:ind w:firstLine="0"/>
              <w:jc w:val="center"/>
            </w:pPr>
            <w:r>
              <w:rPr>
                <w:b/>
                <w:sz w:val="21"/>
              </w:rPr>
              <w:t>评测题目来源</w:t>
            </w:r>
          </w:p>
        </w:tc>
        <w:tc>
          <w:tcPr>
            <w:tcW w:type="dxa" w:w="2891"/>
            <w:vAlign w:val="center"/>
            <w:shd w:fill="EDF1F3"/>
          </w:tcPr>
          <w:p>
            <w:pPr>
              <w:keepNext/>
              <w:spacing w:line="320" w:lineRule="exact" w:after="0" w:before="0"/>
              <w:ind w:firstLine="0"/>
              <w:jc w:val="center"/>
            </w:pPr>
            <w:r>
              <w:rPr>
                <w:b/>
                <w:sz w:val="21"/>
              </w:rPr>
              <w:t>对应验证场景</w:t>
            </w:r>
          </w:p>
        </w:tc>
      </w:tr>
      <w:tr>
        <w:trPr>
          <w:cantSplit/>
        </w:trPr>
        <w:tc>
          <w:tcPr>
            <w:tcW w:type="dxa" w:w="1638"/>
            <w:vAlign w:val="center"/>
          </w:tcPr>
          <w:p>
            <w:pPr>
              <w:keepNext w:val="0"/>
              <w:spacing w:line="320" w:lineRule="exact" w:after="0" w:before="0"/>
              <w:ind w:firstLine="0"/>
              <w:jc w:val="left"/>
            </w:pPr>
            <w:r>
              <w:rPr>
                <w:b w:val="0"/>
                <w:sz w:val="21"/>
              </w:rPr>
              <w:t>领域知识</w:t>
            </w:r>
          </w:p>
        </w:tc>
        <w:tc>
          <w:tcPr>
            <w:tcW w:type="dxa" w:w="2699"/>
            <w:vAlign w:val="center"/>
          </w:tcPr>
          <w:p>
            <w:pPr>
              <w:keepNext w:val="0"/>
              <w:spacing w:line="320" w:lineRule="exact" w:after="0" w:before="0"/>
              <w:ind w:firstLine="0"/>
              <w:jc w:val="left"/>
            </w:pPr>
            <w:r>
              <w:rPr>
                <w:b w:val="0"/>
                <w:sz w:val="21"/>
              </w:rPr>
              <w:t>矿机装备、工艺、质量、设备领域的事实性知识</w:t>
            </w:r>
          </w:p>
        </w:tc>
        <w:tc>
          <w:tcPr>
            <w:tcW w:type="dxa" w:w="2409"/>
            <w:vAlign w:val="center"/>
          </w:tcPr>
          <w:p>
            <w:pPr>
              <w:keepNext w:val="0"/>
              <w:spacing w:line="320" w:lineRule="exact" w:after="0" w:before="0"/>
              <w:ind w:firstLine="0"/>
              <w:jc w:val="left"/>
            </w:pPr>
            <w:r>
              <w:rPr>
                <w:b w:val="0"/>
                <w:sz w:val="21"/>
              </w:rPr>
              <w:t>知识探针与知识问答题</w:t>
            </w:r>
          </w:p>
        </w:tc>
        <w:tc>
          <w:tcPr>
            <w:tcW w:type="dxa" w:w="2891"/>
            <w:vAlign w:val="center"/>
          </w:tcPr>
          <w:p>
            <w:pPr>
              <w:keepNext w:val="0"/>
              <w:spacing w:line="320" w:lineRule="exact" w:after="0" w:before="0"/>
              <w:ind w:firstLine="0"/>
              <w:jc w:val="left"/>
            </w:pPr>
            <w:r>
              <w:rPr>
                <w:b w:val="0"/>
                <w:sz w:val="21"/>
              </w:rPr>
              <w:t>全部场景的共同基础</w:t>
            </w:r>
          </w:p>
        </w:tc>
      </w:tr>
      <w:tr>
        <w:trPr>
          <w:cantSplit/>
        </w:trPr>
        <w:tc>
          <w:tcPr>
            <w:tcW w:type="dxa" w:w="1638"/>
            <w:vAlign w:val="center"/>
          </w:tcPr>
          <w:p>
            <w:pPr>
              <w:keepNext w:val="0"/>
              <w:spacing w:line="320" w:lineRule="exact" w:after="0" w:before="0"/>
              <w:ind w:firstLine="0"/>
              <w:jc w:val="left"/>
            </w:pPr>
            <w:r>
              <w:rPr>
                <w:b w:val="0"/>
                <w:sz w:val="21"/>
              </w:rPr>
              <w:t>文档理解与要素抽取</w:t>
            </w:r>
          </w:p>
        </w:tc>
        <w:tc>
          <w:tcPr>
            <w:tcW w:type="dxa" w:w="2699"/>
            <w:vAlign w:val="center"/>
          </w:tcPr>
          <w:p>
            <w:pPr>
              <w:keepNext w:val="0"/>
              <w:spacing w:line="320" w:lineRule="exact" w:after="0" w:before="0"/>
              <w:ind w:firstLine="0"/>
              <w:jc w:val="left"/>
            </w:pPr>
            <w:r>
              <w:rPr>
                <w:b w:val="0"/>
                <w:sz w:val="21"/>
              </w:rPr>
              <w:t>从合同、制度、标准、报告中定位与抽取结构化要素</w:t>
            </w:r>
          </w:p>
        </w:tc>
        <w:tc>
          <w:tcPr>
            <w:tcW w:type="dxa" w:w="2409"/>
            <w:vAlign w:val="center"/>
          </w:tcPr>
          <w:p>
            <w:pPr>
              <w:keepNext w:val="0"/>
              <w:spacing w:line="320" w:lineRule="exact" w:after="0" w:before="0"/>
              <w:ind w:firstLine="0"/>
              <w:jc w:val="left"/>
            </w:pPr>
            <w:r>
              <w:rPr>
                <w:b w:val="0"/>
                <w:sz w:val="21"/>
              </w:rPr>
              <w:t>合同要素题、制度条款题</w:t>
            </w:r>
          </w:p>
        </w:tc>
        <w:tc>
          <w:tcPr>
            <w:tcW w:type="dxa" w:w="2891"/>
            <w:vAlign w:val="center"/>
          </w:tcPr>
          <w:p>
            <w:pPr>
              <w:keepNext w:val="0"/>
              <w:spacing w:line="320" w:lineRule="exact" w:after="0" w:before="0"/>
              <w:ind w:firstLine="0"/>
              <w:jc w:val="left"/>
            </w:pPr>
            <w:r>
              <w:rPr>
                <w:b w:val="0"/>
                <w:sz w:val="21"/>
              </w:rPr>
              <w:t>合同合规审查、管理制度问答、技术标准问答、标书问答</w:t>
            </w:r>
          </w:p>
        </w:tc>
      </w:tr>
      <w:tr>
        <w:trPr>
          <w:cantSplit/>
        </w:trPr>
        <w:tc>
          <w:tcPr>
            <w:tcW w:type="dxa" w:w="1638"/>
            <w:vAlign w:val="center"/>
          </w:tcPr>
          <w:p>
            <w:pPr>
              <w:keepNext w:val="0"/>
              <w:spacing w:line="320" w:lineRule="exact" w:after="0" w:before="0"/>
              <w:ind w:firstLine="0"/>
              <w:jc w:val="left"/>
            </w:pPr>
            <w:r>
              <w:rPr>
                <w:b w:val="0"/>
                <w:sz w:val="21"/>
              </w:rPr>
              <w:t>图纸与特征理解</w:t>
            </w:r>
          </w:p>
        </w:tc>
        <w:tc>
          <w:tcPr>
            <w:tcW w:type="dxa" w:w="2699"/>
            <w:vAlign w:val="center"/>
          </w:tcPr>
          <w:p>
            <w:pPr>
              <w:keepNext w:val="0"/>
              <w:spacing w:line="320" w:lineRule="exact" w:after="0" w:before="0"/>
              <w:ind w:firstLine="0"/>
              <w:jc w:val="left"/>
            </w:pPr>
            <w:r>
              <w:rPr>
                <w:b w:val="0"/>
                <w:sz w:val="21"/>
              </w:rPr>
              <w:t>从图纸特征描述中识别加工要求</w:t>
            </w:r>
          </w:p>
        </w:tc>
        <w:tc>
          <w:tcPr>
            <w:tcW w:type="dxa" w:w="2409"/>
            <w:vAlign w:val="center"/>
          </w:tcPr>
          <w:p>
            <w:pPr>
              <w:keepNext w:val="0"/>
              <w:spacing w:line="320" w:lineRule="exact" w:after="0" w:before="0"/>
              <w:ind w:firstLine="0"/>
              <w:jc w:val="left"/>
            </w:pPr>
            <w:r>
              <w:rPr>
                <w:b w:val="0"/>
                <w:sz w:val="21"/>
              </w:rPr>
              <w:t>图纸特征题、技术要求解读题</w:t>
            </w:r>
          </w:p>
        </w:tc>
        <w:tc>
          <w:tcPr>
            <w:tcW w:type="dxa" w:w="2891"/>
            <w:vAlign w:val="center"/>
          </w:tcPr>
          <w:p>
            <w:pPr>
              <w:keepNext w:val="0"/>
              <w:spacing w:line="320" w:lineRule="exact" w:after="0" w:before="0"/>
              <w:ind w:firstLine="0"/>
              <w:jc w:val="left"/>
            </w:pPr>
            <w:r>
              <w:rPr>
                <w:b w:val="0"/>
                <w:sz w:val="21"/>
              </w:rPr>
              <w:t>板材备料工艺智能设计</w:t>
            </w:r>
          </w:p>
        </w:tc>
      </w:tr>
      <w:tr>
        <w:trPr>
          <w:cantSplit/>
        </w:trPr>
        <w:tc>
          <w:tcPr>
            <w:tcW w:type="dxa" w:w="1638"/>
            <w:vAlign w:val="center"/>
          </w:tcPr>
          <w:p>
            <w:pPr>
              <w:keepNext w:val="0"/>
              <w:spacing w:line="320" w:lineRule="exact" w:after="0" w:before="0"/>
              <w:ind w:firstLine="0"/>
              <w:jc w:val="left"/>
            </w:pPr>
            <w:r>
              <w:rPr>
                <w:b w:val="0"/>
                <w:sz w:val="21"/>
              </w:rPr>
              <w:t>工艺推理</w:t>
            </w:r>
          </w:p>
        </w:tc>
        <w:tc>
          <w:tcPr>
            <w:tcW w:type="dxa" w:w="2699"/>
            <w:vAlign w:val="center"/>
          </w:tcPr>
          <w:p>
            <w:pPr>
              <w:keepNext w:val="0"/>
              <w:spacing w:line="320" w:lineRule="exact" w:after="0" w:before="0"/>
              <w:ind w:firstLine="0"/>
              <w:jc w:val="left"/>
            </w:pPr>
            <w:r>
              <w:rPr>
                <w:b w:val="0"/>
                <w:sz w:val="21"/>
              </w:rPr>
              <w:t>按准则在封闭工序集合内选择与排序，并给出依据</w:t>
            </w:r>
          </w:p>
        </w:tc>
        <w:tc>
          <w:tcPr>
            <w:tcW w:type="dxa" w:w="2409"/>
            <w:vAlign w:val="center"/>
          </w:tcPr>
          <w:p>
            <w:pPr>
              <w:keepNext w:val="0"/>
              <w:spacing w:line="320" w:lineRule="exact" w:after="0" w:before="0"/>
              <w:ind w:firstLine="0"/>
              <w:jc w:val="left"/>
            </w:pPr>
            <w:r>
              <w:rPr>
                <w:b w:val="0"/>
                <w:sz w:val="21"/>
              </w:rPr>
              <w:t>工序序列题、工艺审查题</w:t>
            </w:r>
          </w:p>
        </w:tc>
        <w:tc>
          <w:tcPr>
            <w:tcW w:type="dxa" w:w="2891"/>
            <w:vAlign w:val="center"/>
          </w:tcPr>
          <w:p>
            <w:pPr>
              <w:keepNext w:val="0"/>
              <w:spacing w:line="320" w:lineRule="exact" w:after="0" w:before="0"/>
              <w:ind w:firstLine="0"/>
              <w:jc w:val="left"/>
            </w:pPr>
            <w:r>
              <w:rPr>
                <w:b w:val="0"/>
                <w:sz w:val="21"/>
              </w:rPr>
              <w:t>板材备料工艺智能设计、产品智能选型</w:t>
            </w:r>
          </w:p>
        </w:tc>
      </w:tr>
      <w:tr>
        <w:trPr>
          <w:cantSplit/>
        </w:trPr>
        <w:tc>
          <w:tcPr>
            <w:tcW w:type="dxa" w:w="1638"/>
            <w:vAlign w:val="center"/>
          </w:tcPr>
          <w:p>
            <w:pPr>
              <w:keepNext w:val="0"/>
              <w:spacing w:line="320" w:lineRule="exact" w:after="0" w:before="0"/>
              <w:ind w:firstLine="0"/>
              <w:jc w:val="left"/>
            </w:pPr>
            <w:r>
              <w:rPr>
                <w:b w:val="0"/>
                <w:sz w:val="21"/>
              </w:rPr>
              <w:t>时序与图像判别</w:t>
            </w:r>
          </w:p>
        </w:tc>
        <w:tc>
          <w:tcPr>
            <w:tcW w:type="dxa" w:w="2699"/>
            <w:vAlign w:val="center"/>
          </w:tcPr>
          <w:p>
            <w:pPr>
              <w:keepNext w:val="0"/>
              <w:spacing w:line="320" w:lineRule="exact" w:after="0" w:before="0"/>
              <w:ind w:firstLine="0"/>
              <w:jc w:val="left"/>
            </w:pPr>
            <w:r>
              <w:rPr>
                <w:b w:val="0"/>
                <w:sz w:val="21"/>
              </w:rPr>
              <w:t>对时序片段与图像样本的工况、缺陷、异常判别</w:t>
            </w:r>
          </w:p>
        </w:tc>
        <w:tc>
          <w:tcPr>
            <w:tcW w:type="dxa" w:w="2409"/>
            <w:vAlign w:val="center"/>
          </w:tcPr>
          <w:p>
            <w:pPr>
              <w:keepNext w:val="0"/>
              <w:spacing w:line="320" w:lineRule="exact" w:after="0" w:before="0"/>
              <w:ind w:firstLine="0"/>
              <w:jc w:val="left"/>
            </w:pPr>
            <w:r>
              <w:rPr>
                <w:b w:val="0"/>
                <w:sz w:val="21"/>
              </w:rPr>
              <w:t>工况分类题、缺陷判定题</w:t>
            </w:r>
          </w:p>
        </w:tc>
        <w:tc>
          <w:tcPr>
            <w:tcW w:type="dxa" w:w="2891"/>
            <w:vAlign w:val="center"/>
          </w:tcPr>
          <w:p>
            <w:pPr>
              <w:keepNext w:val="0"/>
              <w:spacing w:line="320" w:lineRule="exact" w:after="0" w:before="0"/>
              <w:ind w:firstLine="0"/>
              <w:jc w:val="left"/>
            </w:pPr>
            <w:r>
              <w:rPr>
                <w:b w:val="0"/>
                <w:sz w:val="21"/>
              </w:rPr>
              <w:t>热处理过程智能监控、焊接过程控制智能监控、刮板输送装备健康智能诊断、智能质量检验</w:t>
            </w:r>
          </w:p>
        </w:tc>
      </w:tr>
      <w:tr>
        <w:trPr>
          <w:cantSplit/>
        </w:trPr>
        <w:tc>
          <w:tcPr>
            <w:tcW w:type="dxa" w:w="1638"/>
            <w:vAlign w:val="center"/>
          </w:tcPr>
          <w:p>
            <w:pPr>
              <w:keepNext w:val="0"/>
              <w:spacing w:line="320" w:lineRule="exact" w:after="0" w:before="0"/>
              <w:ind w:firstLine="0"/>
              <w:jc w:val="left"/>
            </w:pPr>
            <w:r>
              <w:rPr>
                <w:b w:val="0"/>
                <w:sz w:val="21"/>
              </w:rPr>
              <w:t>诊断与归因</w:t>
            </w:r>
          </w:p>
        </w:tc>
        <w:tc>
          <w:tcPr>
            <w:tcW w:type="dxa" w:w="2699"/>
            <w:vAlign w:val="center"/>
          </w:tcPr>
          <w:p>
            <w:pPr>
              <w:keepNext w:val="0"/>
              <w:spacing w:line="320" w:lineRule="exact" w:after="0" w:before="0"/>
              <w:ind w:firstLine="0"/>
              <w:jc w:val="left"/>
            </w:pPr>
            <w:r>
              <w:rPr>
                <w:b w:val="0"/>
                <w:sz w:val="21"/>
              </w:rPr>
              <w:t>由现象收敛到故障模式与根因，并给出证据等级</w:t>
            </w:r>
          </w:p>
        </w:tc>
        <w:tc>
          <w:tcPr>
            <w:tcW w:type="dxa" w:w="2409"/>
            <w:vAlign w:val="center"/>
          </w:tcPr>
          <w:p>
            <w:pPr>
              <w:keepNext w:val="0"/>
              <w:spacing w:line="320" w:lineRule="exact" w:after="0" w:before="0"/>
              <w:ind w:firstLine="0"/>
              <w:jc w:val="left"/>
            </w:pPr>
            <w:r>
              <w:rPr>
                <w:b w:val="0"/>
                <w:sz w:val="21"/>
              </w:rPr>
              <w:t>诊断说明题、根因判定题</w:t>
            </w:r>
          </w:p>
        </w:tc>
        <w:tc>
          <w:tcPr>
            <w:tcW w:type="dxa" w:w="2891"/>
            <w:vAlign w:val="center"/>
          </w:tcPr>
          <w:p>
            <w:pPr>
              <w:keepNext w:val="0"/>
              <w:spacing w:line="320" w:lineRule="exact" w:after="0" w:before="0"/>
              <w:ind w:firstLine="0"/>
              <w:jc w:val="left"/>
            </w:pPr>
            <w:r>
              <w:rPr>
                <w:b w:val="0"/>
                <w:sz w:val="21"/>
              </w:rPr>
              <w:t>刮板输送装备健康智能诊断、质量根因追溯</w:t>
            </w:r>
          </w:p>
        </w:tc>
      </w:tr>
      <w:tr>
        <w:trPr>
          <w:cantSplit/>
        </w:trPr>
        <w:tc>
          <w:tcPr>
            <w:tcW w:type="dxa" w:w="1638"/>
            <w:vAlign w:val="center"/>
          </w:tcPr>
          <w:p>
            <w:pPr>
              <w:keepNext w:val="0"/>
              <w:spacing w:line="320" w:lineRule="exact" w:after="0" w:before="0"/>
              <w:ind w:firstLine="0"/>
              <w:jc w:val="left"/>
            </w:pPr>
            <w:r>
              <w:rPr>
                <w:b w:val="0"/>
                <w:sz w:val="21"/>
              </w:rPr>
              <w:t>数值与规则计算</w:t>
            </w:r>
          </w:p>
        </w:tc>
        <w:tc>
          <w:tcPr>
            <w:tcW w:type="dxa" w:w="2699"/>
            <w:vAlign w:val="center"/>
          </w:tcPr>
          <w:p>
            <w:pPr>
              <w:keepNext w:val="0"/>
              <w:spacing w:line="320" w:lineRule="exact" w:after="0" w:before="0"/>
              <w:ind w:firstLine="0"/>
              <w:jc w:val="left"/>
            </w:pPr>
            <w:r>
              <w:rPr>
                <w:b w:val="0"/>
                <w:sz w:val="21"/>
              </w:rPr>
              <w:t>按公式与规则完成校核与核算</w:t>
            </w:r>
          </w:p>
        </w:tc>
        <w:tc>
          <w:tcPr>
            <w:tcW w:type="dxa" w:w="2409"/>
            <w:vAlign w:val="center"/>
          </w:tcPr>
          <w:p>
            <w:pPr>
              <w:keepNext w:val="0"/>
              <w:spacing w:line="320" w:lineRule="exact" w:after="0" w:before="0"/>
              <w:ind w:firstLine="0"/>
              <w:jc w:val="left"/>
            </w:pPr>
            <w:r>
              <w:rPr>
                <w:b w:val="0"/>
                <w:sz w:val="21"/>
              </w:rPr>
              <w:t>校核题、取数逻辑题、库存核算题</w:t>
            </w:r>
          </w:p>
        </w:tc>
        <w:tc>
          <w:tcPr>
            <w:tcW w:type="dxa" w:w="2891"/>
            <w:vAlign w:val="center"/>
          </w:tcPr>
          <w:p>
            <w:pPr>
              <w:keepNext w:val="0"/>
              <w:spacing w:line="320" w:lineRule="exact" w:after="0" w:before="0"/>
              <w:ind w:firstLine="0"/>
              <w:jc w:val="left"/>
            </w:pPr>
            <w:r>
              <w:rPr>
                <w:b w:val="0"/>
                <w:sz w:val="21"/>
              </w:rPr>
              <w:t>产品智能选型、库存控制智能化、决策数据问答</w:t>
            </w:r>
          </w:p>
        </w:tc>
      </w:tr>
      <w:tr>
        <w:trPr>
          <w:cantSplit/>
        </w:trPr>
        <w:tc>
          <w:tcPr>
            <w:tcW w:type="dxa" w:w="1638"/>
            <w:vAlign w:val="center"/>
          </w:tcPr>
          <w:p>
            <w:pPr>
              <w:keepNext w:val="0"/>
              <w:spacing w:line="320" w:lineRule="exact" w:after="0" w:before="0"/>
              <w:ind w:firstLine="0"/>
              <w:jc w:val="left"/>
            </w:pPr>
            <w:r>
              <w:rPr>
                <w:b w:val="0"/>
                <w:sz w:val="21"/>
              </w:rPr>
              <w:t>长上下文与跨文档</w:t>
            </w:r>
          </w:p>
        </w:tc>
        <w:tc>
          <w:tcPr>
            <w:tcW w:type="dxa" w:w="2699"/>
            <w:vAlign w:val="center"/>
          </w:tcPr>
          <w:p>
            <w:pPr>
              <w:keepNext w:val="0"/>
              <w:spacing w:line="320" w:lineRule="exact" w:after="0" w:before="0"/>
              <w:ind w:firstLine="0"/>
              <w:jc w:val="left"/>
            </w:pPr>
            <w:r>
              <w:rPr>
                <w:b w:val="0"/>
                <w:sz w:val="21"/>
              </w:rPr>
              <w:t>项目级多文档输入下的定位与比对</w:t>
            </w:r>
          </w:p>
        </w:tc>
        <w:tc>
          <w:tcPr>
            <w:tcW w:type="dxa" w:w="2409"/>
            <w:vAlign w:val="center"/>
          </w:tcPr>
          <w:p>
            <w:pPr>
              <w:keepNext w:val="0"/>
              <w:spacing w:line="320" w:lineRule="exact" w:after="0" w:before="0"/>
              <w:ind w:firstLine="0"/>
              <w:jc w:val="left"/>
            </w:pPr>
            <w:r>
              <w:rPr>
                <w:b w:val="0"/>
                <w:sz w:val="21"/>
              </w:rPr>
              <w:t>长上下文题</w:t>
            </w:r>
          </w:p>
        </w:tc>
        <w:tc>
          <w:tcPr>
            <w:tcW w:type="dxa" w:w="2891"/>
            <w:vAlign w:val="center"/>
          </w:tcPr>
          <w:p>
            <w:pPr>
              <w:keepNext w:val="0"/>
              <w:spacing w:line="320" w:lineRule="exact" w:after="0" w:before="0"/>
              <w:ind w:firstLine="0"/>
              <w:jc w:val="left"/>
            </w:pPr>
            <w:r>
              <w:rPr>
                <w:b w:val="0"/>
                <w:sz w:val="21"/>
              </w:rPr>
              <w:t>板材备料工艺智能设计、标书问答</w:t>
            </w:r>
          </w:p>
        </w:tc>
      </w:tr>
    </w:tbl>
    <w:p>
      <w:pPr>
        <w:spacing w:after="40" w:line="240" w:lineRule="auto"/>
        <w:ind w:firstLine="0"/>
      </w:pPr>
      <w:r>
        <w:rPr>
          <w:sz w:val="4"/>
        </w:rPr>
      </w:r>
    </w:p>
    <w:p>
      <w:pPr>
        <w:jc w:val="both"/>
      </w:pPr>
      <w:r>
        <w:t>能力增量按数据集与能力维度形成矩阵，分别列出阶段前后差值及受控消融结果。消融保持训练预算、基座、采样策略和评测协议可比，明确删减某子集后是否补入其他数据；规模效应、混比效应及子集内容效应分开分析。数据之间存在相互作用时，条件贡献不强行相加为总贡献，不能把单次消融差值当作唯一因果归属。</w:t>
      </w:r>
    </w:p>
    <w:p>
      <w:pPr>
        <w:jc w:val="both"/>
      </w:pPr>
      <w:r>
        <w:t>雷达图按模型绘制四条折线（基座、继续预训练、微调、对齐），八个轴为八项能力维度，直观呈现逐段提升与各维度的提升不均衡情况。雷达图随验证报告交付，图中各点的数值与评测明细一并给出，不以图代数。</w:t>
      </w:r>
    </w:p>
    <w:p>
      <w:pPr>
        <w:pStyle w:val="Heading2"/>
      </w:pPr>
      <w:r>
        <w:t>6.6 场景可用性验证与回流修复</w:t>
      </w:r>
    </w:p>
    <w:p>
      <w:pPr>
        <w:jc w:val="both"/>
      </w:pPr>
      <w:r>
        <w:t>我方承担招标规定的场景验证服务，组织验证环境、数据输入、任务执行、过程记录、效果检查及数据修复。验证环境按批准方案与甲方既有系统和场景条件衔接，所需模型、接口、权限和测试数据在实验开始前核验。智能场景建设范围按合同界定，数据集加工质量及场景验证责任由我方统一落实。</w:t>
      </w:r>
    </w:p>
    <w:p>
      <w:pPr>
        <w:jc w:val="both"/>
      </w:pPr>
      <w:r>
        <w:t>实际业务任务的选取原则是「真实、可判、有基线」。真实指任务来自企业的日常作业而不是为评测编造；可判指任务的结果有明确的正确与否判定方式；有基线指当前人工作业的水平可测量，从而能够比较。按这三条原则，各场景的验证任务与可用性判定口径如表 6-6。各项验证执行招标要求及统一验证方案；蓝图细化方法、样本及阈值时，不降低招标明确的内容准确率、规模和质量条件。</w:t>
      </w:r>
    </w:p>
    <w:p>
      <w:pPr>
        <w:pStyle w:val="Caption"/>
        <w:keepNext/>
      </w:pPr>
      <w:r>
        <w:t>表6-6 各验证场景的数据集可用性验证任务与判定口径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验证场景</w:t>
            </w:r>
          </w:p>
        </w:tc>
        <w:tc>
          <w:tcPr>
            <w:tcW w:type="dxa" w:w="2699"/>
            <w:vAlign w:val="center"/>
            <w:shd w:fill="EDF1F3"/>
          </w:tcPr>
          <w:p>
            <w:pPr>
              <w:keepNext/>
              <w:spacing w:line="320" w:lineRule="exact" w:after="0" w:before="0"/>
              <w:ind w:firstLine="0"/>
              <w:jc w:val="center"/>
            </w:pPr>
            <w:r>
              <w:rPr>
                <w:b/>
                <w:sz w:val="21"/>
              </w:rPr>
              <w:t>实际业务任务</w:t>
            </w:r>
          </w:p>
        </w:tc>
        <w:tc>
          <w:tcPr>
            <w:tcW w:type="dxa" w:w="2409"/>
            <w:vAlign w:val="center"/>
            <w:shd w:fill="EDF1F3"/>
          </w:tcPr>
          <w:p>
            <w:pPr>
              <w:keepNext/>
              <w:spacing w:line="320" w:lineRule="exact" w:after="0" w:before="0"/>
              <w:ind w:firstLine="0"/>
              <w:jc w:val="center"/>
            </w:pPr>
            <w:r>
              <w:rPr>
                <w:b/>
                <w:sz w:val="21"/>
              </w:rPr>
              <w:t>数据集侧可用性判定口径</w:t>
            </w:r>
          </w:p>
        </w:tc>
        <w:tc>
          <w:tcPr>
            <w:tcW w:type="dxa" w:w="2891"/>
            <w:vAlign w:val="center"/>
            <w:shd w:fill="EDF1F3"/>
          </w:tcPr>
          <w:p>
            <w:pPr>
              <w:keepNext/>
              <w:spacing w:line="320" w:lineRule="exact" w:after="0" w:before="0"/>
              <w:ind w:firstLine="0"/>
              <w:jc w:val="center"/>
            </w:pPr>
            <w:r>
              <w:rPr>
                <w:b/>
                <w:sz w:val="21"/>
              </w:rPr>
              <w:t>不达预期时的定位方向</w:t>
            </w:r>
          </w:p>
        </w:tc>
      </w:tr>
      <w:tr>
        <w:trPr>
          <w:cantSplit/>
        </w:trPr>
        <w:tc>
          <w:tcPr>
            <w:tcW w:type="dxa" w:w="1638"/>
            <w:vAlign w:val="center"/>
          </w:tcPr>
          <w:p>
            <w:pPr>
              <w:keepNext w:val="0"/>
              <w:spacing w:line="320" w:lineRule="exact" w:after="0" w:before="0"/>
              <w:ind w:firstLine="0"/>
              <w:jc w:val="left"/>
            </w:pPr>
            <w:r>
              <w:rPr>
                <w:b w:val="0"/>
                <w:sz w:val="21"/>
              </w:rPr>
              <w:t>产品智能选型</w:t>
            </w:r>
          </w:p>
        </w:tc>
        <w:tc>
          <w:tcPr>
            <w:tcW w:type="dxa" w:w="2699"/>
            <w:vAlign w:val="center"/>
          </w:tcPr>
          <w:p>
            <w:pPr>
              <w:keepNext w:val="0"/>
              <w:spacing w:line="320" w:lineRule="exact" w:after="0" w:before="0"/>
              <w:ind w:firstLine="0"/>
              <w:jc w:val="left"/>
            </w:pPr>
            <w:r>
              <w:rPr>
                <w:b w:val="0"/>
                <w:sz w:val="21"/>
              </w:rPr>
              <w:t>取历史项目的工况参数，生成选型方案初稿</w:t>
            </w:r>
          </w:p>
        </w:tc>
        <w:tc>
          <w:tcPr>
            <w:tcW w:type="dxa" w:w="2409"/>
            <w:vAlign w:val="center"/>
          </w:tcPr>
          <w:p>
            <w:pPr>
              <w:keepNext w:val="0"/>
              <w:spacing w:line="320" w:lineRule="exact" w:after="0" w:before="0"/>
              <w:ind w:firstLine="0"/>
              <w:jc w:val="left"/>
            </w:pPr>
            <w:r>
              <w:rPr>
                <w:b w:val="0"/>
                <w:sz w:val="21"/>
              </w:rPr>
              <w:t>关键要素抽取完整；配置通过双口径安全系数校核；推荐理由指向可比历史项目</w:t>
            </w:r>
          </w:p>
        </w:tc>
        <w:tc>
          <w:tcPr>
            <w:tcW w:type="dxa" w:w="2891"/>
            <w:vAlign w:val="center"/>
          </w:tcPr>
          <w:p>
            <w:pPr>
              <w:keepNext w:val="0"/>
              <w:spacing w:line="320" w:lineRule="exact" w:after="0" w:before="0"/>
              <w:ind w:firstLine="0"/>
              <w:jc w:val="left"/>
            </w:pPr>
            <w:r>
              <w:rPr>
                <w:b w:val="0"/>
                <w:sz w:val="21"/>
              </w:rPr>
              <w:t>选型要素标注完整性、效果分级样本量、校核规则样本</w:t>
            </w:r>
          </w:p>
        </w:tc>
      </w:tr>
      <w:tr>
        <w:trPr>
          <w:cantSplit/>
        </w:trPr>
        <w:tc>
          <w:tcPr>
            <w:tcW w:type="dxa" w:w="1638"/>
            <w:vAlign w:val="center"/>
          </w:tcPr>
          <w:p>
            <w:pPr>
              <w:keepNext w:val="0"/>
              <w:spacing w:line="320" w:lineRule="exact" w:after="0" w:before="0"/>
              <w:ind w:firstLine="0"/>
              <w:jc w:val="left"/>
            </w:pPr>
            <w:r>
              <w:rPr>
                <w:b w:val="0"/>
                <w:sz w:val="21"/>
              </w:rPr>
              <w:t>板材备料工艺智能设计</w:t>
            </w:r>
          </w:p>
        </w:tc>
        <w:tc>
          <w:tcPr>
            <w:tcW w:type="dxa" w:w="2699"/>
            <w:vAlign w:val="center"/>
          </w:tcPr>
          <w:p>
            <w:pPr>
              <w:keepNext w:val="0"/>
              <w:spacing w:line="320" w:lineRule="exact" w:after="0" w:before="0"/>
              <w:ind w:firstLine="0"/>
              <w:jc w:val="left"/>
            </w:pPr>
            <w:r>
              <w:rPr>
                <w:b w:val="0"/>
                <w:sz w:val="21"/>
              </w:rPr>
              <w:t>取历史图纸，生成备料工艺卡片至可审状态</w:t>
            </w:r>
          </w:p>
        </w:tc>
        <w:tc>
          <w:tcPr>
            <w:tcW w:type="dxa" w:w="2409"/>
            <w:vAlign w:val="center"/>
          </w:tcPr>
          <w:p>
            <w:pPr>
              <w:keepNext w:val="0"/>
              <w:spacing w:line="320" w:lineRule="exact" w:after="0" w:before="0"/>
              <w:ind w:firstLine="0"/>
              <w:jc w:val="left"/>
            </w:pPr>
            <w:r>
              <w:rPr>
                <w:b w:val="0"/>
                <w:sz w:val="21"/>
              </w:rPr>
              <w:t>对全部识别通过后生成的工艺卡片及工序附图按100%内容准确率核验；检查工序、附图、计算和审核记录</w:t>
            </w:r>
          </w:p>
        </w:tc>
        <w:tc>
          <w:tcPr>
            <w:tcW w:type="dxa" w:w="2891"/>
            <w:vAlign w:val="center"/>
          </w:tcPr>
          <w:p>
            <w:pPr>
              <w:keepNext w:val="0"/>
              <w:spacing w:line="320" w:lineRule="exact" w:after="0" w:before="0"/>
              <w:ind w:firstLine="0"/>
              <w:jc w:val="left"/>
            </w:pPr>
            <w:r>
              <w:rPr>
                <w:b w:val="0"/>
                <w:sz w:val="21"/>
              </w:rPr>
              <w:t>全链路对应边完整性、特征标注覆盖度、推理样本量</w:t>
            </w:r>
          </w:p>
        </w:tc>
      </w:tr>
      <w:tr>
        <w:trPr>
          <w:cantSplit/>
        </w:trPr>
        <w:tc>
          <w:tcPr>
            <w:tcW w:type="dxa" w:w="1638"/>
            <w:vAlign w:val="center"/>
          </w:tcPr>
          <w:p>
            <w:pPr>
              <w:keepNext w:val="0"/>
              <w:spacing w:line="320" w:lineRule="exact" w:after="0" w:before="0"/>
              <w:ind w:firstLine="0"/>
              <w:jc w:val="left"/>
            </w:pPr>
            <w:r>
              <w:rPr>
                <w:b w:val="0"/>
                <w:sz w:val="21"/>
              </w:rPr>
              <w:t>库存控制智能化</w:t>
            </w:r>
          </w:p>
        </w:tc>
        <w:tc>
          <w:tcPr>
            <w:tcW w:type="dxa" w:w="2699"/>
            <w:vAlign w:val="center"/>
          </w:tcPr>
          <w:p>
            <w:pPr>
              <w:keepNext w:val="0"/>
              <w:spacing w:line="320" w:lineRule="exact" w:after="0" w:before="0"/>
              <w:ind w:firstLine="0"/>
              <w:jc w:val="left"/>
            </w:pPr>
            <w:r>
              <w:rPr>
                <w:b w:val="0"/>
                <w:sz w:val="21"/>
              </w:rPr>
              <w:t>取历史时点数据，生成补货与锁定建议</w:t>
            </w:r>
          </w:p>
        </w:tc>
        <w:tc>
          <w:tcPr>
            <w:tcW w:type="dxa" w:w="2409"/>
            <w:vAlign w:val="center"/>
          </w:tcPr>
          <w:p>
            <w:pPr>
              <w:keepNext w:val="0"/>
              <w:spacing w:line="320" w:lineRule="exact" w:after="0" w:before="0"/>
              <w:ind w:firstLine="0"/>
              <w:jc w:val="left"/>
            </w:pPr>
            <w:r>
              <w:rPr>
                <w:b w:val="0"/>
                <w:sz w:val="21"/>
              </w:rPr>
              <w:t>建议在资金与交付双约束下自洽；与专家回溯判定的一致性</w:t>
            </w:r>
          </w:p>
        </w:tc>
        <w:tc>
          <w:tcPr>
            <w:tcW w:type="dxa" w:w="2891"/>
            <w:vAlign w:val="center"/>
          </w:tcPr>
          <w:p>
            <w:pPr>
              <w:keepNext w:val="0"/>
              <w:spacing w:line="320" w:lineRule="exact" w:after="0" w:before="0"/>
              <w:ind w:firstLine="0"/>
              <w:jc w:val="left"/>
            </w:pPr>
            <w:r>
              <w:rPr>
                <w:b w:val="0"/>
                <w:sz w:val="21"/>
              </w:rPr>
              <w:t>物料分层标注、决策标签的专家一致性</w:t>
            </w:r>
          </w:p>
        </w:tc>
      </w:tr>
      <w:tr>
        <w:trPr>
          <w:cantSplit/>
        </w:trPr>
        <w:tc>
          <w:tcPr>
            <w:tcW w:type="dxa" w:w="1638"/>
            <w:vAlign w:val="center"/>
          </w:tcPr>
          <w:p>
            <w:pPr>
              <w:keepNext w:val="0"/>
              <w:spacing w:line="320" w:lineRule="exact" w:after="0" w:before="0"/>
              <w:ind w:firstLine="0"/>
              <w:jc w:val="left"/>
            </w:pPr>
            <w:r>
              <w:rPr>
                <w:b w:val="0"/>
                <w:sz w:val="21"/>
              </w:rPr>
              <w:t>热处理过程智能监控</w:t>
            </w:r>
          </w:p>
        </w:tc>
        <w:tc>
          <w:tcPr>
            <w:tcW w:type="dxa" w:w="2699"/>
            <w:vAlign w:val="center"/>
          </w:tcPr>
          <w:p>
            <w:pPr>
              <w:keepNext w:val="0"/>
              <w:spacing w:line="320" w:lineRule="exact" w:after="0" w:before="0"/>
              <w:ind w:firstLine="0"/>
              <w:jc w:val="left"/>
            </w:pPr>
            <w:r>
              <w:rPr>
                <w:b w:val="0"/>
                <w:sz w:val="21"/>
              </w:rPr>
              <w:t>取历史炉次曲线，识别偏离与给出提示</w:t>
            </w:r>
          </w:p>
        </w:tc>
        <w:tc>
          <w:tcPr>
            <w:tcW w:type="dxa" w:w="2409"/>
            <w:vAlign w:val="center"/>
          </w:tcPr>
          <w:p>
            <w:pPr>
              <w:keepNext w:val="0"/>
              <w:spacing w:line="320" w:lineRule="exact" w:after="0" w:before="0"/>
              <w:ind w:firstLine="0"/>
              <w:jc w:val="left"/>
            </w:pPr>
            <w:r>
              <w:rPr>
                <w:b w:val="0"/>
                <w:sz w:val="21"/>
              </w:rPr>
              <w:t>阶段划分正确；偏离识别与标注一致；横向比对调取同材料批次正确</w:t>
            </w:r>
          </w:p>
        </w:tc>
        <w:tc>
          <w:tcPr>
            <w:tcW w:type="dxa" w:w="2891"/>
            <w:vAlign w:val="center"/>
          </w:tcPr>
          <w:p>
            <w:pPr>
              <w:keepNext w:val="0"/>
              <w:spacing w:line="320" w:lineRule="exact" w:after="0" w:before="0"/>
              <w:ind w:firstLine="0"/>
              <w:jc w:val="left"/>
            </w:pPr>
            <w:r>
              <w:rPr>
                <w:b w:val="0"/>
                <w:sz w:val="21"/>
              </w:rPr>
              <w:t>时序标注窗口口径、异常事件标注、批次档案关联完整性</w:t>
            </w:r>
          </w:p>
        </w:tc>
      </w:tr>
      <w:tr>
        <w:trPr>
          <w:cantSplit/>
        </w:trPr>
        <w:tc>
          <w:tcPr>
            <w:tcW w:type="dxa" w:w="1638"/>
            <w:vAlign w:val="center"/>
          </w:tcPr>
          <w:p>
            <w:pPr>
              <w:keepNext w:val="0"/>
              <w:spacing w:line="320" w:lineRule="exact" w:after="0" w:before="0"/>
              <w:ind w:firstLine="0"/>
              <w:jc w:val="left"/>
            </w:pPr>
            <w:r>
              <w:rPr>
                <w:b w:val="0"/>
                <w:sz w:val="21"/>
              </w:rPr>
              <w:t>焊接过程控制智能监控</w:t>
            </w:r>
          </w:p>
        </w:tc>
        <w:tc>
          <w:tcPr>
            <w:tcW w:type="dxa" w:w="2699"/>
            <w:vAlign w:val="center"/>
          </w:tcPr>
          <w:p>
            <w:pPr>
              <w:keepNext w:val="0"/>
              <w:spacing w:line="320" w:lineRule="exact" w:after="0" w:before="0"/>
              <w:ind w:firstLine="0"/>
              <w:jc w:val="left"/>
            </w:pPr>
            <w:r>
              <w:rPr>
                <w:b w:val="0"/>
                <w:sz w:val="21"/>
              </w:rPr>
              <w:t>取历史焊道参数流与图像，生成参数差异清单</w:t>
            </w:r>
          </w:p>
        </w:tc>
        <w:tc>
          <w:tcPr>
            <w:tcW w:type="dxa" w:w="2409"/>
            <w:vAlign w:val="center"/>
          </w:tcPr>
          <w:p>
            <w:pPr>
              <w:keepNext w:val="0"/>
              <w:spacing w:line="320" w:lineRule="exact" w:after="0" w:before="0"/>
              <w:ind w:firstLine="0"/>
              <w:jc w:val="left"/>
            </w:pPr>
            <w:r>
              <w:rPr>
                <w:b w:val="0"/>
                <w:sz w:val="21"/>
              </w:rPr>
              <w:t>参数对齐正确；差异维度与方向正确；表面缺陷判定与检验结论一致</w:t>
            </w:r>
          </w:p>
        </w:tc>
        <w:tc>
          <w:tcPr>
            <w:tcW w:type="dxa" w:w="2891"/>
            <w:vAlign w:val="center"/>
          </w:tcPr>
          <w:p>
            <w:pPr>
              <w:keepNext w:val="0"/>
              <w:spacing w:line="320" w:lineRule="exact" w:after="0" w:before="0"/>
              <w:ind w:firstLine="0"/>
              <w:jc w:val="left"/>
            </w:pPr>
            <w:r>
              <w:rPr>
                <w:b w:val="0"/>
                <w:sz w:val="21"/>
              </w:rPr>
              <w:t>一件一档关联完整性、熔池与焊道图像标注量</w:t>
            </w:r>
          </w:p>
        </w:tc>
      </w:tr>
      <w:tr>
        <w:trPr>
          <w:cantSplit/>
        </w:trPr>
        <w:tc>
          <w:tcPr>
            <w:tcW w:type="dxa" w:w="1638"/>
            <w:vAlign w:val="center"/>
          </w:tcPr>
          <w:p>
            <w:pPr>
              <w:keepNext w:val="0"/>
              <w:spacing w:line="320" w:lineRule="exact" w:after="0" w:before="0"/>
              <w:ind w:firstLine="0"/>
              <w:jc w:val="left"/>
            </w:pPr>
            <w:r>
              <w:rPr>
                <w:b w:val="0"/>
                <w:sz w:val="21"/>
              </w:rPr>
              <w:t>刮板输送装备健康智能诊断</w:t>
            </w:r>
          </w:p>
        </w:tc>
        <w:tc>
          <w:tcPr>
            <w:tcW w:type="dxa" w:w="2699"/>
            <w:vAlign w:val="center"/>
          </w:tcPr>
          <w:p>
            <w:pPr>
              <w:keepNext w:val="0"/>
              <w:spacing w:line="320" w:lineRule="exact" w:after="0" w:before="0"/>
              <w:ind w:firstLine="0"/>
              <w:jc w:val="left"/>
            </w:pPr>
            <w:r>
              <w:rPr>
                <w:b w:val="0"/>
                <w:sz w:val="21"/>
              </w:rPr>
              <w:t>取历史报警时间窗，输出部件级异常判断与检查顺序</w:t>
            </w:r>
          </w:p>
        </w:tc>
        <w:tc>
          <w:tcPr>
            <w:tcW w:type="dxa" w:w="2409"/>
            <w:vAlign w:val="center"/>
          </w:tcPr>
          <w:p>
            <w:pPr>
              <w:keepNext w:val="0"/>
              <w:spacing w:line="320" w:lineRule="exact" w:after="0" w:before="0"/>
              <w:ind w:firstLine="0"/>
              <w:jc w:val="left"/>
            </w:pPr>
            <w:r>
              <w:rPr>
                <w:b w:val="0"/>
                <w:sz w:val="21"/>
              </w:rPr>
              <w:t>工况分段正确；耦合干扰识别；诊断结论的证据等级标注恰当</w:t>
            </w:r>
          </w:p>
        </w:tc>
        <w:tc>
          <w:tcPr>
            <w:tcW w:type="dxa" w:w="2891"/>
            <w:vAlign w:val="center"/>
          </w:tcPr>
          <w:p>
            <w:pPr>
              <w:keepNext w:val="0"/>
              <w:spacing w:line="320" w:lineRule="exact" w:after="0" w:before="0"/>
              <w:ind w:firstLine="0"/>
              <w:jc w:val="left"/>
            </w:pPr>
            <w:r>
              <w:rPr>
                <w:b w:val="0"/>
                <w:sz w:val="21"/>
              </w:rPr>
              <w:t>故障配对样本量、未闭环报警占比、工况标注一致性</w:t>
            </w:r>
          </w:p>
        </w:tc>
      </w:tr>
      <w:tr>
        <w:trPr>
          <w:cantSplit/>
        </w:trPr>
        <w:tc>
          <w:tcPr>
            <w:tcW w:type="dxa" w:w="1638"/>
            <w:vAlign w:val="center"/>
          </w:tcPr>
          <w:p>
            <w:pPr>
              <w:keepNext w:val="0"/>
              <w:spacing w:line="320" w:lineRule="exact" w:after="0" w:before="0"/>
              <w:ind w:firstLine="0"/>
              <w:jc w:val="left"/>
            </w:pPr>
            <w:r>
              <w:rPr>
                <w:b w:val="0"/>
                <w:sz w:val="21"/>
              </w:rPr>
              <w:t>合同合规智能审查</w:t>
            </w:r>
          </w:p>
        </w:tc>
        <w:tc>
          <w:tcPr>
            <w:tcW w:type="dxa" w:w="2699"/>
            <w:vAlign w:val="center"/>
          </w:tcPr>
          <w:p>
            <w:pPr>
              <w:keepNext w:val="0"/>
              <w:spacing w:line="320" w:lineRule="exact" w:after="0" w:before="0"/>
              <w:ind w:firstLine="0"/>
              <w:jc w:val="left"/>
            </w:pPr>
            <w:r>
              <w:rPr>
                <w:b w:val="0"/>
                <w:sz w:val="21"/>
              </w:rPr>
              <w:t>取真实合同及附件，检查解析、风险识别、依据与审查效率</w:t>
            </w:r>
          </w:p>
        </w:tc>
        <w:tc>
          <w:tcPr>
            <w:tcW w:type="dxa" w:w="2409"/>
            <w:vAlign w:val="center"/>
          </w:tcPr>
          <w:p>
            <w:pPr>
              <w:keepNext w:val="0"/>
              <w:spacing w:line="320" w:lineRule="exact" w:after="0" w:before="0"/>
              <w:ind w:firstLine="0"/>
              <w:jc w:val="left"/>
            </w:pPr>
            <w:r>
              <w:rPr>
                <w:b w:val="0"/>
                <w:sz w:val="21"/>
              </w:rPr>
              <w:t>覆盖合规、责任、交付及付款风险；依据适用；与人工审查基线比较时长</w:t>
            </w:r>
          </w:p>
        </w:tc>
        <w:tc>
          <w:tcPr>
            <w:tcW w:type="dxa" w:w="2891"/>
            <w:vAlign w:val="center"/>
          </w:tcPr>
          <w:p>
            <w:pPr>
              <w:keepNext w:val="0"/>
              <w:spacing w:line="320" w:lineRule="exact" w:after="0" w:before="0"/>
              <w:ind w:firstLine="0"/>
              <w:jc w:val="left"/>
            </w:pPr>
            <w:r>
              <w:rPr>
                <w:b w:val="0"/>
                <w:sz w:val="21"/>
              </w:rPr>
              <w:t>条款及附件完整性、八要素标签、风险规则和真实审查样本</w:t>
            </w:r>
          </w:p>
        </w:tc>
      </w:tr>
      <w:tr>
        <w:trPr>
          <w:cantSplit/>
        </w:trPr>
        <w:tc>
          <w:tcPr>
            <w:tcW w:type="dxa" w:w="1638"/>
            <w:vAlign w:val="center"/>
          </w:tcPr>
          <w:p>
            <w:pPr>
              <w:keepNext w:val="0"/>
              <w:spacing w:line="320" w:lineRule="exact" w:after="0" w:before="0"/>
              <w:ind w:firstLine="0"/>
              <w:jc w:val="left"/>
            </w:pPr>
            <w:r>
              <w:rPr>
                <w:b w:val="0"/>
                <w:sz w:val="21"/>
              </w:rPr>
              <w:t>管理制度智能问答</w:t>
            </w:r>
          </w:p>
        </w:tc>
        <w:tc>
          <w:tcPr>
            <w:tcW w:type="dxa" w:w="2699"/>
            <w:vAlign w:val="center"/>
          </w:tcPr>
          <w:p>
            <w:pPr>
              <w:keepNext w:val="0"/>
              <w:spacing w:line="320" w:lineRule="exact" w:after="0" w:before="0"/>
              <w:ind w:firstLine="0"/>
              <w:jc w:val="left"/>
            </w:pPr>
            <w:r>
              <w:rPr>
                <w:b w:val="0"/>
                <w:sz w:val="21"/>
              </w:rPr>
              <w:t>取实际咨询问题，输出答案与出处</w:t>
            </w:r>
          </w:p>
        </w:tc>
        <w:tc>
          <w:tcPr>
            <w:tcW w:type="dxa" w:w="2409"/>
            <w:vAlign w:val="center"/>
          </w:tcPr>
          <w:p>
            <w:pPr>
              <w:keepNext w:val="0"/>
              <w:spacing w:line="320" w:lineRule="exact" w:after="0" w:before="0"/>
              <w:ind w:firstLine="0"/>
              <w:jc w:val="left"/>
            </w:pPr>
            <w:r>
              <w:rPr>
                <w:b w:val="0"/>
                <w:sz w:val="21"/>
              </w:rPr>
              <w:t>答案正确且出处指向有效条款；失效条款不被引为当期依据</w:t>
            </w:r>
          </w:p>
        </w:tc>
        <w:tc>
          <w:tcPr>
            <w:tcW w:type="dxa" w:w="2891"/>
            <w:vAlign w:val="center"/>
          </w:tcPr>
          <w:p>
            <w:pPr>
              <w:keepNext w:val="0"/>
              <w:spacing w:line="320" w:lineRule="exact" w:after="0" w:before="0"/>
              <w:ind w:firstLine="0"/>
              <w:jc w:val="left"/>
            </w:pPr>
            <w:r>
              <w:rPr>
                <w:b w:val="0"/>
                <w:sz w:val="21"/>
              </w:rPr>
              <w:t>条款级索引完整性、版本与生效日期标注</w:t>
            </w:r>
          </w:p>
        </w:tc>
      </w:tr>
      <w:tr>
        <w:trPr>
          <w:cantSplit/>
        </w:trPr>
        <w:tc>
          <w:tcPr>
            <w:tcW w:type="dxa" w:w="1638"/>
            <w:vAlign w:val="center"/>
          </w:tcPr>
          <w:p>
            <w:pPr>
              <w:keepNext w:val="0"/>
              <w:spacing w:line="320" w:lineRule="exact" w:after="0" w:before="0"/>
              <w:ind w:firstLine="0"/>
              <w:jc w:val="left"/>
            </w:pPr>
            <w:r>
              <w:rPr>
                <w:b w:val="0"/>
                <w:sz w:val="21"/>
              </w:rPr>
              <w:t>技术标准智能问答</w:t>
            </w:r>
          </w:p>
        </w:tc>
        <w:tc>
          <w:tcPr>
            <w:tcW w:type="dxa" w:w="2699"/>
            <w:vAlign w:val="center"/>
          </w:tcPr>
          <w:p>
            <w:pPr>
              <w:keepNext w:val="0"/>
              <w:spacing w:line="320" w:lineRule="exact" w:after="0" w:before="0"/>
              <w:ind w:firstLine="0"/>
              <w:jc w:val="left"/>
            </w:pPr>
            <w:r>
              <w:rPr>
                <w:b w:val="0"/>
                <w:sz w:val="21"/>
              </w:rPr>
              <w:t>同上</w:t>
            </w:r>
          </w:p>
        </w:tc>
        <w:tc>
          <w:tcPr>
            <w:tcW w:type="dxa" w:w="2409"/>
            <w:vAlign w:val="center"/>
          </w:tcPr>
          <w:p>
            <w:pPr>
              <w:keepNext w:val="0"/>
              <w:spacing w:line="320" w:lineRule="exact" w:after="0" w:before="0"/>
              <w:ind w:firstLine="0"/>
              <w:jc w:val="left"/>
            </w:pPr>
            <w:r>
              <w:rPr>
                <w:b w:val="0"/>
                <w:sz w:val="21"/>
              </w:rPr>
              <w:t>答案正确且标明标准号与版本年份</w:t>
            </w:r>
          </w:p>
        </w:tc>
        <w:tc>
          <w:tcPr>
            <w:tcW w:type="dxa" w:w="2891"/>
            <w:vAlign w:val="center"/>
          </w:tcPr>
          <w:p>
            <w:pPr>
              <w:keepNext w:val="0"/>
              <w:spacing w:line="320" w:lineRule="exact" w:after="0" w:before="0"/>
              <w:ind w:firstLine="0"/>
              <w:jc w:val="left"/>
            </w:pPr>
            <w:r>
              <w:rPr>
                <w:b w:val="0"/>
                <w:sz w:val="21"/>
              </w:rPr>
              <w:t>标准元数据完整性</w:t>
            </w:r>
          </w:p>
        </w:tc>
      </w:tr>
      <w:tr>
        <w:trPr>
          <w:cantSplit/>
        </w:trPr>
        <w:tc>
          <w:tcPr>
            <w:tcW w:type="dxa" w:w="1638"/>
            <w:vAlign w:val="center"/>
          </w:tcPr>
          <w:p>
            <w:pPr>
              <w:keepNext w:val="0"/>
              <w:spacing w:line="320" w:lineRule="exact" w:after="0" w:before="0"/>
              <w:ind w:firstLine="0"/>
              <w:jc w:val="left"/>
            </w:pPr>
            <w:r>
              <w:rPr>
                <w:b w:val="0"/>
                <w:sz w:val="21"/>
              </w:rPr>
              <w:t>标书智能问答</w:t>
            </w:r>
          </w:p>
        </w:tc>
        <w:tc>
          <w:tcPr>
            <w:tcW w:type="dxa" w:w="2699"/>
            <w:vAlign w:val="center"/>
          </w:tcPr>
          <w:p>
            <w:pPr>
              <w:keepNext w:val="0"/>
              <w:spacing w:line="320" w:lineRule="exact" w:after="0" w:before="0"/>
              <w:ind w:firstLine="0"/>
              <w:jc w:val="left"/>
            </w:pPr>
            <w:r>
              <w:rPr>
                <w:b w:val="0"/>
                <w:sz w:val="21"/>
              </w:rPr>
              <w:t>取实际标书编写需求，定位可用资料</w:t>
            </w:r>
          </w:p>
        </w:tc>
        <w:tc>
          <w:tcPr>
            <w:tcW w:type="dxa" w:w="2409"/>
            <w:vAlign w:val="center"/>
          </w:tcPr>
          <w:p>
            <w:pPr>
              <w:keepNext w:val="0"/>
              <w:spacing w:line="320" w:lineRule="exact" w:after="0" w:before="0"/>
              <w:ind w:firstLine="0"/>
              <w:jc w:val="left"/>
            </w:pPr>
            <w:r>
              <w:rPr>
                <w:b w:val="0"/>
                <w:sz w:val="21"/>
              </w:rPr>
              <w:t>资料分类定位正确；引用内容与原件一致</w:t>
            </w:r>
          </w:p>
        </w:tc>
        <w:tc>
          <w:tcPr>
            <w:tcW w:type="dxa" w:w="2891"/>
            <w:vAlign w:val="center"/>
          </w:tcPr>
          <w:p>
            <w:pPr>
              <w:keepNext w:val="0"/>
              <w:spacing w:line="320" w:lineRule="exact" w:after="0" w:before="0"/>
              <w:ind w:firstLine="0"/>
              <w:jc w:val="left"/>
            </w:pPr>
            <w:r>
              <w:rPr>
                <w:b w:val="0"/>
                <w:sz w:val="21"/>
              </w:rPr>
              <w:t>投标资料四类归集完整性</w:t>
            </w:r>
          </w:p>
        </w:tc>
      </w:tr>
      <w:tr>
        <w:trPr>
          <w:cantSplit/>
        </w:trPr>
        <w:tc>
          <w:tcPr>
            <w:tcW w:type="dxa" w:w="1638"/>
            <w:vAlign w:val="center"/>
          </w:tcPr>
          <w:p>
            <w:pPr>
              <w:keepNext w:val="0"/>
              <w:spacing w:line="320" w:lineRule="exact" w:after="0" w:before="0"/>
              <w:ind w:firstLine="0"/>
              <w:jc w:val="left"/>
            </w:pPr>
            <w:r>
              <w:rPr>
                <w:b w:val="0"/>
                <w:sz w:val="21"/>
              </w:rPr>
              <w:t>决策数据智能问答</w:t>
            </w:r>
          </w:p>
        </w:tc>
        <w:tc>
          <w:tcPr>
            <w:tcW w:type="dxa" w:w="2699"/>
            <w:vAlign w:val="center"/>
          </w:tcPr>
          <w:p>
            <w:pPr>
              <w:keepNext w:val="0"/>
              <w:spacing w:line="320" w:lineRule="exact" w:after="0" w:before="0"/>
              <w:ind w:firstLine="0"/>
              <w:jc w:val="left"/>
            </w:pPr>
            <w:r>
              <w:rPr>
                <w:b w:val="0"/>
                <w:sz w:val="21"/>
              </w:rPr>
              <w:t>取实际业务提问，输出指标口径、取数逻辑与答案</w:t>
            </w:r>
          </w:p>
        </w:tc>
        <w:tc>
          <w:tcPr>
            <w:tcW w:type="dxa" w:w="2409"/>
            <w:vAlign w:val="center"/>
          </w:tcPr>
          <w:p>
            <w:pPr>
              <w:keepNext w:val="0"/>
              <w:spacing w:line="320" w:lineRule="exact" w:after="0" w:before="0"/>
              <w:ind w:firstLine="0"/>
              <w:jc w:val="left"/>
            </w:pPr>
            <w:r>
              <w:rPr>
                <w:b w:val="0"/>
                <w:sz w:val="21"/>
              </w:rPr>
              <w:t>指标口径与指标知识库一致；答案可按取数逻辑复算；口径歧义问题触发澄清</w:t>
            </w:r>
          </w:p>
        </w:tc>
        <w:tc>
          <w:tcPr>
            <w:tcW w:type="dxa" w:w="2891"/>
            <w:vAlign w:val="center"/>
          </w:tcPr>
          <w:p>
            <w:pPr>
              <w:keepNext w:val="0"/>
              <w:spacing w:line="320" w:lineRule="exact" w:after="0" w:before="0"/>
              <w:ind w:firstLine="0"/>
              <w:jc w:val="left"/>
            </w:pPr>
            <w:r>
              <w:rPr>
                <w:b w:val="0"/>
                <w:sz w:val="21"/>
              </w:rPr>
              <w:t>指标知识库口径登记、澄清式样本量</w:t>
            </w:r>
          </w:p>
        </w:tc>
      </w:tr>
    </w:tbl>
    <w:p>
      <w:pPr>
        <w:spacing w:after="40" w:line="240" w:lineRule="auto"/>
        <w:ind w:firstLine="0"/>
      </w:pPr>
      <w:r>
        <w:rPr>
          <w:sz w:val="4"/>
        </w:rPr>
      </w:r>
    </w:p>
    <w:p>
      <w:pPr>
        <w:jc w:val="both"/>
      </w:pPr>
      <w:r>
        <w:t>场景未达预期时，联合检查输入数据、模型能力、检索与接口、权限、业务规则和评测覆盖。对应基准指标正常只能说明该基准范围内未发现同类问题，不能排除场景分布与数据覆盖存在差异。通过真实失败样本回查源数据及训练覆盖，形成能够定位到数据集、子集、样本家族或配置范围的结论；涉及其他环节的原因纳入项目问题单同步处理。</w:t>
      </w:r>
    </w:p>
    <w:p>
      <w:pPr>
        <w:pStyle w:val="Heading2"/>
      </w:pPr>
      <w:r>
        <w:t>6.7 错样归因分析与整改闭环</w:t>
      </w:r>
    </w:p>
    <w:p>
      <w:pPr>
        <w:jc w:val="both"/>
      </w:pPr>
      <w:r>
        <w:t>归因对评测错样建立可追溯案例，按数据、标注、覆盖、难度、模型及评测规则逐项排查。一个错样可以存在多个原因，分别登记主因、伴随因素、证据和置信程度，不能找到第一个疑点就终止检查。每项数据归因指向具体训练样本、源家族、规范版本或缺口范围；仅凭模型回答错误不能确定相关数据一定错误。</w:t>
      </w:r>
    </w:p>
    <w:p>
      <w:pPr>
        <w:pStyle w:val="Caption"/>
        <w:keepNext/>
      </w:pPr>
      <w:r>
        <w:t>表6-7 错样归因的四类判别与整改方向</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归因类别</w:t>
            </w:r>
          </w:p>
        </w:tc>
        <w:tc>
          <w:tcPr>
            <w:tcW w:type="dxa" w:w="2120"/>
            <w:vAlign w:val="center"/>
            <w:shd w:fill="EDF1F3"/>
          </w:tcPr>
          <w:p>
            <w:pPr>
              <w:keepNext/>
              <w:spacing w:line="320" w:lineRule="exact" w:after="0" w:before="0"/>
              <w:ind w:firstLine="0"/>
              <w:jc w:val="center"/>
            </w:pPr>
            <w:r>
              <w:rPr>
                <w:b/>
                <w:sz w:val="21"/>
              </w:rPr>
              <w:t>判别方式</w:t>
            </w:r>
          </w:p>
        </w:tc>
        <w:tc>
          <w:tcPr>
            <w:tcW w:type="dxa" w:w="1928"/>
            <w:vAlign w:val="center"/>
            <w:shd w:fill="EDF1F3"/>
          </w:tcPr>
          <w:p>
            <w:pPr>
              <w:keepNext/>
              <w:spacing w:line="320" w:lineRule="exact" w:after="0" w:before="0"/>
              <w:ind w:firstLine="0"/>
              <w:jc w:val="center"/>
            </w:pPr>
            <w:r>
              <w:rPr>
                <w:b/>
                <w:sz w:val="21"/>
              </w:rPr>
              <w:t>典型表现</w:t>
            </w:r>
          </w:p>
        </w:tc>
        <w:tc>
          <w:tcPr>
            <w:tcW w:type="dxa" w:w="1928"/>
            <w:vAlign w:val="center"/>
            <w:shd w:fill="EDF1F3"/>
          </w:tcPr>
          <w:p>
            <w:pPr>
              <w:keepNext/>
              <w:spacing w:line="320" w:lineRule="exact" w:after="0" w:before="0"/>
              <w:ind w:firstLine="0"/>
              <w:jc w:val="center"/>
            </w:pPr>
            <w:r>
              <w:rPr>
                <w:b/>
                <w:sz w:val="21"/>
              </w:rPr>
              <w:t>整改方向</w:t>
            </w:r>
          </w:p>
        </w:tc>
        <w:tc>
          <w:tcPr>
            <w:tcW w:type="dxa" w:w="1928"/>
            <w:vAlign w:val="center"/>
            <w:shd w:fill="EDF1F3"/>
          </w:tcPr>
          <w:p>
            <w:pPr>
              <w:keepNext/>
              <w:spacing w:line="320" w:lineRule="exact" w:after="0" w:before="0"/>
              <w:ind w:firstLine="0"/>
              <w:jc w:val="center"/>
            </w:pPr>
            <w:r>
              <w:rPr>
                <w:b/>
                <w:sz w:val="21"/>
              </w:rPr>
              <w:t>整改执行环节</w:t>
            </w:r>
          </w:p>
        </w:tc>
      </w:tr>
      <w:tr>
        <w:trPr>
          <w:cantSplit/>
        </w:trPr>
        <w:tc>
          <w:tcPr>
            <w:tcW w:type="dxa" w:w="1735"/>
            <w:vAlign w:val="center"/>
          </w:tcPr>
          <w:p>
            <w:pPr>
              <w:keepNext w:val="0"/>
              <w:spacing w:line="320" w:lineRule="exact" w:after="0" w:before="0"/>
              <w:ind w:firstLine="0"/>
              <w:jc w:val="left"/>
            </w:pPr>
            <w:r>
              <w:rPr>
                <w:b w:val="0"/>
                <w:sz w:val="21"/>
              </w:rPr>
              <w:t>脏数据</w:t>
            </w:r>
          </w:p>
        </w:tc>
        <w:tc>
          <w:tcPr>
            <w:tcW w:type="dxa" w:w="2120"/>
            <w:vAlign w:val="center"/>
          </w:tcPr>
          <w:p>
            <w:pPr>
              <w:keepNext w:val="0"/>
              <w:spacing w:line="320" w:lineRule="exact" w:after="0" w:before="0"/>
              <w:ind w:firstLine="0"/>
              <w:jc w:val="left"/>
            </w:pPr>
            <w:r>
              <w:rPr>
                <w:b w:val="0"/>
                <w:sz w:val="21"/>
              </w:rPr>
              <w:t>追溯该题目及相关训练样本，检查原始数据是否存在错误、缺损或格式问题</w:t>
            </w:r>
          </w:p>
        </w:tc>
        <w:tc>
          <w:tcPr>
            <w:tcW w:type="dxa" w:w="1928"/>
            <w:vAlign w:val="center"/>
          </w:tcPr>
          <w:p>
            <w:pPr>
              <w:keepNext w:val="0"/>
              <w:spacing w:line="320" w:lineRule="exact" w:after="0" w:before="0"/>
              <w:ind w:firstLine="0"/>
              <w:jc w:val="left"/>
            </w:pPr>
            <w:r>
              <w:rPr>
                <w:b w:val="0"/>
                <w:sz w:val="21"/>
              </w:rPr>
              <w:t>训练样本中该知识点的表述本身有误；同一事实在两处记录不一致</w:t>
            </w:r>
          </w:p>
        </w:tc>
        <w:tc>
          <w:tcPr>
            <w:tcW w:type="dxa" w:w="1928"/>
            <w:vAlign w:val="center"/>
          </w:tcPr>
          <w:p>
            <w:pPr>
              <w:keepNext w:val="0"/>
              <w:spacing w:line="320" w:lineRule="exact" w:after="0" w:before="0"/>
              <w:ind w:firstLine="0"/>
              <w:jc w:val="left"/>
            </w:pPr>
            <w:r>
              <w:rPr>
                <w:b w:val="0"/>
                <w:sz w:val="21"/>
              </w:rPr>
              <w:t>修正或剔除错误样本；追溯至采集或预处理环节修补</w:t>
            </w:r>
          </w:p>
        </w:tc>
        <w:tc>
          <w:tcPr>
            <w:tcW w:type="dxa" w:w="1928"/>
            <w:vAlign w:val="center"/>
          </w:tcPr>
          <w:p>
            <w:pPr>
              <w:keepNext w:val="0"/>
              <w:spacing w:line="320" w:lineRule="exact" w:after="0" w:before="0"/>
              <w:ind w:firstLine="0"/>
              <w:jc w:val="left"/>
            </w:pPr>
            <w:r>
              <w:rPr>
                <w:b w:val="0"/>
                <w:sz w:val="21"/>
              </w:rPr>
              <w:t>补采、重做预处理</w:t>
            </w:r>
          </w:p>
        </w:tc>
      </w:tr>
      <w:tr>
        <w:trPr>
          <w:cantSplit/>
        </w:trPr>
        <w:tc>
          <w:tcPr>
            <w:tcW w:type="dxa" w:w="1735"/>
            <w:vAlign w:val="center"/>
          </w:tcPr>
          <w:p>
            <w:pPr>
              <w:keepNext w:val="0"/>
              <w:spacing w:line="320" w:lineRule="exact" w:after="0" w:before="0"/>
              <w:ind w:firstLine="0"/>
              <w:jc w:val="left"/>
            </w:pPr>
            <w:r>
              <w:rPr>
                <w:b w:val="0"/>
                <w:sz w:val="21"/>
              </w:rPr>
              <w:t>矛盾标注</w:t>
            </w:r>
          </w:p>
        </w:tc>
        <w:tc>
          <w:tcPr>
            <w:tcW w:type="dxa" w:w="2120"/>
            <w:vAlign w:val="center"/>
          </w:tcPr>
          <w:p>
            <w:pPr>
              <w:keepNext w:val="0"/>
              <w:spacing w:line="320" w:lineRule="exact" w:after="0" w:before="0"/>
              <w:ind w:firstLine="0"/>
              <w:jc w:val="left"/>
            </w:pPr>
            <w:r>
              <w:rPr>
                <w:b w:val="0"/>
                <w:sz w:val="21"/>
              </w:rPr>
              <w:t>检查相关训练样本的标注是否自相矛盾</w:t>
            </w:r>
          </w:p>
        </w:tc>
        <w:tc>
          <w:tcPr>
            <w:tcW w:type="dxa" w:w="1928"/>
            <w:vAlign w:val="center"/>
          </w:tcPr>
          <w:p>
            <w:pPr>
              <w:keepNext w:val="0"/>
              <w:spacing w:line="320" w:lineRule="exact" w:after="0" w:before="0"/>
              <w:ind w:firstLine="0"/>
              <w:jc w:val="left"/>
            </w:pPr>
            <w:r>
              <w:rPr>
                <w:b w:val="0"/>
                <w:sz w:val="21"/>
              </w:rPr>
              <w:t>同类样本被标注为不同标签；标注与检验结论冲突</w:t>
            </w:r>
          </w:p>
        </w:tc>
        <w:tc>
          <w:tcPr>
            <w:tcW w:type="dxa" w:w="1928"/>
            <w:vAlign w:val="center"/>
          </w:tcPr>
          <w:p>
            <w:pPr>
              <w:keepNext w:val="0"/>
              <w:spacing w:line="320" w:lineRule="exact" w:after="0" w:before="0"/>
              <w:ind w:firstLine="0"/>
              <w:jc w:val="left"/>
            </w:pPr>
            <w:r>
              <w:rPr>
                <w:b w:val="0"/>
                <w:sz w:val="21"/>
              </w:rPr>
              <w:t>提交仲裁定案后重标受影响样本；必要时修订标注规范</w:t>
            </w:r>
          </w:p>
        </w:tc>
        <w:tc>
          <w:tcPr>
            <w:tcW w:type="dxa" w:w="1928"/>
            <w:vAlign w:val="center"/>
          </w:tcPr>
          <w:p>
            <w:pPr>
              <w:keepNext w:val="0"/>
              <w:spacing w:line="320" w:lineRule="exact" w:after="0" w:before="0"/>
              <w:ind w:firstLine="0"/>
              <w:jc w:val="left"/>
            </w:pPr>
            <w:r>
              <w:rPr>
                <w:b w:val="0"/>
                <w:sz w:val="21"/>
              </w:rPr>
              <w:t>重标、规范修订</w:t>
            </w:r>
          </w:p>
        </w:tc>
      </w:tr>
      <w:tr>
        <w:trPr>
          <w:cantSplit/>
        </w:trPr>
        <w:tc>
          <w:tcPr>
            <w:tcW w:type="dxa" w:w="1735"/>
            <w:vAlign w:val="center"/>
          </w:tcPr>
          <w:p>
            <w:pPr>
              <w:keepNext w:val="0"/>
              <w:spacing w:line="320" w:lineRule="exact" w:after="0" w:before="0"/>
              <w:ind w:firstLine="0"/>
              <w:jc w:val="left"/>
            </w:pPr>
            <w:r>
              <w:rPr>
                <w:b w:val="0"/>
                <w:sz w:val="21"/>
              </w:rPr>
              <w:t>覆盖盲区</w:t>
            </w:r>
          </w:p>
        </w:tc>
        <w:tc>
          <w:tcPr>
            <w:tcW w:type="dxa" w:w="2120"/>
            <w:vAlign w:val="center"/>
          </w:tcPr>
          <w:p>
            <w:pPr>
              <w:keepNext w:val="0"/>
              <w:spacing w:line="320" w:lineRule="exact" w:after="0" w:before="0"/>
              <w:ind w:firstLine="0"/>
              <w:jc w:val="left"/>
            </w:pPr>
            <w:r>
              <w:rPr>
                <w:b w:val="0"/>
                <w:sz w:val="21"/>
              </w:rPr>
              <w:t>统计相关知识点或任务类型在训练侧的样本数</w:t>
            </w:r>
          </w:p>
        </w:tc>
        <w:tc>
          <w:tcPr>
            <w:tcW w:type="dxa" w:w="1928"/>
            <w:vAlign w:val="center"/>
          </w:tcPr>
          <w:p>
            <w:pPr>
              <w:keepNext w:val="0"/>
              <w:spacing w:line="320" w:lineRule="exact" w:after="0" w:before="0"/>
              <w:ind w:firstLine="0"/>
              <w:jc w:val="left"/>
            </w:pPr>
            <w:r>
              <w:rPr>
                <w:b w:val="0"/>
                <w:sz w:val="21"/>
              </w:rPr>
              <w:t>该知识点在训练侧样本数为零或极少</w:t>
            </w:r>
          </w:p>
        </w:tc>
        <w:tc>
          <w:tcPr>
            <w:tcW w:type="dxa" w:w="1928"/>
            <w:vAlign w:val="center"/>
          </w:tcPr>
          <w:p>
            <w:pPr>
              <w:keepNext w:val="0"/>
              <w:spacing w:line="320" w:lineRule="exact" w:after="0" w:before="0"/>
              <w:ind w:firstLine="0"/>
              <w:jc w:val="left"/>
            </w:pPr>
            <w:r>
              <w:rPr>
                <w:b w:val="0"/>
                <w:sz w:val="21"/>
              </w:rPr>
              <w:t>补采真实样本；真实样本不可得的用合成补齐并标明</w:t>
            </w:r>
          </w:p>
        </w:tc>
        <w:tc>
          <w:tcPr>
            <w:tcW w:type="dxa" w:w="1928"/>
            <w:vAlign w:val="center"/>
          </w:tcPr>
          <w:p>
            <w:pPr>
              <w:keepNext w:val="0"/>
              <w:spacing w:line="320" w:lineRule="exact" w:after="0" w:before="0"/>
              <w:ind w:firstLine="0"/>
              <w:jc w:val="left"/>
            </w:pPr>
            <w:r>
              <w:rPr>
                <w:b w:val="0"/>
                <w:sz w:val="21"/>
              </w:rPr>
              <w:t>补采、合成</w:t>
            </w:r>
          </w:p>
        </w:tc>
      </w:tr>
      <w:tr>
        <w:trPr>
          <w:cantSplit/>
        </w:trPr>
        <w:tc>
          <w:tcPr>
            <w:tcW w:type="dxa" w:w="1735"/>
            <w:vAlign w:val="center"/>
          </w:tcPr>
          <w:p>
            <w:pPr>
              <w:keepNext w:val="0"/>
              <w:spacing w:line="320" w:lineRule="exact" w:after="0" w:before="0"/>
              <w:ind w:firstLine="0"/>
              <w:jc w:val="left"/>
            </w:pPr>
            <w:r>
              <w:rPr>
                <w:b w:val="0"/>
                <w:sz w:val="21"/>
              </w:rPr>
              <w:t>难度分布缺口</w:t>
            </w:r>
          </w:p>
        </w:tc>
        <w:tc>
          <w:tcPr>
            <w:tcW w:type="dxa" w:w="2120"/>
            <w:vAlign w:val="center"/>
          </w:tcPr>
          <w:p>
            <w:pPr>
              <w:keepNext w:val="0"/>
              <w:spacing w:line="320" w:lineRule="exact" w:after="0" w:before="0"/>
              <w:ind w:firstLine="0"/>
              <w:jc w:val="left"/>
            </w:pPr>
            <w:r>
              <w:rPr>
                <w:b w:val="0"/>
                <w:sz w:val="21"/>
              </w:rPr>
              <w:t>按难度分档统计该任务类型的训练样本分布</w:t>
            </w:r>
          </w:p>
        </w:tc>
        <w:tc>
          <w:tcPr>
            <w:tcW w:type="dxa" w:w="1928"/>
            <w:vAlign w:val="center"/>
          </w:tcPr>
          <w:p>
            <w:pPr>
              <w:keepNext w:val="0"/>
              <w:spacing w:line="320" w:lineRule="exact" w:after="0" w:before="0"/>
              <w:ind w:firstLine="0"/>
              <w:jc w:val="left"/>
            </w:pPr>
            <w:r>
              <w:rPr>
                <w:b w:val="0"/>
                <w:sz w:val="21"/>
              </w:rPr>
              <w:t>训练样本集中在简单档，评测错样集中在困难档</w:t>
            </w:r>
          </w:p>
        </w:tc>
        <w:tc>
          <w:tcPr>
            <w:tcW w:type="dxa" w:w="1928"/>
            <w:vAlign w:val="center"/>
          </w:tcPr>
          <w:p>
            <w:pPr>
              <w:keepNext w:val="0"/>
              <w:spacing w:line="320" w:lineRule="exact" w:after="0" w:before="0"/>
              <w:ind w:firstLine="0"/>
              <w:jc w:val="left"/>
            </w:pPr>
            <w:r>
              <w:rPr>
                <w:b w:val="0"/>
                <w:sz w:val="21"/>
              </w:rPr>
              <w:t>定向补充困难档样本；调整增强策略提升难度覆盖</w:t>
            </w:r>
          </w:p>
        </w:tc>
        <w:tc>
          <w:tcPr>
            <w:tcW w:type="dxa" w:w="1928"/>
            <w:vAlign w:val="center"/>
          </w:tcPr>
          <w:p>
            <w:pPr>
              <w:keepNext w:val="0"/>
              <w:spacing w:line="320" w:lineRule="exact" w:after="0" w:before="0"/>
              <w:ind w:firstLine="0"/>
              <w:jc w:val="left"/>
            </w:pPr>
            <w:r>
              <w:rPr>
                <w:b w:val="0"/>
                <w:sz w:val="21"/>
              </w:rPr>
              <w:t>标注、合成、增强</w:t>
            </w:r>
          </w:p>
        </w:tc>
      </w:tr>
    </w:tbl>
    <w:p>
      <w:pPr>
        <w:spacing w:after="40" w:line="240" w:lineRule="auto"/>
        <w:ind w:firstLine="0"/>
      </w:pPr>
      <w:r>
        <w:rPr>
          <w:sz w:val="4"/>
        </w:rPr>
      </w:r>
    </w:p>
    <w:p>
      <w:pPr>
        <w:jc w:val="both"/>
      </w:pPr>
      <w:r>
        <w:t>四类之外设「其他」类，用于归因不指向数据侧的错样（模型能力限制、评测题目本身有歧义、判分规则不适用）。这一类的处置是：评测题目有歧义的修订题目并记录修订，判分规则不适用的修订规则，模型能力限制的如实记录在验证报告中并说明其不属数据侧问题。设这一类的理由是避免把所有错样都归到数据侧，造成无效的整改投入。</w:t>
      </w:r>
    </w:p>
    <w:p>
      <w:pPr>
        <w:jc w:val="both"/>
      </w:pPr>
      <w:r>
        <w:t>整改任务单的结构与修复工单（5.7 节）一致，但来源与触发不同：修复工单来自质检门控，整改任务单来自验证错样归因。两者共用同一套工单流转与台账，便于统一跟踪。</w:t>
      </w:r>
    </w:p>
    <w:p>
      <w:pPr>
        <w:jc w:val="both"/>
      </w:pPr>
      <w:r>
        <w:t>修复后重新训练或加载受影响模型版本，完成针对性回归及未参与修复决策的独立验证。已暴露错题用于回归检查时明确其用途，不以这些题的改善独立证明泛化能力提升。正式评测协议、题目或标准答案必须修订时，生成新版本并对全部比较模型重新评测，保留原结果和变更原因。复评覆盖受影响能力及相邻任务，记录整改前后结果、退化情况、未解决事项和关闭依据。</w:t>
      </w:r>
    </w:p>
    <w:p>
      <w:pPr>
        <w:pStyle w:val="Heading2"/>
      </w:pPr>
      <w:r>
        <w:t>6.8 数据集验证报告</w:t>
      </w:r>
    </w:p>
    <w:p>
      <w:pPr>
        <w:jc w:val="both"/>
      </w:pPr>
      <w:r>
        <w:t>报告与版本一一绑定，版本指纹写入报告首页，使报告与所验证的数据集内容可核对。报告的章节结构如表 6-8。报告由项目组编制，经业务专家与技术评审两道评审后出具；评审意见与处置记录作为报告附件。</w:t>
      </w:r>
    </w:p>
    <w:p>
      <w:pPr>
        <w:pStyle w:val="Caption"/>
        <w:keepNext/>
      </w:pPr>
      <w:r>
        <w:t>表6-8 《数据集验证报告》的章节结构与内容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章节</w:t>
            </w:r>
          </w:p>
        </w:tc>
        <w:tc>
          <w:tcPr>
            <w:tcW w:type="dxa" w:w="4048"/>
            <w:vAlign w:val="center"/>
            <w:shd w:fill="EDF1F3"/>
          </w:tcPr>
          <w:p>
            <w:pPr>
              <w:keepNext/>
              <w:spacing w:line="320" w:lineRule="exact" w:after="0" w:before="0"/>
              <w:ind w:firstLine="0"/>
              <w:jc w:val="center"/>
            </w:pPr>
            <w:r>
              <w:rPr>
                <w:b/>
                <w:sz w:val="21"/>
              </w:rPr>
              <w:t>内容</w:t>
            </w:r>
          </w:p>
        </w:tc>
        <w:tc>
          <w:tcPr>
            <w:tcW w:type="dxa" w:w="3470"/>
            <w:vAlign w:val="center"/>
            <w:shd w:fill="EDF1F3"/>
          </w:tcPr>
          <w:p>
            <w:pPr>
              <w:keepNext/>
              <w:spacing w:line="320" w:lineRule="exact" w:after="0" w:before="0"/>
              <w:ind w:firstLine="0"/>
              <w:jc w:val="center"/>
            </w:pPr>
            <w:r>
              <w:rPr>
                <w:b/>
                <w:sz w:val="21"/>
              </w:rPr>
              <w:t>核验依据</w:t>
            </w:r>
          </w:p>
        </w:tc>
      </w:tr>
      <w:tr>
        <w:trPr>
          <w:cantSplit/>
        </w:trPr>
        <w:tc>
          <w:tcPr>
            <w:tcW w:type="dxa" w:w="2120"/>
            <w:vAlign w:val="center"/>
          </w:tcPr>
          <w:p>
            <w:pPr>
              <w:keepNext w:val="0"/>
              <w:spacing w:line="320" w:lineRule="exact" w:after="0" w:before="0"/>
              <w:ind w:firstLine="0"/>
              <w:jc w:val="left"/>
            </w:pPr>
            <w:r>
              <w:rPr>
                <w:b w:val="0"/>
                <w:sz w:val="21"/>
              </w:rPr>
              <w:t>一·验证对象与环境</w:t>
            </w:r>
          </w:p>
        </w:tc>
        <w:tc>
          <w:tcPr>
            <w:tcW w:type="dxa" w:w="4048"/>
            <w:vAlign w:val="center"/>
          </w:tcPr>
          <w:p>
            <w:pPr>
              <w:keepNext w:val="0"/>
              <w:spacing w:line="320" w:lineRule="exact" w:after="0" w:before="0"/>
              <w:ind w:firstLine="0"/>
              <w:jc w:val="left"/>
            </w:pPr>
            <w:r>
              <w:rPr>
                <w:b w:val="0"/>
                <w:sz w:val="21"/>
              </w:rPr>
              <w:t>数据集版本与指纹、各子集规模、基座模型与训练框架版本、超参配置、评测协议版本、硬件配置</w:t>
            </w:r>
          </w:p>
        </w:tc>
        <w:tc>
          <w:tcPr>
            <w:tcW w:type="dxa" w:w="3470"/>
            <w:vAlign w:val="center"/>
          </w:tcPr>
          <w:p>
            <w:pPr>
              <w:keepNext w:val="0"/>
              <w:spacing w:line="320" w:lineRule="exact" w:after="0" w:before="0"/>
              <w:ind w:firstLine="0"/>
              <w:jc w:val="left"/>
            </w:pPr>
            <w:r>
              <w:rPr>
                <w:b w:val="0"/>
                <w:sz w:val="21"/>
              </w:rPr>
              <w:t>固定环境与版本清单</w:t>
            </w:r>
          </w:p>
        </w:tc>
      </w:tr>
      <w:tr>
        <w:trPr>
          <w:cantSplit/>
        </w:trPr>
        <w:tc>
          <w:tcPr>
            <w:tcW w:type="dxa" w:w="2120"/>
            <w:vAlign w:val="center"/>
          </w:tcPr>
          <w:p>
            <w:pPr>
              <w:keepNext w:val="0"/>
              <w:spacing w:line="320" w:lineRule="exact" w:after="0" w:before="0"/>
              <w:ind w:firstLine="0"/>
              <w:jc w:val="left"/>
            </w:pPr>
            <w:r>
              <w:rPr>
                <w:b w:val="0"/>
                <w:sz w:val="21"/>
              </w:rPr>
              <w:t>二·继续预训练验证</w:t>
            </w:r>
          </w:p>
        </w:tc>
        <w:tc>
          <w:tcPr>
            <w:tcW w:type="dxa" w:w="4048"/>
            <w:vAlign w:val="center"/>
          </w:tcPr>
          <w:p>
            <w:pPr>
              <w:keepNext w:val="0"/>
              <w:spacing w:line="320" w:lineRule="exact" w:after="0" w:before="0"/>
              <w:ind w:firstLine="0"/>
              <w:jc w:val="left"/>
            </w:pPr>
            <w:r>
              <w:rPr>
                <w:b w:val="0"/>
                <w:sz w:val="21"/>
              </w:rPr>
              <w:t>领域知识探针结果（按域与知识点类型）、保留语料困惑度变化、通用能力保持情况、知识注入有效性结论</w:t>
            </w:r>
          </w:p>
        </w:tc>
        <w:tc>
          <w:tcPr>
            <w:tcW w:type="dxa" w:w="3470"/>
            <w:vAlign w:val="center"/>
          </w:tcPr>
          <w:p>
            <w:pPr>
              <w:keepNext w:val="0"/>
              <w:spacing w:line="320" w:lineRule="exact" w:after="0" w:before="0"/>
              <w:ind w:firstLine="0"/>
              <w:jc w:val="left"/>
            </w:pPr>
            <w:r>
              <w:rPr>
                <w:b w:val="0"/>
                <w:sz w:val="21"/>
              </w:rPr>
              <w:t>知识探针及语料切分记录</w:t>
            </w:r>
          </w:p>
        </w:tc>
      </w:tr>
      <w:tr>
        <w:trPr>
          <w:cantSplit/>
        </w:trPr>
        <w:tc>
          <w:tcPr>
            <w:tcW w:type="dxa" w:w="2120"/>
            <w:vAlign w:val="center"/>
          </w:tcPr>
          <w:p>
            <w:pPr>
              <w:keepNext w:val="0"/>
              <w:spacing w:line="320" w:lineRule="exact" w:after="0" w:before="0"/>
              <w:ind w:firstLine="0"/>
              <w:jc w:val="left"/>
            </w:pPr>
            <w:r>
              <w:rPr>
                <w:b w:val="0"/>
                <w:sz w:val="21"/>
              </w:rPr>
              <w:t>三·指令微调验证</w:t>
            </w:r>
          </w:p>
        </w:tc>
        <w:tc>
          <w:tcPr>
            <w:tcW w:type="dxa" w:w="4048"/>
            <w:vAlign w:val="center"/>
          </w:tcPr>
          <w:p>
            <w:pPr>
              <w:keepNext w:val="0"/>
              <w:spacing w:line="320" w:lineRule="exact" w:after="0" w:before="0"/>
              <w:ind w:firstLine="0"/>
              <w:jc w:val="left"/>
            </w:pPr>
            <w:r>
              <w:rPr>
                <w:b w:val="0"/>
                <w:sz w:val="21"/>
              </w:rPr>
              <w:t>指令遵循、任务完成质量、行业问答准确性、长上下文理解四类结果；按数据集的消融结论</w:t>
            </w:r>
          </w:p>
        </w:tc>
        <w:tc>
          <w:tcPr>
            <w:tcW w:type="dxa" w:w="3470"/>
            <w:vAlign w:val="center"/>
          </w:tcPr>
          <w:p>
            <w:pPr>
              <w:keepNext w:val="0"/>
              <w:spacing w:line="320" w:lineRule="exact" w:after="0" w:before="0"/>
              <w:ind w:firstLine="0"/>
              <w:jc w:val="left"/>
            </w:pPr>
            <w:r>
              <w:rPr>
                <w:b w:val="0"/>
                <w:sz w:val="21"/>
              </w:rPr>
              <w:t>逐题结果与消融配置</w:t>
            </w:r>
          </w:p>
        </w:tc>
      </w:tr>
      <w:tr>
        <w:trPr>
          <w:cantSplit/>
        </w:trPr>
        <w:tc>
          <w:tcPr>
            <w:tcW w:type="dxa" w:w="2120"/>
            <w:vAlign w:val="center"/>
          </w:tcPr>
          <w:p>
            <w:pPr>
              <w:keepNext w:val="0"/>
              <w:spacing w:line="320" w:lineRule="exact" w:after="0" w:before="0"/>
              <w:ind w:firstLine="0"/>
              <w:jc w:val="left"/>
            </w:pPr>
            <w:r>
              <w:rPr>
                <w:b w:val="0"/>
                <w:sz w:val="21"/>
              </w:rPr>
              <w:t>四·偏好对齐验证</w:t>
            </w:r>
          </w:p>
        </w:tc>
        <w:tc>
          <w:tcPr>
            <w:tcW w:type="dxa" w:w="4048"/>
            <w:vAlign w:val="center"/>
          </w:tcPr>
          <w:p>
            <w:pPr>
              <w:keepNext w:val="0"/>
              <w:spacing w:line="320" w:lineRule="exact" w:after="0" w:before="0"/>
              <w:ind w:firstLine="0"/>
              <w:jc w:val="left"/>
            </w:pPr>
            <w:r>
              <w:rPr>
                <w:b w:val="0"/>
                <w:sz w:val="21"/>
              </w:rPr>
              <w:t>偏好判别准确率（按差异类型）、回答质量改善的盲评结果、安全合规通过率、对齐后能力保持</w:t>
            </w:r>
          </w:p>
        </w:tc>
        <w:tc>
          <w:tcPr>
            <w:tcW w:type="dxa" w:w="3470"/>
            <w:vAlign w:val="center"/>
          </w:tcPr>
          <w:p>
            <w:pPr>
              <w:keepNext w:val="0"/>
              <w:spacing w:line="320" w:lineRule="exact" w:after="0" w:before="0"/>
              <w:ind w:firstLine="0"/>
              <w:jc w:val="left"/>
            </w:pPr>
            <w:r>
              <w:rPr>
                <w:b w:val="0"/>
                <w:sz w:val="21"/>
              </w:rPr>
              <w:t>人工偏好记录及安全测试</w:t>
            </w:r>
          </w:p>
        </w:tc>
      </w:tr>
      <w:tr>
        <w:trPr>
          <w:cantSplit/>
        </w:trPr>
        <w:tc>
          <w:tcPr>
            <w:tcW w:type="dxa" w:w="2120"/>
            <w:vAlign w:val="center"/>
          </w:tcPr>
          <w:p>
            <w:pPr>
              <w:keepNext w:val="0"/>
              <w:spacing w:line="320" w:lineRule="exact" w:after="0" w:before="0"/>
              <w:ind w:firstLine="0"/>
              <w:jc w:val="left"/>
            </w:pPr>
            <w:r>
              <w:rPr>
                <w:b w:val="0"/>
                <w:sz w:val="21"/>
              </w:rPr>
              <w:t>五·标准化评测与能力增量</w:t>
            </w:r>
          </w:p>
        </w:tc>
        <w:tc>
          <w:tcPr>
            <w:tcW w:type="dxa" w:w="4048"/>
            <w:vAlign w:val="center"/>
          </w:tcPr>
          <w:p>
            <w:pPr>
              <w:keepNext w:val="0"/>
              <w:spacing w:line="320" w:lineRule="exact" w:after="0" w:before="0"/>
              <w:ind w:firstLine="0"/>
              <w:jc w:val="left"/>
            </w:pPr>
            <w:r>
              <w:rPr>
                <w:b w:val="0"/>
                <w:sz w:val="21"/>
              </w:rPr>
              <w:t>四个模型的评测结果、「数据集 × 能力维度」增量矩阵、能力雷达图及其数值明细</w:t>
            </w:r>
          </w:p>
        </w:tc>
        <w:tc>
          <w:tcPr>
            <w:tcW w:type="dxa" w:w="3470"/>
            <w:vAlign w:val="center"/>
          </w:tcPr>
          <w:p>
            <w:pPr>
              <w:keepNext w:val="0"/>
              <w:spacing w:line="320" w:lineRule="exact" w:after="0" w:before="0"/>
              <w:ind w:firstLine="0"/>
              <w:jc w:val="left"/>
            </w:pPr>
            <w:r>
              <w:rPr>
                <w:b w:val="0"/>
                <w:sz w:val="21"/>
              </w:rPr>
              <w:t>模型检查点与统一协议</w:t>
            </w:r>
          </w:p>
        </w:tc>
      </w:tr>
      <w:tr>
        <w:trPr>
          <w:cantSplit/>
        </w:trPr>
        <w:tc>
          <w:tcPr>
            <w:tcW w:type="dxa" w:w="2120"/>
            <w:vAlign w:val="center"/>
          </w:tcPr>
          <w:p>
            <w:pPr>
              <w:keepNext w:val="0"/>
              <w:spacing w:line="320" w:lineRule="exact" w:after="0" w:before="0"/>
              <w:ind w:firstLine="0"/>
              <w:jc w:val="left"/>
            </w:pPr>
            <w:r>
              <w:rPr>
                <w:b w:val="0"/>
                <w:sz w:val="21"/>
              </w:rPr>
              <w:t>六·场景可用性结论</w:t>
            </w:r>
          </w:p>
        </w:tc>
        <w:tc>
          <w:tcPr>
            <w:tcW w:type="dxa" w:w="4048"/>
            <w:vAlign w:val="center"/>
          </w:tcPr>
          <w:p>
            <w:pPr>
              <w:keepNext w:val="0"/>
              <w:spacing w:line="320" w:lineRule="exact" w:after="0" w:before="0"/>
              <w:ind w:firstLine="0"/>
              <w:jc w:val="left"/>
            </w:pPr>
            <w:r>
              <w:rPr>
                <w:b w:val="0"/>
                <w:sz w:val="21"/>
              </w:rPr>
              <w:t>各验证场景的任务、结果、可用性结论；不达预期场景的定位结论</w:t>
            </w:r>
          </w:p>
        </w:tc>
        <w:tc>
          <w:tcPr>
            <w:tcW w:type="dxa" w:w="3470"/>
            <w:vAlign w:val="center"/>
          </w:tcPr>
          <w:p>
            <w:pPr>
              <w:keepNext w:val="0"/>
              <w:spacing w:line="320" w:lineRule="exact" w:after="0" w:before="0"/>
              <w:ind w:firstLine="0"/>
              <w:jc w:val="left"/>
            </w:pPr>
            <w:r>
              <w:rPr>
                <w:b w:val="0"/>
                <w:sz w:val="21"/>
              </w:rPr>
              <w:t>真实任务及专家结论</w:t>
            </w:r>
          </w:p>
        </w:tc>
      </w:tr>
      <w:tr>
        <w:trPr>
          <w:cantSplit/>
        </w:trPr>
        <w:tc>
          <w:tcPr>
            <w:tcW w:type="dxa" w:w="2120"/>
            <w:vAlign w:val="center"/>
          </w:tcPr>
          <w:p>
            <w:pPr>
              <w:keepNext w:val="0"/>
              <w:spacing w:line="320" w:lineRule="exact" w:after="0" w:before="0"/>
              <w:ind w:firstLine="0"/>
              <w:jc w:val="left"/>
            </w:pPr>
            <w:r>
              <w:rPr>
                <w:b w:val="0"/>
                <w:sz w:val="21"/>
              </w:rPr>
              <w:t>七·错样归因与整改闭环</w:t>
            </w:r>
          </w:p>
        </w:tc>
        <w:tc>
          <w:tcPr>
            <w:tcW w:type="dxa" w:w="4048"/>
            <w:vAlign w:val="center"/>
          </w:tcPr>
          <w:p>
            <w:pPr>
              <w:keepNext w:val="0"/>
              <w:spacing w:line="320" w:lineRule="exact" w:after="0" w:before="0"/>
              <w:ind w:firstLine="0"/>
              <w:jc w:val="left"/>
            </w:pPr>
            <w:r>
              <w:rPr>
                <w:b w:val="0"/>
                <w:sz w:val="21"/>
              </w:rPr>
              <w:t>错样归因统计、整改任务单清单、复评结果、闭环记录、未闭环事项</w:t>
            </w:r>
          </w:p>
        </w:tc>
        <w:tc>
          <w:tcPr>
            <w:tcW w:type="dxa" w:w="3470"/>
            <w:vAlign w:val="center"/>
          </w:tcPr>
          <w:p>
            <w:pPr>
              <w:keepNext w:val="0"/>
              <w:spacing w:line="320" w:lineRule="exact" w:after="0" w:before="0"/>
              <w:ind w:firstLine="0"/>
              <w:jc w:val="left"/>
            </w:pPr>
            <w:r>
              <w:rPr>
                <w:b w:val="0"/>
                <w:sz w:val="21"/>
              </w:rPr>
              <w:t>工单证据与复评结果</w:t>
            </w:r>
          </w:p>
        </w:tc>
      </w:tr>
      <w:tr>
        <w:trPr>
          <w:cantSplit/>
        </w:trPr>
        <w:tc>
          <w:tcPr>
            <w:tcW w:type="dxa" w:w="2120"/>
            <w:vAlign w:val="center"/>
          </w:tcPr>
          <w:p>
            <w:pPr>
              <w:keepNext w:val="0"/>
              <w:spacing w:line="320" w:lineRule="exact" w:after="0" w:before="0"/>
              <w:ind w:firstLine="0"/>
              <w:jc w:val="left"/>
            </w:pPr>
            <w:r>
              <w:rPr>
                <w:b w:val="0"/>
                <w:sz w:val="21"/>
              </w:rPr>
              <w:t>八·发布建议与使用限制</w:t>
            </w:r>
          </w:p>
        </w:tc>
        <w:tc>
          <w:tcPr>
            <w:tcW w:type="dxa" w:w="4048"/>
            <w:vAlign w:val="center"/>
          </w:tcPr>
          <w:p>
            <w:pPr>
              <w:keepNext w:val="0"/>
              <w:spacing w:line="320" w:lineRule="exact" w:after="0" w:before="0"/>
              <w:ind w:firstLine="0"/>
              <w:jc w:val="left"/>
            </w:pPr>
            <w:r>
              <w:rPr>
                <w:b w:val="0"/>
                <w:sz w:val="21"/>
              </w:rPr>
              <w:t>本版本是否建议发布、建议的适用用途、已知局限性、使用限制（许可条款限制、低可信度样本占比等）</w:t>
            </w:r>
          </w:p>
        </w:tc>
        <w:tc>
          <w:tcPr>
            <w:tcW w:type="dxa" w:w="3470"/>
            <w:vAlign w:val="center"/>
          </w:tcPr>
          <w:p>
            <w:pPr>
              <w:keepNext w:val="0"/>
              <w:spacing w:line="320" w:lineRule="exact" w:after="0" w:before="0"/>
              <w:ind w:firstLine="0"/>
              <w:jc w:val="left"/>
            </w:pPr>
            <w:r>
              <w:rPr>
                <w:b w:val="0"/>
                <w:sz w:val="21"/>
              </w:rPr>
              <w:t>发布条件检查表</w:t>
            </w:r>
          </w:p>
        </w:tc>
      </w:tr>
      <w:tr>
        <w:trPr>
          <w:cantSplit/>
        </w:trPr>
        <w:tc>
          <w:tcPr>
            <w:tcW w:type="dxa" w:w="2120"/>
            <w:vAlign w:val="center"/>
          </w:tcPr>
          <w:p>
            <w:pPr>
              <w:keepNext w:val="0"/>
              <w:spacing w:line="320" w:lineRule="exact" w:after="0" w:before="0"/>
              <w:ind w:firstLine="0"/>
              <w:jc w:val="left"/>
            </w:pPr>
            <w:r>
              <w:rPr>
                <w:b w:val="0"/>
                <w:sz w:val="21"/>
              </w:rPr>
              <w:t>附件</w:t>
            </w:r>
          </w:p>
        </w:tc>
        <w:tc>
          <w:tcPr>
            <w:tcW w:type="dxa" w:w="4048"/>
            <w:vAlign w:val="center"/>
          </w:tcPr>
          <w:p>
            <w:pPr>
              <w:keepNext w:val="0"/>
              <w:spacing w:line="320" w:lineRule="exact" w:after="0" w:before="0"/>
              <w:ind w:firstLine="0"/>
              <w:jc w:val="left"/>
            </w:pPr>
            <w:r>
              <w:rPr>
                <w:b w:val="0"/>
                <w:sz w:val="21"/>
              </w:rPr>
              <w:t>评测协议文件、评测题目与判分规则、结果明细、消融实验明细、评审意见与处置记录</w:t>
            </w:r>
          </w:p>
        </w:tc>
        <w:tc>
          <w:tcPr>
            <w:tcW w:type="dxa" w:w="3470"/>
            <w:vAlign w:val="center"/>
          </w:tcPr>
          <w:p>
            <w:pPr>
              <w:keepNext w:val="0"/>
              <w:spacing w:line="320" w:lineRule="exact" w:after="0" w:before="0"/>
              <w:ind w:firstLine="0"/>
              <w:jc w:val="left"/>
            </w:pPr>
            <w:r>
              <w:rPr>
                <w:b w:val="0"/>
                <w:sz w:val="21"/>
              </w:rPr>
              <w:t>协议脚本及授权范围</w:t>
            </w:r>
          </w:p>
        </w:tc>
      </w:tr>
    </w:tbl>
    <w:p>
      <w:pPr>
        <w:spacing w:after="40" w:line="240" w:lineRule="auto"/>
        <w:ind w:firstLine="0"/>
      </w:pPr>
      <w:r>
        <w:rPr>
          <w:sz w:val="4"/>
        </w:rPr>
      </w:r>
    </w:p>
    <w:p>
      <w:pPr>
        <w:jc w:val="both"/>
      </w:pPr>
      <w:r>
        <w:t>验证报告对是否满足发布条件作出明确结论，列明适用用途、客观覆盖范围、许可限制及需要处理的问题。各项结论引用实际结果和版本记录，报告与数据集卡片中的统计及使用限制保持一致。存在阻断发布的问题时，报告保持未通过状态，修复复评后形成新结论。</w:t>
      </w:r>
    </w:p>
    <w:p>
      <w:pPr>
        <w:pStyle w:val="Heading1"/>
      </w:pPr>
      <w:r>
        <w:t>7 数据集项目管理</w:t>
      </w:r>
    </w:p>
    <w:p>
      <w:pPr>
        <w:pStyle w:val="Heading2"/>
      </w:pPr>
      <w:r>
        <w:t>7.1 生产项目与交付档案</w:t>
      </w:r>
    </w:p>
    <w:p>
      <w:pPr>
        <w:jc w:val="both"/>
      </w:pPr>
      <w:r>
        <w:t>我方按数据集项目管理任务、批次、版本、发布物及使用记录。生产侧形成的样本经质检和验证后组织为明确的版本，内容与卡片、字典、指纹和报告相互对应。接收方可依据封装文件确认数据范围、来源及许可，按字段定义准确解析，并核验文件完整性。</w:t>
      </w:r>
    </w:p>
    <w:p>
      <w:pPr>
        <w:jc w:val="both"/>
      </w:pPr>
      <w:r>
        <w:t>版本档案贯穿生产、发布、移交和后续更新，保留输入快照、加工配置、质量记录、验证结论、批准记录及接收凭证。使用限制在样本、封装和运营登记中保持一致，授权撤销或质量问题能够追踪到已提供的版本及实际使用范围。</w:t>
      </w:r>
    </w:p>
    <w:p>
      <w:pPr>
        <w:pStyle w:val="Heading2"/>
      </w:pPr>
      <w:r>
        <w:t>7.2 数据集项目与生产任务的组织</w:t>
      </w:r>
    </w:p>
    <w:p>
      <w:pPr>
        <w:jc w:val="both"/>
      </w:pPr>
      <w:r>
        <w:t>组织结构是两层：四个数据集项目，每个项目下四个用途子集的生产任务，共十六个生产任务。十六个任务不是平均用力的——它们的规模、工艺路线与资源构成差别很大，分别组织的意义正在于让各任务按自己的规律推进而不互相拖累。</w:t>
      </w:r>
    </w:p>
    <w:p>
      <w:pPr>
        <w:pStyle w:val="Caption"/>
        <w:keepNext/>
      </w:pPr>
      <w:r>
        <w:t>表7-1 四个数据集项目与十六个生产任务的组织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数据集项目</w:t>
            </w:r>
          </w:p>
        </w:tc>
        <w:tc>
          <w:tcPr>
            <w:tcW w:type="dxa" w:w="2120"/>
            <w:vAlign w:val="center"/>
            <w:shd w:fill="EDF1F3"/>
          </w:tcPr>
          <w:p>
            <w:pPr>
              <w:keepNext/>
              <w:spacing w:line="320" w:lineRule="exact" w:after="0" w:before="0"/>
              <w:ind w:firstLine="0"/>
              <w:jc w:val="center"/>
            </w:pPr>
            <w:r>
              <w:rPr>
                <w:b/>
                <w:sz w:val="21"/>
              </w:rPr>
              <w:t>预训练子集任务</w:t>
            </w:r>
          </w:p>
        </w:tc>
        <w:tc>
          <w:tcPr>
            <w:tcW w:type="dxa" w:w="1928"/>
            <w:vAlign w:val="center"/>
            <w:shd w:fill="EDF1F3"/>
          </w:tcPr>
          <w:p>
            <w:pPr>
              <w:keepNext/>
              <w:spacing w:line="320" w:lineRule="exact" w:after="0" w:before="0"/>
              <w:ind w:firstLine="0"/>
              <w:jc w:val="center"/>
            </w:pPr>
            <w:r>
              <w:rPr>
                <w:b/>
                <w:sz w:val="21"/>
              </w:rPr>
              <w:t>指令微调子集任务</w:t>
            </w:r>
          </w:p>
        </w:tc>
        <w:tc>
          <w:tcPr>
            <w:tcW w:type="dxa" w:w="1928"/>
            <w:vAlign w:val="center"/>
            <w:shd w:fill="EDF1F3"/>
          </w:tcPr>
          <w:p>
            <w:pPr>
              <w:keepNext/>
              <w:spacing w:line="320" w:lineRule="exact" w:after="0" w:before="0"/>
              <w:ind w:firstLine="0"/>
              <w:jc w:val="center"/>
            </w:pPr>
            <w:r>
              <w:rPr>
                <w:b/>
                <w:sz w:val="21"/>
              </w:rPr>
              <w:t>偏好对齐子集任务</w:t>
            </w:r>
          </w:p>
        </w:tc>
        <w:tc>
          <w:tcPr>
            <w:tcW w:type="dxa" w:w="1928"/>
            <w:vAlign w:val="center"/>
            <w:shd w:fill="EDF1F3"/>
          </w:tcPr>
          <w:p>
            <w:pPr>
              <w:keepNext/>
              <w:spacing w:line="320" w:lineRule="exact" w:after="0" w:before="0"/>
              <w:ind w:firstLine="0"/>
              <w:jc w:val="center"/>
            </w:pPr>
            <w:r>
              <w:rPr>
                <w:b/>
                <w:sz w:val="21"/>
              </w:rPr>
              <w:t>基准评测子集任务</w:t>
            </w:r>
          </w:p>
        </w:tc>
      </w:tr>
      <w:tr>
        <w:trPr>
          <w:cantSplit/>
        </w:trPr>
        <w:tc>
          <w:tcPr>
            <w:tcW w:type="dxa" w:w="1735"/>
            <w:vAlign w:val="center"/>
          </w:tcPr>
          <w:p>
            <w:pPr>
              <w:keepNext w:val="0"/>
              <w:spacing w:line="320" w:lineRule="exact" w:after="0" w:before="0"/>
              <w:ind w:firstLine="0"/>
              <w:jc w:val="left"/>
            </w:pPr>
            <w:r>
              <w:rPr>
                <w:b w:val="0"/>
                <w:sz w:val="21"/>
              </w:rPr>
              <w:t>供需计划数据集</w:t>
            </w:r>
          </w:p>
        </w:tc>
        <w:tc>
          <w:tcPr>
            <w:tcW w:type="dxa" w:w="2120"/>
            <w:vAlign w:val="center"/>
          </w:tcPr>
          <w:p>
            <w:pPr>
              <w:keepNext w:val="0"/>
              <w:spacing w:line="320" w:lineRule="exact" w:after="0" w:before="0"/>
              <w:ind w:firstLine="0"/>
              <w:jc w:val="left"/>
            </w:pPr>
            <w:r>
              <w:rPr>
                <w:b w:val="0"/>
                <w:sz w:val="21"/>
              </w:rPr>
              <w:t>276 亿 Token：合同与招投标文档长文本、业务数据文本化、外部行业语料</w:t>
            </w:r>
          </w:p>
        </w:tc>
        <w:tc>
          <w:tcPr>
            <w:tcW w:type="dxa" w:w="1928"/>
            <w:vAlign w:val="center"/>
          </w:tcPr>
          <w:p>
            <w:pPr>
              <w:keepNext w:val="0"/>
              <w:spacing w:line="320" w:lineRule="exact" w:after="0" w:before="0"/>
              <w:ind w:firstLine="0"/>
              <w:jc w:val="left"/>
            </w:pPr>
            <w:r>
              <w:rPr>
                <w:b w:val="0"/>
                <w:sz w:val="21"/>
              </w:rPr>
              <w:t>40 万条：选型问答、合同审查问答、库存决策问答</w:t>
            </w:r>
          </w:p>
        </w:tc>
        <w:tc>
          <w:tcPr>
            <w:tcW w:type="dxa" w:w="1928"/>
            <w:vAlign w:val="center"/>
          </w:tcPr>
          <w:p>
            <w:pPr>
              <w:keepNext w:val="0"/>
              <w:spacing w:line="320" w:lineRule="exact" w:after="0" w:before="0"/>
              <w:ind w:firstLine="0"/>
              <w:jc w:val="left"/>
            </w:pPr>
            <w:r>
              <w:rPr>
                <w:b w:val="0"/>
                <w:sz w:val="21"/>
              </w:rPr>
              <w:t>3.2 万组：审查结论优劣对、选型方案优劣对</w:t>
            </w:r>
          </w:p>
        </w:tc>
        <w:tc>
          <w:tcPr>
            <w:tcW w:type="dxa" w:w="1928"/>
            <w:vAlign w:val="center"/>
          </w:tcPr>
          <w:p>
            <w:pPr>
              <w:keepNext w:val="0"/>
              <w:spacing w:line="320" w:lineRule="exact" w:after="0" w:before="0"/>
              <w:ind w:firstLine="0"/>
              <w:jc w:val="left"/>
            </w:pPr>
            <w:r>
              <w:rPr>
                <w:b w:val="0"/>
                <w:sz w:val="21"/>
              </w:rPr>
              <w:t>0.4 万条：要素抽取题、风险判定题、核算题</w:t>
            </w:r>
          </w:p>
        </w:tc>
      </w:tr>
      <w:tr>
        <w:trPr>
          <w:cantSplit/>
        </w:trPr>
        <w:tc>
          <w:tcPr>
            <w:tcW w:type="dxa" w:w="1735"/>
            <w:vAlign w:val="center"/>
          </w:tcPr>
          <w:p>
            <w:pPr>
              <w:keepNext w:val="0"/>
              <w:spacing w:line="320" w:lineRule="exact" w:after="0" w:before="0"/>
              <w:ind w:firstLine="0"/>
              <w:jc w:val="left"/>
            </w:pPr>
            <w:r>
              <w:rPr>
                <w:b w:val="0"/>
                <w:sz w:val="21"/>
              </w:rPr>
              <w:t>产品工艺设计数据集</w:t>
            </w:r>
          </w:p>
        </w:tc>
        <w:tc>
          <w:tcPr>
            <w:tcW w:type="dxa" w:w="2120"/>
            <w:vAlign w:val="center"/>
          </w:tcPr>
          <w:p>
            <w:pPr>
              <w:keepNext w:val="0"/>
              <w:spacing w:line="320" w:lineRule="exact" w:after="0" w:before="0"/>
              <w:ind w:firstLine="0"/>
              <w:jc w:val="left"/>
            </w:pPr>
            <w:r>
              <w:rPr>
                <w:b w:val="0"/>
                <w:sz w:val="21"/>
              </w:rPr>
              <w:t>70 亿 Token：图纸技术要求与工艺卡片文本、制图标准与工艺编制准则</w:t>
            </w:r>
          </w:p>
        </w:tc>
        <w:tc>
          <w:tcPr>
            <w:tcW w:type="dxa" w:w="1928"/>
            <w:vAlign w:val="center"/>
          </w:tcPr>
          <w:p>
            <w:pPr>
              <w:keepNext w:val="0"/>
              <w:spacing w:line="320" w:lineRule="exact" w:after="0" w:before="0"/>
              <w:ind w:firstLine="0"/>
              <w:jc w:val="left"/>
            </w:pPr>
            <w:r>
              <w:rPr>
                <w:b w:val="0"/>
                <w:sz w:val="21"/>
              </w:rPr>
              <w:t>10 万条：工艺卡片生成、工艺审查、借用判定、共料排料</w:t>
            </w:r>
          </w:p>
        </w:tc>
        <w:tc>
          <w:tcPr>
            <w:tcW w:type="dxa" w:w="1928"/>
            <w:vAlign w:val="center"/>
          </w:tcPr>
          <w:p>
            <w:pPr>
              <w:keepNext w:val="0"/>
              <w:spacing w:line="320" w:lineRule="exact" w:after="0" w:before="0"/>
              <w:ind w:firstLine="0"/>
              <w:jc w:val="left"/>
            </w:pPr>
            <w:r>
              <w:rPr>
                <w:b w:val="0"/>
                <w:sz w:val="21"/>
              </w:rPr>
              <w:t>0.8 万组：工序序列优劣对、推理依据充分性对</w:t>
            </w:r>
          </w:p>
        </w:tc>
        <w:tc>
          <w:tcPr>
            <w:tcW w:type="dxa" w:w="1928"/>
            <w:vAlign w:val="center"/>
          </w:tcPr>
          <w:p>
            <w:pPr>
              <w:keepNext w:val="0"/>
              <w:spacing w:line="320" w:lineRule="exact" w:after="0" w:before="0"/>
              <w:ind w:firstLine="0"/>
              <w:jc w:val="left"/>
            </w:pPr>
            <w:r>
              <w:rPr>
                <w:b w:val="0"/>
                <w:sz w:val="21"/>
              </w:rPr>
              <w:t>0.1 万条：工序序列题、展开长计算题、特征识别题</w:t>
            </w:r>
          </w:p>
        </w:tc>
      </w:tr>
      <w:tr>
        <w:trPr>
          <w:cantSplit/>
        </w:trPr>
        <w:tc>
          <w:tcPr>
            <w:tcW w:type="dxa" w:w="1735"/>
            <w:vAlign w:val="center"/>
          </w:tcPr>
          <w:p>
            <w:pPr>
              <w:keepNext w:val="0"/>
              <w:spacing w:line="320" w:lineRule="exact" w:after="0" w:before="0"/>
              <w:ind w:firstLine="0"/>
              <w:jc w:val="left"/>
            </w:pPr>
            <w:r>
              <w:rPr>
                <w:b w:val="0"/>
                <w:sz w:val="21"/>
              </w:rPr>
              <w:t>制造过程数据集</w:t>
            </w:r>
          </w:p>
        </w:tc>
        <w:tc>
          <w:tcPr>
            <w:tcW w:type="dxa" w:w="2120"/>
            <w:vAlign w:val="center"/>
          </w:tcPr>
          <w:p>
            <w:pPr>
              <w:keepNext w:val="0"/>
              <w:spacing w:line="320" w:lineRule="exact" w:after="0" w:before="0"/>
              <w:ind w:firstLine="0"/>
              <w:jc w:val="left"/>
            </w:pPr>
            <w:r>
              <w:rPr>
                <w:b w:val="0"/>
                <w:sz w:val="21"/>
              </w:rPr>
              <w:t>105 亿 Token：设备档案与维修诊断文本、时序事件文本化描述</w:t>
            </w:r>
          </w:p>
        </w:tc>
        <w:tc>
          <w:tcPr>
            <w:tcW w:type="dxa" w:w="1928"/>
            <w:vAlign w:val="center"/>
          </w:tcPr>
          <w:p>
            <w:pPr>
              <w:keepNext w:val="0"/>
              <w:spacing w:line="320" w:lineRule="exact" w:after="0" w:before="0"/>
              <w:ind w:firstLine="0"/>
              <w:jc w:val="left"/>
            </w:pPr>
            <w:r>
              <w:rPr>
                <w:b w:val="0"/>
                <w:sz w:val="21"/>
              </w:rPr>
              <w:t>15 万条：诊断说明生成、多轮排障、工况判别、参数差异分析</w:t>
            </w:r>
          </w:p>
        </w:tc>
        <w:tc>
          <w:tcPr>
            <w:tcW w:type="dxa" w:w="1928"/>
            <w:vAlign w:val="center"/>
          </w:tcPr>
          <w:p>
            <w:pPr>
              <w:keepNext w:val="0"/>
              <w:spacing w:line="320" w:lineRule="exact" w:after="0" w:before="0"/>
              <w:ind w:firstLine="0"/>
              <w:jc w:val="left"/>
            </w:pPr>
            <w:r>
              <w:rPr>
                <w:b w:val="0"/>
                <w:sz w:val="21"/>
              </w:rPr>
              <w:t>1 万组：诊断结论优劣对、证据等级恰当性对</w:t>
            </w:r>
          </w:p>
        </w:tc>
        <w:tc>
          <w:tcPr>
            <w:tcW w:type="dxa" w:w="1928"/>
            <w:vAlign w:val="center"/>
          </w:tcPr>
          <w:p>
            <w:pPr>
              <w:keepNext w:val="0"/>
              <w:spacing w:line="320" w:lineRule="exact" w:after="0" w:before="0"/>
              <w:ind w:firstLine="0"/>
              <w:jc w:val="left"/>
            </w:pPr>
            <w:r>
              <w:rPr>
                <w:b w:val="0"/>
                <w:sz w:val="21"/>
              </w:rPr>
              <w:t>0.2 万条：工况分类题、故障模式题、诊断说明题</w:t>
            </w:r>
          </w:p>
        </w:tc>
      </w:tr>
      <w:tr>
        <w:trPr>
          <w:cantSplit/>
        </w:trPr>
        <w:tc>
          <w:tcPr>
            <w:tcW w:type="dxa" w:w="1735"/>
            <w:vAlign w:val="center"/>
          </w:tcPr>
          <w:p>
            <w:pPr>
              <w:keepNext w:val="0"/>
              <w:spacing w:line="320" w:lineRule="exact" w:after="0" w:before="0"/>
              <w:ind w:firstLine="0"/>
              <w:jc w:val="left"/>
            </w:pPr>
            <w:r>
              <w:rPr>
                <w:b w:val="0"/>
                <w:sz w:val="21"/>
              </w:rPr>
              <w:t>产品质量数据集</w:t>
            </w:r>
          </w:p>
        </w:tc>
        <w:tc>
          <w:tcPr>
            <w:tcW w:type="dxa" w:w="2120"/>
            <w:vAlign w:val="center"/>
          </w:tcPr>
          <w:p>
            <w:pPr>
              <w:keepNext w:val="0"/>
              <w:spacing w:line="320" w:lineRule="exact" w:after="0" w:before="0"/>
              <w:ind w:firstLine="0"/>
              <w:jc w:val="left"/>
            </w:pPr>
            <w:r>
              <w:rPr>
                <w:b w:val="0"/>
                <w:sz w:val="21"/>
              </w:rPr>
              <w:t>164 亿 Token：检验记录与质量报告文本、质量知识、缺陷判定依据</w:t>
            </w:r>
          </w:p>
        </w:tc>
        <w:tc>
          <w:tcPr>
            <w:tcW w:type="dxa" w:w="1928"/>
            <w:vAlign w:val="center"/>
          </w:tcPr>
          <w:p>
            <w:pPr>
              <w:keepNext w:val="0"/>
              <w:spacing w:line="320" w:lineRule="exact" w:after="0" w:before="0"/>
              <w:ind w:firstLine="0"/>
              <w:jc w:val="left"/>
            </w:pPr>
            <w:r>
              <w:rPr>
                <w:b w:val="0"/>
                <w:sz w:val="21"/>
              </w:rPr>
              <w:t>24 万条：检验项判定、缺陷分类、根因追溯问答</w:t>
            </w:r>
          </w:p>
        </w:tc>
        <w:tc>
          <w:tcPr>
            <w:tcW w:type="dxa" w:w="1928"/>
            <w:vAlign w:val="center"/>
          </w:tcPr>
          <w:p>
            <w:pPr>
              <w:keepNext w:val="0"/>
              <w:spacing w:line="320" w:lineRule="exact" w:after="0" w:before="0"/>
              <w:ind w:firstLine="0"/>
              <w:jc w:val="left"/>
            </w:pPr>
            <w:r>
              <w:rPr>
                <w:b w:val="0"/>
                <w:sz w:val="21"/>
              </w:rPr>
              <w:t>1.6 万组：判定结论优劣对、根因归因优劣对</w:t>
            </w:r>
          </w:p>
        </w:tc>
        <w:tc>
          <w:tcPr>
            <w:tcW w:type="dxa" w:w="1928"/>
            <w:vAlign w:val="center"/>
          </w:tcPr>
          <w:p>
            <w:pPr>
              <w:keepNext w:val="0"/>
              <w:spacing w:line="320" w:lineRule="exact" w:after="0" w:before="0"/>
              <w:ind w:firstLine="0"/>
              <w:jc w:val="left"/>
            </w:pPr>
            <w:r>
              <w:rPr>
                <w:b w:val="0"/>
                <w:sz w:val="21"/>
              </w:rPr>
              <w:t>0.25 万条：判定题、分类题、追溯题</w:t>
            </w:r>
          </w:p>
        </w:tc>
      </w:tr>
    </w:tbl>
    <w:p>
      <w:pPr>
        <w:spacing w:after="40" w:line="240" w:lineRule="auto"/>
        <w:ind w:firstLine="0"/>
      </w:pPr>
      <w:r>
        <w:rPr>
          <w:sz w:val="4"/>
        </w:rPr>
      </w:r>
    </w:p>
    <w:p>
      <w:pPr>
        <w:jc w:val="both"/>
      </w:pPr>
      <w:r>
        <w:t>规模口径合计为预训练 615 亿 Token、指令微调 89 万条、偏好对齐 6.6 万组、基准评测 0.95 万条，与招标文件各数据集规模要求表一致；规模统计、数据卡及发布检查采用统一计量规则，分别核对四个数据集及各用途子集。</w:t>
      </w:r>
    </w:p>
    <w:p>
      <w:pPr>
        <w:jc w:val="both"/>
      </w:pPr>
      <w:r>
        <w:t>每个生产任务建立独立的任务档案，记录八类内容：任务范围与规模目标、工艺路线（经过哪些加工环节、各环节的作业单元）、批次台账、质检门控记录、修复工单与整改任务单、进度与里程碑、资源投入记录、已知风险与处置。任务档案是项目管理的基本单位，也是版本发布时抽取建设过程说明的来源。</w:t>
      </w:r>
    </w:p>
    <w:p>
      <w:pPr>
        <w:jc w:val="both"/>
      </w:pPr>
      <w:r>
        <w:t>十六个任务的工艺路线并不相同，这是分别建立任务的直接理由。预训练子集任务的主体是采集、预处理与去重，标注环节的参与程度低；基准评测子集任务的主体是从通过真实来源及答案核验的独立样本中抽取与出题，合成与增强环节不参与；偏好对齐子集任务的特点是依赖标注与合成两个环节的配合产出成对样本。四类用途子集的生产路径如表7-2。</w:t>
      </w:r>
    </w:p>
    <w:p>
      <w:pPr>
        <w:pStyle w:val="Caption"/>
        <w:keepNext/>
      </w:pPr>
      <w:r>
        <w:t>表7-2 数据集项目与生产任务的组织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用途子集</w:t>
            </w:r>
          </w:p>
        </w:tc>
        <w:tc>
          <w:tcPr>
            <w:tcW w:type="dxa" w:w="2699"/>
            <w:vAlign w:val="center"/>
            <w:shd w:fill="EDF1F3"/>
          </w:tcPr>
          <w:p>
            <w:pPr>
              <w:keepNext/>
              <w:spacing w:line="320" w:lineRule="exact" w:after="0" w:before="0"/>
              <w:ind w:firstLine="0"/>
              <w:jc w:val="center"/>
            </w:pPr>
            <w:r>
              <w:rPr>
                <w:b/>
                <w:sz w:val="21"/>
              </w:rPr>
              <w:t>主要加工</w:t>
            </w:r>
          </w:p>
        </w:tc>
        <w:tc>
          <w:tcPr>
            <w:tcW w:type="dxa" w:w="2409"/>
            <w:vAlign w:val="center"/>
            <w:shd w:fill="EDF1F3"/>
          </w:tcPr>
          <w:p>
            <w:pPr>
              <w:keepNext/>
              <w:spacing w:line="320" w:lineRule="exact" w:after="0" w:before="0"/>
              <w:ind w:firstLine="0"/>
              <w:jc w:val="center"/>
            </w:pPr>
            <w:r>
              <w:rPr>
                <w:b/>
                <w:sz w:val="21"/>
              </w:rPr>
              <w:t>合成增强控制</w:t>
            </w:r>
          </w:p>
        </w:tc>
        <w:tc>
          <w:tcPr>
            <w:tcW w:type="dxa" w:w="2891"/>
            <w:vAlign w:val="center"/>
            <w:shd w:fill="EDF1F3"/>
          </w:tcPr>
          <w:p>
            <w:pPr>
              <w:keepNext/>
              <w:spacing w:line="320" w:lineRule="exact" w:after="0" w:before="0"/>
              <w:ind w:firstLine="0"/>
              <w:jc w:val="center"/>
            </w:pPr>
            <w:r>
              <w:rPr>
                <w:b/>
                <w:sz w:val="21"/>
              </w:rPr>
              <w:t>验证方式</w:t>
            </w:r>
          </w:p>
        </w:tc>
      </w:tr>
      <w:tr>
        <w:trPr>
          <w:cantSplit/>
        </w:trPr>
        <w:tc>
          <w:tcPr>
            <w:tcW w:type="dxa" w:w="1638"/>
            <w:vAlign w:val="center"/>
          </w:tcPr>
          <w:p>
            <w:pPr>
              <w:keepNext w:val="0"/>
              <w:spacing w:line="320" w:lineRule="exact" w:after="0" w:before="0"/>
              <w:ind w:firstLine="0"/>
              <w:jc w:val="left"/>
            </w:pPr>
            <w:r>
              <w:rPr>
                <w:b w:val="0"/>
                <w:sz w:val="21"/>
              </w:rPr>
              <w:t>预训练</w:t>
            </w:r>
          </w:p>
        </w:tc>
        <w:tc>
          <w:tcPr>
            <w:tcW w:type="dxa" w:w="2699"/>
            <w:vAlign w:val="center"/>
          </w:tcPr>
          <w:p>
            <w:pPr>
              <w:keepNext w:val="0"/>
              <w:spacing w:line="320" w:lineRule="exact" w:after="0" w:before="0"/>
              <w:ind w:firstLine="0"/>
              <w:jc w:val="left"/>
            </w:pPr>
            <w:r>
              <w:rPr>
                <w:b w:val="0"/>
                <w:sz w:val="21"/>
              </w:rPr>
              <w:t>采集、预处理、事实核验、去重及用途检查</w:t>
            </w:r>
          </w:p>
        </w:tc>
        <w:tc>
          <w:tcPr>
            <w:tcW w:type="dxa" w:w="2409"/>
            <w:vAlign w:val="center"/>
          </w:tcPr>
          <w:p>
            <w:pPr>
              <w:keepNext w:val="0"/>
              <w:spacing w:line="320" w:lineRule="exact" w:after="0" w:before="0"/>
              <w:ind w:firstLine="0"/>
              <w:jc w:val="left"/>
            </w:pPr>
            <w:r>
              <w:rPr>
                <w:b w:val="0"/>
                <w:sz w:val="21"/>
              </w:rPr>
              <w:t>合成及增强来源内容合计不超过20%</w:t>
            </w:r>
          </w:p>
        </w:tc>
        <w:tc>
          <w:tcPr>
            <w:tcW w:type="dxa" w:w="2891"/>
            <w:vAlign w:val="center"/>
          </w:tcPr>
          <w:p>
            <w:pPr>
              <w:keepNext w:val="0"/>
              <w:spacing w:line="320" w:lineRule="exact" w:after="0" w:before="0"/>
              <w:ind w:firstLine="0"/>
              <w:jc w:val="left"/>
            </w:pPr>
            <w:r>
              <w:rPr>
                <w:b w:val="0"/>
                <w:sz w:val="21"/>
              </w:rPr>
              <w:t>继续预训练与知识注入检查</w:t>
            </w:r>
          </w:p>
        </w:tc>
      </w:tr>
      <w:tr>
        <w:trPr>
          <w:cantSplit/>
        </w:trPr>
        <w:tc>
          <w:tcPr>
            <w:tcW w:type="dxa" w:w="1638"/>
            <w:vAlign w:val="center"/>
          </w:tcPr>
          <w:p>
            <w:pPr>
              <w:keepNext w:val="0"/>
              <w:spacing w:line="320" w:lineRule="exact" w:after="0" w:before="0"/>
              <w:ind w:firstLine="0"/>
              <w:jc w:val="left"/>
            </w:pPr>
            <w:r>
              <w:rPr>
                <w:b w:val="0"/>
                <w:sz w:val="21"/>
              </w:rPr>
              <w:t>有监督指令微调</w:t>
            </w:r>
          </w:p>
        </w:tc>
        <w:tc>
          <w:tcPr>
            <w:tcW w:type="dxa" w:w="2699"/>
            <w:vAlign w:val="center"/>
          </w:tcPr>
          <w:p>
            <w:pPr>
              <w:keepNext w:val="0"/>
              <w:spacing w:line="320" w:lineRule="exact" w:after="0" w:before="0"/>
              <w:ind w:firstLine="0"/>
              <w:jc w:val="left"/>
            </w:pPr>
            <w:r>
              <w:rPr>
                <w:b w:val="0"/>
                <w:sz w:val="21"/>
              </w:rPr>
              <w:t>标注、依据组织、任务结构校验</w:t>
            </w:r>
          </w:p>
        </w:tc>
        <w:tc>
          <w:tcPr>
            <w:tcW w:type="dxa" w:w="2409"/>
            <w:vAlign w:val="center"/>
          </w:tcPr>
          <w:p>
            <w:pPr>
              <w:keepNext w:val="0"/>
              <w:spacing w:line="320" w:lineRule="exact" w:after="0" w:before="0"/>
              <w:ind w:firstLine="0"/>
              <w:jc w:val="left"/>
            </w:pPr>
            <w:r>
              <w:rPr>
                <w:b w:val="0"/>
                <w:sz w:val="21"/>
              </w:rPr>
              <w:t>合成整体不超过45%，分任务再设上限</w:t>
            </w:r>
          </w:p>
        </w:tc>
        <w:tc>
          <w:tcPr>
            <w:tcW w:type="dxa" w:w="2891"/>
            <w:vAlign w:val="center"/>
          </w:tcPr>
          <w:p>
            <w:pPr>
              <w:keepNext w:val="0"/>
              <w:spacing w:line="320" w:lineRule="exact" w:after="0" w:before="0"/>
              <w:ind w:firstLine="0"/>
              <w:jc w:val="left"/>
            </w:pPr>
            <w:r>
              <w:rPr>
                <w:b w:val="0"/>
                <w:sz w:val="21"/>
              </w:rPr>
              <w:t>微调、消融和混比实验</w:t>
            </w:r>
          </w:p>
        </w:tc>
      </w:tr>
      <w:tr>
        <w:trPr>
          <w:cantSplit/>
        </w:trPr>
        <w:tc>
          <w:tcPr>
            <w:tcW w:type="dxa" w:w="1638"/>
            <w:vAlign w:val="center"/>
          </w:tcPr>
          <w:p>
            <w:pPr>
              <w:keepNext w:val="0"/>
              <w:spacing w:line="320" w:lineRule="exact" w:after="0" w:before="0"/>
              <w:ind w:firstLine="0"/>
              <w:jc w:val="left"/>
            </w:pPr>
            <w:r>
              <w:rPr>
                <w:b w:val="0"/>
                <w:sz w:val="21"/>
              </w:rPr>
              <w:t>人类偏好对齐</w:t>
            </w:r>
          </w:p>
        </w:tc>
        <w:tc>
          <w:tcPr>
            <w:tcW w:type="dxa" w:w="2699"/>
            <w:vAlign w:val="center"/>
          </w:tcPr>
          <w:p>
            <w:pPr>
              <w:keepNext w:val="0"/>
              <w:spacing w:line="320" w:lineRule="exact" w:after="0" w:before="0"/>
              <w:ind w:firstLine="0"/>
              <w:jc w:val="left"/>
            </w:pPr>
            <w:r>
              <w:rPr>
                <w:b w:val="0"/>
                <w:sz w:val="21"/>
              </w:rPr>
              <w:t>同任务候选构建、人工评价和差异核验</w:t>
            </w:r>
          </w:p>
        </w:tc>
        <w:tc>
          <w:tcPr>
            <w:tcW w:type="dxa" w:w="2409"/>
            <w:vAlign w:val="center"/>
          </w:tcPr>
          <w:p>
            <w:pPr>
              <w:keepNext w:val="0"/>
              <w:spacing w:line="320" w:lineRule="exact" w:after="0" w:before="0"/>
              <w:ind w:firstLine="0"/>
              <w:jc w:val="left"/>
            </w:pPr>
            <w:r>
              <w:rPr>
                <w:b w:val="0"/>
                <w:sz w:val="21"/>
              </w:rPr>
              <w:t>合成来源组不超过50%，优劣由人工判定</w:t>
            </w:r>
          </w:p>
        </w:tc>
        <w:tc>
          <w:tcPr>
            <w:tcW w:type="dxa" w:w="2891"/>
            <w:vAlign w:val="center"/>
          </w:tcPr>
          <w:p>
            <w:pPr>
              <w:keepNext w:val="0"/>
              <w:spacing w:line="320" w:lineRule="exact" w:after="0" w:before="0"/>
              <w:ind w:firstLine="0"/>
              <w:jc w:val="left"/>
            </w:pPr>
            <w:r>
              <w:rPr>
                <w:b w:val="0"/>
                <w:sz w:val="21"/>
              </w:rPr>
              <w:t>奖励模型与对齐训练</w:t>
            </w:r>
          </w:p>
        </w:tc>
      </w:tr>
      <w:tr>
        <w:trPr>
          <w:cantSplit/>
        </w:trPr>
        <w:tc>
          <w:tcPr>
            <w:tcW w:type="dxa" w:w="1638"/>
            <w:vAlign w:val="center"/>
          </w:tcPr>
          <w:p>
            <w:pPr>
              <w:keepNext w:val="0"/>
              <w:spacing w:line="320" w:lineRule="exact" w:after="0" w:before="0"/>
              <w:ind w:firstLine="0"/>
              <w:jc w:val="left"/>
            </w:pPr>
            <w:r>
              <w:rPr>
                <w:b w:val="0"/>
                <w:sz w:val="21"/>
              </w:rPr>
              <w:t>基准评测</w:t>
            </w:r>
          </w:p>
        </w:tc>
        <w:tc>
          <w:tcPr>
            <w:tcW w:type="dxa" w:w="2699"/>
            <w:vAlign w:val="center"/>
          </w:tcPr>
          <w:p>
            <w:pPr>
              <w:keepNext w:val="0"/>
              <w:spacing w:line="320" w:lineRule="exact" w:after="0" w:before="0"/>
              <w:ind w:firstLine="0"/>
              <w:jc w:val="left"/>
            </w:pPr>
            <w:r>
              <w:rPr>
                <w:b w:val="0"/>
                <w:sz w:val="21"/>
              </w:rPr>
              <w:t>独立真实来源、审题、答案及规则复核</w:t>
            </w:r>
          </w:p>
        </w:tc>
        <w:tc>
          <w:tcPr>
            <w:tcW w:type="dxa" w:w="2409"/>
            <w:vAlign w:val="center"/>
          </w:tcPr>
          <w:p>
            <w:pPr>
              <w:keepNext w:val="0"/>
              <w:spacing w:line="320" w:lineRule="exact" w:after="0" w:before="0"/>
              <w:ind w:firstLine="0"/>
              <w:jc w:val="left"/>
            </w:pPr>
            <w:r>
              <w:rPr>
                <w:b w:val="0"/>
                <w:sz w:val="21"/>
              </w:rPr>
              <w:t>不使用合成或人为增强扩充题量</w:t>
            </w:r>
          </w:p>
        </w:tc>
        <w:tc>
          <w:tcPr>
            <w:tcW w:type="dxa" w:w="2891"/>
            <w:vAlign w:val="center"/>
          </w:tcPr>
          <w:p>
            <w:pPr>
              <w:keepNext w:val="0"/>
              <w:spacing w:line="320" w:lineRule="exact" w:after="0" w:before="0"/>
              <w:ind w:firstLine="0"/>
              <w:jc w:val="left"/>
            </w:pPr>
            <w:r>
              <w:rPr>
                <w:b w:val="0"/>
                <w:sz w:val="21"/>
              </w:rPr>
              <w:t>固定协议下标准化评测</w:t>
            </w:r>
          </w:p>
        </w:tc>
      </w:tr>
    </w:tbl>
    <w:p>
      <w:pPr>
        <w:spacing w:after="40" w:line="240" w:lineRule="auto"/>
        <w:ind w:firstLine="0"/>
      </w:pPr>
      <w:r>
        <w:rPr>
          <w:sz w:val="4"/>
        </w:rPr>
      </w:r>
    </w:p>
    <w:p>
      <w:pPr>
        <w:jc w:val="both"/>
      </w:pPr>
      <w:r>
        <w:t>任务之间的依赖关系在项目计划中显式管理。最关键的一条依赖是：基准评测子集的出题须在训练侧样本大规模入集之前完成并冻结，否则无法做有效的去重比对——若评测题目在训练样本入集之后才确定，出题人难免受已有样本影响，评测的独立性受损。本方案的处置是在每个版本周期内先隔离并冻结评测来源家族及评测子集，再放行训练侧样本入集，入集时逐批与已冻结的评测子集做去重比对。</w:t>
      </w:r>
    </w:p>
    <w:p>
      <w:pPr>
        <w:pStyle w:val="Heading2"/>
      </w:pPr>
      <w:r>
        <w:t>7.3 版本组织与发布物</w:t>
      </w:r>
    </w:p>
    <w:p>
      <w:pPr>
        <w:pStyle w:val="Heading3"/>
      </w:pPr>
      <w:r>
        <w:t>7.3.1 版本号与版本类型</w:t>
      </w:r>
    </w:p>
    <w:p>
      <w:pPr>
        <w:jc w:val="both"/>
      </w:pPr>
      <w:r>
        <w:t>版本号采用三段式：主版本号.次版本号.修订号。主版本号变更对应数据集结构的变化（用途结构调整、标签体系的不兼容变更、模态构成的实质变化）；次版本号变更对应内容的增量（规模增加、覆盖扩展、新增业务域样本）；修订号变更对应修复（错误样本剔除、标注修正、元数据补正），不改变数据集的内容构成口径。</w:t>
      </w:r>
    </w:p>
    <w:p>
      <w:pPr>
        <w:jc w:val="both"/>
      </w:pPr>
      <w:r>
        <w:t>版本类型分三类：正式发布版本、内部里程碑版本与修复版本。凡正式对外提供的版本均产出完整发布物，包括用于修复的正式版本；内部里程碑版本用于验证实验与阶段评审，按当期完成范围保存内容、卡片和报告记录，不作为正式交付；修复版本记录增量说明并更新全部受影响发布物，凡对外提供均满足正式版本的完整发布条件。</w:t>
      </w:r>
    </w:p>
    <w:p>
      <w:pPr>
        <w:pStyle w:val="Caption"/>
        <w:keepNext/>
      </w:pPr>
      <w:r>
        <w:t>表7-3 版本类型与发布物要求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版本类型</w:t>
            </w:r>
          </w:p>
        </w:tc>
        <w:tc>
          <w:tcPr>
            <w:tcW w:type="dxa" w:w="2120"/>
            <w:vAlign w:val="center"/>
            <w:shd w:fill="EDF1F3"/>
          </w:tcPr>
          <w:p>
            <w:pPr>
              <w:keepNext/>
              <w:spacing w:line="320" w:lineRule="exact" w:after="0" w:before="0"/>
              <w:ind w:firstLine="0"/>
              <w:jc w:val="center"/>
            </w:pPr>
            <w:r>
              <w:rPr>
                <w:b/>
                <w:sz w:val="21"/>
              </w:rPr>
              <w:t>版本号变化</w:t>
            </w:r>
          </w:p>
        </w:tc>
        <w:tc>
          <w:tcPr>
            <w:tcW w:type="dxa" w:w="1928"/>
            <w:vAlign w:val="center"/>
            <w:shd w:fill="EDF1F3"/>
          </w:tcPr>
          <w:p>
            <w:pPr>
              <w:keepNext/>
              <w:spacing w:line="320" w:lineRule="exact" w:after="0" w:before="0"/>
              <w:ind w:firstLine="0"/>
              <w:jc w:val="center"/>
            </w:pPr>
            <w:r>
              <w:rPr>
                <w:b/>
                <w:sz w:val="21"/>
              </w:rPr>
              <w:t>必备发布物</w:t>
            </w:r>
          </w:p>
        </w:tc>
        <w:tc>
          <w:tcPr>
            <w:tcW w:type="dxa" w:w="1928"/>
            <w:vAlign w:val="center"/>
            <w:shd w:fill="EDF1F3"/>
          </w:tcPr>
          <w:p>
            <w:pPr>
              <w:keepNext/>
              <w:spacing w:line="320" w:lineRule="exact" w:after="0" w:before="0"/>
              <w:ind w:firstLine="0"/>
              <w:jc w:val="center"/>
            </w:pPr>
            <w:r>
              <w:rPr>
                <w:b/>
                <w:sz w:val="21"/>
              </w:rPr>
              <w:t>发布范围</w:t>
            </w:r>
          </w:p>
        </w:tc>
        <w:tc>
          <w:tcPr>
            <w:tcW w:type="dxa" w:w="1928"/>
            <w:vAlign w:val="center"/>
            <w:shd w:fill="EDF1F3"/>
          </w:tcPr>
          <w:p>
            <w:pPr>
              <w:keepNext/>
              <w:spacing w:line="320" w:lineRule="exact" w:after="0" w:before="0"/>
              <w:ind w:firstLine="0"/>
              <w:jc w:val="center"/>
            </w:pPr>
            <w:r>
              <w:rPr>
                <w:b/>
                <w:sz w:val="21"/>
              </w:rPr>
              <w:t>前置条件</w:t>
            </w:r>
          </w:p>
        </w:tc>
      </w:tr>
      <w:tr>
        <w:trPr>
          <w:cantSplit/>
        </w:trPr>
        <w:tc>
          <w:tcPr>
            <w:tcW w:type="dxa" w:w="1735"/>
            <w:vAlign w:val="center"/>
          </w:tcPr>
          <w:p>
            <w:pPr>
              <w:keepNext w:val="0"/>
              <w:spacing w:line="320" w:lineRule="exact" w:after="0" w:before="0"/>
              <w:ind w:firstLine="0"/>
              <w:jc w:val="left"/>
            </w:pPr>
            <w:r>
              <w:rPr>
                <w:b w:val="0"/>
                <w:sz w:val="21"/>
              </w:rPr>
              <w:t>正式发布版本</w:t>
            </w:r>
          </w:p>
        </w:tc>
        <w:tc>
          <w:tcPr>
            <w:tcW w:type="dxa" w:w="2120"/>
            <w:vAlign w:val="center"/>
          </w:tcPr>
          <w:p>
            <w:pPr>
              <w:keepNext w:val="0"/>
              <w:spacing w:line="320" w:lineRule="exact" w:after="0" w:before="0"/>
              <w:ind w:firstLine="0"/>
              <w:jc w:val="left"/>
            </w:pPr>
            <w:r>
              <w:rPr>
                <w:b w:val="0"/>
                <w:sz w:val="21"/>
              </w:rPr>
              <w:t>主版本号或次版本号</w:t>
            </w:r>
          </w:p>
        </w:tc>
        <w:tc>
          <w:tcPr>
            <w:tcW w:type="dxa" w:w="1928"/>
            <w:vAlign w:val="center"/>
          </w:tcPr>
          <w:p>
            <w:pPr>
              <w:keepNext w:val="0"/>
              <w:spacing w:line="320" w:lineRule="exact" w:after="0" w:before="0"/>
              <w:ind w:firstLine="0"/>
              <w:jc w:val="left"/>
            </w:pPr>
            <w:r>
              <w:rPr>
                <w:b w:val="0"/>
                <w:sz w:val="21"/>
              </w:rPr>
              <w:t>数据集内容、数据集卡片、版本指纹、质检报告、验证报告，另附数据字典与自描述封装文件、资产台账条目</w:t>
            </w:r>
          </w:p>
        </w:tc>
        <w:tc>
          <w:tcPr>
            <w:tcW w:type="dxa" w:w="1928"/>
            <w:vAlign w:val="center"/>
          </w:tcPr>
          <w:p>
            <w:pPr>
              <w:keepNext w:val="0"/>
              <w:spacing w:line="320" w:lineRule="exact" w:after="0" w:before="0"/>
              <w:ind w:firstLine="0"/>
              <w:jc w:val="left"/>
            </w:pPr>
            <w:r>
              <w:rPr>
                <w:b w:val="0"/>
                <w:sz w:val="21"/>
              </w:rPr>
              <w:t>对外发布、移交运营平台</w:t>
            </w:r>
          </w:p>
        </w:tc>
        <w:tc>
          <w:tcPr>
            <w:tcW w:type="dxa" w:w="1928"/>
            <w:vAlign w:val="center"/>
          </w:tcPr>
          <w:p>
            <w:pPr>
              <w:keepNext w:val="0"/>
              <w:spacing w:line="320" w:lineRule="exact" w:after="0" w:before="0"/>
              <w:ind w:firstLine="0"/>
              <w:jc w:val="left"/>
            </w:pPr>
            <w:r>
              <w:rPr>
                <w:b w:val="0"/>
                <w:sz w:val="21"/>
              </w:rPr>
              <w:t>版本门通过；无未结修复工单与整改任务单；验证报告经评审出具</w:t>
            </w:r>
          </w:p>
        </w:tc>
      </w:tr>
      <w:tr>
        <w:trPr>
          <w:cantSplit/>
        </w:trPr>
        <w:tc>
          <w:tcPr>
            <w:tcW w:type="dxa" w:w="1735"/>
            <w:vAlign w:val="center"/>
          </w:tcPr>
          <w:p>
            <w:pPr>
              <w:keepNext w:val="0"/>
              <w:spacing w:line="320" w:lineRule="exact" w:after="0" w:before="0"/>
              <w:ind w:firstLine="0"/>
              <w:jc w:val="left"/>
            </w:pPr>
            <w:r>
              <w:rPr>
                <w:b w:val="0"/>
                <w:sz w:val="21"/>
              </w:rPr>
              <w:t>内部里程碑版本</w:t>
            </w:r>
          </w:p>
        </w:tc>
        <w:tc>
          <w:tcPr>
            <w:tcW w:type="dxa" w:w="2120"/>
            <w:vAlign w:val="center"/>
          </w:tcPr>
          <w:p>
            <w:pPr>
              <w:keepNext w:val="0"/>
              <w:spacing w:line="320" w:lineRule="exact" w:after="0" w:before="0"/>
              <w:ind w:firstLine="0"/>
              <w:jc w:val="left"/>
            </w:pPr>
            <w:r>
              <w:rPr>
                <w:b w:val="0"/>
                <w:sz w:val="21"/>
              </w:rPr>
              <w:t>次版本号带里程碑标识</w:t>
            </w:r>
          </w:p>
        </w:tc>
        <w:tc>
          <w:tcPr>
            <w:tcW w:type="dxa" w:w="1928"/>
            <w:vAlign w:val="center"/>
          </w:tcPr>
          <w:p>
            <w:pPr>
              <w:keepNext w:val="0"/>
              <w:spacing w:line="320" w:lineRule="exact" w:after="0" w:before="0"/>
              <w:ind w:firstLine="0"/>
              <w:jc w:val="left"/>
            </w:pPr>
            <w:r>
              <w:rPr>
                <w:b w:val="0"/>
                <w:sz w:val="21"/>
              </w:rPr>
              <w:t>数据集内容、版本指纹、质检报告</w:t>
            </w:r>
          </w:p>
        </w:tc>
        <w:tc>
          <w:tcPr>
            <w:tcW w:type="dxa" w:w="1928"/>
            <w:vAlign w:val="center"/>
          </w:tcPr>
          <w:p>
            <w:pPr>
              <w:keepNext w:val="0"/>
              <w:spacing w:line="320" w:lineRule="exact" w:after="0" w:before="0"/>
              <w:ind w:firstLine="0"/>
              <w:jc w:val="left"/>
            </w:pPr>
            <w:r>
              <w:rPr>
                <w:b w:val="0"/>
                <w:sz w:val="21"/>
              </w:rPr>
              <w:t>项目内部</w:t>
            </w:r>
          </w:p>
        </w:tc>
        <w:tc>
          <w:tcPr>
            <w:tcW w:type="dxa" w:w="1928"/>
            <w:vAlign w:val="center"/>
          </w:tcPr>
          <w:p>
            <w:pPr>
              <w:keepNext w:val="0"/>
              <w:spacing w:line="320" w:lineRule="exact" w:after="0" w:before="0"/>
              <w:ind w:firstLine="0"/>
              <w:jc w:val="left"/>
            </w:pPr>
            <w:r>
              <w:rPr>
                <w:b w:val="0"/>
                <w:sz w:val="21"/>
              </w:rPr>
              <w:t>标注门与合成增强门通过</w:t>
            </w:r>
          </w:p>
        </w:tc>
      </w:tr>
      <w:tr>
        <w:trPr>
          <w:cantSplit/>
        </w:trPr>
        <w:tc>
          <w:tcPr>
            <w:tcW w:type="dxa" w:w="1735"/>
            <w:vAlign w:val="center"/>
          </w:tcPr>
          <w:p>
            <w:pPr>
              <w:keepNext w:val="0"/>
              <w:spacing w:line="320" w:lineRule="exact" w:after="0" w:before="0"/>
              <w:ind w:firstLine="0"/>
              <w:jc w:val="left"/>
            </w:pPr>
            <w:r>
              <w:rPr>
                <w:b w:val="0"/>
                <w:sz w:val="21"/>
              </w:rPr>
              <w:t>修复版本</w:t>
            </w:r>
          </w:p>
        </w:tc>
        <w:tc>
          <w:tcPr>
            <w:tcW w:type="dxa" w:w="2120"/>
            <w:vAlign w:val="center"/>
          </w:tcPr>
          <w:p>
            <w:pPr>
              <w:keepNext w:val="0"/>
              <w:spacing w:line="320" w:lineRule="exact" w:after="0" w:before="0"/>
              <w:ind w:firstLine="0"/>
              <w:jc w:val="left"/>
            </w:pPr>
            <w:r>
              <w:rPr>
                <w:b w:val="0"/>
                <w:sz w:val="21"/>
              </w:rPr>
              <w:t>修订号</w:t>
            </w:r>
          </w:p>
        </w:tc>
        <w:tc>
          <w:tcPr>
            <w:tcW w:type="dxa" w:w="1928"/>
            <w:vAlign w:val="center"/>
          </w:tcPr>
          <w:p>
            <w:pPr>
              <w:keepNext w:val="0"/>
              <w:spacing w:line="320" w:lineRule="exact" w:after="0" w:before="0"/>
              <w:ind w:firstLine="0"/>
              <w:jc w:val="left"/>
            </w:pPr>
            <w:r>
              <w:rPr>
                <w:b w:val="0"/>
                <w:sz w:val="21"/>
              </w:rPr>
              <w:t>完整发布物、变更说明、受影响样本清单、复检及验证影响分析</w:t>
            </w:r>
          </w:p>
        </w:tc>
        <w:tc>
          <w:tcPr>
            <w:tcW w:type="dxa" w:w="1928"/>
            <w:vAlign w:val="center"/>
          </w:tcPr>
          <w:p>
            <w:pPr>
              <w:keepNext w:val="0"/>
              <w:spacing w:line="320" w:lineRule="exact" w:after="0" w:before="0"/>
              <w:ind w:firstLine="0"/>
              <w:jc w:val="left"/>
            </w:pPr>
            <w:r>
              <w:rPr>
                <w:b w:val="0"/>
                <w:sz w:val="21"/>
              </w:rPr>
              <w:t>与原版本一致</w:t>
            </w:r>
          </w:p>
        </w:tc>
        <w:tc>
          <w:tcPr>
            <w:tcW w:type="dxa" w:w="1928"/>
            <w:vAlign w:val="center"/>
          </w:tcPr>
          <w:p>
            <w:pPr>
              <w:keepNext w:val="0"/>
              <w:spacing w:line="320" w:lineRule="exact" w:after="0" w:before="0"/>
              <w:ind w:firstLine="0"/>
              <w:jc w:val="left"/>
            </w:pPr>
            <w:r>
              <w:rPr>
                <w:b w:val="0"/>
                <w:sz w:val="21"/>
              </w:rPr>
              <w:t>修复工单关闭，复检及必要验证通过，完整发布条件满足</w:t>
            </w:r>
          </w:p>
        </w:tc>
      </w:tr>
    </w:tbl>
    <w:p>
      <w:pPr>
        <w:spacing w:after="40" w:line="240" w:lineRule="auto"/>
        <w:ind w:firstLine="0"/>
      </w:pPr>
      <w:r>
        <w:rPr>
          <w:sz w:val="4"/>
        </w:rPr>
      </w:r>
    </w:p>
    <w:p>
      <w:pPr>
        <w:pStyle w:val="Heading3"/>
      </w:pPr>
      <w:r>
        <w:t>7.3.2 版本指纹</w:t>
      </w:r>
    </w:p>
    <w:p>
      <w:pPr>
        <w:jc w:val="both"/>
      </w:pPr>
      <w:r>
        <w:t>版本指纹用于核对数据内容与版本身份，由内容摘要、清单摘要和受控元数据摘要组成。文件按固定路径编码和排序计算摘要，记录摘要算法、规范化规则及执行程序版本。内容摘要覆盖数据文件，清单摘要覆盖路径、大小和逐文件摘要，元数据摘要覆盖卡片、字典及封装定义的非循环字段；指纹值自身不参与自身摘要，避免卡片或封装反复嵌入指纹形成循环依赖。根清单引用各摘要及版本标识，报告绑定其所验证的数据版本。</w:t>
      </w:r>
    </w:p>
    <w:p>
      <w:pPr>
        <w:jc w:val="both"/>
      </w:pPr>
      <w:r>
        <w:t>摘要采用与整体方案一致的国产商用密码杂凑算法，并在包内声明算法与实现。摘要校验只能验证内容与声明是否一致，权属、质量和批准状态仍需各自记录；未经认证的摘要文件不能单独证明发布来源。受控发布保存批准主体、时间、审批记录及适用的签署验证材料。</w:t>
      </w:r>
    </w:p>
    <w:p>
      <w:pPr>
        <w:jc w:val="both"/>
      </w:pPr>
      <w:r>
        <w:t>指纹的核验方式随封装文件提供：封装中包含一份核验脚本与核验说明，使用方可在本地重算并与声明值比对。核验失败说明收到的数据集与声明版本不一致，使用方可据此拒收。这一机制对数据集在交易所挂牌与接入国家数据基础设施的场景是必要的——流通链路上的任何一次转存都可能引入改动。</w:t>
      </w:r>
    </w:p>
    <w:p>
      <w:pPr>
        <w:pStyle w:val="Heading3"/>
      </w:pPr>
      <w:r>
        <w:t>7.3.3 数据集卡片</w:t>
      </w:r>
    </w:p>
    <w:p>
      <w:pPr>
        <w:jc w:val="both"/>
      </w:pPr>
      <w:r>
        <w:t>数据集卡片是使用方了解数据集的主要说明文件，它的完整程度直接对应质量评测指标体系中说明文档维度的各项指标。卡片的字段结构按四组组织，与评测指标的四个一级项对应。卡片按统一字段字典生成，项目管理记录提供其取值和证据。</w:t>
      </w:r>
    </w:p>
    <w:p>
      <w:pPr>
        <w:pStyle w:val="Caption"/>
        <w:keepNext/>
      </w:pPr>
      <w:r>
        <w:t>表7-4 数据集卡片的字段结构与填写口径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字段组</w:t>
            </w:r>
          </w:p>
        </w:tc>
        <w:tc>
          <w:tcPr>
            <w:tcW w:type="dxa" w:w="4048"/>
            <w:vAlign w:val="center"/>
            <w:shd w:fill="EDF1F3"/>
          </w:tcPr>
          <w:p>
            <w:pPr>
              <w:keepNext/>
              <w:spacing w:line="320" w:lineRule="exact" w:after="0" w:before="0"/>
              <w:ind w:firstLine="0"/>
              <w:jc w:val="center"/>
            </w:pPr>
            <w:r>
              <w:rPr>
                <w:b/>
                <w:sz w:val="21"/>
              </w:rPr>
              <w:t>字段</w:t>
            </w:r>
          </w:p>
        </w:tc>
        <w:tc>
          <w:tcPr>
            <w:tcW w:type="dxa" w:w="3470"/>
            <w:vAlign w:val="center"/>
            <w:shd w:fill="EDF1F3"/>
          </w:tcPr>
          <w:p>
            <w:pPr>
              <w:keepNext/>
              <w:spacing w:line="320" w:lineRule="exact" w:after="0" w:before="0"/>
              <w:ind w:firstLine="0"/>
              <w:jc w:val="center"/>
            </w:pPr>
            <w:r>
              <w:rPr>
                <w:b/>
                <w:sz w:val="21"/>
              </w:rPr>
              <w:t>填写口径</w:t>
            </w:r>
          </w:p>
        </w:tc>
      </w:tr>
      <w:tr>
        <w:trPr>
          <w:cantSplit/>
        </w:trPr>
        <w:tc>
          <w:tcPr>
            <w:tcW w:type="dxa" w:w="2120"/>
            <w:vAlign w:val="center"/>
          </w:tcPr>
          <w:p>
            <w:pPr>
              <w:keepNext w:val="0"/>
              <w:spacing w:line="320" w:lineRule="exact" w:after="0" w:before="0"/>
              <w:ind w:firstLine="0"/>
              <w:jc w:val="left"/>
            </w:pPr>
            <w:r>
              <w:rPr>
                <w:b w:val="0"/>
                <w:sz w:val="21"/>
              </w:rPr>
              <w:t>基本信息</w:t>
            </w:r>
          </w:p>
        </w:tc>
        <w:tc>
          <w:tcPr>
            <w:tcW w:type="dxa" w:w="4048"/>
            <w:vAlign w:val="center"/>
          </w:tcPr>
          <w:p>
            <w:pPr>
              <w:keepNext w:val="0"/>
              <w:spacing w:line="320" w:lineRule="exact" w:after="0" w:before="0"/>
              <w:ind w:firstLine="0"/>
              <w:jc w:val="left"/>
            </w:pPr>
            <w:r>
              <w:rPr>
                <w:b w:val="0"/>
                <w:sz w:val="21"/>
              </w:rPr>
              <w:t>数据集名称、版本号、版本指纹、所属业务域、甲方、发布日期</w:t>
            </w:r>
          </w:p>
        </w:tc>
        <w:tc>
          <w:tcPr>
            <w:tcW w:type="dxa" w:w="3470"/>
            <w:vAlign w:val="center"/>
          </w:tcPr>
          <w:p>
            <w:pPr>
              <w:keepNext w:val="0"/>
              <w:spacing w:line="320" w:lineRule="exact" w:after="0" w:before="0"/>
              <w:ind w:firstLine="0"/>
              <w:jc w:val="left"/>
            </w:pPr>
            <w:r>
              <w:rPr>
                <w:b w:val="0"/>
                <w:sz w:val="21"/>
              </w:rPr>
              <w:t>甲方与发布主体按项目合同约定填写</w:t>
            </w:r>
          </w:p>
        </w:tc>
      </w:tr>
      <w:tr>
        <w:trPr>
          <w:cantSplit/>
        </w:trPr>
        <w:tc>
          <w:tcPr>
            <w:tcW w:type="dxa" w:w="2120"/>
            <w:vAlign w:val="center"/>
          </w:tcPr>
          <w:p>
            <w:pPr>
              <w:keepNext w:val="0"/>
              <w:spacing w:line="320" w:lineRule="exact" w:after="0" w:before="0"/>
              <w:ind w:firstLine="0"/>
              <w:jc w:val="left"/>
            </w:pPr>
            <w:r>
              <w:rPr>
                <w:b w:val="0"/>
                <w:sz w:val="21"/>
              </w:rPr>
              <w:t>基本信息</w:t>
            </w:r>
          </w:p>
        </w:tc>
        <w:tc>
          <w:tcPr>
            <w:tcW w:type="dxa" w:w="4048"/>
            <w:vAlign w:val="center"/>
          </w:tcPr>
          <w:p>
            <w:pPr>
              <w:keepNext w:val="0"/>
              <w:spacing w:line="320" w:lineRule="exact" w:after="0" w:before="0"/>
              <w:ind w:firstLine="0"/>
              <w:jc w:val="left"/>
            </w:pPr>
            <w:r>
              <w:rPr>
                <w:b w:val="0"/>
                <w:sz w:val="21"/>
              </w:rPr>
              <w:t>数据集规模</w:t>
            </w:r>
          </w:p>
        </w:tc>
        <w:tc>
          <w:tcPr>
            <w:tcW w:type="dxa" w:w="3470"/>
            <w:vAlign w:val="center"/>
          </w:tcPr>
          <w:p>
            <w:pPr>
              <w:keepNext w:val="0"/>
              <w:spacing w:line="320" w:lineRule="exact" w:after="0" w:before="0"/>
              <w:ind w:firstLine="0"/>
              <w:jc w:val="left"/>
            </w:pPr>
            <w:r>
              <w:rPr>
                <w:b w:val="0"/>
                <w:sz w:val="21"/>
              </w:rPr>
              <w:t>按用途子集分别给出：Token 数、样本条数、组数、存储空间；与规模目标的达成率</w:t>
            </w:r>
          </w:p>
        </w:tc>
      </w:tr>
      <w:tr>
        <w:trPr>
          <w:cantSplit/>
        </w:trPr>
        <w:tc>
          <w:tcPr>
            <w:tcW w:type="dxa" w:w="2120"/>
            <w:vAlign w:val="center"/>
          </w:tcPr>
          <w:p>
            <w:pPr>
              <w:keepNext w:val="0"/>
              <w:spacing w:line="320" w:lineRule="exact" w:after="0" w:before="0"/>
              <w:ind w:firstLine="0"/>
              <w:jc w:val="left"/>
            </w:pPr>
            <w:r>
              <w:rPr>
                <w:b w:val="0"/>
                <w:sz w:val="21"/>
              </w:rPr>
              <w:t>基本信息</w:t>
            </w:r>
          </w:p>
        </w:tc>
        <w:tc>
          <w:tcPr>
            <w:tcW w:type="dxa" w:w="4048"/>
            <w:vAlign w:val="center"/>
          </w:tcPr>
          <w:p>
            <w:pPr>
              <w:keepNext w:val="0"/>
              <w:spacing w:line="320" w:lineRule="exact" w:after="0" w:before="0"/>
              <w:ind w:firstLine="0"/>
              <w:jc w:val="left"/>
            </w:pPr>
            <w:r>
              <w:rPr>
                <w:b w:val="0"/>
                <w:sz w:val="21"/>
              </w:rPr>
              <w:t>格式规范</w:t>
            </w:r>
          </w:p>
        </w:tc>
        <w:tc>
          <w:tcPr>
            <w:tcW w:type="dxa" w:w="3470"/>
            <w:vAlign w:val="center"/>
          </w:tcPr>
          <w:p>
            <w:pPr>
              <w:keepNext w:val="0"/>
              <w:spacing w:line="320" w:lineRule="exact" w:after="0" w:before="0"/>
              <w:ind w:firstLine="0"/>
              <w:jc w:val="left"/>
            </w:pPr>
            <w:r>
              <w:rPr>
                <w:b w:val="0"/>
                <w:sz w:val="21"/>
              </w:rPr>
              <w:t>文件类型、字符编码、数据结构描述、字段类型定义</w:t>
            </w:r>
          </w:p>
        </w:tc>
      </w:tr>
      <w:tr>
        <w:trPr>
          <w:cantSplit/>
        </w:trPr>
        <w:tc>
          <w:tcPr>
            <w:tcW w:type="dxa" w:w="2120"/>
            <w:vAlign w:val="center"/>
          </w:tcPr>
          <w:p>
            <w:pPr>
              <w:keepNext w:val="0"/>
              <w:spacing w:line="320" w:lineRule="exact" w:after="0" w:before="0"/>
              <w:ind w:firstLine="0"/>
              <w:jc w:val="left"/>
            </w:pPr>
            <w:r>
              <w:rPr>
                <w:b w:val="0"/>
                <w:sz w:val="21"/>
              </w:rPr>
              <w:t>基本信息</w:t>
            </w:r>
          </w:p>
        </w:tc>
        <w:tc>
          <w:tcPr>
            <w:tcW w:type="dxa" w:w="4048"/>
            <w:vAlign w:val="center"/>
          </w:tcPr>
          <w:p>
            <w:pPr>
              <w:keepNext w:val="0"/>
              <w:spacing w:line="320" w:lineRule="exact" w:after="0" w:before="0"/>
              <w:ind w:firstLine="0"/>
              <w:jc w:val="left"/>
            </w:pPr>
            <w:r>
              <w:rPr>
                <w:b w:val="0"/>
                <w:sz w:val="21"/>
              </w:rPr>
              <w:t>文件结构</w:t>
            </w:r>
          </w:p>
        </w:tc>
        <w:tc>
          <w:tcPr>
            <w:tcW w:type="dxa" w:w="3470"/>
            <w:vAlign w:val="center"/>
          </w:tcPr>
          <w:p>
            <w:pPr>
              <w:keepNext w:val="0"/>
              <w:spacing w:line="320" w:lineRule="exact" w:after="0" w:before="0"/>
              <w:ind w:firstLine="0"/>
              <w:jc w:val="left"/>
            </w:pPr>
            <w:r>
              <w:rPr>
                <w:b w:val="0"/>
                <w:sz w:val="21"/>
              </w:rPr>
              <w:t>目录组织方式、文件命名规则、各目录与文件的内容说明</w:t>
            </w:r>
          </w:p>
        </w:tc>
      </w:tr>
      <w:tr>
        <w:trPr>
          <w:cantSplit/>
        </w:trPr>
        <w:tc>
          <w:tcPr>
            <w:tcW w:type="dxa" w:w="2120"/>
            <w:vAlign w:val="center"/>
          </w:tcPr>
          <w:p>
            <w:pPr>
              <w:keepNext w:val="0"/>
              <w:spacing w:line="320" w:lineRule="exact" w:after="0" w:before="0"/>
              <w:ind w:firstLine="0"/>
              <w:jc w:val="left"/>
            </w:pPr>
            <w:r>
              <w:rPr>
                <w:b w:val="0"/>
                <w:sz w:val="21"/>
              </w:rPr>
              <w:t>基本信息</w:t>
            </w:r>
          </w:p>
        </w:tc>
        <w:tc>
          <w:tcPr>
            <w:tcW w:type="dxa" w:w="4048"/>
            <w:vAlign w:val="center"/>
          </w:tcPr>
          <w:p>
            <w:pPr>
              <w:keepNext w:val="0"/>
              <w:spacing w:line="320" w:lineRule="exact" w:after="0" w:before="0"/>
              <w:ind w:firstLine="0"/>
              <w:jc w:val="left"/>
            </w:pPr>
            <w:r>
              <w:rPr>
                <w:b w:val="0"/>
                <w:sz w:val="21"/>
              </w:rPr>
              <w:t>获取渠道与技术支持</w:t>
            </w:r>
          </w:p>
        </w:tc>
        <w:tc>
          <w:tcPr>
            <w:tcW w:type="dxa" w:w="3470"/>
            <w:vAlign w:val="center"/>
          </w:tcPr>
          <w:p>
            <w:pPr>
              <w:keepNext w:val="0"/>
              <w:spacing w:line="320" w:lineRule="exact" w:after="0" w:before="0"/>
              <w:ind w:firstLine="0"/>
              <w:jc w:val="left"/>
            </w:pPr>
            <w:r>
              <w:rPr>
                <w:b w:val="0"/>
                <w:sz w:val="21"/>
              </w:rPr>
              <w:t>申请路径与流程、技术支持渠道、问题反馈方式</w:t>
            </w:r>
          </w:p>
        </w:tc>
      </w:tr>
      <w:tr>
        <w:trPr>
          <w:cantSplit/>
        </w:trPr>
        <w:tc>
          <w:tcPr>
            <w:tcW w:type="dxa" w:w="2120"/>
            <w:vAlign w:val="center"/>
          </w:tcPr>
          <w:p>
            <w:pPr>
              <w:keepNext w:val="0"/>
              <w:spacing w:line="320" w:lineRule="exact" w:after="0" w:before="0"/>
              <w:ind w:firstLine="0"/>
              <w:jc w:val="left"/>
            </w:pPr>
            <w:r>
              <w:rPr>
                <w:b w:val="0"/>
                <w:sz w:val="21"/>
              </w:rPr>
              <w:t>基本信息</w:t>
            </w:r>
          </w:p>
        </w:tc>
        <w:tc>
          <w:tcPr>
            <w:tcW w:type="dxa" w:w="4048"/>
            <w:vAlign w:val="center"/>
          </w:tcPr>
          <w:p>
            <w:pPr>
              <w:keepNext w:val="0"/>
              <w:spacing w:line="320" w:lineRule="exact" w:after="0" w:before="0"/>
              <w:ind w:firstLine="0"/>
              <w:jc w:val="left"/>
            </w:pPr>
            <w:r>
              <w:rPr>
                <w:b w:val="0"/>
                <w:sz w:val="21"/>
              </w:rPr>
              <w:t>使用便捷性</w:t>
            </w:r>
          </w:p>
        </w:tc>
        <w:tc>
          <w:tcPr>
            <w:tcW w:type="dxa" w:w="3470"/>
            <w:vAlign w:val="center"/>
          </w:tcPr>
          <w:p>
            <w:pPr>
              <w:keepNext w:val="0"/>
              <w:spacing w:line="320" w:lineRule="exact" w:after="0" w:before="0"/>
              <w:ind w:firstLine="0"/>
              <w:jc w:val="left"/>
            </w:pPr>
            <w:r>
              <w:rPr>
                <w:b w:val="0"/>
                <w:sz w:val="21"/>
              </w:rPr>
              <w:t>数据字典、解析脚本、示例代码的位置与使用说明</w:t>
            </w:r>
          </w:p>
        </w:tc>
      </w:tr>
      <w:tr>
        <w:trPr>
          <w:cantSplit/>
        </w:trPr>
        <w:tc>
          <w:tcPr>
            <w:tcW w:type="dxa" w:w="2120"/>
            <w:vAlign w:val="center"/>
          </w:tcPr>
          <w:p>
            <w:pPr>
              <w:keepNext w:val="0"/>
              <w:spacing w:line="320" w:lineRule="exact" w:after="0" w:before="0"/>
              <w:ind w:firstLine="0"/>
              <w:jc w:val="left"/>
            </w:pPr>
            <w:r>
              <w:rPr>
                <w:b w:val="0"/>
                <w:sz w:val="21"/>
              </w:rPr>
              <w:t>内容特征</w:t>
            </w:r>
          </w:p>
        </w:tc>
        <w:tc>
          <w:tcPr>
            <w:tcW w:type="dxa" w:w="4048"/>
            <w:vAlign w:val="center"/>
          </w:tcPr>
          <w:p>
            <w:pPr>
              <w:keepNext w:val="0"/>
              <w:spacing w:line="320" w:lineRule="exact" w:after="0" w:before="0"/>
              <w:ind w:firstLine="0"/>
              <w:jc w:val="left"/>
            </w:pPr>
            <w:r>
              <w:rPr>
                <w:b w:val="0"/>
                <w:sz w:val="21"/>
              </w:rPr>
              <w:t>模态类型</w:t>
            </w:r>
          </w:p>
        </w:tc>
        <w:tc>
          <w:tcPr>
            <w:tcW w:type="dxa" w:w="3470"/>
            <w:vAlign w:val="center"/>
          </w:tcPr>
          <w:p>
            <w:pPr>
              <w:keepNext w:val="0"/>
              <w:spacing w:line="320" w:lineRule="exact" w:after="0" w:before="0"/>
              <w:ind w:firstLine="0"/>
              <w:jc w:val="left"/>
            </w:pPr>
            <w:r>
              <w:rPr>
                <w:b w:val="0"/>
                <w:sz w:val="21"/>
              </w:rPr>
              <w:t>逐模态列出并给出条数与占比；多模态样本的计数口径明示</w:t>
            </w:r>
          </w:p>
        </w:tc>
      </w:tr>
      <w:tr>
        <w:trPr>
          <w:cantSplit/>
        </w:trPr>
        <w:tc>
          <w:tcPr>
            <w:tcW w:type="dxa" w:w="2120"/>
            <w:vAlign w:val="center"/>
          </w:tcPr>
          <w:p>
            <w:pPr>
              <w:keepNext w:val="0"/>
              <w:spacing w:line="320" w:lineRule="exact" w:after="0" w:before="0"/>
              <w:ind w:firstLine="0"/>
              <w:jc w:val="left"/>
            </w:pPr>
            <w:r>
              <w:rPr>
                <w:b w:val="0"/>
                <w:sz w:val="21"/>
              </w:rPr>
              <w:t>内容特征</w:t>
            </w:r>
          </w:p>
        </w:tc>
        <w:tc>
          <w:tcPr>
            <w:tcW w:type="dxa" w:w="4048"/>
            <w:vAlign w:val="center"/>
          </w:tcPr>
          <w:p>
            <w:pPr>
              <w:keepNext w:val="0"/>
              <w:spacing w:line="320" w:lineRule="exact" w:after="0" w:before="0"/>
              <w:ind w:firstLine="0"/>
              <w:jc w:val="left"/>
            </w:pPr>
            <w:r>
              <w:rPr>
                <w:b w:val="0"/>
                <w:sz w:val="21"/>
              </w:rPr>
              <w:t>数据分布</w:t>
            </w:r>
          </w:p>
        </w:tc>
        <w:tc>
          <w:tcPr>
            <w:tcW w:type="dxa" w:w="3470"/>
            <w:vAlign w:val="center"/>
          </w:tcPr>
          <w:p>
            <w:pPr>
              <w:keepNext w:val="0"/>
              <w:spacing w:line="320" w:lineRule="exact" w:after="0" w:before="0"/>
              <w:ind w:firstLine="0"/>
              <w:jc w:val="left"/>
            </w:pPr>
            <w:r>
              <w:rPr>
                <w:b w:val="0"/>
                <w:sz w:val="21"/>
              </w:rPr>
              <w:t>六维分布统计结果：业务域、任务类型、样本长度、数据来源、模态、时间</w:t>
            </w:r>
          </w:p>
        </w:tc>
      </w:tr>
      <w:tr>
        <w:trPr>
          <w:cantSplit/>
        </w:trPr>
        <w:tc>
          <w:tcPr>
            <w:tcW w:type="dxa" w:w="2120"/>
            <w:vAlign w:val="center"/>
          </w:tcPr>
          <w:p>
            <w:pPr>
              <w:keepNext w:val="0"/>
              <w:spacing w:line="320" w:lineRule="exact" w:after="0" w:before="0"/>
              <w:ind w:firstLine="0"/>
              <w:jc w:val="left"/>
            </w:pPr>
            <w:r>
              <w:rPr>
                <w:b w:val="0"/>
                <w:sz w:val="21"/>
              </w:rPr>
              <w:t>内容特征</w:t>
            </w:r>
          </w:p>
        </w:tc>
        <w:tc>
          <w:tcPr>
            <w:tcW w:type="dxa" w:w="4048"/>
            <w:vAlign w:val="center"/>
          </w:tcPr>
          <w:p>
            <w:pPr>
              <w:keepNext w:val="0"/>
              <w:spacing w:line="320" w:lineRule="exact" w:after="0" w:before="0"/>
              <w:ind w:firstLine="0"/>
              <w:jc w:val="left"/>
            </w:pPr>
            <w:r>
              <w:rPr>
                <w:b w:val="0"/>
                <w:sz w:val="21"/>
              </w:rPr>
              <w:t>标签类别</w:t>
            </w:r>
          </w:p>
        </w:tc>
        <w:tc>
          <w:tcPr>
            <w:tcW w:type="dxa" w:w="3470"/>
            <w:vAlign w:val="center"/>
          </w:tcPr>
          <w:p>
            <w:pPr>
              <w:keepNext w:val="0"/>
              <w:spacing w:line="320" w:lineRule="exact" w:after="0" w:before="0"/>
              <w:ind w:firstLine="0"/>
              <w:jc w:val="left"/>
            </w:pPr>
            <w:r>
              <w:rPr>
                <w:b w:val="0"/>
                <w:sz w:val="21"/>
              </w:rPr>
              <w:t>全部标签字段、取值域与每个取值的定义，引用本体版本</w:t>
            </w:r>
          </w:p>
        </w:tc>
      </w:tr>
      <w:tr>
        <w:trPr>
          <w:cantSplit/>
        </w:trPr>
        <w:tc>
          <w:tcPr>
            <w:tcW w:type="dxa" w:w="2120"/>
            <w:vAlign w:val="center"/>
          </w:tcPr>
          <w:p>
            <w:pPr>
              <w:keepNext w:val="0"/>
              <w:spacing w:line="320" w:lineRule="exact" w:after="0" w:before="0"/>
              <w:ind w:firstLine="0"/>
              <w:jc w:val="left"/>
            </w:pPr>
            <w:r>
              <w:rPr>
                <w:b w:val="0"/>
                <w:sz w:val="21"/>
              </w:rPr>
              <w:t>内容特征</w:t>
            </w:r>
          </w:p>
        </w:tc>
        <w:tc>
          <w:tcPr>
            <w:tcW w:type="dxa" w:w="4048"/>
            <w:vAlign w:val="center"/>
          </w:tcPr>
          <w:p>
            <w:pPr>
              <w:keepNext w:val="0"/>
              <w:spacing w:line="320" w:lineRule="exact" w:after="0" w:before="0"/>
              <w:ind w:firstLine="0"/>
              <w:jc w:val="left"/>
            </w:pPr>
            <w:r>
              <w:rPr>
                <w:b w:val="0"/>
                <w:sz w:val="21"/>
              </w:rPr>
              <w:t>样本示例</w:t>
            </w:r>
          </w:p>
        </w:tc>
        <w:tc>
          <w:tcPr>
            <w:tcW w:type="dxa" w:w="3470"/>
            <w:vAlign w:val="center"/>
          </w:tcPr>
          <w:p>
            <w:pPr>
              <w:keepNext w:val="0"/>
              <w:spacing w:line="320" w:lineRule="exact" w:after="0" w:before="0"/>
              <w:ind w:firstLine="0"/>
              <w:jc w:val="left"/>
            </w:pPr>
            <w:r>
              <w:rPr>
                <w:b w:val="0"/>
                <w:sz w:val="21"/>
              </w:rPr>
              <w:t>每个用途子集至少三个代表性样本，含元数据与质量记录</w:t>
            </w:r>
          </w:p>
        </w:tc>
      </w:tr>
      <w:tr>
        <w:trPr>
          <w:cantSplit/>
        </w:trPr>
        <w:tc>
          <w:tcPr>
            <w:tcW w:type="dxa" w:w="2120"/>
            <w:vAlign w:val="center"/>
          </w:tcPr>
          <w:p>
            <w:pPr>
              <w:keepNext w:val="0"/>
              <w:spacing w:line="320" w:lineRule="exact" w:after="0" w:before="0"/>
              <w:ind w:firstLine="0"/>
              <w:jc w:val="left"/>
            </w:pPr>
            <w:r>
              <w:rPr>
                <w:b w:val="0"/>
                <w:sz w:val="21"/>
              </w:rPr>
              <w:t>内容特征</w:t>
            </w:r>
          </w:p>
        </w:tc>
        <w:tc>
          <w:tcPr>
            <w:tcW w:type="dxa" w:w="4048"/>
            <w:vAlign w:val="center"/>
          </w:tcPr>
          <w:p>
            <w:pPr>
              <w:keepNext w:val="0"/>
              <w:spacing w:line="320" w:lineRule="exact" w:after="0" w:before="0"/>
              <w:ind w:firstLine="0"/>
              <w:jc w:val="left"/>
            </w:pPr>
            <w:r>
              <w:rPr>
                <w:b w:val="0"/>
                <w:sz w:val="21"/>
              </w:rPr>
              <w:t>局限性说明</w:t>
            </w:r>
          </w:p>
        </w:tc>
        <w:tc>
          <w:tcPr>
            <w:tcW w:type="dxa" w:w="3470"/>
            <w:vAlign w:val="center"/>
          </w:tcPr>
          <w:p>
            <w:pPr>
              <w:keepNext w:val="0"/>
              <w:spacing w:line="320" w:lineRule="exact" w:after="0" w:before="0"/>
              <w:ind w:firstLine="0"/>
              <w:jc w:val="left"/>
            </w:pPr>
            <w:r>
              <w:rPr>
                <w:b w:val="0"/>
                <w:sz w:val="21"/>
              </w:rPr>
              <w:t>覆盖不足的类目、低可信度样本占比、合成样本占比、增强样本占比、专家判断型标签分歧率、许可受限样本占比</w:t>
            </w:r>
          </w:p>
        </w:tc>
      </w:tr>
      <w:tr>
        <w:trPr>
          <w:cantSplit/>
        </w:trPr>
        <w:tc>
          <w:tcPr>
            <w:tcW w:type="dxa" w:w="2120"/>
            <w:vAlign w:val="center"/>
          </w:tcPr>
          <w:p>
            <w:pPr>
              <w:keepNext w:val="0"/>
              <w:spacing w:line="320" w:lineRule="exact" w:after="0" w:before="0"/>
              <w:ind w:firstLine="0"/>
              <w:jc w:val="left"/>
            </w:pPr>
            <w:r>
              <w:rPr>
                <w:b w:val="0"/>
                <w:sz w:val="21"/>
              </w:rPr>
              <w:t>建设过程</w:t>
            </w:r>
          </w:p>
        </w:tc>
        <w:tc>
          <w:tcPr>
            <w:tcW w:type="dxa" w:w="4048"/>
            <w:vAlign w:val="center"/>
          </w:tcPr>
          <w:p>
            <w:pPr>
              <w:keepNext w:val="0"/>
              <w:spacing w:line="320" w:lineRule="exact" w:after="0" w:before="0"/>
              <w:ind w:firstLine="0"/>
              <w:jc w:val="left"/>
            </w:pPr>
            <w:r>
              <w:rPr>
                <w:b w:val="0"/>
                <w:sz w:val="21"/>
              </w:rPr>
              <w:t>数据来源与采集方式</w:t>
            </w:r>
          </w:p>
        </w:tc>
        <w:tc>
          <w:tcPr>
            <w:tcW w:type="dxa" w:w="3470"/>
            <w:vAlign w:val="center"/>
          </w:tcPr>
          <w:p>
            <w:pPr>
              <w:keepNext w:val="0"/>
              <w:spacing w:line="320" w:lineRule="exact" w:after="0" w:before="0"/>
              <w:ind w:firstLine="0"/>
              <w:jc w:val="left"/>
            </w:pPr>
            <w:r>
              <w:rPr>
                <w:b w:val="0"/>
                <w:sz w:val="21"/>
              </w:rPr>
              <w:t>源系统与资料类型清单、采集范围与时间范围</w:t>
            </w:r>
          </w:p>
        </w:tc>
      </w:tr>
      <w:tr>
        <w:trPr>
          <w:cantSplit/>
        </w:trPr>
        <w:tc>
          <w:tcPr>
            <w:tcW w:type="dxa" w:w="2120"/>
            <w:vAlign w:val="center"/>
          </w:tcPr>
          <w:p>
            <w:pPr>
              <w:keepNext w:val="0"/>
              <w:spacing w:line="320" w:lineRule="exact" w:after="0" w:before="0"/>
              <w:ind w:firstLine="0"/>
              <w:jc w:val="left"/>
            </w:pPr>
            <w:r>
              <w:rPr>
                <w:b w:val="0"/>
                <w:sz w:val="21"/>
              </w:rPr>
              <w:t>建设过程</w:t>
            </w:r>
          </w:p>
        </w:tc>
        <w:tc>
          <w:tcPr>
            <w:tcW w:type="dxa" w:w="4048"/>
            <w:vAlign w:val="center"/>
          </w:tcPr>
          <w:p>
            <w:pPr>
              <w:keepNext w:val="0"/>
              <w:spacing w:line="320" w:lineRule="exact" w:after="0" w:before="0"/>
              <w:ind w:firstLine="0"/>
              <w:jc w:val="left"/>
            </w:pPr>
            <w:r>
              <w:rPr>
                <w:b w:val="0"/>
                <w:sz w:val="21"/>
              </w:rPr>
              <w:t>加工环节与方法</w:t>
            </w:r>
          </w:p>
        </w:tc>
        <w:tc>
          <w:tcPr>
            <w:tcW w:type="dxa" w:w="3470"/>
            <w:vAlign w:val="center"/>
          </w:tcPr>
          <w:p>
            <w:pPr>
              <w:keepNext w:val="0"/>
              <w:spacing w:line="320" w:lineRule="exact" w:after="0" w:before="0"/>
              <w:ind w:firstLine="0"/>
              <w:jc w:val="left"/>
            </w:pPr>
            <w:r>
              <w:rPr>
                <w:b w:val="0"/>
                <w:sz w:val="21"/>
              </w:rPr>
              <w:t>全流程加工实施方法摘要、所用工具链、关键参数标定过程</w:t>
            </w:r>
          </w:p>
        </w:tc>
      </w:tr>
      <w:tr>
        <w:trPr>
          <w:cantSplit/>
        </w:trPr>
        <w:tc>
          <w:tcPr>
            <w:tcW w:type="dxa" w:w="2120"/>
            <w:vAlign w:val="center"/>
          </w:tcPr>
          <w:p>
            <w:pPr>
              <w:keepNext w:val="0"/>
              <w:spacing w:line="320" w:lineRule="exact" w:after="0" w:before="0"/>
              <w:ind w:firstLine="0"/>
              <w:jc w:val="left"/>
            </w:pPr>
            <w:r>
              <w:rPr>
                <w:b w:val="0"/>
                <w:sz w:val="21"/>
              </w:rPr>
              <w:t>建设过程</w:t>
            </w:r>
          </w:p>
        </w:tc>
        <w:tc>
          <w:tcPr>
            <w:tcW w:type="dxa" w:w="4048"/>
            <w:vAlign w:val="center"/>
          </w:tcPr>
          <w:p>
            <w:pPr>
              <w:keepNext w:val="0"/>
              <w:spacing w:line="320" w:lineRule="exact" w:after="0" w:before="0"/>
              <w:ind w:firstLine="0"/>
              <w:jc w:val="left"/>
            </w:pPr>
            <w:r>
              <w:rPr>
                <w:b w:val="0"/>
                <w:sz w:val="21"/>
              </w:rPr>
              <w:t>标注组织</w:t>
            </w:r>
          </w:p>
        </w:tc>
        <w:tc>
          <w:tcPr>
            <w:tcW w:type="dxa" w:w="3470"/>
            <w:vAlign w:val="center"/>
          </w:tcPr>
          <w:p>
            <w:pPr>
              <w:keepNext w:val="0"/>
              <w:spacing w:line="320" w:lineRule="exact" w:after="0" w:before="0"/>
              <w:ind w:firstLine="0"/>
              <w:jc w:val="left"/>
            </w:pPr>
            <w:r>
              <w:rPr>
                <w:b w:val="0"/>
                <w:sz w:val="21"/>
              </w:rPr>
              <w:t>标注规范版本、标注员规模（匿名统计）、三级校验与一致性指标实测值、黄金集通过率</w:t>
            </w:r>
          </w:p>
        </w:tc>
      </w:tr>
      <w:tr>
        <w:trPr>
          <w:cantSplit/>
        </w:trPr>
        <w:tc>
          <w:tcPr>
            <w:tcW w:type="dxa" w:w="2120"/>
            <w:vAlign w:val="center"/>
          </w:tcPr>
          <w:p>
            <w:pPr>
              <w:keepNext w:val="0"/>
              <w:spacing w:line="320" w:lineRule="exact" w:after="0" w:before="0"/>
              <w:ind w:firstLine="0"/>
              <w:jc w:val="left"/>
            </w:pPr>
            <w:r>
              <w:rPr>
                <w:b w:val="0"/>
                <w:sz w:val="21"/>
              </w:rPr>
              <w:t>建设过程</w:t>
            </w:r>
          </w:p>
        </w:tc>
        <w:tc>
          <w:tcPr>
            <w:tcW w:type="dxa" w:w="4048"/>
            <w:vAlign w:val="center"/>
          </w:tcPr>
          <w:p>
            <w:pPr>
              <w:keepNext w:val="0"/>
              <w:spacing w:line="320" w:lineRule="exact" w:after="0" w:before="0"/>
              <w:ind w:firstLine="0"/>
              <w:jc w:val="left"/>
            </w:pPr>
            <w:r>
              <w:rPr>
                <w:b w:val="0"/>
                <w:sz w:val="21"/>
              </w:rPr>
              <w:t>质检与验证</w:t>
            </w:r>
          </w:p>
        </w:tc>
        <w:tc>
          <w:tcPr>
            <w:tcW w:type="dxa" w:w="3470"/>
            <w:vAlign w:val="center"/>
          </w:tcPr>
          <w:p>
            <w:pPr>
              <w:keepNext w:val="0"/>
              <w:spacing w:line="320" w:lineRule="exact" w:after="0" w:before="0"/>
              <w:ind w:firstLine="0"/>
              <w:jc w:val="left"/>
            </w:pPr>
            <w:r>
              <w:rPr>
                <w:b w:val="0"/>
                <w:sz w:val="21"/>
              </w:rPr>
              <w:t>质检报告与验证报告的引用、六维度指标值、能力增量结论摘要</w:t>
            </w:r>
          </w:p>
        </w:tc>
      </w:tr>
      <w:tr>
        <w:trPr>
          <w:cantSplit/>
        </w:trPr>
        <w:tc>
          <w:tcPr>
            <w:tcW w:type="dxa" w:w="2120"/>
            <w:vAlign w:val="center"/>
          </w:tcPr>
          <w:p>
            <w:pPr>
              <w:keepNext w:val="0"/>
              <w:spacing w:line="320" w:lineRule="exact" w:after="0" w:before="0"/>
              <w:ind w:firstLine="0"/>
              <w:jc w:val="left"/>
            </w:pPr>
            <w:r>
              <w:rPr>
                <w:b w:val="0"/>
                <w:sz w:val="21"/>
              </w:rPr>
              <w:t>建设过程</w:t>
            </w:r>
          </w:p>
        </w:tc>
        <w:tc>
          <w:tcPr>
            <w:tcW w:type="dxa" w:w="4048"/>
            <w:vAlign w:val="center"/>
          </w:tcPr>
          <w:p>
            <w:pPr>
              <w:keepNext w:val="0"/>
              <w:spacing w:line="320" w:lineRule="exact" w:after="0" w:before="0"/>
              <w:ind w:firstLine="0"/>
              <w:jc w:val="left"/>
            </w:pPr>
            <w:r>
              <w:rPr>
                <w:b w:val="0"/>
                <w:sz w:val="21"/>
              </w:rPr>
              <w:t>许可与合规</w:t>
            </w:r>
          </w:p>
        </w:tc>
        <w:tc>
          <w:tcPr>
            <w:tcW w:type="dxa" w:w="3470"/>
            <w:vAlign w:val="center"/>
          </w:tcPr>
          <w:p>
            <w:pPr>
              <w:keepNext w:val="0"/>
              <w:spacing w:line="320" w:lineRule="exact" w:after="0" w:before="0"/>
              <w:ind w:firstLine="0"/>
              <w:jc w:val="left"/>
            </w:pPr>
            <w:r>
              <w:rPr>
                <w:b w:val="0"/>
                <w:sz w:val="21"/>
              </w:rPr>
              <w:t>数据来源许可状态统计、模型许可登记摘要、脱敏与安全合规处置说明</w:t>
            </w:r>
          </w:p>
        </w:tc>
      </w:tr>
      <w:tr>
        <w:trPr>
          <w:cantSplit/>
        </w:trPr>
        <w:tc>
          <w:tcPr>
            <w:tcW w:type="dxa" w:w="2120"/>
            <w:vAlign w:val="center"/>
          </w:tcPr>
          <w:p>
            <w:pPr>
              <w:keepNext w:val="0"/>
              <w:spacing w:line="320" w:lineRule="exact" w:after="0" w:before="0"/>
              <w:ind w:firstLine="0"/>
              <w:jc w:val="left"/>
            </w:pPr>
            <w:r>
              <w:rPr>
                <w:b w:val="0"/>
                <w:sz w:val="21"/>
              </w:rPr>
              <w:t>应用说明</w:t>
            </w:r>
          </w:p>
        </w:tc>
        <w:tc>
          <w:tcPr>
            <w:tcW w:type="dxa" w:w="4048"/>
            <w:vAlign w:val="center"/>
          </w:tcPr>
          <w:p>
            <w:pPr>
              <w:keepNext w:val="0"/>
              <w:spacing w:line="320" w:lineRule="exact" w:after="0" w:before="0"/>
              <w:ind w:firstLine="0"/>
              <w:jc w:val="left"/>
            </w:pPr>
            <w:r>
              <w:rPr>
                <w:b w:val="0"/>
                <w:sz w:val="21"/>
              </w:rPr>
              <w:t>适用用途</w:t>
            </w:r>
          </w:p>
        </w:tc>
        <w:tc>
          <w:tcPr>
            <w:tcW w:type="dxa" w:w="3470"/>
            <w:vAlign w:val="center"/>
          </w:tcPr>
          <w:p>
            <w:pPr>
              <w:keepNext w:val="0"/>
              <w:spacing w:line="320" w:lineRule="exact" w:after="0" w:before="0"/>
              <w:ind w:firstLine="0"/>
              <w:jc w:val="left"/>
            </w:pPr>
            <w:r>
              <w:rPr>
                <w:b w:val="0"/>
                <w:sz w:val="21"/>
              </w:rPr>
              <w:t>建议的用途与不建议的用途（后者为责任边界说明）</w:t>
            </w:r>
          </w:p>
        </w:tc>
      </w:tr>
      <w:tr>
        <w:trPr>
          <w:cantSplit/>
        </w:trPr>
        <w:tc>
          <w:tcPr>
            <w:tcW w:type="dxa" w:w="2120"/>
            <w:vAlign w:val="center"/>
          </w:tcPr>
          <w:p>
            <w:pPr>
              <w:keepNext w:val="0"/>
              <w:spacing w:line="320" w:lineRule="exact" w:after="0" w:before="0"/>
              <w:ind w:firstLine="0"/>
              <w:jc w:val="left"/>
            </w:pPr>
            <w:r>
              <w:rPr>
                <w:b w:val="0"/>
                <w:sz w:val="21"/>
              </w:rPr>
              <w:t>应用说明</w:t>
            </w:r>
          </w:p>
        </w:tc>
        <w:tc>
          <w:tcPr>
            <w:tcW w:type="dxa" w:w="4048"/>
            <w:vAlign w:val="center"/>
          </w:tcPr>
          <w:p>
            <w:pPr>
              <w:keepNext w:val="0"/>
              <w:spacing w:line="320" w:lineRule="exact" w:after="0" w:before="0"/>
              <w:ind w:firstLine="0"/>
              <w:jc w:val="left"/>
            </w:pPr>
            <w:r>
              <w:rPr>
                <w:b w:val="0"/>
                <w:sz w:val="21"/>
              </w:rPr>
              <w:t>使用限制</w:t>
            </w:r>
          </w:p>
        </w:tc>
        <w:tc>
          <w:tcPr>
            <w:tcW w:type="dxa" w:w="3470"/>
            <w:vAlign w:val="center"/>
          </w:tcPr>
          <w:p>
            <w:pPr>
              <w:keepNext w:val="0"/>
              <w:spacing w:line="320" w:lineRule="exact" w:after="0" w:before="0"/>
              <w:ind w:firstLine="0"/>
              <w:jc w:val="left"/>
            </w:pPr>
            <w:r>
              <w:rPr>
                <w:b w:val="0"/>
                <w:sz w:val="21"/>
              </w:rPr>
              <w:t>许可条款限制、权限边界、涉密与敏感处置要求</w:t>
            </w:r>
          </w:p>
        </w:tc>
      </w:tr>
      <w:tr>
        <w:trPr>
          <w:cantSplit/>
        </w:trPr>
        <w:tc>
          <w:tcPr>
            <w:tcW w:type="dxa" w:w="2120"/>
            <w:vAlign w:val="center"/>
          </w:tcPr>
          <w:p>
            <w:pPr>
              <w:keepNext w:val="0"/>
              <w:spacing w:line="320" w:lineRule="exact" w:after="0" w:before="0"/>
              <w:ind w:firstLine="0"/>
              <w:jc w:val="left"/>
            </w:pPr>
            <w:r>
              <w:rPr>
                <w:b w:val="0"/>
                <w:sz w:val="21"/>
              </w:rPr>
              <w:t>应用说明</w:t>
            </w:r>
          </w:p>
        </w:tc>
        <w:tc>
          <w:tcPr>
            <w:tcW w:type="dxa" w:w="4048"/>
            <w:vAlign w:val="center"/>
          </w:tcPr>
          <w:p>
            <w:pPr>
              <w:keepNext w:val="0"/>
              <w:spacing w:line="320" w:lineRule="exact" w:after="0" w:before="0"/>
              <w:ind w:firstLine="0"/>
              <w:jc w:val="left"/>
            </w:pPr>
            <w:r>
              <w:rPr>
                <w:b w:val="0"/>
                <w:sz w:val="21"/>
              </w:rPr>
              <w:t>已验证的应用效果</w:t>
            </w:r>
          </w:p>
        </w:tc>
        <w:tc>
          <w:tcPr>
            <w:tcW w:type="dxa" w:w="3470"/>
            <w:vAlign w:val="center"/>
          </w:tcPr>
          <w:p>
            <w:pPr>
              <w:keepNext w:val="0"/>
              <w:spacing w:line="320" w:lineRule="exact" w:after="0" w:before="0"/>
              <w:ind w:firstLine="0"/>
              <w:jc w:val="left"/>
            </w:pPr>
            <w:r>
              <w:rPr>
                <w:b w:val="0"/>
                <w:sz w:val="21"/>
              </w:rPr>
              <w:t>各验证场景的可用性结论摘要、能力维度增量</w:t>
            </w:r>
          </w:p>
        </w:tc>
      </w:tr>
      <w:tr>
        <w:trPr>
          <w:cantSplit/>
        </w:trPr>
        <w:tc>
          <w:tcPr>
            <w:tcW w:type="dxa" w:w="2120"/>
            <w:vAlign w:val="center"/>
          </w:tcPr>
          <w:p>
            <w:pPr>
              <w:keepNext w:val="0"/>
              <w:spacing w:line="320" w:lineRule="exact" w:after="0" w:before="0"/>
              <w:ind w:firstLine="0"/>
              <w:jc w:val="left"/>
            </w:pPr>
            <w:r>
              <w:rPr>
                <w:b w:val="0"/>
                <w:sz w:val="21"/>
              </w:rPr>
              <w:t>应用说明</w:t>
            </w:r>
          </w:p>
        </w:tc>
        <w:tc>
          <w:tcPr>
            <w:tcW w:type="dxa" w:w="4048"/>
            <w:vAlign w:val="center"/>
          </w:tcPr>
          <w:p>
            <w:pPr>
              <w:keepNext w:val="0"/>
              <w:spacing w:line="320" w:lineRule="exact" w:after="0" w:before="0"/>
              <w:ind w:firstLine="0"/>
              <w:jc w:val="left"/>
            </w:pPr>
            <w:r>
              <w:rPr>
                <w:b w:val="0"/>
                <w:sz w:val="21"/>
              </w:rPr>
              <w:t>版本演进与修订计划</w:t>
            </w:r>
          </w:p>
        </w:tc>
        <w:tc>
          <w:tcPr>
            <w:tcW w:type="dxa" w:w="3470"/>
            <w:vAlign w:val="center"/>
          </w:tcPr>
          <w:p>
            <w:pPr>
              <w:keepNext w:val="0"/>
              <w:spacing w:line="320" w:lineRule="exact" w:after="0" w:before="0"/>
              <w:ind w:firstLine="0"/>
              <w:jc w:val="left"/>
            </w:pPr>
            <w:r>
              <w:rPr>
                <w:b w:val="0"/>
                <w:sz w:val="21"/>
              </w:rPr>
              <w:t>本版本的变更说明、已知问题、下一版本的修订计划摘要</w:t>
            </w:r>
          </w:p>
        </w:tc>
      </w:tr>
    </w:tbl>
    <w:p>
      <w:pPr>
        <w:spacing w:after="40" w:line="240" w:lineRule="auto"/>
        <w:ind w:firstLine="0"/>
      </w:pPr>
      <w:r>
        <w:rPr>
          <w:sz w:val="4"/>
        </w:rPr>
      </w:r>
    </w:p>
    <w:p>
      <w:pPr>
        <w:jc w:val="both"/>
      </w:pPr>
      <w:r>
        <w:t>卡片中的局限性和适用用途记录经验证确认的范围，包括样本覆盖、来源分布、专业判断分歧、模态适用性和许可条件。卡片统计与发布清单同源生成，结果发生变化时同步更新卡片及相关报告，不能复用旧版统计。已知缺陷按发布条件完成整改，不能仅通过局限性说明转移处置责任。</w:t>
      </w:r>
    </w:p>
    <w:p>
      <w:pPr>
        <w:pStyle w:val="Heading2"/>
      </w:pPr>
      <w:r>
        <w:t>7.4 数据字典与自描述封装</w:t>
      </w:r>
    </w:p>
    <w:p>
      <w:pPr>
        <w:jc w:val="both"/>
      </w:pPr>
      <w:r>
        <w:t>这一条要求的实质是「不依赖神兽 OS 也能用」。数据集的价值在于流通，而流通的前提是接收方不需要本项目的平台就能解析内容。本方案的做法是把解释数据所需的全部信息随数据一并封装，使封装包成为自解释的。</w:t>
      </w:r>
    </w:p>
    <w:p>
      <w:pPr>
        <w:pStyle w:val="Heading3"/>
      </w:pPr>
      <w:r>
        <w:t>7.4.1 数据字典</w:t>
      </w:r>
    </w:p>
    <w:p>
      <w:pPr>
        <w:jc w:val="both"/>
      </w:pPr>
      <w:r>
        <w:t>数据字典逐项定义数据集中出现的每一个字段，内容包括：字段标识、中文名称、英文名称、数据类型、长度或精度、单位、取值域或枚举定义、是否必填、默认值、业务含义说明、来源说明（取自哪个源系统的哪个字段，或由哪个加工环节产出）、关联关系（与其他字段或其他数据集的关联键）、引用的本体类目标识与本体版本。</w:t>
      </w:r>
    </w:p>
    <w:p>
      <w:pPr>
        <w:jc w:val="both"/>
      </w:pPr>
      <w:r>
        <w:t>数据字典按三层组织：数据集级字典（数据集通用的元数据字段与质量记录字段）、子集级字典（各用途子集特有的样本结构字段）、业务域级字典（各业务域特有的业务字段与标签字段）。三层之间的字段标识不重复，同名异义的字段在标识上区分并在说明中交代差异。</w:t>
      </w:r>
    </w:p>
    <w:p>
      <w:pPr>
        <w:jc w:val="both"/>
      </w:pPr>
      <w:r>
        <w:t>数据字典以机器可读格式与人可读格式双份提供：机器可读格式供第三方平台自动解析，人可读格式供使用方查阅。两份内容由同一份源定义生成，避免两者不一致。</w:t>
      </w:r>
    </w:p>
    <w:p>
      <w:pPr>
        <w:pStyle w:val="Caption"/>
        <w:keepNext/>
      </w:pPr>
      <w:r>
        <w:t>表7-5 数据字典的三层组织与典型字段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层级</w:t>
            </w:r>
          </w:p>
        </w:tc>
        <w:tc>
          <w:tcPr>
            <w:tcW w:type="dxa" w:w="2699"/>
            <w:vAlign w:val="center"/>
            <w:shd w:fill="EDF1F3"/>
          </w:tcPr>
          <w:p>
            <w:pPr>
              <w:keepNext/>
              <w:spacing w:line="320" w:lineRule="exact" w:after="0" w:before="0"/>
              <w:ind w:firstLine="0"/>
              <w:jc w:val="center"/>
            </w:pPr>
            <w:r>
              <w:rPr>
                <w:b/>
                <w:sz w:val="21"/>
              </w:rPr>
              <w:t>覆盖范围</w:t>
            </w:r>
          </w:p>
        </w:tc>
        <w:tc>
          <w:tcPr>
            <w:tcW w:type="dxa" w:w="2409"/>
            <w:vAlign w:val="center"/>
            <w:shd w:fill="EDF1F3"/>
          </w:tcPr>
          <w:p>
            <w:pPr>
              <w:keepNext/>
              <w:spacing w:line="320" w:lineRule="exact" w:after="0" w:before="0"/>
              <w:ind w:firstLine="0"/>
              <w:jc w:val="center"/>
            </w:pPr>
            <w:r>
              <w:rPr>
                <w:b/>
                <w:sz w:val="21"/>
              </w:rPr>
              <w:t>典型字段</w:t>
            </w:r>
          </w:p>
        </w:tc>
        <w:tc>
          <w:tcPr>
            <w:tcW w:type="dxa" w:w="2891"/>
            <w:vAlign w:val="center"/>
            <w:shd w:fill="EDF1F3"/>
          </w:tcPr>
          <w:p>
            <w:pPr>
              <w:keepNext/>
              <w:spacing w:line="320" w:lineRule="exact" w:after="0" w:before="0"/>
              <w:ind w:firstLine="0"/>
              <w:jc w:val="center"/>
            </w:pPr>
            <w:r>
              <w:rPr>
                <w:b/>
                <w:sz w:val="21"/>
              </w:rPr>
              <w:t>使用场景</w:t>
            </w:r>
          </w:p>
        </w:tc>
      </w:tr>
      <w:tr>
        <w:trPr>
          <w:cantSplit/>
        </w:trPr>
        <w:tc>
          <w:tcPr>
            <w:tcW w:type="dxa" w:w="1638"/>
            <w:vAlign w:val="center"/>
          </w:tcPr>
          <w:p>
            <w:pPr>
              <w:keepNext w:val="0"/>
              <w:spacing w:line="320" w:lineRule="exact" w:after="0" w:before="0"/>
              <w:ind w:firstLine="0"/>
              <w:jc w:val="left"/>
            </w:pPr>
            <w:r>
              <w:rPr>
                <w:b w:val="0"/>
                <w:sz w:val="21"/>
              </w:rPr>
              <w:t>数据集级</w:t>
            </w:r>
          </w:p>
        </w:tc>
        <w:tc>
          <w:tcPr>
            <w:tcW w:type="dxa" w:w="2699"/>
            <w:vAlign w:val="center"/>
          </w:tcPr>
          <w:p>
            <w:pPr>
              <w:keepNext w:val="0"/>
              <w:spacing w:line="320" w:lineRule="exact" w:after="0" w:before="0"/>
              <w:ind w:firstLine="0"/>
              <w:jc w:val="left"/>
            </w:pPr>
            <w:r>
              <w:rPr>
                <w:b w:val="0"/>
                <w:sz w:val="21"/>
              </w:rPr>
              <w:t>全数据集通用</w:t>
            </w:r>
          </w:p>
        </w:tc>
        <w:tc>
          <w:tcPr>
            <w:tcW w:type="dxa" w:w="2409"/>
            <w:vAlign w:val="center"/>
          </w:tcPr>
          <w:p>
            <w:pPr>
              <w:keepNext w:val="0"/>
              <w:spacing w:line="320" w:lineRule="exact" w:after="0" w:before="0"/>
              <w:ind w:firstLine="0"/>
              <w:jc w:val="left"/>
            </w:pPr>
            <w:r>
              <w:rPr>
                <w:b w:val="0"/>
                <w:sz w:val="21"/>
              </w:rPr>
              <w:t>样本标识、所属数据集与子集、业务域、来源标识、许可状态、来源性质（真实／合成）与增强方式、质量记录字段、版本标识</w:t>
            </w:r>
          </w:p>
        </w:tc>
        <w:tc>
          <w:tcPr>
            <w:tcW w:type="dxa" w:w="2891"/>
            <w:vAlign w:val="center"/>
          </w:tcPr>
          <w:p>
            <w:pPr>
              <w:keepNext w:val="0"/>
              <w:spacing w:line="320" w:lineRule="exact" w:after="0" w:before="0"/>
              <w:ind w:firstLine="0"/>
              <w:jc w:val="left"/>
            </w:pPr>
            <w:r>
              <w:rPr>
                <w:b w:val="0"/>
                <w:sz w:val="21"/>
              </w:rPr>
              <w:t>第三方平台导入时的通用解析</w:t>
            </w:r>
          </w:p>
        </w:tc>
      </w:tr>
      <w:tr>
        <w:trPr>
          <w:cantSplit/>
        </w:trPr>
        <w:tc>
          <w:tcPr>
            <w:tcW w:type="dxa" w:w="1638"/>
            <w:vAlign w:val="center"/>
          </w:tcPr>
          <w:p>
            <w:pPr>
              <w:keepNext w:val="0"/>
              <w:spacing w:line="320" w:lineRule="exact" w:after="0" w:before="0"/>
              <w:ind w:firstLine="0"/>
              <w:jc w:val="left"/>
            </w:pPr>
            <w:r>
              <w:rPr>
                <w:b w:val="0"/>
                <w:sz w:val="21"/>
              </w:rPr>
              <w:t>子集级</w:t>
            </w:r>
          </w:p>
        </w:tc>
        <w:tc>
          <w:tcPr>
            <w:tcW w:type="dxa" w:w="2699"/>
            <w:vAlign w:val="center"/>
          </w:tcPr>
          <w:p>
            <w:pPr>
              <w:keepNext w:val="0"/>
              <w:spacing w:line="320" w:lineRule="exact" w:after="0" w:before="0"/>
              <w:ind w:firstLine="0"/>
              <w:jc w:val="left"/>
            </w:pPr>
            <w:r>
              <w:rPr>
                <w:b w:val="0"/>
                <w:sz w:val="21"/>
              </w:rPr>
              <w:t>各用途子集</w:t>
            </w:r>
          </w:p>
        </w:tc>
        <w:tc>
          <w:tcPr>
            <w:tcW w:type="dxa" w:w="2409"/>
            <w:vAlign w:val="center"/>
          </w:tcPr>
          <w:p>
            <w:pPr>
              <w:keepNext w:val="0"/>
              <w:spacing w:line="320" w:lineRule="exact" w:after="0" w:before="0"/>
              <w:ind w:firstLine="0"/>
              <w:jc w:val="left"/>
            </w:pPr>
            <w:r>
              <w:rPr>
                <w:b w:val="0"/>
                <w:sz w:val="21"/>
              </w:rPr>
              <w:t>预训练：文本块、来源页码、章节层级；指令微调：指令、输入、响应、任务类型；偏好对齐：指令、优答、劣答、差异归因；基准评测：题干、标准答案、判分规则、能力维度</w:t>
            </w:r>
          </w:p>
        </w:tc>
        <w:tc>
          <w:tcPr>
            <w:tcW w:type="dxa" w:w="2891"/>
            <w:vAlign w:val="center"/>
          </w:tcPr>
          <w:p>
            <w:pPr>
              <w:keepNext w:val="0"/>
              <w:spacing w:line="320" w:lineRule="exact" w:after="0" w:before="0"/>
              <w:ind w:firstLine="0"/>
              <w:jc w:val="left"/>
            </w:pPr>
            <w:r>
              <w:rPr>
                <w:b w:val="0"/>
                <w:sz w:val="21"/>
              </w:rPr>
              <w:t>按用途加载与训练</w:t>
            </w:r>
          </w:p>
        </w:tc>
      </w:tr>
      <w:tr>
        <w:trPr>
          <w:cantSplit/>
        </w:trPr>
        <w:tc>
          <w:tcPr>
            <w:tcW w:type="dxa" w:w="1638"/>
            <w:vAlign w:val="center"/>
          </w:tcPr>
          <w:p>
            <w:pPr>
              <w:keepNext w:val="0"/>
              <w:spacing w:line="320" w:lineRule="exact" w:after="0" w:before="0"/>
              <w:ind w:firstLine="0"/>
              <w:jc w:val="left"/>
            </w:pPr>
            <w:r>
              <w:rPr>
                <w:b w:val="0"/>
                <w:sz w:val="21"/>
              </w:rPr>
              <w:t>业务域级</w:t>
            </w:r>
          </w:p>
        </w:tc>
        <w:tc>
          <w:tcPr>
            <w:tcW w:type="dxa" w:w="2699"/>
            <w:vAlign w:val="center"/>
          </w:tcPr>
          <w:p>
            <w:pPr>
              <w:keepNext w:val="0"/>
              <w:spacing w:line="320" w:lineRule="exact" w:after="0" w:before="0"/>
              <w:ind w:firstLine="0"/>
              <w:jc w:val="left"/>
            </w:pPr>
            <w:r>
              <w:rPr>
                <w:b w:val="0"/>
                <w:sz w:val="21"/>
              </w:rPr>
              <w:t>各业务域</w:t>
            </w:r>
          </w:p>
        </w:tc>
        <w:tc>
          <w:tcPr>
            <w:tcW w:type="dxa" w:w="2409"/>
            <w:vAlign w:val="center"/>
          </w:tcPr>
          <w:p>
            <w:pPr>
              <w:keepNext w:val="0"/>
              <w:spacing w:line="320" w:lineRule="exact" w:after="0" w:before="0"/>
              <w:ind w:firstLine="0"/>
              <w:jc w:val="left"/>
            </w:pPr>
            <w:r>
              <w:rPr>
                <w:b w:val="0"/>
                <w:sz w:val="21"/>
              </w:rPr>
              <w:t>供需计划：条款类型、风险等级、选型要素、库存决策标签；工艺设计：图元、特征类型、工序代码、参数项；制造过程：工况、故障模式、劣化阶段、缺陷类型；产品质量：检验项、判定结论、不合格类型</w:t>
            </w:r>
          </w:p>
        </w:tc>
        <w:tc>
          <w:tcPr>
            <w:tcW w:type="dxa" w:w="2891"/>
            <w:vAlign w:val="center"/>
          </w:tcPr>
          <w:p>
            <w:pPr>
              <w:keepNext w:val="0"/>
              <w:spacing w:line="320" w:lineRule="exact" w:after="0" w:before="0"/>
              <w:ind w:firstLine="0"/>
              <w:jc w:val="left"/>
            </w:pPr>
            <w:r>
              <w:rPr>
                <w:b w:val="0"/>
                <w:sz w:val="21"/>
              </w:rPr>
              <w:t>业务语义理解与标签使用</w:t>
            </w:r>
          </w:p>
        </w:tc>
      </w:tr>
    </w:tbl>
    <w:p>
      <w:pPr>
        <w:spacing w:after="40" w:line="240" w:lineRule="auto"/>
        <w:ind w:firstLine="0"/>
      </w:pPr>
      <w:r>
        <w:rPr>
          <w:sz w:val="4"/>
        </w:rPr>
      </w:r>
    </w:p>
    <w:p>
      <w:pPr>
        <w:pStyle w:val="Heading3"/>
      </w:pPr>
      <w:r>
        <w:t>7.4.2 自描述封装文件</w:t>
      </w:r>
    </w:p>
    <w:p>
      <w:pPr>
        <w:jc w:val="both"/>
      </w:pPr>
      <w:r>
        <w:t>自描述封装文件是封装包的根描述文件，它把数据集内容、元数据与数据字典绑定在一起。文件包含七个部分：数据集标识与版本关联块（摘要字段按非循环规则处理）、文件清单与目录结构说明、数据字典引用与内嵌、元数据模式定义（说明元数据字段如何组织）、样本结构模式定义（说明单条样本的结构）、解析指引（读取顺序、依赖关系、字符编码、推荐的解析方式）、校验信息（逐文件摘要与核验方式）。</w:t>
      </w:r>
    </w:p>
    <w:p>
      <w:pPr>
        <w:jc w:val="both"/>
      </w:pPr>
      <w:r>
        <w:t>封装包的目录结构按固定约定组织，使第三方在不读描述文件的情况下也能大致判断内容位置；描述文件则提供精确解析所需的全部细节。封装包另附解析脚本与示例代码，覆盖最常见的读取与加载场景，这一项直接对应质量评测指标体系中「使用便捷性」的要求。</w:t>
      </w:r>
    </w:p>
    <w:p>
      <w:pPr>
        <w:jc w:val="both"/>
      </w:pPr>
      <w:r>
        <w:t>每个正式发布版本在独立环境中执行解析验证。环境不安装本项目平台组件，仅依赖声明的通用运行条件和随包程序，验证文件可读取、结构符合字典、样本引用可解析、模态内容可加载及摘要一致。正式交付清单内文件均须通过适用检查，失败文件逐项修复并重测，同时复核同类路径、编码和结构问题。解析试验保存环境、命令、检查范围、结果及异常日志。</w:t>
      </w:r>
    </w:p>
    <w:p>
      <w:pPr>
        <w:pStyle w:val="Heading2"/>
      </w:pPr>
      <w:r>
        <w:t>7.5 下一版本的修订计划</w:t>
      </w:r>
    </w:p>
    <w:p>
      <w:pPr>
        <w:jc w:val="both"/>
      </w:pPr>
      <w:r>
        <w:t>修订计划是把前面各环节的遗留问题变成下一版本的工作清单。它的输入有五项：质检门控产生的修复工单（含未关闭与已关闭但指向数据缺口的）、验证错样归因产生的整改任务单、低一致性样本清单中「证据不足」与「本体类目缺失」两类分歧、分布分析结论中残留的长尾类别与覆盖盲区、以及数据集卡片局限性说明中列出的各项不足。</w:t>
      </w:r>
    </w:p>
    <w:p>
      <w:pPr>
        <w:jc w:val="both"/>
      </w:pPr>
      <w:r>
        <w:t>五项输入经归并与排序后形成修订计划。排序依据三个因素：对场景可用性的影响程度（影响场景结论的优先）、规模与指标达成的影响程度（影响规模目标与多模态、时效性占比的优先）、以及实施可行性（依赖外部条件的排在后面并注明依赖）。排序结果分三档：本版本后紧接执行、下一版本周期内执行、列入储备待条件具备。</w:t>
      </w:r>
    </w:p>
    <w:p>
      <w:pPr>
        <w:pStyle w:val="Caption"/>
        <w:keepNext/>
      </w:pPr>
      <w:r>
        <w:t>表7-6 修订计划的条目结构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字段</w:t>
            </w:r>
          </w:p>
        </w:tc>
        <w:tc>
          <w:tcPr>
            <w:tcW w:type="dxa" w:w="4048"/>
            <w:vAlign w:val="center"/>
            <w:shd w:fill="EDF1F3"/>
          </w:tcPr>
          <w:p>
            <w:pPr>
              <w:keepNext/>
              <w:spacing w:line="320" w:lineRule="exact" w:after="0" w:before="0"/>
              <w:ind w:firstLine="0"/>
              <w:jc w:val="center"/>
            </w:pPr>
            <w:r>
              <w:rPr>
                <w:b/>
                <w:sz w:val="21"/>
              </w:rPr>
              <w:t>内容</w:t>
            </w:r>
          </w:p>
        </w:tc>
        <w:tc>
          <w:tcPr>
            <w:tcW w:type="dxa" w:w="3470"/>
            <w:vAlign w:val="center"/>
            <w:shd w:fill="EDF1F3"/>
          </w:tcPr>
          <w:p>
            <w:pPr>
              <w:keepNext/>
              <w:spacing w:line="320" w:lineRule="exact" w:after="0" w:before="0"/>
              <w:ind w:firstLine="0"/>
              <w:jc w:val="center"/>
            </w:pPr>
            <w:r>
              <w:rPr>
                <w:b/>
                <w:sz w:val="21"/>
              </w:rPr>
              <w:t>说明</w:t>
            </w:r>
          </w:p>
        </w:tc>
      </w:tr>
      <w:tr>
        <w:trPr>
          <w:cantSplit/>
        </w:trPr>
        <w:tc>
          <w:tcPr>
            <w:tcW w:type="dxa" w:w="2120"/>
            <w:vAlign w:val="center"/>
          </w:tcPr>
          <w:p>
            <w:pPr>
              <w:keepNext w:val="0"/>
              <w:spacing w:line="320" w:lineRule="exact" w:after="0" w:before="0"/>
              <w:ind w:firstLine="0"/>
              <w:jc w:val="left"/>
            </w:pPr>
            <w:r>
              <w:rPr>
                <w:b w:val="0"/>
                <w:sz w:val="21"/>
              </w:rPr>
              <w:t>条目号</w:t>
            </w:r>
          </w:p>
        </w:tc>
        <w:tc>
          <w:tcPr>
            <w:tcW w:type="dxa" w:w="4048"/>
            <w:vAlign w:val="center"/>
          </w:tcPr>
          <w:p>
            <w:pPr>
              <w:keepNext w:val="0"/>
              <w:spacing w:line="320" w:lineRule="exact" w:after="0" w:before="0"/>
              <w:ind w:firstLine="0"/>
              <w:jc w:val="left"/>
            </w:pPr>
            <w:r>
              <w:rPr>
                <w:b w:val="0"/>
                <w:sz w:val="21"/>
              </w:rPr>
              <w:t>按数据集与版本编号</w:t>
            </w:r>
          </w:p>
        </w:tc>
        <w:tc>
          <w:tcPr>
            <w:tcW w:type="dxa" w:w="3470"/>
            <w:vAlign w:val="center"/>
          </w:tcPr>
          <w:p>
            <w:pPr>
              <w:keepNext w:val="0"/>
              <w:spacing w:line="320" w:lineRule="exact" w:after="0" w:before="0"/>
              <w:ind w:firstLine="0"/>
              <w:jc w:val="left"/>
            </w:pPr>
            <w:r>
              <w:rPr>
                <w:b w:val="0"/>
                <w:sz w:val="21"/>
              </w:rPr>
              <w:t>唯一标识</w:t>
            </w:r>
          </w:p>
        </w:tc>
      </w:tr>
      <w:tr>
        <w:trPr>
          <w:cantSplit/>
        </w:trPr>
        <w:tc>
          <w:tcPr>
            <w:tcW w:type="dxa" w:w="2120"/>
            <w:vAlign w:val="center"/>
          </w:tcPr>
          <w:p>
            <w:pPr>
              <w:keepNext w:val="0"/>
              <w:spacing w:line="320" w:lineRule="exact" w:after="0" w:before="0"/>
              <w:ind w:firstLine="0"/>
              <w:jc w:val="left"/>
            </w:pPr>
            <w:r>
              <w:rPr>
                <w:b w:val="0"/>
                <w:sz w:val="21"/>
              </w:rPr>
              <w:t>来源</w:t>
            </w:r>
          </w:p>
        </w:tc>
        <w:tc>
          <w:tcPr>
            <w:tcW w:type="dxa" w:w="4048"/>
            <w:vAlign w:val="center"/>
          </w:tcPr>
          <w:p>
            <w:pPr>
              <w:keepNext w:val="0"/>
              <w:spacing w:line="320" w:lineRule="exact" w:after="0" w:before="0"/>
              <w:ind w:firstLine="0"/>
              <w:jc w:val="left"/>
            </w:pPr>
            <w:r>
              <w:rPr>
                <w:b w:val="0"/>
                <w:sz w:val="21"/>
              </w:rPr>
              <w:t>修复工单号／整改任务单号／一致性清单／分布分析结论／卡片局限性项</w:t>
            </w:r>
          </w:p>
        </w:tc>
        <w:tc>
          <w:tcPr>
            <w:tcW w:type="dxa" w:w="3470"/>
            <w:vAlign w:val="center"/>
          </w:tcPr>
          <w:p>
            <w:pPr>
              <w:keepNext w:val="0"/>
              <w:spacing w:line="320" w:lineRule="exact" w:after="0" w:before="0"/>
              <w:ind w:firstLine="0"/>
              <w:jc w:val="left"/>
            </w:pPr>
            <w:r>
              <w:rPr>
                <w:b w:val="0"/>
                <w:sz w:val="21"/>
              </w:rPr>
              <w:t>可追溯</w:t>
            </w:r>
          </w:p>
        </w:tc>
      </w:tr>
      <w:tr>
        <w:trPr>
          <w:cantSplit/>
        </w:trPr>
        <w:tc>
          <w:tcPr>
            <w:tcW w:type="dxa" w:w="2120"/>
            <w:vAlign w:val="center"/>
          </w:tcPr>
          <w:p>
            <w:pPr>
              <w:keepNext w:val="0"/>
              <w:spacing w:line="320" w:lineRule="exact" w:after="0" w:before="0"/>
              <w:ind w:firstLine="0"/>
              <w:jc w:val="left"/>
            </w:pPr>
            <w:r>
              <w:rPr>
                <w:b w:val="0"/>
                <w:sz w:val="21"/>
              </w:rPr>
              <w:t>问题描述</w:t>
            </w:r>
          </w:p>
        </w:tc>
        <w:tc>
          <w:tcPr>
            <w:tcW w:type="dxa" w:w="4048"/>
            <w:vAlign w:val="center"/>
          </w:tcPr>
          <w:p>
            <w:pPr>
              <w:keepNext w:val="0"/>
              <w:spacing w:line="320" w:lineRule="exact" w:after="0" w:before="0"/>
              <w:ind w:firstLine="0"/>
              <w:jc w:val="left"/>
            </w:pPr>
            <w:r>
              <w:rPr>
                <w:b w:val="0"/>
                <w:sz w:val="21"/>
              </w:rPr>
              <w:t>具体缺口或缺陷</w:t>
            </w:r>
          </w:p>
        </w:tc>
        <w:tc>
          <w:tcPr>
            <w:tcW w:type="dxa" w:w="3470"/>
            <w:vAlign w:val="center"/>
          </w:tcPr>
          <w:p>
            <w:pPr>
              <w:keepNext w:val="0"/>
              <w:spacing w:line="320" w:lineRule="exact" w:after="0" w:before="0"/>
              <w:ind w:firstLine="0"/>
              <w:jc w:val="left"/>
            </w:pPr>
            <w:r>
              <w:rPr>
                <w:b w:val="0"/>
                <w:sz w:val="21"/>
              </w:rPr>
              <w:t>执行依据</w:t>
            </w:r>
          </w:p>
        </w:tc>
      </w:tr>
      <w:tr>
        <w:trPr>
          <w:cantSplit/>
        </w:trPr>
        <w:tc>
          <w:tcPr>
            <w:tcW w:type="dxa" w:w="2120"/>
            <w:vAlign w:val="center"/>
          </w:tcPr>
          <w:p>
            <w:pPr>
              <w:keepNext w:val="0"/>
              <w:spacing w:line="320" w:lineRule="exact" w:after="0" w:before="0"/>
              <w:ind w:firstLine="0"/>
              <w:jc w:val="left"/>
            </w:pPr>
            <w:r>
              <w:rPr>
                <w:b w:val="0"/>
                <w:sz w:val="21"/>
              </w:rPr>
              <w:t>修订类型</w:t>
            </w:r>
          </w:p>
        </w:tc>
        <w:tc>
          <w:tcPr>
            <w:tcW w:type="dxa" w:w="4048"/>
            <w:vAlign w:val="center"/>
          </w:tcPr>
          <w:p>
            <w:pPr>
              <w:keepNext w:val="0"/>
              <w:spacing w:line="320" w:lineRule="exact" w:after="0" w:before="0"/>
              <w:ind w:firstLine="0"/>
              <w:jc w:val="left"/>
            </w:pPr>
            <w:r>
              <w:rPr>
                <w:b w:val="0"/>
                <w:sz w:val="21"/>
              </w:rPr>
              <w:t>补采／重标／重新合成／重新增强／本体完善／规范修订／封装修正</w:t>
            </w:r>
          </w:p>
        </w:tc>
        <w:tc>
          <w:tcPr>
            <w:tcW w:type="dxa" w:w="3470"/>
            <w:vAlign w:val="center"/>
          </w:tcPr>
          <w:p>
            <w:pPr>
              <w:keepNext w:val="0"/>
              <w:spacing w:line="320" w:lineRule="exact" w:after="0" w:before="0"/>
              <w:ind w:firstLine="0"/>
              <w:jc w:val="left"/>
            </w:pPr>
            <w:r>
              <w:rPr>
                <w:b w:val="0"/>
                <w:sz w:val="21"/>
              </w:rPr>
              <w:t>分派依据</w:t>
            </w:r>
          </w:p>
        </w:tc>
      </w:tr>
      <w:tr>
        <w:trPr>
          <w:cantSplit/>
        </w:trPr>
        <w:tc>
          <w:tcPr>
            <w:tcW w:type="dxa" w:w="2120"/>
            <w:vAlign w:val="center"/>
          </w:tcPr>
          <w:p>
            <w:pPr>
              <w:keepNext w:val="0"/>
              <w:spacing w:line="320" w:lineRule="exact" w:after="0" w:before="0"/>
              <w:ind w:firstLine="0"/>
              <w:jc w:val="left"/>
            </w:pPr>
            <w:r>
              <w:rPr>
                <w:b w:val="0"/>
                <w:sz w:val="21"/>
              </w:rPr>
              <w:t>目标数据集与子集</w:t>
            </w:r>
          </w:p>
        </w:tc>
        <w:tc>
          <w:tcPr>
            <w:tcW w:type="dxa" w:w="4048"/>
            <w:vAlign w:val="center"/>
          </w:tcPr>
          <w:p>
            <w:pPr>
              <w:keepNext w:val="0"/>
              <w:spacing w:line="320" w:lineRule="exact" w:after="0" w:before="0"/>
              <w:ind w:firstLine="0"/>
              <w:jc w:val="left"/>
            </w:pPr>
            <w:r>
              <w:rPr>
                <w:b w:val="0"/>
                <w:sz w:val="21"/>
              </w:rPr>
              <w:t>四个数据集之一与四个用途子集之一</w:t>
            </w:r>
          </w:p>
        </w:tc>
        <w:tc>
          <w:tcPr>
            <w:tcW w:type="dxa" w:w="3470"/>
            <w:vAlign w:val="center"/>
          </w:tcPr>
          <w:p>
            <w:pPr>
              <w:keepNext w:val="0"/>
              <w:spacing w:line="320" w:lineRule="exact" w:after="0" w:before="0"/>
              <w:ind w:firstLine="0"/>
              <w:jc w:val="left"/>
            </w:pPr>
            <w:r>
              <w:rPr>
                <w:b w:val="0"/>
                <w:sz w:val="21"/>
              </w:rPr>
              <w:t>范围界定</w:t>
            </w:r>
          </w:p>
        </w:tc>
      </w:tr>
      <w:tr>
        <w:trPr>
          <w:cantSplit/>
        </w:trPr>
        <w:tc>
          <w:tcPr>
            <w:tcW w:type="dxa" w:w="2120"/>
            <w:vAlign w:val="center"/>
          </w:tcPr>
          <w:p>
            <w:pPr>
              <w:keepNext w:val="0"/>
              <w:spacing w:line="320" w:lineRule="exact" w:after="0" w:before="0"/>
              <w:ind w:firstLine="0"/>
              <w:jc w:val="left"/>
            </w:pPr>
            <w:r>
              <w:rPr>
                <w:b w:val="0"/>
                <w:sz w:val="21"/>
              </w:rPr>
              <w:t>样本范围</w:t>
            </w:r>
          </w:p>
        </w:tc>
        <w:tc>
          <w:tcPr>
            <w:tcW w:type="dxa" w:w="4048"/>
            <w:vAlign w:val="center"/>
          </w:tcPr>
          <w:p>
            <w:pPr>
              <w:keepNext w:val="0"/>
              <w:spacing w:line="320" w:lineRule="exact" w:after="0" w:before="0"/>
              <w:ind w:firstLine="0"/>
              <w:jc w:val="left"/>
            </w:pPr>
            <w:r>
              <w:rPr>
                <w:b w:val="0"/>
                <w:sz w:val="21"/>
              </w:rPr>
              <w:t>具体样本清单引用或范围条件（业务域、时间范围、标签取值、来源系统）</w:t>
            </w:r>
          </w:p>
        </w:tc>
        <w:tc>
          <w:tcPr>
            <w:tcW w:type="dxa" w:w="3470"/>
            <w:vAlign w:val="center"/>
          </w:tcPr>
          <w:p>
            <w:pPr>
              <w:keepNext w:val="0"/>
              <w:spacing w:line="320" w:lineRule="exact" w:after="0" w:before="0"/>
              <w:ind w:firstLine="0"/>
              <w:jc w:val="left"/>
            </w:pPr>
            <w:r>
              <w:rPr>
                <w:b w:val="0"/>
                <w:sz w:val="21"/>
              </w:rPr>
              <w:t>工作量估算依据</w:t>
            </w:r>
          </w:p>
        </w:tc>
      </w:tr>
      <w:tr>
        <w:trPr>
          <w:cantSplit/>
        </w:trPr>
        <w:tc>
          <w:tcPr>
            <w:tcW w:type="dxa" w:w="2120"/>
            <w:vAlign w:val="center"/>
          </w:tcPr>
          <w:p>
            <w:pPr>
              <w:keepNext w:val="0"/>
              <w:spacing w:line="320" w:lineRule="exact" w:after="0" w:before="0"/>
              <w:ind w:firstLine="0"/>
              <w:jc w:val="left"/>
            </w:pPr>
            <w:r>
              <w:rPr>
                <w:b w:val="0"/>
                <w:sz w:val="21"/>
              </w:rPr>
              <w:t>预期效果</w:t>
            </w:r>
          </w:p>
        </w:tc>
        <w:tc>
          <w:tcPr>
            <w:tcW w:type="dxa" w:w="4048"/>
            <w:vAlign w:val="center"/>
          </w:tcPr>
          <w:p>
            <w:pPr>
              <w:keepNext w:val="0"/>
              <w:spacing w:line="320" w:lineRule="exact" w:after="0" w:before="0"/>
              <w:ind w:firstLine="0"/>
              <w:jc w:val="left"/>
            </w:pPr>
            <w:r>
              <w:rPr>
                <w:b w:val="0"/>
                <w:sz w:val="21"/>
              </w:rPr>
              <w:t>该条目完成后预期改善的指标或场景结论</w:t>
            </w:r>
          </w:p>
        </w:tc>
        <w:tc>
          <w:tcPr>
            <w:tcW w:type="dxa" w:w="3470"/>
            <w:vAlign w:val="center"/>
          </w:tcPr>
          <w:p>
            <w:pPr>
              <w:keepNext w:val="0"/>
              <w:spacing w:line="320" w:lineRule="exact" w:after="0" w:before="0"/>
              <w:ind w:firstLine="0"/>
              <w:jc w:val="left"/>
            </w:pPr>
            <w:r>
              <w:rPr>
                <w:b w:val="0"/>
                <w:sz w:val="21"/>
              </w:rPr>
              <w:t>验收依据</w:t>
            </w:r>
          </w:p>
        </w:tc>
      </w:tr>
      <w:tr>
        <w:trPr>
          <w:cantSplit/>
        </w:trPr>
        <w:tc>
          <w:tcPr>
            <w:tcW w:type="dxa" w:w="2120"/>
            <w:vAlign w:val="center"/>
          </w:tcPr>
          <w:p>
            <w:pPr>
              <w:keepNext w:val="0"/>
              <w:spacing w:line="320" w:lineRule="exact" w:after="0" w:before="0"/>
              <w:ind w:firstLine="0"/>
              <w:jc w:val="left"/>
            </w:pPr>
            <w:r>
              <w:rPr>
                <w:b w:val="0"/>
                <w:sz w:val="21"/>
              </w:rPr>
              <w:t>优先级档次</w:t>
            </w:r>
          </w:p>
        </w:tc>
        <w:tc>
          <w:tcPr>
            <w:tcW w:type="dxa" w:w="4048"/>
            <w:vAlign w:val="center"/>
          </w:tcPr>
          <w:p>
            <w:pPr>
              <w:keepNext w:val="0"/>
              <w:spacing w:line="320" w:lineRule="exact" w:after="0" w:before="0"/>
              <w:ind w:firstLine="0"/>
              <w:jc w:val="left"/>
            </w:pPr>
            <w:r>
              <w:rPr>
                <w:b w:val="0"/>
                <w:sz w:val="21"/>
              </w:rPr>
              <w:t>紧接执行／下一周期／储备</w:t>
            </w:r>
          </w:p>
        </w:tc>
        <w:tc>
          <w:tcPr>
            <w:tcW w:type="dxa" w:w="3470"/>
            <w:vAlign w:val="center"/>
          </w:tcPr>
          <w:p>
            <w:pPr>
              <w:keepNext w:val="0"/>
              <w:spacing w:line="320" w:lineRule="exact" w:after="0" w:before="0"/>
              <w:ind w:firstLine="0"/>
              <w:jc w:val="left"/>
            </w:pPr>
            <w:r>
              <w:rPr>
                <w:b w:val="0"/>
                <w:sz w:val="21"/>
              </w:rPr>
              <w:t>排产依据</w:t>
            </w:r>
          </w:p>
        </w:tc>
      </w:tr>
      <w:tr>
        <w:trPr>
          <w:cantSplit/>
        </w:trPr>
        <w:tc>
          <w:tcPr>
            <w:tcW w:type="dxa" w:w="2120"/>
            <w:vAlign w:val="center"/>
          </w:tcPr>
          <w:p>
            <w:pPr>
              <w:keepNext w:val="0"/>
              <w:spacing w:line="320" w:lineRule="exact" w:after="0" w:before="0"/>
              <w:ind w:firstLine="0"/>
              <w:jc w:val="left"/>
            </w:pPr>
            <w:r>
              <w:rPr>
                <w:b w:val="0"/>
                <w:sz w:val="21"/>
              </w:rPr>
              <w:t>外部依赖</w:t>
            </w:r>
          </w:p>
        </w:tc>
        <w:tc>
          <w:tcPr>
            <w:tcW w:type="dxa" w:w="4048"/>
            <w:vAlign w:val="center"/>
          </w:tcPr>
          <w:p>
            <w:pPr>
              <w:keepNext w:val="0"/>
              <w:spacing w:line="320" w:lineRule="exact" w:after="0" w:before="0"/>
              <w:ind w:firstLine="0"/>
              <w:jc w:val="left"/>
            </w:pPr>
            <w:r>
              <w:rPr>
                <w:b w:val="0"/>
                <w:sz w:val="21"/>
              </w:rPr>
              <w:t>需甲方或源系统配合的事项</w:t>
            </w:r>
          </w:p>
        </w:tc>
        <w:tc>
          <w:tcPr>
            <w:tcW w:type="dxa" w:w="3470"/>
            <w:vAlign w:val="center"/>
          </w:tcPr>
          <w:p>
            <w:pPr>
              <w:keepNext w:val="0"/>
              <w:spacing w:line="320" w:lineRule="exact" w:after="0" w:before="0"/>
              <w:ind w:firstLine="0"/>
              <w:jc w:val="left"/>
            </w:pPr>
            <w:r>
              <w:rPr>
                <w:b w:val="0"/>
                <w:sz w:val="21"/>
              </w:rPr>
              <w:t>风险提示</w:t>
            </w:r>
          </w:p>
        </w:tc>
      </w:tr>
      <w:tr>
        <w:trPr>
          <w:cantSplit/>
        </w:trPr>
        <w:tc>
          <w:tcPr>
            <w:tcW w:type="dxa" w:w="2120"/>
            <w:vAlign w:val="center"/>
          </w:tcPr>
          <w:p>
            <w:pPr>
              <w:keepNext w:val="0"/>
              <w:spacing w:line="320" w:lineRule="exact" w:after="0" w:before="0"/>
              <w:ind w:firstLine="0"/>
              <w:jc w:val="left"/>
            </w:pPr>
            <w:r>
              <w:rPr>
                <w:b w:val="0"/>
                <w:sz w:val="21"/>
              </w:rPr>
              <w:t>责任单元与期限</w:t>
            </w:r>
          </w:p>
        </w:tc>
        <w:tc>
          <w:tcPr>
            <w:tcW w:type="dxa" w:w="4048"/>
            <w:vAlign w:val="center"/>
          </w:tcPr>
          <w:p>
            <w:pPr>
              <w:keepNext w:val="0"/>
              <w:spacing w:line="320" w:lineRule="exact" w:after="0" w:before="0"/>
              <w:ind w:firstLine="0"/>
              <w:jc w:val="left"/>
            </w:pPr>
            <w:r>
              <w:rPr>
                <w:b w:val="0"/>
                <w:sz w:val="21"/>
              </w:rPr>
              <w:t>承接执行的作业单元与完成期限</w:t>
            </w:r>
          </w:p>
        </w:tc>
        <w:tc>
          <w:tcPr>
            <w:tcW w:type="dxa" w:w="3470"/>
            <w:vAlign w:val="center"/>
          </w:tcPr>
          <w:p>
            <w:pPr>
              <w:keepNext w:val="0"/>
              <w:spacing w:line="320" w:lineRule="exact" w:after="0" w:before="0"/>
              <w:ind w:firstLine="0"/>
              <w:jc w:val="left"/>
            </w:pPr>
            <w:r>
              <w:rPr>
                <w:b w:val="0"/>
                <w:sz w:val="21"/>
              </w:rPr>
              <w:t>进度控制</w:t>
            </w:r>
          </w:p>
        </w:tc>
      </w:tr>
    </w:tbl>
    <w:p>
      <w:pPr>
        <w:spacing w:after="40" w:line="240" w:lineRule="auto"/>
        <w:ind w:firstLine="0"/>
      </w:pPr>
      <w:r>
        <w:rPr>
          <w:sz w:val="4"/>
        </w:rPr>
      </w:r>
    </w:p>
    <w:p>
      <w:pPr>
        <w:jc w:val="both"/>
      </w:pPr>
      <w:r>
        <w:t>修订计划中「外部依赖」一栏需要特别说明，因为它关系到责任界定。相当一部分数据缺口的填补依赖甲方侧的配合：源系统接口的开通范围扩展、数据采集与监控系统的采集范围与采集频率扩展、工艺过程所需图像采集的布点、纸质检测报告的调阅与数字化、业务专家的时间投入。这些依赖在修订计划中逐条写明所需配合内容与期望时点，作为项目例会的议题推进；依赖未落实而导致的缺口在数据集卡片局限性说明中如实记录，不以推测数据填充。</w:t>
      </w:r>
    </w:p>
    <w:p>
      <w:pPr>
        <w:jc w:val="both"/>
      </w:pPr>
      <w:r>
        <w:t>修订计划经项目例会评审后发布，作为下一版本生产任务的输入。计划的执行情况在下一版本的质检报告与验证报告中回溯对照：逐条说明该条目是否完成、完成后的实际效果与预期的差距。这一回溯使修订计划不流于形式。</w:t>
      </w:r>
    </w:p>
    <w:p>
      <w:pPr>
        <w:pStyle w:val="Heading2"/>
      </w:pPr>
      <w:r>
        <w:t>7.6 数据集资产台账</w:t>
      </w:r>
    </w:p>
    <w:p>
      <w:pPr>
        <w:jc w:val="both"/>
      </w:pPr>
      <w:r>
        <w:t>资产台账与前面各类台账的区别在于它的视角：批次台账、工单台账是生产视角，资产台账是资产视角——它回答的是「我们现在有哪些数据资产、每一项是什么状态、谁在用」。台账按数据集与版本两级组织，每一个正式发布版本在台账中有一条记录，内部里程碑版本在生产档案登记，正式修复版本建立独立条目并关联前版，历史条目不被覆盖。</w:t>
      </w:r>
    </w:p>
    <w:p>
      <w:pPr>
        <w:pStyle w:val="Caption"/>
        <w:keepNext/>
      </w:pPr>
      <w:r>
        <w:t>表7-7 数据集资产台账的记录字段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字段组</w:t>
            </w:r>
          </w:p>
        </w:tc>
        <w:tc>
          <w:tcPr>
            <w:tcW w:type="dxa" w:w="2699"/>
            <w:vAlign w:val="center"/>
            <w:shd w:fill="EDF1F3"/>
          </w:tcPr>
          <w:p>
            <w:pPr>
              <w:keepNext/>
              <w:spacing w:line="320" w:lineRule="exact" w:after="0" w:before="0"/>
              <w:ind w:firstLine="0"/>
              <w:jc w:val="center"/>
            </w:pPr>
            <w:r>
              <w:rPr>
                <w:b/>
                <w:sz w:val="21"/>
              </w:rPr>
              <w:t>字段</w:t>
            </w:r>
          </w:p>
        </w:tc>
        <w:tc>
          <w:tcPr>
            <w:tcW w:type="dxa" w:w="2409"/>
            <w:vAlign w:val="center"/>
            <w:shd w:fill="EDF1F3"/>
          </w:tcPr>
          <w:p>
            <w:pPr>
              <w:keepNext/>
              <w:spacing w:line="320" w:lineRule="exact" w:after="0" w:before="0"/>
              <w:ind w:firstLine="0"/>
              <w:jc w:val="center"/>
            </w:pPr>
            <w:r>
              <w:rPr>
                <w:b/>
                <w:sz w:val="21"/>
              </w:rPr>
              <w:t>数据来源</w:t>
            </w:r>
          </w:p>
        </w:tc>
        <w:tc>
          <w:tcPr>
            <w:tcW w:type="dxa" w:w="2891"/>
            <w:vAlign w:val="center"/>
            <w:shd w:fill="EDF1F3"/>
          </w:tcPr>
          <w:p>
            <w:pPr>
              <w:keepNext/>
              <w:spacing w:line="320" w:lineRule="exact" w:after="0" w:before="0"/>
              <w:ind w:firstLine="0"/>
              <w:jc w:val="center"/>
            </w:pPr>
            <w:r>
              <w:rPr>
                <w:b/>
                <w:sz w:val="21"/>
              </w:rPr>
              <w:t>更新时机</w:t>
            </w:r>
          </w:p>
        </w:tc>
      </w:tr>
      <w:tr>
        <w:trPr>
          <w:cantSplit/>
        </w:trPr>
        <w:tc>
          <w:tcPr>
            <w:tcW w:type="dxa" w:w="1638"/>
            <w:vAlign w:val="center"/>
          </w:tcPr>
          <w:p>
            <w:pPr>
              <w:keepNext w:val="0"/>
              <w:spacing w:line="320" w:lineRule="exact" w:after="0" w:before="0"/>
              <w:ind w:firstLine="0"/>
              <w:jc w:val="left"/>
            </w:pPr>
            <w:r>
              <w:rPr>
                <w:b w:val="0"/>
                <w:sz w:val="21"/>
              </w:rPr>
              <w:t>标识</w:t>
            </w:r>
          </w:p>
        </w:tc>
        <w:tc>
          <w:tcPr>
            <w:tcW w:type="dxa" w:w="2699"/>
            <w:vAlign w:val="center"/>
          </w:tcPr>
          <w:p>
            <w:pPr>
              <w:keepNext w:val="0"/>
              <w:spacing w:line="320" w:lineRule="exact" w:after="0" w:before="0"/>
              <w:ind w:firstLine="0"/>
              <w:jc w:val="left"/>
            </w:pPr>
            <w:r>
              <w:rPr>
                <w:b w:val="0"/>
                <w:sz w:val="21"/>
              </w:rPr>
              <w:t>数据集名称、版本号、版本指纹、发布日期、发布批准记录</w:t>
            </w:r>
          </w:p>
        </w:tc>
        <w:tc>
          <w:tcPr>
            <w:tcW w:type="dxa" w:w="2409"/>
            <w:vAlign w:val="center"/>
          </w:tcPr>
          <w:p>
            <w:pPr>
              <w:keepNext w:val="0"/>
              <w:spacing w:line="320" w:lineRule="exact" w:after="0" w:before="0"/>
              <w:ind w:firstLine="0"/>
              <w:jc w:val="left"/>
            </w:pPr>
            <w:r>
              <w:rPr>
                <w:b w:val="0"/>
                <w:sz w:val="21"/>
              </w:rPr>
              <w:t>版本发布记录</w:t>
            </w:r>
          </w:p>
        </w:tc>
        <w:tc>
          <w:tcPr>
            <w:tcW w:type="dxa" w:w="2891"/>
            <w:vAlign w:val="center"/>
          </w:tcPr>
          <w:p>
            <w:pPr>
              <w:keepNext w:val="0"/>
              <w:spacing w:line="320" w:lineRule="exact" w:after="0" w:before="0"/>
              <w:ind w:firstLine="0"/>
              <w:jc w:val="left"/>
            </w:pPr>
            <w:r>
              <w:rPr>
                <w:b w:val="0"/>
                <w:sz w:val="21"/>
              </w:rPr>
              <w:t>版本发布时</w:t>
            </w:r>
          </w:p>
        </w:tc>
      </w:tr>
      <w:tr>
        <w:trPr>
          <w:cantSplit/>
        </w:trPr>
        <w:tc>
          <w:tcPr>
            <w:tcW w:type="dxa" w:w="1638"/>
            <w:vAlign w:val="center"/>
          </w:tcPr>
          <w:p>
            <w:pPr>
              <w:keepNext w:val="0"/>
              <w:spacing w:line="320" w:lineRule="exact" w:after="0" w:before="0"/>
              <w:ind w:firstLine="0"/>
              <w:jc w:val="left"/>
            </w:pPr>
            <w:r>
              <w:rPr>
                <w:b w:val="0"/>
                <w:sz w:val="21"/>
              </w:rPr>
              <w:t>规模</w:t>
            </w:r>
          </w:p>
        </w:tc>
        <w:tc>
          <w:tcPr>
            <w:tcW w:type="dxa" w:w="2699"/>
            <w:vAlign w:val="center"/>
          </w:tcPr>
          <w:p>
            <w:pPr>
              <w:keepNext w:val="0"/>
              <w:spacing w:line="320" w:lineRule="exact" w:after="0" w:before="0"/>
              <w:ind w:firstLine="0"/>
              <w:jc w:val="left"/>
            </w:pPr>
            <w:r>
              <w:rPr>
                <w:b w:val="0"/>
                <w:sz w:val="21"/>
              </w:rPr>
              <w:t>各用途子集的 Token 数、样本条数、组数、存储空间；规模目标达成率</w:t>
            </w:r>
          </w:p>
        </w:tc>
        <w:tc>
          <w:tcPr>
            <w:tcW w:type="dxa" w:w="2409"/>
            <w:vAlign w:val="center"/>
          </w:tcPr>
          <w:p>
            <w:pPr>
              <w:keepNext w:val="0"/>
              <w:spacing w:line="320" w:lineRule="exact" w:after="0" w:before="0"/>
              <w:ind w:firstLine="0"/>
              <w:jc w:val="left"/>
            </w:pPr>
            <w:r>
              <w:rPr>
                <w:b w:val="0"/>
                <w:sz w:val="21"/>
              </w:rPr>
              <w:t>版本统计</w:t>
            </w:r>
          </w:p>
        </w:tc>
        <w:tc>
          <w:tcPr>
            <w:tcW w:type="dxa" w:w="2891"/>
            <w:vAlign w:val="center"/>
          </w:tcPr>
          <w:p>
            <w:pPr>
              <w:keepNext w:val="0"/>
              <w:spacing w:line="320" w:lineRule="exact" w:after="0" w:before="0"/>
              <w:ind w:firstLine="0"/>
              <w:jc w:val="left"/>
            </w:pPr>
            <w:r>
              <w:rPr>
                <w:b w:val="0"/>
                <w:sz w:val="21"/>
              </w:rPr>
              <w:t>版本发布时</w:t>
            </w:r>
          </w:p>
        </w:tc>
      </w:tr>
      <w:tr>
        <w:trPr>
          <w:cantSplit/>
        </w:trPr>
        <w:tc>
          <w:tcPr>
            <w:tcW w:type="dxa" w:w="1638"/>
            <w:vAlign w:val="center"/>
          </w:tcPr>
          <w:p>
            <w:pPr>
              <w:keepNext w:val="0"/>
              <w:spacing w:line="320" w:lineRule="exact" w:after="0" w:before="0"/>
              <w:ind w:firstLine="0"/>
              <w:jc w:val="left"/>
            </w:pPr>
            <w:r>
              <w:rPr>
                <w:b w:val="0"/>
                <w:sz w:val="21"/>
              </w:rPr>
              <w:t>模态构成</w:t>
            </w:r>
          </w:p>
        </w:tc>
        <w:tc>
          <w:tcPr>
            <w:tcW w:type="dxa" w:w="2699"/>
            <w:vAlign w:val="center"/>
          </w:tcPr>
          <w:p>
            <w:pPr>
              <w:keepNext w:val="0"/>
              <w:spacing w:line="320" w:lineRule="exact" w:after="0" w:before="0"/>
              <w:ind w:firstLine="0"/>
              <w:jc w:val="left"/>
            </w:pPr>
            <w:r>
              <w:rPr>
                <w:b w:val="0"/>
                <w:sz w:val="21"/>
              </w:rPr>
              <w:t>各模态条数与占比、多模态样本条数与占比、模态种类数</w:t>
            </w:r>
          </w:p>
        </w:tc>
        <w:tc>
          <w:tcPr>
            <w:tcW w:type="dxa" w:w="2409"/>
            <w:vAlign w:val="center"/>
          </w:tcPr>
          <w:p>
            <w:pPr>
              <w:keepNext w:val="0"/>
              <w:spacing w:line="320" w:lineRule="exact" w:after="0" w:before="0"/>
              <w:ind w:firstLine="0"/>
              <w:jc w:val="left"/>
            </w:pPr>
            <w:r>
              <w:rPr>
                <w:b w:val="0"/>
                <w:sz w:val="21"/>
              </w:rPr>
              <w:t>分布统计结果</w:t>
            </w:r>
          </w:p>
        </w:tc>
        <w:tc>
          <w:tcPr>
            <w:tcW w:type="dxa" w:w="2891"/>
            <w:vAlign w:val="center"/>
          </w:tcPr>
          <w:p>
            <w:pPr>
              <w:keepNext w:val="0"/>
              <w:spacing w:line="320" w:lineRule="exact" w:after="0" w:before="0"/>
              <w:ind w:firstLine="0"/>
              <w:jc w:val="left"/>
            </w:pPr>
            <w:r>
              <w:rPr>
                <w:b w:val="0"/>
                <w:sz w:val="21"/>
              </w:rPr>
              <w:t>版本发布时</w:t>
            </w:r>
          </w:p>
        </w:tc>
      </w:tr>
      <w:tr>
        <w:trPr>
          <w:cantSplit/>
        </w:trPr>
        <w:tc>
          <w:tcPr>
            <w:tcW w:type="dxa" w:w="1638"/>
            <w:vAlign w:val="center"/>
          </w:tcPr>
          <w:p>
            <w:pPr>
              <w:keepNext w:val="0"/>
              <w:spacing w:line="320" w:lineRule="exact" w:after="0" w:before="0"/>
              <w:ind w:firstLine="0"/>
              <w:jc w:val="left"/>
            </w:pPr>
            <w:r>
              <w:rPr>
                <w:b w:val="0"/>
                <w:sz w:val="21"/>
              </w:rPr>
              <w:t>时效性</w:t>
            </w:r>
          </w:p>
        </w:tc>
        <w:tc>
          <w:tcPr>
            <w:tcW w:type="dxa" w:w="2699"/>
            <w:vAlign w:val="center"/>
          </w:tcPr>
          <w:p>
            <w:pPr>
              <w:keepNext w:val="0"/>
              <w:spacing w:line="320" w:lineRule="exact" w:after="0" w:before="0"/>
              <w:ind w:firstLine="0"/>
              <w:jc w:val="left"/>
            </w:pPr>
            <w:r>
              <w:rPr>
                <w:b w:val="0"/>
                <w:sz w:val="21"/>
              </w:rPr>
              <w:t>按年度的样本条数分布、3 年内数据条数与占比</w:t>
            </w:r>
          </w:p>
        </w:tc>
        <w:tc>
          <w:tcPr>
            <w:tcW w:type="dxa" w:w="2409"/>
            <w:vAlign w:val="center"/>
          </w:tcPr>
          <w:p>
            <w:pPr>
              <w:keepNext w:val="0"/>
              <w:spacing w:line="320" w:lineRule="exact" w:after="0" w:before="0"/>
              <w:ind w:firstLine="0"/>
              <w:jc w:val="left"/>
            </w:pPr>
            <w:r>
              <w:rPr>
                <w:b w:val="0"/>
                <w:sz w:val="21"/>
              </w:rPr>
              <w:t>分布统计结果</w:t>
            </w:r>
          </w:p>
        </w:tc>
        <w:tc>
          <w:tcPr>
            <w:tcW w:type="dxa" w:w="2891"/>
            <w:vAlign w:val="center"/>
          </w:tcPr>
          <w:p>
            <w:pPr>
              <w:keepNext w:val="0"/>
              <w:spacing w:line="320" w:lineRule="exact" w:after="0" w:before="0"/>
              <w:ind w:firstLine="0"/>
              <w:jc w:val="left"/>
            </w:pPr>
            <w:r>
              <w:rPr>
                <w:b w:val="0"/>
                <w:sz w:val="21"/>
              </w:rPr>
              <w:t>版本发布时</w:t>
            </w:r>
          </w:p>
        </w:tc>
      </w:tr>
      <w:tr>
        <w:trPr>
          <w:cantSplit/>
        </w:trPr>
        <w:tc>
          <w:tcPr>
            <w:tcW w:type="dxa" w:w="1638"/>
            <w:vAlign w:val="center"/>
          </w:tcPr>
          <w:p>
            <w:pPr>
              <w:keepNext w:val="0"/>
              <w:spacing w:line="320" w:lineRule="exact" w:after="0" w:before="0"/>
              <w:ind w:firstLine="0"/>
              <w:jc w:val="left"/>
            </w:pPr>
            <w:r>
              <w:rPr>
                <w:b w:val="0"/>
                <w:sz w:val="21"/>
              </w:rPr>
              <w:t>质量</w:t>
            </w:r>
          </w:p>
        </w:tc>
        <w:tc>
          <w:tcPr>
            <w:tcW w:type="dxa" w:w="2699"/>
            <w:vAlign w:val="center"/>
          </w:tcPr>
          <w:p>
            <w:pPr>
              <w:keepNext w:val="0"/>
              <w:spacing w:line="320" w:lineRule="exact" w:after="0" w:before="0"/>
              <w:ind w:firstLine="0"/>
              <w:jc w:val="left"/>
            </w:pPr>
            <w:r>
              <w:rPr>
                <w:b w:val="0"/>
                <w:sz w:val="21"/>
              </w:rPr>
              <w:t>六维度指标值、标注一致性实测值、合成与增强占比</w:t>
            </w:r>
          </w:p>
        </w:tc>
        <w:tc>
          <w:tcPr>
            <w:tcW w:type="dxa" w:w="2409"/>
            <w:vAlign w:val="center"/>
          </w:tcPr>
          <w:p>
            <w:pPr>
              <w:keepNext w:val="0"/>
              <w:spacing w:line="320" w:lineRule="exact" w:after="0" w:before="0"/>
              <w:ind w:firstLine="0"/>
              <w:jc w:val="left"/>
            </w:pPr>
            <w:r>
              <w:rPr>
                <w:b w:val="0"/>
                <w:sz w:val="21"/>
              </w:rPr>
              <w:t>质检报告</w:t>
            </w:r>
          </w:p>
        </w:tc>
        <w:tc>
          <w:tcPr>
            <w:tcW w:type="dxa" w:w="2891"/>
            <w:vAlign w:val="center"/>
          </w:tcPr>
          <w:p>
            <w:pPr>
              <w:keepNext w:val="0"/>
              <w:spacing w:line="320" w:lineRule="exact" w:after="0" w:before="0"/>
              <w:ind w:firstLine="0"/>
              <w:jc w:val="left"/>
            </w:pPr>
            <w:r>
              <w:rPr>
                <w:b w:val="0"/>
                <w:sz w:val="21"/>
              </w:rPr>
              <w:t>版本发布时</w:t>
            </w:r>
          </w:p>
        </w:tc>
      </w:tr>
      <w:tr>
        <w:trPr>
          <w:cantSplit/>
        </w:trPr>
        <w:tc>
          <w:tcPr>
            <w:tcW w:type="dxa" w:w="1638"/>
            <w:vAlign w:val="center"/>
          </w:tcPr>
          <w:p>
            <w:pPr>
              <w:keepNext w:val="0"/>
              <w:spacing w:line="320" w:lineRule="exact" w:after="0" w:before="0"/>
              <w:ind w:firstLine="0"/>
              <w:jc w:val="left"/>
            </w:pPr>
            <w:r>
              <w:rPr>
                <w:b w:val="0"/>
                <w:sz w:val="21"/>
              </w:rPr>
              <w:t>验证</w:t>
            </w:r>
          </w:p>
        </w:tc>
        <w:tc>
          <w:tcPr>
            <w:tcW w:type="dxa" w:w="2699"/>
            <w:vAlign w:val="center"/>
          </w:tcPr>
          <w:p>
            <w:pPr>
              <w:keepNext w:val="0"/>
              <w:spacing w:line="320" w:lineRule="exact" w:after="0" w:before="0"/>
              <w:ind w:firstLine="0"/>
              <w:jc w:val="left"/>
            </w:pPr>
            <w:r>
              <w:rPr>
                <w:b w:val="0"/>
                <w:sz w:val="21"/>
              </w:rPr>
              <w:t>能力增量矩阵摘要、各场景可用性结论、验证报告编号</w:t>
            </w:r>
          </w:p>
        </w:tc>
        <w:tc>
          <w:tcPr>
            <w:tcW w:type="dxa" w:w="2409"/>
            <w:vAlign w:val="center"/>
          </w:tcPr>
          <w:p>
            <w:pPr>
              <w:keepNext w:val="0"/>
              <w:spacing w:line="320" w:lineRule="exact" w:after="0" w:before="0"/>
              <w:ind w:firstLine="0"/>
              <w:jc w:val="left"/>
            </w:pPr>
            <w:r>
              <w:rPr>
                <w:b w:val="0"/>
                <w:sz w:val="21"/>
              </w:rPr>
              <w:t>验证报告</w:t>
            </w:r>
          </w:p>
        </w:tc>
        <w:tc>
          <w:tcPr>
            <w:tcW w:type="dxa" w:w="2891"/>
            <w:vAlign w:val="center"/>
          </w:tcPr>
          <w:p>
            <w:pPr>
              <w:keepNext w:val="0"/>
              <w:spacing w:line="320" w:lineRule="exact" w:after="0" w:before="0"/>
              <w:ind w:firstLine="0"/>
              <w:jc w:val="left"/>
            </w:pPr>
            <w:r>
              <w:rPr>
                <w:b w:val="0"/>
                <w:sz w:val="21"/>
              </w:rPr>
              <w:t>版本发布时</w:t>
            </w:r>
          </w:p>
        </w:tc>
      </w:tr>
      <w:tr>
        <w:trPr>
          <w:cantSplit/>
        </w:trPr>
        <w:tc>
          <w:tcPr>
            <w:tcW w:type="dxa" w:w="1638"/>
            <w:vAlign w:val="center"/>
          </w:tcPr>
          <w:p>
            <w:pPr>
              <w:keepNext w:val="0"/>
              <w:spacing w:line="320" w:lineRule="exact" w:after="0" w:before="0"/>
              <w:ind w:firstLine="0"/>
              <w:jc w:val="left"/>
            </w:pPr>
            <w:r>
              <w:rPr>
                <w:b w:val="0"/>
                <w:sz w:val="21"/>
              </w:rPr>
              <w:t>许可状态</w:t>
            </w:r>
          </w:p>
        </w:tc>
        <w:tc>
          <w:tcPr>
            <w:tcW w:type="dxa" w:w="2699"/>
            <w:vAlign w:val="center"/>
          </w:tcPr>
          <w:p>
            <w:pPr>
              <w:keepNext w:val="0"/>
              <w:spacing w:line="320" w:lineRule="exact" w:after="0" w:before="0"/>
              <w:ind w:firstLine="0"/>
              <w:jc w:val="left"/>
            </w:pPr>
            <w:r>
              <w:rPr>
                <w:b w:val="0"/>
                <w:sz w:val="21"/>
              </w:rPr>
              <w:t>来源许可状态统计（完整授权／限制用途／限制对外发布）、模型许可登记摘要、可对外发布的样本范围</w:t>
            </w:r>
          </w:p>
        </w:tc>
        <w:tc>
          <w:tcPr>
            <w:tcW w:type="dxa" w:w="2409"/>
            <w:vAlign w:val="center"/>
          </w:tcPr>
          <w:p>
            <w:pPr>
              <w:keepNext w:val="0"/>
              <w:spacing w:line="320" w:lineRule="exact" w:after="0" w:before="0"/>
              <w:ind w:firstLine="0"/>
              <w:jc w:val="left"/>
            </w:pPr>
            <w:r>
              <w:rPr>
                <w:b w:val="0"/>
                <w:sz w:val="21"/>
              </w:rPr>
              <w:t>许可核验记录与模型许可台账</w:t>
            </w:r>
          </w:p>
        </w:tc>
        <w:tc>
          <w:tcPr>
            <w:tcW w:type="dxa" w:w="2891"/>
            <w:vAlign w:val="center"/>
          </w:tcPr>
          <w:p>
            <w:pPr>
              <w:keepNext w:val="0"/>
              <w:spacing w:line="320" w:lineRule="exact" w:after="0" w:before="0"/>
              <w:ind w:firstLine="0"/>
              <w:jc w:val="left"/>
            </w:pPr>
            <w:r>
              <w:rPr>
                <w:b w:val="0"/>
                <w:sz w:val="21"/>
              </w:rPr>
              <w:t>版本发布时；许可条款变更时更新</w:t>
            </w:r>
          </w:p>
        </w:tc>
      </w:tr>
      <w:tr>
        <w:trPr>
          <w:cantSplit/>
        </w:trPr>
        <w:tc>
          <w:tcPr>
            <w:tcW w:type="dxa" w:w="1638"/>
            <w:vAlign w:val="center"/>
          </w:tcPr>
          <w:p>
            <w:pPr>
              <w:keepNext w:val="0"/>
              <w:spacing w:line="320" w:lineRule="exact" w:after="0" w:before="0"/>
              <w:ind w:firstLine="0"/>
              <w:jc w:val="left"/>
            </w:pPr>
            <w:r>
              <w:rPr>
                <w:b w:val="0"/>
                <w:sz w:val="21"/>
              </w:rPr>
              <w:t>使用情况</w:t>
            </w:r>
          </w:p>
        </w:tc>
        <w:tc>
          <w:tcPr>
            <w:tcW w:type="dxa" w:w="2699"/>
            <w:vAlign w:val="center"/>
          </w:tcPr>
          <w:p>
            <w:pPr>
              <w:keepNext w:val="0"/>
              <w:spacing w:line="320" w:lineRule="exact" w:after="0" w:before="0"/>
              <w:ind w:firstLine="0"/>
              <w:jc w:val="left"/>
            </w:pPr>
            <w:r>
              <w:rPr>
                <w:b w:val="0"/>
                <w:sz w:val="21"/>
              </w:rPr>
              <w:t>内部使用记录（用于哪些训练与验证）、对外提供记录（提供对象、时间、范围、依据）、挂牌与上架状态</w:t>
            </w:r>
          </w:p>
        </w:tc>
        <w:tc>
          <w:tcPr>
            <w:tcW w:type="dxa" w:w="2409"/>
            <w:vAlign w:val="center"/>
          </w:tcPr>
          <w:p>
            <w:pPr>
              <w:keepNext w:val="0"/>
              <w:spacing w:line="320" w:lineRule="exact" w:after="0" w:before="0"/>
              <w:ind w:firstLine="0"/>
              <w:jc w:val="left"/>
            </w:pPr>
            <w:r>
              <w:rPr>
                <w:b w:val="0"/>
                <w:sz w:val="21"/>
              </w:rPr>
              <w:t>运营平台登记回传、项目记录</w:t>
            </w:r>
          </w:p>
        </w:tc>
        <w:tc>
          <w:tcPr>
            <w:tcW w:type="dxa" w:w="2891"/>
            <w:vAlign w:val="center"/>
          </w:tcPr>
          <w:p>
            <w:pPr>
              <w:keepNext w:val="0"/>
              <w:spacing w:line="320" w:lineRule="exact" w:after="0" w:before="0"/>
              <w:ind w:firstLine="0"/>
              <w:jc w:val="left"/>
            </w:pPr>
            <w:r>
              <w:rPr>
                <w:b w:val="0"/>
                <w:sz w:val="21"/>
              </w:rPr>
              <w:t>持续更新</w:t>
            </w:r>
          </w:p>
        </w:tc>
      </w:tr>
      <w:tr>
        <w:trPr>
          <w:cantSplit/>
        </w:trPr>
        <w:tc>
          <w:tcPr>
            <w:tcW w:type="dxa" w:w="1638"/>
            <w:vAlign w:val="center"/>
          </w:tcPr>
          <w:p>
            <w:pPr>
              <w:keepNext w:val="0"/>
              <w:spacing w:line="320" w:lineRule="exact" w:after="0" w:before="0"/>
              <w:ind w:firstLine="0"/>
              <w:jc w:val="left"/>
            </w:pPr>
            <w:r>
              <w:rPr>
                <w:b w:val="0"/>
                <w:sz w:val="21"/>
              </w:rPr>
              <w:t>演进</w:t>
            </w:r>
          </w:p>
        </w:tc>
        <w:tc>
          <w:tcPr>
            <w:tcW w:type="dxa" w:w="2699"/>
            <w:vAlign w:val="center"/>
          </w:tcPr>
          <w:p>
            <w:pPr>
              <w:keepNext w:val="0"/>
              <w:spacing w:line="320" w:lineRule="exact" w:after="0" w:before="0"/>
              <w:ind w:firstLine="0"/>
              <w:jc w:val="left"/>
            </w:pPr>
            <w:r>
              <w:rPr>
                <w:b w:val="0"/>
                <w:sz w:val="21"/>
              </w:rPr>
              <w:t>上一版本与下一版本的关联、本版本的变更说明、已知问题、修订计划引用</w:t>
            </w:r>
          </w:p>
        </w:tc>
        <w:tc>
          <w:tcPr>
            <w:tcW w:type="dxa" w:w="2409"/>
            <w:vAlign w:val="center"/>
          </w:tcPr>
          <w:p>
            <w:pPr>
              <w:keepNext w:val="0"/>
              <w:spacing w:line="320" w:lineRule="exact" w:after="0" w:before="0"/>
              <w:ind w:firstLine="0"/>
              <w:jc w:val="left"/>
            </w:pPr>
            <w:r>
              <w:rPr>
                <w:b w:val="0"/>
                <w:sz w:val="21"/>
              </w:rPr>
              <w:t>版本记录与修订计划</w:t>
            </w:r>
          </w:p>
        </w:tc>
        <w:tc>
          <w:tcPr>
            <w:tcW w:type="dxa" w:w="2891"/>
            <w:vAlign w:val="center"/>
          </w:tcPr>
          <w:p>
            <w:pPr>
              <w:keepNext w:val="0"/>
              <w:spacing w:line="320" w:lineRule="exact" w:after="0" w:before="0"/>
              <w:ind w:firstLine="0"/>
              <w:jc w:val="left"/>
            </w:pPr>
            <w:r>
              <w:rPr>
                <w:b w:val="0"/>
                <w:sz w:val="21"/>
              </w:rPr>
              <w:t>版本发布时与修订计划发布时</w:t>
            </w:r>
          </w:p>
        </w:tc>
      </w:tr>
    </w:tbl>
    <w:p>
      <w:pPr>
        <w:spacing w:after="40" w:line="240" w:lineRule="auto"/>
        <w:ind w:firstLine="0"/>
      </w:pPr>
      <w:r>
        <w:rPr>
          <w:sz w:val="4"/>
        </w:rPr>
      </w:r>
    </w:p>
    <w:p>
      <w:pPr>
        <w:jc w:val="both"/>
      </w:pPr>
      <w:r>
        <w:t>许可状态及使用情况记录版本可用范围、授权依据、对外提供对象和实际调用反馈。台账同数据集运营服务管理平台登记关联，持续反映供给、使用及撤回状态。我方在项目约定的运营服务和质保责任范围内维护相关记录，平台移交不免除后续更新、问题处置与接入实施责任。</w:t>
      </w:r>
    </w:p>
    <w:p>
      <w:pPr>
        <w:jc w:val="both"/>
      </w:pPr>
      <w:r>
        <w:t>台账的维护责任与更新节奏在项目管理制度中规定：版本发布时由项目组一次性完成该版本的全部字段录入，使用情况字段在项目期内按月更新，许可条款变更时即时更新并触发对已发布版本可用性的重新评估。</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8" name="Picture 8"/>
            <wp:cNvGraphicFramePr>
              <a:graphicFrameLocks noChangeAspect="1"/>
            </wp:cNvGraphicFramePr>
            <a:graphic>
              <a:graphicData uri="http://schemas.openxmlformats.org/drawingml/2006/picture">
                <pic:pic>
                  <pic:nvPicPr>
                    <pic:cNvPr id="0" name="图8_版本发布.png"/>
                    <pic:cNvPicPr/>
                  </pic:nvPicPr>
                  <pic:blipFill>
                    <a:blip r:embed="rId18"/>
                    <a:stretch>
                      <a:fillRect/>
                    </a:stretch>
                  </pic:blipFill>
                  <pic:spPr>
                    <a:xfrm>
                      <a:off x="0" y="0"/>
                      <a:ext cx="6048000" cy="1942338"/>
                    </a:xfrm>
                    <a:prstGeom prst="rect"/>
                  </pic:spPr>
                </pic:pic>
              </a:graphicData>
            </a:graphic>
          </wp:inline>
        </w:drawing>
      </w:r>
    </w:p>
    <w:p>
      <w:pPr>
        <w:pStyle w:val="Caption"/>
        <w:jc w:val="center"/>
      </w:pPr>
      <w:r>
        <w:t>图 7-1 版本发布与运营移交</w:t>
      </w:r>
    </w:p>
    <w:p>
      <w:pPr>
        <w:pStyle w:val="Heading2"/>
      </w:pPr>
      <w:r>
        <w:t>7.7 向数据集运营服务管理平台的移交与登记</w:t>
      </w:r>
    </w:p>
    <w:p>
      <w:pPr>
        <w:jc w:val="both"/>
      </w:pPr>
      <w:r>
        <w:t>移交的对象是完整的版本封装包加台账条目，移交的实质是把数据集从生产状态转为可运营状态。移交按四步执行，每一步有明确的交接物与确认方式，如表 7-8。</w:t>
      </w:r>
    </w:p>
    <w:p>
      <w:pPr>
        <w:pStyle w:val="Caption"/>
        <w:keepNext/>
      </w:pPr>
      <w:r>
        <w:t>表7-8 移交与登记的步骤、交接物与确认方式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步骤</w:t>
            </w:r>
          </w:p>
        </w:tc>
        <w:tc>
          <w:tcPr>
            <w:tcW w:type="dxa" w:w="2699"/>
            <w:vAlign w:val="center"/>
            <w:shd w:fill="EDF1F3"/>
          </w:tcPr>
          <w:p>
            <w:pPr>
              <w:keepNext/>
              <w:spacing w:line="320" w:lineRule="exact" w:after="0" w:before="0"/>
              <w:ind w:firstLine="0"/>
              <w:jc w:val="center"/>
            </w:pPr>
            <w:r>
              <w:rPr>
                <w:b/>
                <w:sz w:val="21"/>
              </w:rPr>
              <w:t>内容</w:t>
            </w:r>
          </w:p>
        </w:tc>
        <w:tc>
          <w:tcPr>
            <w:tcW w:type="dxa" w:w="2409"/>
            <w:vAlign w:val="center"/>
            <w:shd w:fill="EDF1F3"/>
          </w:tcPr>
          <w:p>
            <w:pPr>
              <w:keepNext/>
              <w:spacing w:line="320" w:lineRule="exact" w:after="0" w:before="0"/>
              <w:ind w:firstLine="0"/>
              <w:jc w:val="center"/>
            </w:pPr>
            <w:r>
              <w:rPr>
                <w:b/>
                <w:sz w:val="21"/>
              </w:rPr>
              <w:t>交接物</w:t>
            </w:r>
          </w:p>
        </w:tc>
        <w:tc>
          <w:tcPr>
            <w:tcW w:type="dxa" w:w="2891"/>
            <w:vAlign w:val="center"/>
            <w:shd w:fill="EDF1F3"/>
          </w:tcPr>
          <w:p>
            <w:pPr>
              <w:keepNext/>
              <w:spacing w:line="320" w:lineRule="exact" w:after="0" w:before="0"/>
              <w:ind w:firstLine="0"/>
              <w:jc w:val="center"/>
            </w:pPr>
            <w:r>
              <w:rPr>
                <w:b/>
                <w:sz w:val="21"/>
              </w:rPr>
              <w:t>确认方式</w:t>
            </w:r>
          </w:p>
        </w:tc>
      </w:tr>
      <w:tr>
        <w:trPr>
          <w:cantSplit/>
        </w:trPr>
        <w:tc>
          <w:tcPr>
            <w:tcW w:type="dxa" w:w="1638"/>
            <w:vAlign w:val="center"/>
          </w:tcPr>
          <w:p>
            <w:pPr>
              <w:keepNext w:val="0"/>
              <w:spacing w:line="320" w:lineRule="exact" w:after="0" w:before="0"/>
              <w:ind w:firstLine="0"/>
              <w:jc w:val="left"/>
            </w:pPr>
            <w:r>
              <w:rPr>
                <w:b w:val="0"/>
                <w:sz w:val="21"/>
              </w:rPr>
              <w:t>一·移交前核验</w:t>
            </w:r>
          </w:p>
        </w:tc>
        <w:tc>
          <w:tcPr>
            <w:tcW w:type="dxa" w:w="2699"/>
            <w:vAlign w:val="center"/>
          </w:tcPr>
          <w:p>
            <w:pPr>
              <w:keepNext w:val="0"/>
              <w:spacing w:line="320" w:lineRule="exact" w:after="0" w:before="0"/>
              <w:ind w:firstLine="0"/>
              <w:jc w:val="left"/>
            </w:pPr>
            <w:r>
              <w:rPr>
                <w:b w:val="0"/>
                <w:sz w:val="21"/>
              </w:rPr>
              <w:t>核验版本发布物齐备、未结工单清零、验证报告已出具、第三方解析试验通过</w:t>
            </w:r>
          </w:p>
        </w:tc>
        <w:tc>
          <w:tcPr>
            <w:tcW w:type="dxa" w:w="2409"/>
            <w:vAlign w:val="center"/>
          </w:tcPr>
          <w:p>
            <w:pPr>
              <w:keepNext w:val="0"/>
              <w:spacing w:line="320" w:lineRule="exact" w:after="0" w:before="0"/>
              <w:ind w:firstLine="0"/>
              <w:jc w:val="left"/>
            </w:pPr>
            <w:r>
              <w:rPr>
                <w:b w:val="0"/>
                <w:sz w:val="21"/>
              </w:rPr>
              <w:t>移交核验单</w:t>
            </w:r>
          </w:p>
        </w:tc>
        <w:tc>
          <w:tcPr>
            <w:tcW w:type="dxa" w:w="2891"/>
            <w:vAlign w:val="center"/>
          </w:tcPr>
          <w:p>
            <w:pPr>
              <w:keepNext w:val="0"/>
              <w:spacing w:line="320" w:lineRule="exact" w:after="0" w:before="0"/>
              <w:ind w:firstLine="0"/>
              <w:jc w:val="left"/>
            </w:pPr>
            <w:r>
              <w:rPr>
                <w:b w:val="0"/>
                <w:sz w:val="21"/>
              </w:rPr>
              <w:t>项目组自检后提请，经技术评审确认</w:t>
            </w:r>
          </w:p>
        </w:tc>
      </w:tr>
      <w:tr>
        <w:trPr>
          <w:cantSplit/>
        </w:trPr>
        <w:tc>
          <w:tcPr>
            <w:tcW w:type="dxa" w:w="1638"/>
            <w:vAlign w:val="center"/>
          </w:tcPr>
          <w:p>
            <w:pPr>
              <w:keepNext w:val="0"/>
              <w:spacing w:line="320" w:lineRule="exact" w:after="0" w:before="0"/>
              <w:ind w:firstLine="0"/>
              <w:jc w:val="left"/>
            </w:pPr>
            <w:r>
              <w:rPr>
                <w:b w:val="0"/>
                <w:sz w:val="21"/>
              </w:rPr>
              <w:t>二·封装包移交</w:t>
            </w:r>
          </w:p>
        </w:tc>
        <w:tc>
          <w:tcPr>
            <w:tcW w:type="dxa" w:w="2699"/>
            <w:vAlign w:val="center"/>
          </w:tcPr>
          <w:p>
            <w:pPr>
              <w:keepNext w:val="0"/>
              <w:spacing w:line="320" w:lineRule="exact" w:after="0" w:before="0"/>
              <w:ind w:firstLine="0"/>
              <w:jc w:val="left"/>
            </w:pPr>
            <w:r>
              <w:rPr>
                <w:b w:val="0"/>
                <w:sz w:val="21"/>
              </w:rPr>
              <w:t>按运营平台的接收规范提交封装包与校验信息</w:t>
            </w:r>
          </w:p>
        </w:tc>
        <w:tc>
          <w:tcPr>
            <w:tcW w:type="dxa" w:w="2409"/>
            <w:vAlign w:val="center"/>
          </w:tcPr>
          <w:p>
            <w:pPr>
              <w:keepNext w:val="0"/>
              <w:spacing w:line="320" w:lineRule="exact" w:after="0" w:before="0"/>
              <w:ind w:firstLine="0"/>
              <w:jc w:val="left"/>
            </w:pPr>
            <w:r>
              <w:rPr>
                <w:b w:val="0"/>
                <w:sz w:val="21"/>
              </w:rPr>
              <w:t>版本封装包、版本指纹声明、核验脚本</w:t>
            </w:r>
          </w:p>
        </w:tc>
        <w:tc>
          <w:tcPr>
            <w:tcW w:type="dxa" w:w="2891"/>
            <w:vAlign w:val="center"/>
          </w:tcPr>
          <w:p>
            <w:pPr>
              <w:keepNext w:val="0"/>
              <w:spacing w:line="320" w:lineRule="exact" w:after="0" w:before="0"/>
              <w:ind w:firstLine="0"/>
              <w:jc w:val="left"/>
            </w:pPr>
            <w:r>
              <w:rPr>
                <w:b w:val="0"/>
                <w:sz w:val="21"/>
              </w:rPr>
              <w:t>运营平台重算指纹比对一致</w:t>
            </w:r>
          </w:p>
        </w:tc>
      </w:tr>
      <w:tr>
        <w:trPr>
          <w:cantSplit/>
        </w:trPr>
        <w:tc>
          <w:tcPr>
            <w:tcW w:type="dxa" w:w="1638"/>
            <w:vAlign w:val="center"/>
          </w:tcPr>
          <w:p>
            <w:pPr>
              <w:keepNext w:val="0"/>
              <w:spacing w:line="320" w:lineRule="exact" w:after="0" w:before="0"/>
              <w:ind w:firstLine="0"/>
              <w:jc w:val="left"/>
            </w:pPr>
            <w:r>
              <w:rPr>
                <w:b w:val="0"/>
                <w:sz w:val="21"/>
              </w:rPr>
              <w:t>三·元数据登记</w:t>
            </w:r>
          </w:p>
        </w:tc>
        <w:tc>
          <w:tcPr>
            <w:tcW w:type="dxa" w:w="2699"/>
            <w:vAlign w:val="center"/>
          </w:tcPr>
          <w:p>
            <w:pPr>
              <w:keepNext w:val="0"/>
              <w:spacing w:line="320" w:lineRule="exact" w:after="0" w:before="0"/>
              <w:ind w:firstLine="0"/>
              <w:jc w:val="left"/>
            </w:pPr>
            <w:r>
              <w:rPr>
                <w:b w:val="0"/>
                <w:sz w:val="21"/>
              </w:rPr>
              <w:t>按运营平台的数据集登记字段提交登记信息</w:t>
            </w:r>
          </w:p>
        </w:tc>
        <w:tc>
          <w:tcPr>
            <w:tcW w:type="dxa" w:w="2409"/>
            <w:vAlign w:val="center"/>
          </w:tcPr>
          <w:p>
            <w:pPr>
              <w:keepNext w:val="0"/>
              <w:spacing w:line="320" w:lineRule="exact" w:after="0" w:before="0"/>
              <w:ind w:firstLine="0"/>
              <w:jc w:val="left"/>
            </w:pPr>
            <w:r>
              <w:rPr>
                <w:b w:val="0"/>
                <w:sz w:val="21"/>
              </w:rPr>
              <w:t>数据集卡片、数据字典、资产台账条目</w:t>
            </w:r>
          </w:p>
        </w:tc>
        <w:tc>
          <w:tcPr>
            <w:tcW w:type="dxa" w:w="2891"/>
            <w:vAlign w:val="center"/>
          </w:tcPr>
          <w:p>
            <w:pPr>
              <w:keepNext w:val="0"/>
              <w:spacing w:line="320" w:lineRule="exact" w:after="0" w:before="0"/>
              <w:ind w:firstLine="0"/>
              <w:jc w:val="left"/>
            </w:pPr>
            <w:r>
              <w:rPr>
                <w:b w:val="0"/>
                <w:sz w:val="21"/>
              </w:rPr>
              <w:t>运营平台登记成功并回传登记标识</w:t>
            </w:r>
          </w:p>
        </w:tc>
      </w:tr>
      <w:tr>
        <w:trPr>
          <w:cantSplit/>
        </w:trPr>
        <w:tc>
          <w:tcPr>
            <w:tcW w:type="dxa" w:w="1638"/>
            <w:vAlign w:val="center"/>
          </w:tcPr>
          <w:p>
            <w:pPr>
              <w:keepNext w:val="0"/>
              <w:spacing w:line="320" w:lineRule="exact" w:after="0" w:before="0"/>
              <w:ind w:firstLine="0"/>
              <w:jc w:val="left"/>
            </w:pPr>
            <w:r>
              <w:rPr>
                <w:b w:val="0"/>
                <w:sz w:val="21"/>
              </w:rPr>
              <w:t>四·接入协同与验证</w:t>
            </w:r>
          </w:p>
        </w:tc>
        <w:tc>
          <w:tcPr>
            <w:tcW w:type="dxa" w:w="2699"/>
            <w:vAlign w:val="center"/>
          </w:tcPr>
          <w:p>
            <w:pPr>
              <w:keepNext w:val="0"/>
              <w:spacing w:line="320" w:lineRule="exact" w:after="0" w:before="0"/>
              <w:ind w:firstLine="0"/>
              <w:jc w:val="left"/>
            </w:pPr>
            <w:r>
              <w:rPr>
                <w:b w:val="0"/>
                <w:sz w:val="21"/>
              </w:rPr>
              <w:t>按统一标识身份及接口要求衔接接入实施，核验数据侧与平台登记一致</w:t>
            </w:r>
          </w:p>
        </w:tc>
        <w:tc>
          <w:tcPr>
            <w:tcW w:type="dxa" w:w="2409"/>
            <w:vAlign w:val="center"/>
          </w:tcPr>
          <w:p>
            <w:pPr>
              <w:keepNext w:val="0"/>
              <w:spacing w:line="320" w:lineRule="exact" w:after="0" w:before="0"/>
              <w:ind w:firstLine="0"/>
              <w:jc w:val="left"/>
            </w:pPr>
            <w:r>
              <w:rPr>
                <w:b w:val="0"/>
                <w:sz w:val="21"/>
              </w:rPr>
              <w:t>标识登记、接口联调及接入验证记录</w:t>
            </w:r>
          </w:p>
        </w:tc>
        <w:tc>
          <w:tcPr>
            <w:tcW w:type="dxa" w:w="2891"/>
            <w:vAlign w:val="center"/>
          </w:tcPr>
          <w:p>
            <w:pPr>
              <w:keepNext w:val="0"/>
              <w:spacing w:line="320" w:lineRule="exact" w:after="0" w:before="0"/>
              <w:ind w:firstLine="0"/>
              <w:jc w:val="left"/>
            </w:pPr>
            <w:r>
              <w:rPr>
                <w:b w:val="0"/>
                <w:sz w:val="21"/>
              </w:rPr>
              <w:t>接收与验证结果归档，问题闭环</w:t>
            </w:r>
          </w:p>
        </w:tc>
      </w:tr>
    </w:tbl>
    <w:p>
      <w:pPr>
        <w:spacing w:after="40" w:line="240" w:lineRule="auto"/>
        <w:ind w:firstLine="0"/>
      </w:pPr>
      <w:r>
        <w:rPr>
          <w:sz w:val="4"/>
        </w:rPr>
      </w:r>
    </w:p>
    <w:p>
      <w:pPr>
        <w:jc w:val="both"/>
      </w:pPr>
      <w:r>
        <w:t>运营登记准备统一目录标识、统一身份登记与统一接口要求对应的信息，覆盖数据集名称、分类、摘要、关键词、业务域、更新频率、权属主体、访问方式、结构及版本关系。由我方按项目整体运营及接入方案完成数据侧准备、平台对接和接入验证，保存标识注册解析、接口联调、权限验证及接收记录，不将信息预留作为接入实施完成的替代。</w:t>
      </w:r>
    </w:p>
    <w:p>
      <w:pPr>
        <w:jc w:val="both"/>
      </w:pPr>
      <w:r>
        <w:t>移交完成后，数据集的后续演进通过修订计划与新版本发布继续：每一个新版本按同样的四步移交，运营平台按版本管理其挂牌与发布状态。已移交版本在我方侧保留完整档案（封装包、报告、台账、工单与整改记录），保留期限按合同约定；档案是后续争议处置、质量追溯与第三方复核的依据。</w:t>
      </w:r>
    </w:p>
    <w:p>
      <w:pPr>
        <w:pStyle w:val="Heading1"/>
      </w:pPr>
      <w:r>
        <w:t>8 专项作业控制与验证细则</w:t>
      </w:r>
    </w:p>
    <w:p>
      <w:pPr>
        <w:pStyle w:val="Heading2"/>
      </w:pPr>
      <w:r>
        <w:t>8.1 标注规范编制与试标校准</w:t>
      </w:r>
    </w:p>
    <w:p>
      <w:pPr>
        <w:jc w:val="both"/>
      </w:pPr>
      <w:r>
        <w:t>我方按合同与招投标文本、产品选型、库存与排产、图纸与工艺卡片、热处理与焊接、设备健康、质量检验、经营决策问答和用途子集组织标注规范。规范引用同一知识本体及字段字典，任务差异写在各分册的适用条件中，不复制一套名称相同但含义不同的标签体系。每个字段规定对象、粒度、单位、取值、证据、空值和边界处置，标明适用的输入资料及质量前提。</w:t>
      </w:r>
    </w:p>
    <w:p>
      <w:pPr>
        <w:jc w:val="both"/>
      </w:pPr>
      <w:r>
        <w:t>规范评审使用实际试标结果。先选取覆盖主要来源、常见类别、易混淆类别及边界条件的样本，由拟上岗人员独立标注；质量人员汇总分歧，不先公布统一答案。业务专家检查分歧来源，区分规范缺漏、证据不足、知识定义不清和作业错误，修订相应规则后组织第二轮独立试标。只有在判定条件可执行、主要分歧得到处理且检查方法能够识别典型错误后，才批准正式生产。</w:t>
      </w:r>
    </w:p>
    <w:p>
      <w:pPr>
        <w:jc w:val="both"/>
      </w:pPr>
      <w:r>
        <w:t>每份规范的示例具有源对象标识和适用标签，正例展示成立条件，反例明确错误原因。反例不编造真实企业发生的事件，构造的教学情形标记为培训材料并与交付基准隔离。用于规范讲解、黄金集考核或错误复盘的样本登记暴露范围，已暴露内容及其派生家族不再作为独立基准题。</w:t>
      </w:r>
    </w:p>
    <w:p>
      <w:pPr>
        <w:jc w:val="both"/>
      </w:pPr>
      <w:r>
        <w:t>规范变更按影响分类执行。文字澄清不改变标签含义时，更新适用说明并验证人员理解；标签取值、判定阈值、单位、来源证据或正误结论变化时，扫描历史样本并确认受影响范围。变更工单列出旧规则、新规则、转换方法、重标对象和验证要求，相关批次完成复检后才能进入新版本。历史记录保留原规范版本和原始结论，不直接覆盖。</w:t>
      </w:r>
    </w:p>
    <w:p>
      <w:pPr>
        <w:pStyle w:val="Caption"/>
        <w:keepNext/>
      </w:pPr>
      <w:r>
        <w:t>表8-1 标注规范编制与试标校准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规范内容</w:t>
            </w:r>
          </w:p>
        </w:tc>
        <w:tc>
          <w:tcPr>
            <w:tcW w:type="dxa" w:w="2699"/>
            <w:vAlign w:val="center"/>
            <w:shd w:fill="EDF1F3"/>
          </w:tcPr>
          <w:p>
            <w:pPr>
              <w:keepNext/>
              <w:spacing w:line="320" w:lineRule="exact" w:after="0" w:before="0"/>
              <w:ind w:firstLine="0"/>
              <w:jc w:val="center"/>
            </w:pPr>
            <w:r>
              <w:rPr>
                <w:b/>
                <w:sz w:val="21"/>
              </w:rPr>
              <w:t>编制要求</w:t>
            </w:r>
          </w:p>
        </w:tc>
        <w:tc>
          <w:tcPr>
            <w:tcW w:type="dxa" w:w="2409"/>
            <w:vAlign w:val="center"/>
            <w:shd w:fill="EDF1F3"/>
          </w:tcPr>
          <w:p>
            <w:pPr>
              <w:keepNext/>
              <w:spacing w:line="320" w:lineRule="exact" w:after="0" w:before="0"/>
              <w:ind w:firstLine="0"/>
              <w:jc w:val="center"/>
            </w:pPr>
            <w:r>
              <w:rPr>
                <w:b/>
                <w:sz w:val="21"/>
              </w:rPr>
              <w:t>试标检查</w:t>
            </w:r>
          </w:p>
        </w:tc>
        <w:tc>
          <w:tcPr>
            <w:tcW w:type="dxa" w:w="2891"/>
            <w:vAlign w:val="center"/>
            <w:shd w:fill="EDF1F3"/>
          </w:tcPr>
          <w:p>
            <w:pPr>
              <w:keepNext/>
              <w:spacing w:line="320" w:lineRule="exact" w:after="0" w:before="0"/>
              <w:ind w:firstLine="0"/>
              <w:jc w:val="center"/>
            </w:pPr>
            <w:r>
              <w:rPr>
                <w:b/>
                <w:sz w:val="21"/>
              </w:rPr>
              <w:t>形成记录</w:t>
            </w:r>
          </w:p>
        </w:tc>
      </w:tr>
      <w:tr>
        <w:trPr>
          <w:cantSplit/>
        </w:trPr>
        <w:tc>
          <w:tcPr>
            <w:tcW w:type="dxa" w:w="1638"/>
            <w:vAlign w:val="center"/>
          </w:tcPr>
          <w:p>
            <w:pPr>
              <w:keepNext w:val="0"/>
              <w:spacing w:line="320" w:lineRule="exact" w:after="0" w:before="0"/>
              <w:ind w:firstLine="0"/>
              <w:jc w:val="left"/>
            </w:pPr>
            <w:r>
              <w:rPr>
                <w:b w:val="0"/>
                <w:sz w:val="21"/>
              </w:rPr>
              <w:t>对象与粒度</w:t>
            </w:r>
          </w:p>
        </w:tc>
        <w:tc>
          <w:tcPr>
            <w:tcW w:type="dxa" w:w="2699"/>
            <w:vAlign w:val="center"/>
          </w:tcPr>
          <w:p>
            <w:pPr>
              <w:keepNext w:val="0"/>
              <w:spacing w:line="320" w:lineRule="exact" w:after="0" w:before="0"/>
              <w:ind w:firstLine="0"/>
              <w:jc w:val="left"/>
            </w:pPr>
            <w:r>
              <w:rPr>
                <w:b w:val="0"/>
                <w:sz w:val="21"/>
              </w:rPr>
              <w:t>明确文档条款、图元、区域、事件或时间窗</w:t>
            </w:r>
          </w:p>
        </w:tc>
        <w:tc>
          <w:tcPr>
            <w:tcW w:type="dxa" w:w="2409"/>
            <w:vAlign w:val="center"/>
          </w:tcPr>
          <w:p>
            <w:pPr>
              <w:keepNext w:val="0"/>
              <w:spacing w:line="320" w:lineRule="exact" w:after="0" w:before="0"/>
              <w:ind w:firstLine="0"/>
              <w:jc w:val="left"/>
            </w:pPr>
            <w:r>
              <w:rPr>
                <w:b w:val="0"/>
                <w:sz w:val="21"/>
              </w:rPr>
              <w:t>同一对象边界是否一致</w:t>
            </w:r>
          </w:p>
        </w:tc>
        <w:tc>
          <w:tcPr>
            <w:tcW w:type="dxa" w:w="2891"/>
            <w:vAlign w:val="center"/>
          </w:tcPr>
          <w:p>
            <w:pPr>
              <w:keepNext w:val="0"/>
              <w:spacing w:line="320" w:lineRule="exact" w:after="0" w:before="0"/>
              <w:ind w:firstLine="0"/>
              <w:jc w:val="left"/>
            </w:pPr>
            <w:r>
              <w:rPr>
                <w:b w:val="0"/>
                <w:sz w:val="21"/>
              </w:rPr>
              <w:t>粒度差异清单</w:t>
            </w:r>
          </w:p>
        </w:tc>
      </w:tr>
      <w:tr>
        <w:trPr>
          <w:cantSplit/>
        </w:trPr>
        <w:tc>
          <w:tcPr>
            <w:tcW w:type="dxa" w:w="1638"/>
            <w:vAlign w:val="center"/>
          </w:tcPr>
          <w:p>
            <w:pPr>
              <w:keepNext w:val="0"/>
              <w:spacing w:line="320" w:lineRule="exact" w:after="0" w:before="0"/>
              <w:ind w:firstLine="0"/>
              <w:jc w:val="left"/>
            </w:pPr>
            <w:r>
              <w:rPr>
                <w:b w:val="0"/>
                <w:sz w:val="21"/>
              </w:rPr>
              <w:t>标签及取值</w:t>
            </w:r>
          </w:p>
        </w:tc>
        <w:tc>
          <w:tcPr>
            <w:tcW w:type="dxa" w:w="2699"/>
            <w:vAlign w:val="center"/>
          </w:tcPr>
          <w:p>
            <w:pPr>
              <w:keepNext w:val="0"/>
              <w:spacing w:line="320" w:lineRule="exact" w:after="0" w:before="0"/>
              <w:ind w:firstLine="0"/>
              <w:jc w:val="left"/>
            </w:pPr>
            <w:r>
              <w:rPr>
                <w:b w:val="0"/>
                <w:sz w:val="21"/>
              </w:rPr>
              <w:t>引用本体和字典版本</w:t>
            </w:r>
          </w:p>
        </w:tc>
        <w:tc>
          <w:tcPr>
            <w:tcW w:type="dxa" w:w="2409"/>
            <w:vAlign w:val="center"/>
          </w:tcPr>
          <w:p>
            <w:pPr>
              <w:keepNext w:val="0"/>
              <w:spacing w:line="320" w:lineRule="exact" w:after="0" w:before="0"/>
              <w:ind w:firstLine="0"/>
              <w:jc w:val="left"/>
            </w:pPr>
            <w:r>
              <w:rPr>
                <w:b w:val="0"/>
                <w:sz w:val="21"/>
              </w:rPr>
              <w:t>是否存在同名异义或缺少合法取值</w:t>
            </w:r>
          </w:p>
        </w:tc>
        <w:tc>
          <w:tcPr>
            <w:tcW w:type="dxa" w:w="2891"/>
            <w:vAlign w:val="center"/>
          </w:tcPr>
          <w:p>
            <w:pPr>
              <w:keepNext w:val="0"/>
              <w:spacing w:line="320" w:lineRule="exact" w:after="0" w:before="0"/>
              <w:ind w:firstLine="0"/>
              <w:jc w:val="left"/>
            </w:pPr>
            <w:r>
              <w:rPr>
                <w:b w:val="0"/>
                <w:sz w:val="21"/>
              </w:rPr>
              <w:t>标签问题单</w:t>
            </w:r>
          </w:p>
        </w:tc>
      </w:tr>
      <w:tr>
        <w:trPr>
          <w:cantSplit/>
        </w:trPr>
        <w:tc>
          <w:tcPr>
            <w:tcW w:type="dxa" w:w="1638"/>
            <w:vAlign w:val="center"/>
          </w:tcPr>
          <w:p>
            <w:pPr>
              <w:keepNext w:val="0"/>
              <w:spacing w:line="320" w:lineRule="exact" w:after="0" w:before="0"/>
              <w:ind w:firstLine="0"/>
              <w:jc w:val="left"/>
            </w:pPr>
            <w:r>
              <w:rPr>
                <w:b w:val="0"/>
                <w:sz w:val="21"/>
              </w:rPr>
              <w:t>判定证据</w:t>
            </w:r>
          </w:p>
        </w:tc>
        <w:tc>
          <w:tcPr>
            <w:tcW w:type="dxa" w:w="2699"/>
            <w:vAlign w:val="center"/>
          </w:tcPr>
          <w:p>
            <w:pPr>
              <w:keepNext w:val="0"/>
              <w:spacing w:line="320" w:lineRule="exact" w:after="0" w:before="0"/>
              <w:ind w:firstLine="0"/>
              <w:jc w:val="left"/>
            </w:pPr>
            <w:r>
              <w:rPr>
                <w:b w:val="0"/>
                <w:sz w:val="21"/>
              </w:rPr>
              <w:t>规定原文、图面、测点及业务单据要求</w:t>
            </w:r>
          </w:p>
        </w:tc>
        <w:tc>
          <w:tcPr>
            <w:tcW w:type="dxa" w:w="2409"/>
            <w:vAlign w:val="center"/>
          </w:tcPr>
          <w:p>
            <w:pPr>
              <w:keepNext w:val="0"/>
              <w:spacing w:line="320" w:lineRule="exact" w:after="0" w:before="0"/>
              <w:ind w:firstLine="0"/>
              <w:jc w:val="left"/>
            </w:pPr>
            <w:r>
              <w:rPr>
                <w:b w:val="0"/>
                <w:sz w:val="21"/>
              </w:rPr>
              <w:t>证据不足时是否正确保留未知</w:t>
            </w:r>
          </w:p>
        </w:tc>
        <w:tc>
          <w:tcPr>
            <w:tcW w:type="dxa" w:w="2891"/>
            <w:vAlign w:val="center"/>
          </w:tcPr>
          <w:p>
            <w:pPr>
              <w:keepNext w:val="0"/>
              <w:spacing w:line="320" w:lineRule="exact" w:after="0" w:before="0"/>
              <w:ind w:firstLine="0"/>
              <w:jc w:val="left"/>
            </w:pPr>
            <w:r>
              <w:rPr>
                <w:b w:val="0"/>
                <w:sz w:val="21"/>
              </w:rPr>
              <w:t>证据复核记录</w:t>
            </w:r>
          </w:p>
        </w:tc>
      </w:tr>
      <w:tr>
        <w:trPr>
          <w:cantSplit/>
        </w:trPr>
        <w:tc>
          <w:tcPr>
            <w:tcW w:type="dxa" w:w="1638"/>
            <w:vAlign w:val="center"/>
          </w:tcPr>
          <w:p>
            <w:pPr>
              <w:keepNext w:val="0"/>
              <w:spacing w:line="320" w:lineRule="exact" w:after="0" w:before="0"/>
              <w:ind w:firstLine="0"/>
              <w:jc w:val="left"/>
            </w:pPr>
            <w:r>
              <w:rPr>
                <w:b w:val="0"/>
                <w:sz w:val="21"/>
              </w:rPr>
              <w:t>空值与边界</w:t>
            </w:r>
          </w:p>
        </w:tc>
        <w:tc>
          <w:tcPr>
            <w:tcW w:type="dxa" w:w="2699"/>
            <w:vAlign w:val="center"/>
          </w:tcPr>
          <w:p>
            <w:pPr>
              <w:keepNext w:val="0"/>
              <w:spacing w:line="320" w:lineRule="exact" w:after="0" w:before="0"/>
              <w:ind w:firstLine="0"/>
              <w:jc w:val="left"/>
            </w:pPr>
            <w:r>
              <w:rPr>
                <w:b w:val="0"/>
                <w:sz w:val="21"/>
              </w:rPr>
              <w:t>区分未知、不适用、未发生和记录缺失</w:t>
            </w:r>
          </w:p>
        </w:tc>
        <w:tc>
          <w:tcPr>
            <w:tcW w:type="dxa" w:w="2409"/>
            <w:vAlign w:val="center"/>
          </w:tcPr>
          <w:p>
            <w:pPr>
              <w:keepNext w:val="0"/>
              <w:spacing w:line="320" w:lineRule="exact" w:after="0" w:before="0"/>
              <w:ind w:firstLine="0"/>
              <w:jc w:val="left"/>
            </w:pPr>
            <w:r>
              <w:rPr>
                <w:b w:val="0"/>
                <w:sz w:val="21"/>
              </w:rPr>
              <w:t>是否用空值掩盖漏标或强行填值</w:t>
            </w:r>
          </w:p>
        </w:tc>
        <w:tc>
          <w:tcPr>
            <w:tcW w:type="dxa" w:w="2891"/>
            <w:vAlign w:val="center"/>
          </w:tcPr>
          <w:p>
            <w:pPr>
              <w:keepNext w:val="0"/>
              <w:spacing w:line="320" w:lineRule="exact" w:after="0" w:before="0"/>
              <w:ind w:firstLine="0"/>
              <w:jc w:val="left"/>
            </w:pPr>
            <w:r>
              <w:rPr>
                <w:b w:val="0"/>
                <w:sz w:val="21"/>
              </w:rPr>
              <w:t>边界案例集</w:t>
            </w:r>
          </w:p>
        </w:tc>
      </w:tr>
      <w:tr>
        <w:trPr>
          <w:cantSplit/>
        </w:trPr>
        <w:tc>
          <w:tcPr>
            <w:tcW w:type="dxa" w:w="1638"/>
            <w:vAlign w:val="center"/>
          </w:tcPr>
          <w:p>
            <w:pPr>
              <w:keepNext w:val="0"/>
              <w:spacing w:line="320" w:lineRule="exact" w:after="0" w:before="0"/>
              <w:ind w:firstLine="0"/>
              <w:jc w:val="left"/>
            </w:pPr>
            <w:r>
              <w:rPr>
                <w:b w:val="0"/>
                <w:sz w:val="21"/>
              </w:rPr>
              <w:t>质量指标</w:t>
            </w:r>
          </w:p>
        </w:tc>
        <w:tc>
          <w:tcPr>
            <w:tcW w:type="dxa" w:w="2699"/>
            <w:vAlign w:val="center"/>
          </w:tcPr>
          <w:p>
            <w:pPr>
              <w:keepNext w:val="0"/>
              <w:spacing w:line="320" w:lineRule="exact" w:after="0" w:before="0"/>
              <w:ind w:firstLine="0"/>
              <w:jc w:val="left"/>
            </w:pPr>
            <w:r>
              <w:rPr>
                <w:b w:val="0"/>
                <w:sz w:val="21"/>
              </w:rPr>
              <w:t>固定计算对象、分母、容差和检查方法</w:t>
            </w:r>
          </w:p>
        </w:tc>
        <w:tc>
          <w:tcPr>
            <w:tcW w:type="dxa" w:w="2409"/>
            <w:vAlign w:val="center"/>
          </w:tcPr>
          <w:p>
            <w:pPr>
              <w:keepNext w:val="0"/>
              <w:spacing w:line="320" w:lineRule="exact" w:after="0" w:before="0"/>
              <w:ind w:firstLine="0"/>
              <w:jc w:val="left"/>
            </w:pPr>
            <w:r>
              <w:rPr>
                <w:b w:val="0"/>
                <w:sz w:val="21"/>
              </w:rPr>
              <w:t>不同人员计算是否得到相同结果</w:t>
            </w:r>
          </w:p>
        </w:tc>
        <w:tc>
          <w:tcPr>
            <w:tcW w:type="dxa" w:w="2891"/>
            <w:vAlign w:val="center"/>
          </w:tcPr>
          <w:p>
            <w:pPr>
              <w:keepNext w:val="0"/>
              <w:spacing w:line="320" w:lineRule="exact" w:after="0" w:before="0"/>
              <w:ind w:firstLine="0"/>
              <w:jc w:val="left"/>
            </w:pPr>
            <w:r>
              <w:rPr>
                <w:b w:val="0"/>
                <w:sz w:val="21"/>
              </w:rPr>
              <w:t>指标校准记录</w:t>
            </w:r>
          </w:p>
        </w:tc>
      </w:tr>
      <w:tr>
        <w:trPr>
          <w:cantSplit/>
        </w:trPr>
        <w:tc>
          <w:tcPr>
            <w:tcW w:type="dxa" w:w="1638"/>
            <w:vAlign w:val="center"/>
          </w:tcPr>
          <w:p>
            <w:pPr>
              <w:keepNext w:val="0"/>
              <w:spacing w:line="320" w:lineRule="exact" w:after="0" w:before="0"/>
              <w:ind w:firstLine="0"/>
              <w:jc w:val="left"/>
            </w:pPr>
            <w:r>
              <w:rPr>
                <w:b w:val="0"/>
                <w:sz w:val="21"/>
              </w:rPr>
              <w:t>变更处置</w:t>
            </w:r>
          </w:p>
        </w:tc>
        <w:tc>
          <w:tcPr>
            <w:tcW w:type="dxa" w:w="2699"/>
            <w:vAlign w:val="center"/>
          </w:tcPr>
          <w:p>
            <w:pPr>
              <w:keepNext w:val="0"/>
              <w:spacing w:line="320" w:lineRule="exact" w:after="0" w:before="0"/>
              <w:ind w:firstLine="0"/>
              <w:jc w:val="left"/>
            </w:pPr>
            <w:r>
              <w:rPr>
                <w:b w:val="0"/>
                <w:sz w:val="21"/>
              </w:rPr>
              <w:t>指定生效范围及旧样本复核方法</w:t>
            </w:r>
          </w:p>
        </w:tc>
        <w:tc>
          <w:tcPr>
            <w:tcW w:type="dxa" w:w="2409"/>
            <w:vAlign w:val="center"/>
          </w:tcPr>
          <w:p>
            <w:pPr>
              <w:keepNext w:val="0"/>
              <w:spacing w:line="320" w:lineRule="exact" w:after="0" w:before="0"/>
              <w:ind w:firstLine="0"/>
              <w:jc w:val="left"/>
            </w:pPr>
            <w:r>
              <w:rPr>
                <w:b w:val="0"/>
                <w:sz w:val="21"/>
              </w:rPr>
              <w:t>能否定位同规则历史对象</w:t>
            </w:r>
          </w:p>
        </w:tc>
        <w:tc>
          <w:tcPr>
            <w:tcW w:type="dxa" w:w="2891"/>
            <w:vAlign w:val="center"/>
          </w:tcPr>
          <w:p>
            <w:pPr>
              <w:keepNext w:val="0"/>
              <w:spacing w:line="320" w:lineRule="exact" w:after="0" w:before="0"/>
              <w:ind w:firstLine="0"/>
              <w:jc w:val="left"/>
            </w:pPr>
            <w:r>
              <w:rPr>
                <w:b w:val="0"/>
                <w:sz w:val="21"/>
              </w:rPr>
              <w:t>影响分析和重标清单</w:t>
            </w:r>
          </w:p>
        </w:tc>
      </w:tr>
    </w:tbl>
    <w:p>
      <w:pPr>
        <w:spacing w:after="40" w:line="240" w:lineRule="auto"/>
        <w:ind w:firstLine="0"/>
      </w:pPr>
      <w:r>
        <w:rPr>
          <w:sz w:val="4"/>
        </w:rPr>
      </w:r>
    </w:p>
    <w:p>
      <w:pPr>
        <w:pStyle w:val="Heading2"/>
      </w:pPr>
      <w:r>
        <w:t>8.2 合同条款及模板差异的逐项核查</w:t>
      </w:r>
    </w:p>
    <w:p>
      <w:pPr>
        <w:jc w:val="both"/>
      </w:pPr>
      <w:r>
        <w:t>合同标注以主合同、有效附件、补充协议和对应模板版本构成一个完整资料对象。接收时核对页数、签署状态、附件清单及可读性，正文引用附件但附件缺失的形成资料缺口。解析后保留原文条款位置和文档层级，跨页条款连续关联，表格内的价格、数量、付款条件及交付计划一并纳入要素提取。</w:t>
      </w:r>
    </w:p>
    <w:p>
      <w:pPr>
        <w:jc w:val="both"/>
      </w:pPr>
      <w:r>
        <w:t>八大核心要素按各自子项核查。当事人信息核对主体称谓和角色对应；标的物关联产品规格、技术协议和配置附件；数量保留单位及分批约定；质量关联验收条件、标准版本和争议检验方式；价款或报酬区分金额、币种、税费、支付节点及触发条件；履行期限地点和方式保留不同批次、交付地点及运输责任；违约责任保留触发、计算及限制条件；争议解决记录约定方式和具体条款证据。原文未明确的内容不根据模板补成已约定事实。</w:t>
      </w:r>
    </w:p>
    <w:p>
      <w:pPr>
        <w:jc w:val="both"/>
      </w:pPr>
      <w:r>
        <w:t>模板差异先完成条款对应，再识别新增、删减、修改、拆分、合并和顺序调整。编号变化不自动视为内容变更，同义表达不自动视为法律效果相同。标注人员同时检查正文与附件是否共同改变义务范围，记录差异前后的文字位置和适用角色。替换合同主体名称后重新核查角色，避免把“买方”和“卖方”义务方向颠倒。</w:t>
      </w:r>
    </w:p>
    <w:p>
      <w:pPr>
        <w:jc w:val="both"/>
      </w:pPr>
      <w:r>
        <w:t>风险结论关联经确认的规则库及其版本，按适用时点和合同类型判断。模板偏离、表达不完整及不合规分别记录；偏离模板不必然构成不合规，未发现风险也不等同于完成全部法律判断。需要专业裁定的对象由相应专家确认，数据记录保留证据、适用条件和裁定状态，供审查验证时复核。</w:t>
      </w:r>
    </w:p>
    <w:p>
      <w:pPr>
        <w:jc w:val="both"/>
      </w:pPr>
      <w:r>
        <w:t>实体替换涉及数值时保持计算和约束关系。合同金额、预付款比例、分期金额、数量与单价之间同步转换，日期替换保持履行先后与期间长度。涉及金额阈值、付款规则或风险分档的条件重新计算，不能在替换金额后沿用原风险标签。原件与脱敏派生件分别授权，受控环境中保留可核验映射。</w:t>
      </w:r>
    </w:p>
    <w:p>
      <w:pPr>
        <w:pStyle w:val="Heading2"/>
      </w:pPr>
      <w:r>
        <w:t>8.3 图纸特征与工艺关系标注细则</w:t>
      </w:r>
    </w:p>
    <w:p>
      <w:pPr>
        <w:jc w:val="both"/>
      </w:pPr>
      <w:r>
        <w:t>二维图纸标注记录原生文件、图号、版次、比例、单位、图层、视图及坐标系。存在块引用、外部参照或重复图元时，保留实例与定义的关系。图面坐标、模型坐标和渲染像素坐标分别命名，缩放、旋转和裁剪转换保存矩阵及反向定位信息。标注区域能够回到原图，不将预览截图的坐标直接当作工程尺寸。</w:t>
      </w:r>
    </w:p>
    <w:p>
      <w:pPr>
        <w:jc w:val="both"/>
      </w:pPr>
      <w:r>
        <w:t>三维资料与二维图纸按模型标识、零件版本和视图关系关联。读取STP或STEP文件时，检查实体、面、边及单位是否正确解析；三维特征映射到二维投影视图后保留遮挡和不可见状态。无法证明对应关系的模型与图纸不合并为确定性样本。曲面、剖面和局部放大视图的对象引用分别核对，避免一项特征被重复计为多个零件特征。</w:t>
      </w:r>
    </w:p>
    <w:p>
      <w:pPr>
        <w:jc w:val="both"/>
      </w:pPr>
      <w:r>
        <w:t>尺寸标注区分设计尺寸、参考尺寸、测量值、公差和换算值。带上下偏差的尺寸同时保存名义值及偏差，孔径、圆角、坡口、粗糙度和位置公差关联实际作用对象。未标尺寸不通过屏幕比例量测补成设计值；按规则能够推导的尺寸以派生字段保存推导依据和精度。发现图面标注矛盾时进入工艺核查，不能由标注员选择看似合理的数值覆盖原文。</w:t>
      </w:r>
    </w:p>
    <w:p>
      <w:pPr>
        <w:jc w:val="both"/>
      </w:pPr>
      <w:r>
        <w:t>阵列记录实例数量、分布规律、间距、方向、中心或基准坐标，部分缺失、非等距或局部变形保留实际差异。折弯记录折弯线、方向、角度、内弯半径、材料与板厚、模具及补偿规则。展开结果由适用工艺规则计算并核对历史卡片，计算条件不齐全时不输出确定性展开长。共料及排料关系还须核对材料批次约束、纹理或轧制方向、质量等级、余量和设备能力。</w:t>
      </w:r>
    </w:p>
    <w:p>
      <w:pPr>
        <w:jc w:val="both"/>
      </w:pPr>
      <w:r>
        <w:t>“图纸—特征—工序—卡片—参数”关系允许一对多和多对多。一个工序处理多个特征、一个特征需要多道工序时，各关系边分别记录作用类型和先后条件；公共准备工序不能强行归给单一特征。卡片行号变化时以稳定工序实例标识维持引用，历史行号作为定位字段保留。关系复核从特征向卡片和从卡片向特征双向抽查，查找无支撑工序、遗漏特征和重复关系。</w:t>
      </w:r>
    </w:p>
    <w:p>
      <w:pPr>
        <w:pStyle w:val="Heading2"/>
      </w:pPr>
      <w:r>
        <w:t>8.4 时序事件及维修事实回填</w:t>
      </w:r>
    </w:p>
    <w:p>
      <w:pPr>
        <w:jc w:val="both"/>
      </w:pPr>
      <w:r>
        <w:t>时序任务接收测点字典、单位、采样方式、时钟校正信息和设备运行记录。事件时间、记录生成时间、数据接收时间及维修确认时间分别保存。按事件划分窗口前检查设备、测点配置、时钟漂移及停机区段，跨设备、跨维修换件或跨控制程序变化的时窗不能直接连成同一稳定过程。</w:t>
      </w:r>
    </w:p>
    <w:p>
      <w:pPr>
        <w:jc w:val="both"/>
      </w:pPr>
      <w:r>
        <w:t>运行工况按启停、空载、正常运输、重载、过载、堵转组织，结合转速、电流、控制命令、输送状态和现场记录确认。工况标签与故障标签分别管理，过载可能由生产负荷造成，堵转可能涉及多种原因，不能仅凭状态名称直接给出具体部件损坏结论。多工况窗口保留各段起止时间及过渡状态，模型需要单标签时按任务规则重切分，不能任意选择主标签。</w:t>
      </w:r>
    </w:p>
    <w:p>
      <w:pPr>
        <w:jc w:val="both"/>
      </w:pPr>
      <w:r>
        <w:t>维修回填在既有工单流程中记录，平台预填设备、报警、时段和候选故障，实际经手人员确认检查结果、处置措施、替换部件及处理后状态。回填明确“检查发现”“疑似原因”“已验证根因”和“未确认”各状态，空白回填不等于无故障。备件出库记录仅作为辅助线索，实际安装及更换原因需由维修记录确认。</w:t>
      </w:r>
    </w:p>
    <w:p>
      <w:pPr>
        <w:jc w:val="both"/>
      </w:pPr>
      <w:r>
        <w:t>故障证据在事件结束后形成时，以后验标签绑定到原事件，但训练输入仍保持任务决策时点可见的数据。用于故障预测的样本不包含维修结论、后续停机时长、最终更换件或事后新增的描述。预测窗口、观察窗口和标签确认窗口分别登记，靠近切分边界的重叠窗口纳入同源隔离，防止相邻时段进入训练与测试两侧。</w:t>
      </w:r>
    </w:p>
    <w:p>
      <w:pPr>
        <w:pStyle w:val="Caption"/>
        <w:keepNext/>
      </w:pPr>
      <w:r>
        <w:t>表8-2 时序事件及维修事实回填</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记录对象</w:t>
            </w:r>
          </w:p>
        </w:tc>
        <w:tc>
          <w:tcPr>
            <w:tcW w:type="dxa" w:w="2699"/>
            <w:vAlign w:val="center"/>
            <w:shd w:fill="EDF1F3"/>
          </w:tcPr>
          <w:p>
            <w:pPr>
              <w:keepNext/>
              <w:spacing w:line="320" w:lineRule="exact" w:after="0" w:before="0"/>
              <w:ind w:firstLine="0"/>
              <w:jc w:val="center"/>
            </w:pPr>
            <w:r>
              <w:rPr>
                <w:b/>
                <w:sz w:val="21"/>
              </w:rPr>
              <w:t>必需内容</w:t>
            </w:r>
          </w:p>
        </w:tc>
        <w:tc>
          <w:tcPr>
            <w:tcW w:type="dxa" w:w="2409"/>
            <w:vAlign w:val="center"/>
            <w:shd w:fill="EDF1F3"/>
          </w:tcPr>
          <w:p>
            <w:pPr>
              <w:keepNext/>
              <w:spacing w:line="320" w:lineRule="exact" w:after="0" w:before="0"/>
              <w:ind w:firstLine="0"/>
              <w:jc w:val="center"/>
            </w:pPr>
            <w:r>
              <w:rPr>
                <w:b/>
                <w:sz w:val="21"/>
              </w:rPr>
              <w:t>质量检查</w:t>
            </w:r>
          </w:p>
        </w:tc>
        <w:tc>
          <w:tcPr>
            <w:tcW w:type="dxa" w:w="2891"/>
            <w:vAlign w:val="center"/>
            <w:shd w:fill="EDF1F3"/>
          </w:tcPr>
          <w:p>
            <w:pPr>
              <w:keepNext/>
              <w:spacing w:line="320" w:lineRule="exact" w:after="0" w:before="0"/>
              <w:ind w:firstLine="0"/>
              <w:jc w:val="center"/>
            </w:pPr>
            <w:r>
              <w:rPr>
                <w:b/>
                <w:sz w:val="21"/>
              </w:rPr>
              <w:t>缺失处置</w:t>
            </w:r>
          </w:p>
        </w:tc>
      </w:tr>
      <w:tr>
        <w:trPr>
          <w:cantSplit/>
        </w:trPr>
        <w:tc>
          <w:tcPr>
            <w:tcW w:type="dxa" w:w="1638"/>
            <w:vAlign w:val="center"/>
          </w:tcPr>
          <w:p>
            <w:pPr>
              <w:keepNext w:val="0"/>
              <w:spacing w:line="320" w:lineRule="exact" w:after="0" w:before="0"/>
              <w:ind w:firstLine="0"/>
              <w:jc w:val="left"/>
            </w:pPr>
            <w:r>
              <w:rPr>
                <w:b w:val="0"/>
                <w:sz w:val="21"/>
              </w:rPr>
              <w:t>事件主记录</w:t>
            </w:r>
          </w:p>
        </w:tc>
        <w:tc>
          <w:tcPr>
            <w:tcW w:type="dxa" w:w="2699"/>
            <w:vAlign w:val="center"/>
          </w:tcPr>
          <w:p>
            <w:pPr>
              <w:keepNext w:val="0"/>
              <w:spacing w:line="320" w:lineRule="exact" w:after="0" w:before="0"/>
              <w:ind w:firstLine="0"/>
              <w:jc w:val="left"/>
            </w:pPr>
            <w:r>
              <w:rPr>
                <w:b w:val="0"/>
                <w:sz w:val="21"/>
              </w:rPr>
              <w:t>设备、时段、工况、报警及源数据引用</w:t>
            </w:r>
          </w:p>
        </w:tc>
        <w:tc>
          <w:tcPr>
            <w:tcW w:type="dxa" w:w="2409"/>
            <w:vAlign w:val="center"/>
          </w:tcPr>
          <w:p>
            <w:pPr>
              <w:keepNext w:val="0"/>
              <w:spacing w:line="320" w:lineRule="exact" w:after="0" w:before="0"/>
              <w:ind w:firstLine="0"/>
              <w:jc w:val="left"/>
            </w:pPr>
            <w:r>
              <w:rPr>
                <w:b w:val="0"/>
                <w:sz w:val="21"/>
              </w:rPr>
              <w:t>时间及对象一致</w:t>
            </w:r>
          </w:p>
        </w:tc>
        <w:tc>
          <w:tcPr>
            <w:tcW w:type="dxa" w:w="2891"/>
            <w:vAlign w:val="center"/>
          </w:tcPr>
          <w:p>
            <w:pPr>
              <w:keepNext w:val="0"/>
              <w:spacing w:line="320" w:lineRule="exact" w:after="0" w:before="0"/>
              <w:ind w:firstLine="0"/>
              <w:jc w:val="left"/>
            </w:pPr>
            <w:r>
              <w:rPr>
                <w:b w:val="0"/>
                <w:sz w:val="21"/>
              </w:rPr>
              <w:t>隔离核查</w:t>
            </w:r>
          </w:p>
        </w:tc>
      </w:tr>
      <w:tr>
        <w:trPr>
          <w:cantSplit/>
        </w:trPr>
        <w:tc>
          <w:tcPr>
            <w:tcW w:type="dxa" w:w="1638"/>
            <w:vAlign w:val="center"/>
          </w:tcPr>
          <w:p>
            <w:pPr>
              <w:keepNext w:val="0"/>
              <w:spacing w:line="320" w:lineRule="exact" w:after="0" w:before="0"/>
              <w:ind w:firstLine="0"/>
              <w:jc w:val="left"/>
            </w:pPr>
            <w:r>
              <w:rPr>
                <w:b w:val="0"/>
                <w:sz w:val="21"/>
              </w:rPr>
              <w:t>检查事实</w:t>
            </w:r>
          </w:p>
        </w:tc>
        <w:tc>
          <w:tcPr>
            <w:tcW w:type="dxa" w:w="2699"/>
            <w:vAlign w:val="center"/>
          </w:tcPr>
          <w:p>
            <w:pPr>
              <w:keepNext w:val="0"/>
              <w:spacing w:line="320" w:lineRule="exact" w:after="0" w:before="0"/>
              <w:ind w:firstLine="0"/>
              <w:jc w:val="left"/>
            </w:pPr>
            <w:r>
              <w:rPr>
                <w:b w:val="0"/>
                <w:sz w:val="21"/>
              </w:rPr>
              <w:t>检查项目、观测结果、时间和人员工号</w:t>
            </w:r>
          </w:p>
        </w:tc>
        <w:tc>
          <w:tcPr>
            <w:tcW w:type="dxa" w:w="2409"/>
            <w:vAlign w:val="center"/>
          </w:tcPr>
          <w:p>
            <w:pPr>
              <w:keepNext w:val="0"/>
              <w:spacing w:line="320" w:lineRule="exact" w:after="0" w:before="0"/>
              <w:ind w:firstLine="0"/>
              <w:jc w:val="left"/>
            </w:pPr>
            <w:r>
              <w:rPr>
                <w:b w:val="0"/>
                <w:sz w:val="21"/>
              </w:rPr>
              <w:t>事实与推断分开</w:t>
            </w:r>
          </w:p>
        </w:tc>
        <w:tc>
          <w:tcPr>
            <w:tcW w:type="dxa" w:w="2891"/>
            <w:vAlign w:val="center"/>
          </w:tcPr>
          <w:p>
            <w:pPr>
              <w:keepNext w:val="0"/>
              <w:spacing w:line="320" w:lineRule="exact" w:after="0" w:before="0"/>
              <w:ind w:firstLine="0"/>
              <w:jc w:val="left"/>
            </w:pPr>
            <w:r>
              <w:rPr>
                <w:b w:val="0"/>
                <w:sz w:val="21"/>
              </w:rPr>
              <w:t>保留未确认，不补造结论</w:t>
            </w:r>
          </w:p>
        </w:tc>
      </w:tr>
      <w:tr>
        <w:trPr>
          <w:cantSplit/>
        </w:trPr>
        <w:tc>
          <w:tcPr>
            <w:tcW w:type="dxa" w:w="1638"/>
            <w:vAlign w:val="center"/>
          </w:tcPr>
          <w:p>
            <w:pPr>
              <w:keepNext w:val="0"/>
              <w:spacing w:line="320" w:lineRule="exact" w:after="0" w:before="0"/>
              <w:ind w:firstLine="0"/>
              <w:jc w:val="left"/>
            </w:pPr>
            <w:r>
              <w:rPr>
                <w:b w:val="0"/>
                <w:sz w:val="21"/>
              </w:rPr>
              <w:t>维修措施</w:t>
            </w:r>
          </w:p>
        </w:tc>
        <w:tc>
          <w:tcPr>
            <w:tcW w:type="dxa" w:w="2699"/>
            <w:vAlign w:val="center"/>
          </w:tcPr>
          <w:p>
            <w:pPr>
              <w:keepNext w:val="0"/>
              <w:spacing w:line="320" w:lineRule="exact" w:after="0" w:before="0"/>
              <w:ind w:firstLine="0"/>
              <w:jc w:val="left"/>
            </w:pPr>
            <w:r>
              <w:rPr>
                <w:b w:val="0"/>
                <w:sz w:val="21"/>
              </w:rPr>
              <w:t>操作项目、部件、工单及完成时间</w:t>
            </w:r>
          </w:p>
        </w:tc>
        <w:tc>
          <w:tcPr>
            <w:tcW w:type="dxa" w:w="2409"/>
            <w:vAlign w:val="center"/>
          </w:tcPr>
          <w:p>
            <w:pPr>
              <w:keepNext w:val="0"/>
              <w:spacing w:line="320" w:lineRule="exact" w:after="0" w:before="0"/>
              <w:ind w:firstLine="0"/>
              <w:jc w:val="left"/>
            </w:pPr>
            <w:r>
              <w:rPr>
                <w:b w:val="0"/>
                <w:sz w:val="21"/>
              </w:rPr>
              <w:t>与实际执行凭据对应</w:t>
            </w:r>
          </w:p>
        </w:tc>
        <w:tc>
          <w:tcPr>
            <w:tcW w:type="dxa" w:w="2891"/>
            <w:vAlign w:val="center"/>
          </w:tcPr>
          <w:p>
            <w:pPr>
              <w:keepNext w:val="0"/>
              <w:spacing w:line="320" w:lineRule="exact" w:after="0" w:before="0"/>
              <w:ind w:firstLine="0"/>
              <w:jc w:val="left"/>
            </w:pPr>
            <w:r>
              <w:rPr>
                <w:b w:val="0"/>
                <w:sz w:val="21"/>
              </w:rPr>
              <w:t>回填核实</w:t>
            </w:r>
          </w:p>
        </w:tc>
      </w:tr>
      <w:tr>
        <w:trPr>
          <w:cantSplit/>
        </w:trPr>
        <w:tc>
          <w:tcPr>
            <w:tcW w:type="dxa" w:w="1638"/>
            <w:vAlign w:val="center"/>
          </w:tcPr>
          <w:p>
            <w:pPr>
              <w:keepNext w:val="0"/>
              <w:spacing w:line="320" w:lineRule="exact" w:after="0" w:before="0"/>
              <w:ind w:firstLine="0"/>
              <w:jc w:val="left"/>
            </w:pPr>
            <w:r>
              <w:rPr>
                <w:b w:val="0"/>
                <w:sz w:val="21"/>
              </w:rPr>
              <w:t>根因证据</w:t>
            </w:r>
          </w:p>
        </w:tc>
        <w:tc>
          <w:tcPr>
            <w:tcW w:type="dxa" w:w="2699"/>
            <w:vAlign w:val="center"/>
          </w:tcPr>
          <w:p>
            <w:pPr>
              <w:keepNext w:val="0"/>
              <w:spacing w:line="320" w:lineRule="exact" w:after="0" w:before="0"/>
              <w:ind w:firstLine="0"/>
              <w:jc w:val="left"/>
            </w:pPr>
            <w:r>
              <w:rPr>
                <w:b w:val="0"/>
                <w:sz w:val="21"/>
              </w:rPr>
              <w:t>机理依据、复验或处理后验证</w:t>
            </w:r>
          </w:p>
        </w:tc>
        <w:tc>
          <w:tcPr>
            <w:tcW w:type="dxa" w:w="2409"/>
            <w:vAlign w:val="center"/>
          </w:tcPr>
          <w:p>
            <w:pPr>
              <w:keepNext w:val="0"/>
              <w:spacing w:line="320" w:lineRule="exact" w:after="0" w:before="0"/>
              <w:ind w:firstLine="0"/>
              <w:jc w:val="left"/>
            </w:pPr>
            <w:r>
              <w:rPr>
                <w:b w:val="0"/>
                <w:sz w:val="21"/>
              </w:rPr>
              <w:t>证据能够支撑结论范围</w:t>
            </w:r>
          </w:p>
        </w:tc>
        <w:tc>
          <w:tcPr>
            <w:tcW w:type="dxa" w:w="2891"/>
            <w:vAlign w:val="center"/>
          </w:tcPr>
          <w:p>
            <w:pPr>
              <w:keepNext w:val="0"/>
              <w:spacing w:line="320" w:lineRule="exact" w:after="0" w:before="0"/>
              <w:ind w:firstLine="0"/>
              <w:jc w:val="left"/>
            </w:pPr>
            <w:r>
              <w:rPr>
                <w:b w:val="0"/>
                <w:sz w:val="21"/>
              </w:rPr>
              <w:t>作为假设保留</w:t>
            </w:r>
          </w:p>
        </w:tc>
      </w:tr>
      <w:tr>
        <w:trPr>
          <w:cantSplit/>
        </w:trPr>
        <w:tc>
          <w:tcPr>
            <w:tcW w:type="dxa" w:w="1638"/>
            <w:vAlign w:val="center"/>
          </w:tcPr>
          <w:p>
            <w:pPr>
              <w:keepNext w:val="0"/>
              <w:spacing w:line="320" w:lineRule="exact" w:after="0" w:before="0"/>
              <w:ind w:firstLine="0"/>
              <w:jc w:val="left"/>
            </w:pPr>
            <w:r>
              <w:rPr>
                <w:b w:val="0"/>
                <w:sz w:val="21"/>
              </w:rPr>
              <w:t>后续反馈</w:t>
            </w:r>
          </w:p>
        </w:tc>
        <w:tc>
          <w:tcPr>
            <w:tcW w:type="dxa" w:w="2699"/>
            <w:vAlign w:val="center"/>
          </w:tcPr>
          <w:p>
            <w:pPr>
              <w:keepNext w:val="0"/>
              <w:spacing w:line="320" w:lineRule="exact" w:after="0" w:before="0"/>
              <w:ind w:firstLine="0"/>
              <w:jc w:val="left"/>
            </w:pPr>
            <w:r>
              <w:rPr>
                <w:b w:val="0"/>
                <w:sz w:val="21"/>
              </w:rPr>
              <w:t>是否复发、运行恢复及观察期限</w:t>
            </w:r>
          </w:p>
        </w:tc>
        <w:tc>
          <w:tcPr>
            <w:tcW w:type="dxa" w:w="2409"/>
            <w:vAlign w:val="center"/>
          </w:tcPr>
          <w:p>
            <w:pPr>
              <w:keepNext w:val="0"/>
              <w:spacing w:line="320" w:lineRule="exact" w:after="0" w:before="0"/>
              <w:ind w:firstLine="0"/>
              <w:jc w:val="left"/>
            </w:pPr>
            <w:r>
              <w:rPr>
                <w:b w:val="0"/>
                <w:sz w:val="21"/>
              </w:rPr>
              <w:t>反馈时间真实且未超出观察范围</w:t>
            </w:r>
          </w:p>
        </w:tc>
        <w:tc>
          <w:tcPr>
            <w:tcW w:type="dxa" w:w="2891"/>
            <w:vAlign w:val="center"/>
          </w:tcPr>
          <w:p>
            <w:pPr>
              <w:keepNext w:val="0"/>
              <w:spacing w:line="320" w:lineRule="exact" w:after="0" w:before="0"/>
              <w:ind w:firstLine="0"/>
              <w:jc w:val="left"/>
            </w:pPr>
            <w:r>
              <w:rPr>
                <w:b w:val="0"/>
                <w:sz w:val="21"/>
              </w:rPr>
              <w:t>标记观察不足</w:t>
            </w:r>
          </w:p>
        </w:tc>
      </w:tr>
      <w:tr>
        <w:trPr>
          <w:cantSplit/>
        </w:trPr>
        <w:tc>
          <w:tcPr>
            <w:tcW w:type="dxa" w:w="1638"/>
            <w:vAlign w:val="center"/>
          </w:tcPr>
          <w:p>
            <w:pPr>
              <w:keepNext w:val="0"/>
              <w:spacing w:line="320" w:lineRule="exact" w:after="0" w:before="0"/>
              <w:ind w:firstLine="0"/>
              <w:jc w:val="left"/>
            </w:pPr>
            <w:r>
              <w:rPr>
                <w:b w:val="0"/>
                <w:sz w:val="21"/>
              </w:rPr>
              <w:t>标签修订</w:t>
            </w:r>
          </w:p>
        </w:tc>
        <w:tc>
          <w:tcPr>
            <w:tcW w:type="dxa" w:w="2699"/>
            <w:vAlign w:val="center"/>
          </w:tcPr>
          <w:p>
            <w:pPr>
              <w:keepNext w:val="0"/>
              <w:spacing w:line="320" w:lineRule="exact" w:after="0" w:before="0"/>
              <w:ind w:firstLine="0"/>
              <w:jc w:val="left"/>
            </w:pPr>
            <w:r>
              <w:rPr>
                <w:b w:val="0"/>
                <w:sz w:val="21"/>
              </w:rPr>
              <w:t>原值、新值、依据和影响样本</w:t>
            </w:r>
          </w:p>
        </w:tc>
        <w:tc>
          <w:tcPr>
            <w:tcW w:type="dxa" w:w="2409"/>
            <w:vAlign w:val="center"/>
          </w:tcPr>
          <w:p>
            <w:pPr>
              <w:keepNext w:val="0"/>
              <w:spacing w:line="320" w:lineRule="exact" w:after="0" w:before="0"/>
              <w:ind w:firstLine="0"/>
              <w:jc w:val="left"/>
            </w:pPr>
            <w:r>
              <w:rPr>
                <w:b w:val="0"/>
                <w:sz w:val="21"/>
              </w:rPr>
              <w:t>旧值保留，新版复核</w:t>
            </w:r>
          </w:p>
        </w:tc>
        <w:tc>
          <w:tcPr>
            <w:tcW w:type="dxa" w:w="2891"/>
            <w:vAlign w:val="center"/>
          </w:tcPr>
          <w:p>
            <w:pPr>
              <w:keepNext w:val="0"/>
              <w:spacing w:line="320" w:lineRule="exact" w:after="0" w:before="0"/>
              <w:ind w:firstLine="0"/>
              <w:jc w:val="left"/>
            </w:pPr>
            <w:r>
              <w:rPr>
                <w:b w:val="0"/>
                <w:sz w:val="21"/>
              </w:rPr>
              <w:t>暂停相关确定性用途</w:t>
            </w:r>
          </w:p>
        </w:tc>
      </w:tr>
    </w:tbl>
    <w:p>
      <w:pPr>
        <w:spacing w:after="40" w:line="240" w:lineRule="auto"/>
        <w:ind w:firstLine="0"/>
      </w:pPr>
      <w:r>
        <w:rPr>
          <w:sz w:val="4"/>
        </w:rPr>
      </w:r>
    </w:p>
    <w:p>
      <w:pPr>
        <w:pStyle w:val="Heading2"/>
      </w:pPr>
      <w:r>
        <w:t>8.5 图像视频与检验结论关联</w:t>
      </w:r>
    </w:p>
    <w:p>
      <w:pPr>
        <w:jc w:val="both"/>
      </w:pPr>
      <w:r>
        <w:t>图像和视频样本保存工件、焊道、工序、相机、采集时间、曝光与分辨率信息。视频抽帧按时间戳索引，变帧率视频使用实际显示时间，不能简单用帧号除以名义帧率定位事件。连续帧保持源视频及片段家族，同一事件相邻帧不跨训练与评测切分，重复或几乎相同的帧不作为独立新增信息重复计量。</w:t>
      </w:r>
    </w:p>
    <w:p>
      <w:pPr>
        <w:jc w:val="both"/>
      </w:pPr>
      <w:r>
        <w:t>缺陷区域标注先确认可见对象和缺陷边界。反光、遮挡、污物、毛刺及加工纹理与真实缺陷分开标记；质量不足以判别的图像进入重采或无法判定状态。细裂纹保留线型及必要宽度信息，面积类缺陷按可见范围标注。多个相邻缺陷是否合并取决于规范定义，不能为提高交并比随意扩大框或将多个对象包在一个大框中。</w:t>
      </w:r>
    </w:p>
    <w:p>
      <w:pPr>
        <w:jc w:val="both"/>
      </w:pPr>
      <w:r>
        <w:t>像素尺寸与物理尺寸分别记录。物理尺寸须具备相机标定、比例尺或其他有效换算条件，图像缩放后保留转换关系。缺少标定时仅提供像素位置和相对形态，不给出无依据的毫米级缺陷尺寸。图像压缩、曝光调整与锐化等处理保留版本，不能把增强形成的边缘当成原始缺陷证据。</w:t>
      </w:r>
    </w:p>
    <w:p>
      <w:pPr>
        <w:jc w:val="both"/>
      </w:pPr>
      <w:r>
        <w:t>无损检测、硬度、切片和淬火层深结果按工件及检测部位关联。破坏性取样记录取样位置、样块编号及与母件的关系，某一切片结果不能无条件扩展为整件或整炉所有工件的结果。复检、更正和报告撤回形成独立状态，旧报告不继续作为当前正式标签来源。质量关联与参数关联分别核验，只有证据覆盖的范围才建立对应。</w:t>
      </w:r>
    </w:p>
    <w:p>
      <w:pPr>
        <w:pStyle w:val="Heading2"/>
      </w:pPr>
      <w:r>
        <w:t>8.6 经营决策问答的快照与计算检查</w:t>
      </w:r>
    </w:p>
    <w:p>
      <w:pPr>
        <w:jc w:val="both"/>
      </w:pPr>
      <w:r>
        <w:t>经营决策任务围绕九个业务域及统一指标体系组织。每条问题记录提出时点、用户可见范围、指标版本、业务限定、统计维度、周期和比较基期；省略条件从明确的对话上下文继承，并记录继承来源。跨轮发生主体、时间或范围变化时重新检查条件，不能将上一轮的隐含过滤条件继续错误沿用。</w:t>
      </w:r>
    </w:p>
    <w:p>
      <w:pPr>
        <w:jc w:val="both"/>
      </w:pPr>
      <w:r>
        <w:t>标准答案在冻结数据快照上复算。快照登记源系统批次、更新截止、币种及汇率口径、组织范围、已作废记录排除规则和缺失处理方式。汇总前检查多表关联是否造成一对多重复，区分事件日期与入账日期，库存时点量与期间累计量不得混算。百分比、增长率和占比保存分子分母，基期为零或缺失时执行规定的特殊处理，不直接产生无意义数值。</w:t>
      </w:r>
    </w:p>
    <w:p>
      <w:pPr>
        <w:jc w:val="both"/>
      </w:pPr>
      <w:r>
        <w:t>答案不仅核对最终数字，还核对过滤、聚合、单位和比较范围。相同结果可能由错误查询偶然得到，检查人员抽取边界记录及反例复算，确认逻辑与指标定义一致。数值容差按数据精度及业务舍入规则确定，禁止为了通过检查扩大容差。涉及权限的题目采用不同授权身份执行，验证无权访问时是否正确拒绝，以及统计聚合是否泄露被限制的明细。</w:t>
      </w:r>
    </w:p>
    <w:p>
      <w:pPr>
        <w:jc w:val="both"/>
      </w:pPr>
      <w:r>
        <w:t>经营异常归因标签保留事实分解与原因判断的区别。按产品、客户、组织或周期分解能够说明贡献变化，但不能直接证明业务因果；需要专家判断的原因附证据、适用条件和不确定性。合成问答改动数字或条件后重新执行计算和业务规则，不能只改问句而沿用旧答案。</w:t>
      </w:r>
    </w:p>
    <w:p>
      <w:pPr>
        <w:pStyle w:val="Heading2"/>
      </w:pPr>
      <w:r>
        <w:t>8.7 偏好对及人工评价组织</w:t>
      </w:r>
    </w:p>
    <w:p>
      <w:pPr>
        <w:jc w:val="both"/>
      </w:pPr>
      <w:r>
        <w:t>偏好生产先制定评价维度及优先顺序。事实和业务约束正确、证据有效、任务完成、权限合规属于实质维度；表达清楚和结构合理作为补充维度。不同长度、语气或措辞不单独决定优劣。含有关键事实错误或越权披露的回答，不能因文字流畅而被选为优答。</w:t>
      </w:r>
    </w:p>
    <w:p>
      <w:pPr>
        <w:jc w:val="both"/>
      </w:pPr>
      <w:r>
        <w:t>评价者在盲态条件下看到同一输入和两条候选回答，展示位置随机，模型名称及生成来源隐藏。每次判断记录胜出侧、差异类型、证据位置、置信程度和必要说明。随机交换候选顺序复核一部分样本，监测位置偏好；检查长度差异与选择结果的关联，识别非业务偏好。评价者的可靠性通过独立审核样本和交叉复核衡量，发现异常时重新培训并复查相应批次。</w:t>
      </w:r>
    </w:p>
    <w:p>
      <w:pPr>
        <w:jc w:val="both"/>
      </w:pPr>
      <w:r>
        <w:t>两条回答均正确但方案不同的，依据任务明确的评价目标判断；缺乏充分差异依据时标记平局并退出二元偏好交付清单。两条均不合格的，重新组织候选，不能把较少错误的一条直接认定为合格优答。需要保留相对质量对照的研究样本单独标识，其使用范围与正式偏好训练要求一致后才可纳入。</w:t>
      </w:r>
    </w:p>
    <w:p>
      <w:pPr>
        <w:jc w:val="both"/>
      </w:pPr>
      <w:r>
        <w:t>偏好数据与奖励模型训练按源指令、输入及回答家族切分，不能仅打乱回答顺序制造测试样本。训练后检查奖励得分是否被长度、固定套话、引用数量等特征操纵，使用事实一致但表达不同的成对样本复核。对齐模型评估保留对齐前模型为固定对照，人工盲评统计胜、平、负和有效评价数，并报告不同业务域的结果。</w:t>
      </w:r>
    </w:p>
    <w:p>
      <w:pPr>
        <w:pStyle w:val="Heading2"/>
      </w:pPr>
      <w:r>
        <w:t>8.8 抽样设计及质量结论复核</w:t>
      </w:r>
    </w:p>
    <w:p>
      <w:pPr>
        <w:jc w:val="both"/>
      </w:pPr>
      <w:r>
        <w:t>批次抽检先确定总体清单，再按业务域、来源、标签、难度、人员和时间分层。抽样配置保存总体摘要、随机种子、各层样本量、纳入概率及补充定向样本范围。质量人员直接从冻结清单抽取，作业人员不能替换难样本、删除已发现错误或先筛选“可展示”的样本。</w:t>
      </w:r>
    </w:p>
    <w:p>
      <w:pPr>
        <w:jc w:val="both"/>
      </w:pPr>
      <w:r>
        <w:t>比例抽检与最小样本量共同控制。首批或高风险批次采用较高抽检比例，并检查每个必要分层是否有足够样本；小批次按需要全检，极少数类单独增加核验。估计比例所需样本量根据期望精度和置信水平确定，可采用n₀＝z²p（1－p）／e²估算初始数量，再按有限总体N修正为n＝Nn₀／（N＋n₀－1），结果向上取整并与风险要求取较高者。样本存在同源相关时，按家族抽样或增加样本，不把连续视频帧当作独立随机观测。</w:t>
      </w:r>
    </w:p>
    <w:p>
      <w:pPr>
        <w:jc w:val="both"/>
      </w:pPr>
      <w:r>
        <w:t>自动筛出的可疑样本与随机抽样结果分别报告。定向样本能够发现高风险错误，但其错误率不能未经加权直接代表总体；总体指标依据概率抽样及其权重计算，同时单列定向检查命中量。抽样中发现关键错误立即阻断并扩大检查，不能等总体合格率计算后再决定是否处理。</w:t>
      </w:r>
    </w:p>
    <w:p>
      <w:pPr>
        <w:jc w:val="both"/>
      </w:pPr>
      <w:r>
        <w:t>抽检结论保存分子、分母、置信区间和各层明细。未检不计为合格，无法判定不计为正确；按预定规则将其计入失败或单列并触发补证，处理规则在检查前固定。一个样本存在多处错误时，分别统计样本不合格率和缺陷项数，避免两个口径混用。复检保留原抽检结果，新一轮结果另行登记，不覆盖失败记录。</w:t>
      </w:r>
    </w:p>
    <w:p>
      <w:pPr>
        <w:pStyle w:val="Heading2"/>
      </w:pPr>
      <w:r>
        <w:t>8.9 缺陷分级与影响范围追踪</w:t>
      </w:r>
    </w:p>
    <w:p>
      <w:pPr>
        <w:jc w:val="both"/>
      </w:pPr>
      <w:r>
        <w:t>缺陷严重程度分高、中、低，原因类别按采集、解析、标注、加工、治理等统一字典登记。严重程度决定阻断及处置优先级，原因类别决定修复岗位，两者独立。缺陷记录还可关联脏数据、矛盾标注、覆盖盲区和难度分布缺口等模型验证归因，避免同一问题在质检与验证台账中重复建单或丢失关联。</w:t>
      </w:r>
    </w:p>
    <w:p>
      <w:pPr>
        <w:jc w:val="both"/>
      </w:pPr>
      <w:r>
        <w:t>高风险缺陷包括招标要求清零的涉政、色情、暴恐、涉密和未脱敏隐私等问题，结合业务用途核实后执行隔离、阻断、追踪和复检。自动检出的高危样本全部人工复核，误报保留排除依据，确认缺陷立即检查同源对象和派生内容。中低风险缺陷按标准修正标签、补齐样本、剔除重复及更新说明，涉及关键工艺或重要业务判断的错误同时评估其实际后果，不能仅凭字段类型认定为低风险。</w:t>
      </w:r>
    </w:p>
    <w:p>
      <w:pPr>
        <w:jc w:val="both"/>
      </w:pPr>
      <w:r>
        <w:t>影响追踪从源对象、加工配置、标签规范、知识条目、提示词、教师模型和数据版本多个入口查询。某条规则有误时，不只修复最先发现的样本，还检查所有使用该规则的批次及后续训练模型；某来源授权撤销时，检查原件、切片、向量、缓存、派生样本及外发记录。每个影响对象有处置状态和复核记录，无法确定范围时先扩大隔离，待证据明确后缩小。</w:t>
      </w:r>
    </w:p>
    <w:p>
      <w:pPr>
        <w:pStyle w:val="Caption"/>
        <w:keepNext/>
      </w:pPr>
      <w:r>
        <w:t>表8-3 缺陷分级与影响范围追踪</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缺陷信息</w:t>
            </w:r>
          </w:p>
        </w:tc>
        <w:tc>
          <w:tcPr>
            <w:tcW w:type="dxa" w:w="4048"/>
            <w:vAlign w:val="center"/>
            <w:shd w:fill="EDF1F3"/>
          </w:tcPr>
          <w:p>
            <w:pPr>
              <w:keepNext/>
              <w:spacing w:line="320" w:lineRule="exact" w:after="0" w:before="0"/>
              <w:ind w:firstLine="0"/>
              <w:jc w:val="center"/>
            </w:pPr>
            <w:r>
              <w:rPr>
                <w:b/>
                <w:sz w:val="21"/>
              </w:rPr>
              <w:t>登记内容</w:t>
            </w:r>
          </w:p>
        </w:tc>
        <w:tc>
          <w:tcPr>
            <w:tcW w:type="dxa" w:w="3470"/>
            <w:vAlign w:val="center"/>
            <w:shd w:fill="EDF1F3"/>
          </w:tcPr>
          <w:p>
            <w:pPr>
              <w:keepNext/>
              <w:spacing w:line="320" w:lineRule="exact" w:after="0" w:before="0"/>
              <w:ind w:firstLine="0"/>
              <w:jc w:val="center"/>
            </w:pPr>
            <w:r>
              <w:rPr>
                <w:b/>
                <w:sz w:val="21"/>
              </w:rPr>
              <w:t>处置用途</w:t>
            </w:r>
          </w:p>
        </w:tc>
      </w:tr>
      <w:tr>
        <w:trPr>
          <w:cantSplit/>
        </w:trPr>
        <w:tc>
          <w:tcPr>
            <w:tcW w:type="dxa" w:w="2120"/>
            <w:vAlign w:val="center"/>
          </w:tcPr>
          <w:p>
            <w:pPr>
              <w:keepNext w:val="0"/>
              <w:spacing w:line="320" w:lineRule="exact" w:after="0" w:before="0"/>
              <w:ind w:firstLine="0"/>
              <w:jc w:val="left"/>
            </w:pPr>
            <w:r>
              <w:rPr>
                <w:b w:val="0"/>
                <w:sz w:val="21"/>
              </w:rPr>
              <w:t>问题身份</w:t>
            </w:r>
          </w:p>
        </w:tc>
        <w:tc>
          <w:tcPr>
            <w:tcW w:type="dxa" w:w="4048"/>
            <w:vAlign w:val="center"/>
          </w:tcPr>
          <w:p>
            <w:pPr>
              <w:keepNext w:val="0"/>
              <w:spacing w:line="320" w:lineRule="exact" w:after="0" w:before="0"/>
              <w:ind w:firstLine="0"/>
              <w:jc w:val="left"/>
            </w:pPr>
            <w:r>
              <w:rPr>
                <w:b w:val="0"/>
                <w:sz w:val="21"/>
              </w:rPr>
              <w:t>工单号、发现阶段、对象及版本</w:t>
            </w:r>
          </w:p>
        </w:tc>
        <w:tc>
          <w:tcPr>
            <w:tcW w:type="dxa" w:w="3470"/>
            <w:vAlign w:val="center"/>
          </w:tcPr>
          <w:p>
            <w:pPr>
              <w:keepNext w:val="0"/>
              <w:spacing w:line="320" w:lineRule="exact" w:after="0" w:before="0"/>
              <w:ind w:firstLine="0"/>
              <w:jc w:val="left"/>
            </w:pPr>
            <w:r>
              <w:rPr>
                <w:b w:val="0"/>
                <w:sz w:val="21"/>
              </w:rPr>
              <w:t>避免重复登记并支持追溯</w:t>
            </w:r>
          </w:p>
        </w:tc>
      </w:tr>
      <w:tr>
        <w:trPr>
          <w:cantSplit/>
        </w:trPr>
        <w:tc>
          <w:tcPr>
            <w:tcW w:type="dxa" w:w="2120"/>
            <w:vAlign w:val="center"/>
          </w:tcPr>
          <w:p>
            <w:pPr>
              <w:keepNext w:val="0"/>
              <w:spacing w:line="320" w:lineRule="exact" w:after="0" w:before="0"/>
              <w:ind w:firstLine="0"/>
              <w:jc w:val="left"/>
            </w:pPr>
            <w:r>
              <w:rPr>
                <w:b w:val="0"/>
                <w:sz w:val="21"/>
              </w:rPr>
              <w:t>分级与原因</w:t>
            </w:r>
          </w:p>
        </w:tc>
        <w:tc>
          <w:tcPr>
            <w:tcW w:type="dxa" w:w="4048"/>
            <w:vAlign w:val="center"/>
          </w:tcPr>
          <w:p>
            <w:pPr>
              <w:keepNext w:val="0"/>
              <w:spacing w:line="320" w:lineRule="exact" w:after="0" w:before="0"/>
              <w:ind w:firstLine="0"/>
              <w:jc w:val="left"/>
            </w:pPr>
            <w:r>
              <w:rPr>
                <w:b w:val="0"/>
                <w:sz w:val="21"/>
              </w:rPr>
              <w:t>严重程度、原因类别、判断依据</w:t>
            </w:r>
          </w:p>
        </w:tc>
        <w:tc>
          <w:tcPr>
            <w:tcW w:type="dxa" w:w="3470"/>
            <w:vAlign w:val="center"/>
          </w:tcPr>
          <w:p>
            <w:pPr>
              <w:keepNext w:val="0"/>
              <w:spacing w:line="320" w:lineRule="exact" w:after="0" w:before="0"/>
              <w:ind w:firstLine="0"/>
              <w:jc w:val="left"/>
            </w:pPr>
            <w:r>
              <w:rPr>
                <w:b w:val="0"/>
                <w:sz w:val="21"/>
              </w:rPr>
              <w:t>确定优先级与责任岗位</w:t>
            </w:r>
          </w:p>
        </w:tc>
      </w:tr>
      <w:tr>
        <w:trPr>
          <w:cantSplit/>
        </w:trPr>
        <w:tc>
          <w:tcPr>
            <w:tcW w:type="dxa" w:w="2120"/>
            <w:vAlign w:val="center"/>
          </w:tcPr>
          <w:p>
            <w:pPr>
              <w:keepNext w:val="0"/>
              <w:spacing w:line="320" w:lineRule="exact" w:after="0" w:before="0"/>
              <w:ind w:firstLine="0"/>
              <w:jc w:val="left"/>
            </w:pPr>
            <w:r>
              <w:rPr>
                <w:b w:val="0"/>
                <w:sz w:val="21"/>
              </w:rPr>
              <w:t>影响范围</w:t>
            </w:r>
          </w:p>
        </w:tc>
        <w:tc>
          <w:tcPr>
            <w:tcW w:type="dxa" w:w="4048"/>
            <w:vAlign w:val="center"/>
          </w:tcPr>
          <w:p>
            <w:pPr>
              <w:keepNext w:val="0"/>
              <w:spacing w:line="320" w:lineRule="exact" w:after="0" w:before="0"/>
              <w:ind w:firstLine="0"/>
              <w:jc w:val="left"/>
            </w:pPr>
            <w:r>
              <w:rPr>
                <w:b w:val="0"/>
                <w:sz w:val="21"/>
              </w:rPr>
              <w:t>样本、批次、派生家族、模型和发布对象</w:t>
            </w:r>
          </w:p>
        </w:tc>
        <w:tc>
          <w:tcPr>
            <w:tcW w:type="dxa" w:w="3470"/>
            <w:vAlign w:val="center"/>
          </w:tcPr>
          <w:p>
            <w:pPr>
              <w:keepNext w:val="0"/>
              <w:spacing w:line="320" w:lineRule="exact" w:after="0" w:before="0"/>
              <w:ind w:firstLine="0"/>
              <w:jc w:val="left"/>
            </w:pPr>
            <w:r>
              <w:rPr>
                <w:b w:val="0"/>
                <w:sz w:val="21"/>
              </w:rPr>
              <w:t>组织隔离及修复</w:t>
            </w:r>
          </w:p>
        </w:tc>
      </w:tr>
      <w:tr>
        <w:trPr>
          <w:cantSplit/>
        </w:trPr>
        <w:tc>
          <w:tcPr>
            <w:tcW w:type="dxa" w:w="2120"/>
            <w:vAlign w:val="center"/>
          </w:tcPr>
          <w:p>
            <w:pPr>
              <w:keepNext w:val="0"/>
              <w:spacing w:line="320" w:lineRule="exact" w:after="0" w:before="0"/>
              <w:ind w:firstLine="0"/>
              <w:jc w:val="left"/>
            </w:pPr>
            <w:r>
              <w:rPr>
                <w:b w:val="0"/>
                <w:sz w:val="21"/>
              </w:rPr>
              <w:t>执行证据</w:t>
            </w:r>
          </w:p>
        </w:tc>
        <w:tc>
          <w:tcPr>
            <w:tcW w:type="dxa" w:w="4048"/>
            <w:vAlign w:val="center"/>
          </w:tcPr>
          <w:p>
            <w:pPr>
              <w:keepNext w:val="0"/>
              <w:spacing w:line="320" w:lineRule="exact" w:after="0" w:before="0"/>
              <w:ind w:firstLine="0"/>
              <w:jc w:val="left"/>
            </w:pPr>
            <w:r>
              <w:rPr>
                <w:b w:val="0"/>
                <w:sz w:val="21"/>
              </w:rPr>
              <w:t>修改前后内容、规则变更、执行日志</w:t>
            </w:r>
          </w:p>
        </w:tc>
        <w:tc>
          <w:tcPr>
            <w:tcW w:type="dxa" w:w="3470"/>
            <w:vAlign w:val="center"/>
          </w:tcPr>
          <w:p>
            <w:pPr>
              <w:keepNext w:val="0"/>
              <w:spacing w:line="320" w:lineRule="exact" w:after="0" w:before="0"/>
              <w:ind w:firstLine="0"/>
              <w:jc w:val="left"/>
            </w:pPr>
            <w:r>
              <w:rPr>
                <w:b w:val="0"/>
                <w:sz w:val="21"/>
              </w:rPr>
              <w:t>复检核查</w:t>
            </w:r>
          </w:p>
        </w:tc>
      </w:tr>
      <w:tr>
        <w:trPr>
          <w:cantSplit/>
        </w:trPr>
        <w:tc>
          <w:tcPr>
            <w:tcW w:type="dxa" w:w="2120"/>
            <w:vAlign w:val="center"/>
          </w:tcPr>
          <w:p>
            <w:pPr>
              <w:keepNext w:val="0"/>
              <w:spacing w:line="320" w:lineRule="exact" w:after="0" w:before="0"/>
              <w:ind w:firstLine="0"/>
              <w:jc w:val="left"/>
            </w:pPr>
            <w:r>
              <w:rPr>
                <w:b w:val="0"/>
                <w:sz w:val="21"/>
              </w:rPr>
              <w:t>复检结论</w:t>
            </w:r>
          </w:p>
        </w:tc>
        <w:tc>
          <w:tcPr>
            <w:tcW w:type="dxa" w:w="4048"/>
            <w:vAlign w:val="center"/>
          </w:tcPr>
          <w:p>
            <w:pPr>
              <w:keepNext w:val="0"/>
              <w:spacing w:line="320" w:lineRule="exact" w:after="0" w:before="0"/>
              <w:ind w:firstLine="0"/>
              <w:jc w:val="left"/>
            </w:pPr>
            <w:r>
              <w:rPr>
                <w:b w:val="0"/>
                <w:sz w:val="21"/>
              </w:rPr>
              <w:t>方法、范围、结果、人员和时间</w:t>
            </w:r>
          </w:p>
        </w:tc>
        <w:tc>
          <w:tcPr>
            <w:tcW w:type="dxa" w:w="3470"/>
            <w:vAlign w:val="center"/>
          </w:tcPr>
          <w:p>
            <w:pPr>
              <w:keepNext w:val="0"/>
              <w:spacing w:line="320" w:lineRule="exact" w:after="0" w:before="0"/>
              <w:ind w:firstLine="0"/>
              <w:jc w:val="left"/>
            </w:pPr>
            <w:r>
              <w:rPr>
                <w:b w:val="0"/>
                <w:sz w:val="21"/>
              </w:rPr>
              <w:t>判断能否关闭</w:t>
            </w:r>
          </w:p>
        </w:tc>
      </w:tr>
      <w:tr>
        <w:trPr>
          <w:cantSplit/>
        </w:trPr>
        <w:tc>
          <w:tcPr>
            <w:tcW w:type="dxa" w:w="2120"/>
            <w:vAlign w:val="center"/>
          </w:tcPr>
          <w:p>
            <w:pPr>
              <w:keepNext w:val="0"/>
              <w:spacing w:line="320" w:lineRule="exact" w:after="0" w:before="0"/>
              <w:ind w:firstLine="0"/>
              <w:jc w:val="left"/>
            </w:pPr>
            <w:r>
              <w:rPr>
                <w:b w:val="0"/>
                <w:sz w:val="21"/>
              </w:rPr>
              <w:t>发布处置</w:t>
            </w:r>
          </w:p>
        </w:tc>
        <w:tc>
          <w:tcPr>
            <w:tcW w:type="dxa" w:w="4048"/>
            <w:vAlign w:val="center"/>
          </w:tcPr>
          <w:p>
            <w:pPr>
              <w:keepNext w:val="0"/>
              <w:spacing w:line="320" w:lineRule="exact" w:after="0" w:before="0"/>
              <w:ind w:firstLine="0"/>
              <w:jc w:val="left"/>
            </w:pPr>
            <w:r>
              <w:rPr>
                <w:b w:val="0"/>
                <w:sz w:val="21"/>
              </w:rPr>
              <w:t>继续隔离、恢复使用、撤回或替代版本</w:t>
            </w:r>
          </w:p>
        </w:tc>
        <w:tc>
          <w:tcPr>
            <w:tcW w:type="dxa" w:w="3470"/>
            <w:vAlign w:val="center"/>
          </w:tcPr>
          <w:p>
            <w:pPr>
              <w:keepNext w:val="0"/>
              <w:spacing w:line="320" w:lineRule="exact" w:after="0" w:before="0"/>
              <w:ind w:firstLine="0"/>
              <w:jc w:val="left"/>
            </w:pPr>
            <w:r>
              <w:rPr>
                <w:b w:val="0"/>
                <w:sz w:val="21"/>
              </w:rPr>
              <w:t>控制后续使用</w:t>
            </w:r>
          </w:p>
        </w:tc>
      </w:tr>
    </w:tbl>
    <w:p>
      <w:pPr>
        <w:spacing w:after="40" w:line="240" w:lineRule="auto"/>
        <w:ind w:firstLine="0"/>
      </w:pPr>
      <w:r>
        <w:rPr>
          <w:sz w:val="4"/>
        </w:rPr>
      </w:r>
    </w:p>
    <w:p>
      <w:pPr>
        <w:pStyle w:val="Heading2"/>
      </w:pPr>
      <w:r>
        <w:t>8.10 训练实验与资源记录</w:t>
      </w:r>
    </w:p>
    <w:p>
      <w:pPr>
        <w:jc w:val="both"/>
      </w:pPr>
      <w:r>
        <w:t>每次训练建立实验单，记录数据集及子集版本、样本清单摘要、切分策略、分词器或模态处理器、基座权重、训练目标、采样配比、超参数、硬件及软件环境。不同业务域的样本量和Token量分别核算，继续预训练记录实际消费Token、重复轮次及混合权重，不能以交付规模代替实际训练消耗。</w:t>
      </w:r>
    </w:p>
    <w:p>
      <w:pPr>
        <w:jc w:val="both"/>
      </w:pPr>
      <w:r>
        <w:t>继续预训练采用适用开源模型实施，保存损失曲线、学习率、吞吐、异常、检查点和中间评测。保留语料在切分后独立封存，同一分词器、上下文处理、截断与损失掩膜下比较困惑度；不同分词器得到的数值不直接比较。图像、视频及时间序列使用适配的表示和模型通道，文本困惑度不代替多模态理解效果。</w:t>
      </w:r>
    </w:p>
    <w:p>
      <w:pPr>
        <w:jc w:val="both"/>
      </w:pPr>
      <w:r>
        <w:t>指令微调实施基础实验、子集消融和混合配比实验。训练方法可采用全参数或适用的高效微调，记录冻结及训练参数范围、适配器配置和合并方式。不同方法比较时保持评测协议一致，同时报告算力和训练步数差异。多轮样本检查角色顺序、监督范围、历史上下文和答案位置，禁止将不应预测的输入或工具日志错误作为监督答案。</w:t>
      </w:r>
    </w:p>
    <w:p>
      <w:pPr>
        <w:jc w:val="both"/>
      </w:pPr>
      <w:r>
        <w:t>偏好验证包含行业奖励模型训练及对齐训练，分别记录训练目标、候选采样、奖励评估、参考模型约束和检查点。检测异常奖励增长与实际回答质量下降的情况，人工抽查关键业务输出。训练中止、恢复及检查点选择保留日志，检查点仅依据独立开发验证确定；正式基准不参与选择最优轮次。</w:t>
      </w:r>
    </w:p>
    <w:p>
      <w:pPr>
        <w:jc w:val="both"/>
      </w:pPr>
      <w:r>
        <w:t>训练任务执行资源配额与恢复检查。异常中断后核对检查点、优化状态、数据游标和随机状态，恢复运行记录已消费样本及重复处理范围。不可恢复的任务保留失败记录并重新建实验，不将不同运行的部分指标拼成一份完整结果。实验结论同时报告失败及排除的运行，排除理由在结果分析中可追溯。</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9" name="Picture 9"/>
            <wp:cNvGraphicFramePr>
              <a:graphicFrameLocks noChangeAspect="1"/>
            </wp:cNvGraphicFramePr>
            <a:graphic>
              <a:graphicData uri="http://schemas.openxmlformats.org/drawingml/2006/picture">
                <pic:pic>
                  <pic:nvPicPr>
                    <pic:cNvPr id="0" name="图9_来源隔离.png"/>
                    <pic:cNvPicPr/>
                  </pic:nvPicPr>
                  <pic:blipFill>
                    <a:blip r:embed="rId19"/>
                    <a:stretch>
                      <a:fillRect/>
                    </a:stretch>
                  </pic:blipFill>
                  <pic:spPr>
                    <a:xfrm>
                      <a:off x="0" y="0"/>
                      <a:ext cx="6048000" cy="2477354"/>
                    </a:xfrm>
                    <a:prstGeom prst="rect"/>
                  </pic:spPr>
                </pic:pic>
              </a:graphicData>
            </a:graphic>
          </wp:inline>
        </w:drawing>
      </w:r>
    </w:p>
    <w:p>
      <w:pPr>
        <w:pStyle w:val="Caption"/>
        <w:jc w:val="center"/>
      </w:pPr>
      <w:r>
        <w:t>图 8-1 来源家族与用途隔离</w:t>
      </w:r>
    </w:p>
    <w:p>
      <w:pPr>
        <w:pStyle w:val="Heading2"/>
      </w:pPr>
      <w:r>
        <w:t>8.11 固化评测与统计比较</w:t>
      </w:r>
    </w:p>
    <w:p>
      <w:pPr>
        <w:jc w:val="both"/>
      </w:pPr>
      <w:r>
        <w:t>评测协议固定任务定义、输入输出结构、知识及权限条件、模型调用参数、超时重试、判分方法、人工复核和统计口径。模型拒答、输出格式错误、调用失败和超时分别记录。服务暂时失败可按统一规则重试，重试次数和最终结果留痕，不仅保留成功调用；模型自身未完成任务不能通过重试筛选最优回答掩盖。</w:t>
      </w:r>
    </w:p>
    <w:p>
      <w:pPr>
        <w:jc w:val="both"/>
      </w:pPr>
      <w:r>
        <w:t>多模态评测核对模型实际收到的输入，包括图像尺寸、裁剪、帧采样、时序长度、单位及缺失掩膜。纯文本模型只能接受文本条件时，其结果标为文本条件任务，不与直接观察图像或时序的结果混成同一指标。不同模型具有不同上下文上限时，明确采用共同输入范围或分层比较，输入不相同时不作无条件优劣结论。</w:t>
      </w:r>
    </w:p>
    <w:p>
      <w:pPr>
        <w:jc w:val="both"/>
      </w:pPr>
      <w:r>
        <w:t>自动判分采用适合任务的规则：字段提取核对规范化前后的值及单位，实体抽取同时报告精确率和召回率，类别判定报告混淆矩阵及少数类结果，位置判定兼查配对、漏标与交并比，数值判定依据固定容差，工艺方案判定检查强制约束及等效合法解。开放文本使用明确要点和错误扣分规则，人工复核样本覆盖低分、高分、规则争议和关键业务题。</w:t>
      </w:r>
    </w:p>
    <w:p>
      <w:pPr>
        <w:jc w:val="both"/>
      </w:pPr>
      <w:r>
        <w:t>模型辅助判分仅作为可复核工具，记录判分模型、提示词和版本，检查位置偏好、长度偏好及对模型来源的偏好。标准答案、业务规则与人工裁定具有明确证据优先关系，不能由自动裁判自行修改。对判分一致性不足的题型增加人工复核并修订规则，规则变更后的全部比较结果按新协议重算。</w:t>
      </w:r>
    </w:p>
    <w:p>
      <w:pPr>
        <w:jc w:val="both"/>
      </w:pPr>
      <w:r>
        <w:t>能力比较使用同一题目上的配对结果，报告有效题数、平均值、差值、置信区间和业务意义。多次随机运行保留离散程度，同源样本相关时按家族进行重采样或分层统计。多项能力同时比较时，提前指定主要指标及辅助指标，避免事后只挑改善最大的指标。小样本或高方差情况下结论明确保留不确定性，不将微小分差写成稳定提升。</w:t>
      </w:r>
    </w:p>
    <w:p>
      <w:pPr>
        <w:jc w:val="both"/>
      </w:pPr>
      <w:r>
        <w:t>能力雷达图各轴使用固定定义、方向和归一化区间，四阶段模型共用同一尺度。原始指标值与归一化值一并交付，缺测项目保留缺测状态，不填零或平均值伪装完整结果。图示呈现实际提升、持平或下降，正文结论由逐项数据支持。</w:t>
      </w:r>
    </w:p>
    <w:p>
      <w:pPr>
        <w:pStyle w:val="Heading2"/>
      </w:pPr>
      <w:r>
        <w:t>8.12 版本计量与发布核对</w:t>
      </w:r>
    </w:p>
    <w:p>
      <w:pPr>
        <w:jc w:val="both"/>
      </w:pPr>
      <w:r>
        <w:t>版本计量从冻结清单执行，分别统计四个数据集和十六个用途任务。预训练计量声明分词器及版本、规范化方式、有效文本范围、特殊符号和重复内容处置规则；不能通过选择不同分词器任意扩大Token量。图片文件字节数、视频帧数和时序点数保留各自计量单位，不未经统一规则直接折算为文本Token抵充规模。</w:t>
      </w:r>
    </w:p>
    <w:p>
      <w:pPr>
        <w:jc w:val="both"/>
      </w:pPr>
      <w:r>
        <w:t>指令微调以具备完整指令、输入及有效响应的样本条数统计，多轮会话的计数粒度固定；拆分单条会话时核查每条是否构成独立有效任务。偏好按完整优劣对统计，同一对交换顺序不形成新增组。基准按独立题目及其答案、判分规则统计，重复问法及相同来源家族按统一去重规则核算。</w:t>
      </w:r>
    </w:p>
    <w:p>
      <w:pPr>
        <w:jc w:val="both"/>
      </w:pPr>
      <w:r>
        <w:t>正式计量先检查许可和质量，再检查重复及用途，最后核对规模、模态和时效性。缺失关键附件、无法加载模态、撤回知识、未通过复检及未验证批次从正式清单排除，同时计算需要补足的数量。四域及各子集分别达到约定规模，不能用某一数据集超额抵消另一数据集不足，也不能用预训练Token抵消监督样本条数不足。</w:t>
      </w:r>
    </w:p>
    <w:p>
      <w:pPr>
        <w:jc w:val="both"/>
      </w:pPr>
      <w:r>
        <w:t>近3年统计固定版本截止日和时间区间，记录样本真实形成时间的来源及置信状态。业务时间未知的对象不直接计入近3年分子，补证后再更新统计。含多个模态和多个业务事件的样本按统一规定选择其任务对应业务时间，不能挑选最晚文件修改时间。保留年度分布和源家族分布，检查少量近期样本大量派生带来的比例失真。</w:t>
      </w:r>
    </w:p>
    <w:p>
      <w:pPr>
        <w:pStyle w:val="Heading2"/>
      </w:pPr>
      <w:r>
        <w:t>8.13 封装解析及发布一致性</w:t>
      </w:r>
    </w:p>
    <w:p>
      <w:pPr>
        <w:jc w:val="both"/>
      </w:pPr>
      <w:r>
        <w:t>自描述封装包含数据内容、元数据与卡片、数据字典、质量验证报告、校验清单及使用程序等组成部分。每一组成部分有路径、版本、用途和权限声明。文件相对路径能够在独立环境解析，不依赖本机绝对路径、平台内部地址或临时下载链接；二进制资源与文本样本的引用逐项对账。</w:t>
      </w:r>
    </w:p>
    <w:p>
      <w:pPr>
        <w:jc w:val="both"/>
      </w:pPr>
      <w:r>
        <w:t>机器可读结构规定字段类型、必填条件、枚举、单位、字符编码及时间格式，复合样本说明对象关系和外键约束。空值、零值、空数组、未知和不适用分别定义，接收程序不能自行混同。压缩包内容与清单保持一致，重复路径、大小写冲突、越出包目录的引用或缺失资源均阻断发布。</w:t>
      </w:r>
    </w:p>
    <w:p>
      <w:pPr>
        <w:jc w:val="both"/>
      </w:pPr>
      <w:r>
        <w:t>解析验证分文件、记录和业务语义三个层次。文件层检查存在、大小和摘要；记录层检查编码、结构和字段约束；业务层抽查单位、标签含义、时间、来源及跨模态对应。读取成功不等于业务解析正确，抽样加载后还须复算代表性结果并回查原始证据。解析日志按检查范围保存，失败对象修复后重跑相应范围及关联回归检查。</w:t>
      </w:r>
    </w:p>
    <w:p>
      <w:pPr>
        <w:jc w:val="both"/>
      </w:pPr>
      <w:r>
        <w:t>正式发布采用先准备后切换的方式。数据包、卡片、报告和运营登记在候选区域对齐，检查通过后统一生效，避免使用方先取得新版卡片却仍读取旧数据。发布失败保留旧版有效供给及新候选状态，恢复时核查各组件版本，不留下半完成的发布记录。修复版本同样执行完整条件，历史版按授权和保留要求管理。</w:t>
      </w:r>
    </w:p>
    <w:p>
      <w:pPr>
        <w:pStyle w:val="Heading2"/>
      </w:pPr>
      <w:r>
        <w:t>8.14 质量问题回流与持续使用检查</w:t>
      </w:r>
    </w:p>
    <w:p>
      <w:pPr>
        <w:jc w:val="both"/>
      </w:pPr>
      <w:r>
        <w:t>运营反馈关联数据集版本、样本标识、使用场景、问题描述及复现证据。收到问题后先核查使用方式、权限和输入条件，再判断数据、模型、接口、检索或业务规则原因。问题涉及数据源或加工配置时，沿血缘追踪影响范围并生成修复任务，相关版本在影响明确前采取限制或暂停供给措施。</w:t>
      </w:r>
    </w:p>
    <w:p>
      <w:pPr>
        <w:jc w:val="both"/>
      </w:pPr>
      <w:r>
        <w:t>修订计划同时列出整改类型、源范围、目标子集、预计数量、检查方式和验证要求。补采任务说明所需真实业务时间与模态，重标任务说明规范和证据变化，重合成任务绑定修正后的种子与提示词，重新增强任务说明算子和参数变化。任务关闭以结果和复检证明为依据，不能以“已经分派”或“已经提交新版”代替解决。</w:t>
      </w:r>
    </w:p>
    <w:p>
      <w:pPr>
        <w:jc w:val="both"/>
      </w:pPr>
      <w:r>
        <w:t>撤回处置追踪已经移交及实际提供范围，核对运营目录、缓存、下载包、检索索引和受影响模型记录。数据内容可删除或替换时保留必要的处置凭证，训练模型已使用的问题按影响评估决定重训、验证或使用限制。新版本发布后通知获授权的接收渠道完成版本更新，回收处置记录进入项目档案。</w:t>
      </w:r>
    </w:p>
    <w:p>
      <w:pPr>
        <w:pStyle w:val="Heading1"/>
      </w:pPr>
      <w:r>
        <w:t>9 实施组织进度与成果验收</w:t>
      </w:r>
    </w:p>
    <w:p>
      <w:pPr>
        <w:pStyle w:val="Heading2"/>
      </w:pPr>
      <w:r>
        <w:t>9.1 岗位安排与作业能力核验</w:t>
      </w:r>
    </w:p>
    <w:p>
      <w:pPr>
        <w:jc w:val="both"/>
      </w:pPr>
      <w:r>
        <w:t>我方设置规范与知识、标注生产、合成增强、质量检验、训练验证、专业评审和版本管理岗位。岗位职责落实到任务、批次及记录，专业判断由具备对应选型、工艺、热处理、焊接、设备或质量业务能力的人员承担。项目负责人统筹进度与资源，质量负责人独立组织质量放行，关键分歧由专业评审处理。</w:t>
      </w:r>
    </w:p>
    <w:p>
      <w:pPr>
        <w:jc w:val="both"/>
      </w:pPr>
      <w:r>
        <w:t>标注人员上岗前完成规范培训、工具操作、数据安全及试标考核。考核覆盖正常样本、边界样本、证据不足样本和容易混淆的类别，记录错误分布及改进情况。考核未通过者不得独立提交正式批次，复训后重新评价。人员变更时交接任务范围、规范版本、未结问题及权限，离岗账户及时回收。</w:t>
      </w:r>
    </w:p>
    <w:p>
      <w:pPr>
        <w:jc w:val="both"/>
      </w:pPr>
      <w:r>
        <w:t>生产能力以试点实测为依据核算。分别记录每类样本的作业时长、复核时长、返工比例、生成通过率及训练资源消耗，按净合格产出测算所需人力和周期。难样本和长尾类别单列工时，不能用简单文本样本的平均速度推算复杂图纸或诊断任务。资源增加优先补充瓶颈岗位，同时保持复核和专家审核能力。</w:t>
      </w:r>
    </w:p>
    <w:p>
      <w:pPr>
        <w:pStyle w:val="Caption"/>
        <w:keepNext/>
      </w:pPr>
      <w:r>
        <w:t>表9-1 岗位安排与作业能力核验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岗位</w:t>
            </w:r>
          </w:p>
        </w:tc>
        <w:tc>
          <w:tcPr>
            <w:tcW w:type="dxa" w:w="2699"/>
            <w:vAlign w:val="center"/>
            <w:shd w:fill="EDF1F3"/>
          </w:tcPr>
          <w:p>
            <w:pPr>
              <w:keepNext/>
              <w:spacing w:line="320" w:lineRule="exact" w:after="0" w:before="0"/>
              <w:ind w:firstLine="0"/>
              <w:jc w:val="center"/>
            </w:pPr>
            <w:r>
              <w:rPr>
                <w:b/>
                <w:sz w:val="21"/>
              </w:rPr>
              <w:t>主要工作</w:t>
            </w:r>
          </w:p>
        </w:tc>
        <w:tc>
          <w:tcPr>
            <w:tcW w:type="dxa" w:w="2409"/>
            <w:vAlign w:val="center"/>
            <w:shd w:fill="EDF1F3"/>
          </w:tcPr>
          <w:p>
            <w:pPr>
              <w:keepNext/>
              <w:spacing w:line="320" w:lineRule="exact" w:after="0" w:before="0"/>
              <w:ind w:firstLine="0"/>
              <w:jc w:val="center"/>
            </w:pPr>
            <w:r>
              <w:rPr>
                <w:b/>
                <w:sz w:val="21"/>
              </w:rPr>
              <w:t>必须形成的记录</w:t>
            </w:r>
          </w:p>
        </w:tc>
        <w:tc>
          <w:tcPr>
            <w:tcW w:type="dxa" w:w="2891"/>
            <w:vAlign w:val="center"/>
            <w:shd w:fill="EDF1F3"/>
          </w:tcPr>
          <w:p>
            <w:pPr>
              <w:keepNext/>
              <w:spacing w:line="320" w:lineRule="exact" w:after="0" w:before="0"/>
              <w:ind w:firstLine="0"/>
              <w:jc w:val="center"/>
            </w:pPr>
            <w:r>
              <w:rPr>
                <w:b/>
                <w:sz w:val="21"/>
              </w:rPr>
              <w:t>交接对象</w:t>
            </w:r>
          </w:p>
        </w:tc>
      </w:tr>
      <w:tr>
        <w:trPr>
          <w:cantSplit/>
        </w:trPr>
        <w:tc>
          <w:tcPr>
            <w:tcW w:type="dxa" w:w="1638"/>
            <w:vAlign w:val="center"/>
          </w:tcPr>
          <w:p>
            <w:pPr>
              <w:keepNext w:val="0"/>
              <w:spacing w:line="320" w:lineRule="exact" w:after="0" w:before="0"/>
              <w:ind w:firstLine="0"/>
              <w:jc w:val="left"/>
            </w:pPr>
            <w:r>
              <w:rPr>
                <w:b w:val="0"/>
                <w:sz w:val="21"/>
              </w:rPr>
              <w:t>规范与知识</w:t>
            </w:r>
          </w:p>
        </w:tc>
        <w:tc>
          <w:tcPr>
            <w:tcW w:type="dxa" w:w="2699"/>
            <w:vAlign w:val="center"/>
          </w:tcPr>
          <w:p>
            <w:pPr>
              <w:keepNext w:val="0"/>
              <w:spacing w:line="320" w:lineRule="exact" w:after="0" w:before="0"/>
              <w:ind w:firstLine="0"/>
              <w:jc w:val="left"/>
            </w:pPr>
            <w:r>
              <w:rPr>
                <w:b w:val="0"/>
                <w:sz w:val="21"/>
              </w:rPr>
              <w:t>本体引用、任务规范、黄金集和规则维护</w:t>
            </w:r>
          </w:p>
        </w:tc>
        <w:tc>
          <w:tcPr>
            <w:tcW w:type="dxa" w:w="2409"/>
            <w:vAlign w:val="center"/>
          </w:tcPr>
          <w:p>
            <w:pPr>
              <w:keepNext w:val="0"/>
              <w:spacing w:line="320" w:lineRule="exact" w:after="0" w:before="0"/>
              <w:ind w:firstLine="0"/>
              <w:jc w:val="left"/>
            </w:pPr>
            <w:r>
              <w:rPr>
                <w:b w:val="0"/>
                <w:sz w:val="21"/>
              </w:rPr>
              <w:t>评审、试标、版本及变更记录</w:t>
            </w:r>
          </w:p>
        </w:tc>
        <w:tc>
          <w:tcPr>
            <w:tcW w:type="dxa" w:w="2891"/>
            <w:vAlign w:val="center"/>
          </w:tcPr>
          <w:p>
            <w:pPr>
              <w:keepNext w:val="0"/>
              <w:spacing w:line="320" w:lineRule="exact" w:after="0" w:before="0"/>
              <w:ind w:firstLine="0"/>
              <w:jc w:val="left"/>
            </w:pPr>
            <w:r>
              <w:rPr>
                <w:b w:val="0"/>
                <w:sz w:val="21"/>
              </w:rPr>
              <w:t>生产和质检岗位</w:t>
            </w:r>
          </w:p>
        </w:tc>
      </w:tr>
      <w:tr>
        <w:trPr>
          <w:cantSplit/>
        </w:trPr>
        <w:tc>
          <w:tcPr>
            <w:tcW w:type="dxa" w:w="1638"/>
            <w:vAlign w:val="center"/>
          </w:tcPr>
          <w:p>
            <w:pPr>
              <w:keepNext w:val="0"/>
              <w:spacing w:line="320" w:lineRule="exact" w:after="0" w:before="0"/>
              <w:ind w:firstLine="0"/>
              <w:jc w:val="left"/>
            </w:pPr>
            <w:r>
              <w:rPr>
                <w:b w:val="0"/>
                <w:sz w:val="21"/>
              </w:rPr>
              <w:t>标注生产</w:t>
            </w:r>
          </w:p>
        </w:tc>
        <w:tc>
          <w:tcPr>
            <w:tcW w:type="dxa" w:w="2699"/>
            <w:vAlign w:val="center"/>
          </w:tcPr>
          <w:p>
            <w:pPr>
              <w:keepNext w:val="0"/>
              <w:spacing w:line="320" w:lineRule="exact" w:after="0" w:before="0"/>
              <w:ind w:firstLine="0"/>
              <w:jc w:val="left"/>
            </w:pPr>
            <w:r>
              <w:rPr>
                <w:b w:val="0"/>
                <w:sz w:val="21"/>
              </w:rPr>
              <w:t>接收、预标核对、人工标注、自检和返工</w:t>
            </w:r>
          </w:p>
        </w:tc>
        <w:tc>
          <w:tcPr>
            <w:tcW w:type="dxa" w:w="2409"/>
            <w:vAlign w:val="center"/>
          </w:tcPr>
          <w:p>
            <w:pPr>
              <w:keepNext w:val="0"/>
              <w:spacing w:line="320" w:lineRule="exact" w:after="0" w:before="0"/>
              <w:ind w:firstLine="0"/>
              <w:jc w:val="left"/>
            </w:pPr>
            <w:r>
              <w:rPr>
                <w:b w:val="0"/>
                <w:sz w:val="21"/>
              </w:rPr>
              <w:t>原始标注、证据、人员工号及自检记录</w:t>
            </w:r>
          </w:p>
        </w:tc>
        <w:tc>
          <w:tcPr>
            <w:tcW w:type="dxa" w:w="2891"/>
            <w:vAlign w:val="center"/>
          </w:tcPr>
          <w:p>
            <w:pPr>
              <w:keepNext w:val="0"/>
              <w:spacing w:line="320" w:lineRule="exact" w:after="0" w:before="0"/>
              <w:ind w:firstLine="0"/>
              <w:jc w:val="left"/>
            </w:pPr>
            <w:r>
              <w:rPr>
                <w:b w:val="0"/>
                <w:sz w:val="21"/>
              </w:rPr>
              <w:t>质量检验岗位</w:t>
            </w:r>
          </w:p>
        </w:tc>
      </w:tr>
      <w:tr>
        <w:trPr>
          <w:cantSplit/>
        </w:trPr>
        <w:tc>
          <w:tcPr>
            <w:tcW w:type="dxa" w:w="1638"/>
            <w:vAlign w:val="center"/>
          </w:tcPr>
          <w:p>
            <w:pPr>
              <w:keepNext w:val="0"/>
              <w:spacing w:line="320" w:lineRule="exact" w:after="0" w:before="0"/>
              <w:ind w:firstLine="0"/>
              <w:jc w:val="left"/>
            </w:pPr>
            <w:r>
              <w:rPr>
                <w:b w:val="0"/>
                <w:sz w:val="21"/>
              </w:rPr>
              <w:t>合成增强</w:t>
            </w:r>
          </w:p>
        </w:tc>
        <w:tc>
          <w:tcPr>
            <w:tcW w:type="dxa" w:w="2699"/>
            <w:vAlign w:val="center"/>
          </w:tcPr>
          <w:p>
            <w:pPr>
              <w:keepNext w:val="0"/>
              <w:spacing w:line="320" w:lineRule="exact" w:after="0" w:before="0"/>
              <w:ind w:firstLine="0"/>
              <w:jc w:val="left"/>
            </w:pPr>
            <w:r>
              <w:rPr>
                <w:b w:val="0"/>
                <w:sz w:val="21"/>
              </w:rPr>
              <w:t>种子及配置核查、运行、过滤和来源登记</w:t>
            </w:r>
          </w:p>
        </w:tc>
        <w:tc>
          <w:tcPr>
            <w:tcW w:type="dxa" w:w="2409"/>
            <w:vAlign w:val="center"/>
          </w:tcPr>
          <w:p>
            <w:pPr>
              <w:keepNext w:val="0"/>
              <w:spacing w:line="320" w:lineRule="exact" w:after="0" w:before="0"/>
              <w:ind w:firstLine="0"/>
              <w:jc w:val="left"/>
            </w:pPr>
            <w:r>
              <w:rPr>
                <w:b w:val="0"/>
                <w:sz w:val="21"/>
              </w:rPr>
              <w:t>配置、日志、输出及失败原因</w:t>
            </w:r>
          </w:p>
        </w:tc>
        <w:tc>
          <w:tcPr>
            <w:tcW w:type="dxa" w:w="2891"/>
            <w:vAlign w:val="center"/>
          </w:tcPr>
          <w:p>
            <w:pPr>
              <w:keepNext w:val="0"/>
              <w:spacing w:line="320" w:lineRule="exact" w:after="0" w:before="0"/>
              <w:ind w:firstLine="0"/>
              <w:jc w:val="left"/>
            </w:pPr>
            <w:r>
              <w:rPr>
                <w:b w:val="0"/>
                <w:sz w:val="21"/>
              </w:rPr>
              <w:t>质量检验岗位</w:t>
            </w:r>
          </w:p>
        </w:tc>
      </w:tr>
      <w:tr>
        <w:trPr>
          <w:cantSplit/>
        </w:trPr>
        <w:tc>
          <w:tcPr>
            <w:tcW w:type="dxa" w:w="1638"/>
            <w:vAlign w:val="center"/>
          </w:tcPr>
          <w:p>
            <w:pPr>
              <w:keepNext w:val="0"/>
              <w:spacing w:line="320" w:lineRule="exact" w:after="0" w:before="0"/>
              <w:ind w:firstLine="0"/>
              <w:jc w:val="left"/>
            </w:pPr>
            <w:r>
              <w:rPr>
                <w:b w:val="0"/>
                <w:sz w:val="21"/>
              </w:rPr>
              <w:t>质量检验</w:t>
            </w:r>
          </w:p>
        </w:tc>
        <w:tc>
          <w:tcPr>
            <w:tcW w:type="dxa" w:w="2699"/>
            <w:vAlign w:val="center"/>
          </w:tcPr>
          <w:p>
            <w:pPr>
              <w:keepNext w:val="0"/>
              <w:spacing w:line="320" w:lineRule="exact" w:after="0" w:before="0"/>
              <w:ind w:firstLine="0"/>
              <w:jc w:val="left"/>
            </w:pPr>
            <w:r>
              <w:rPr>
                <w:b w:val="0"/>
                <w:sz w:val="21"/>
              </w:rPr>
              <w:t>抽样、独立复核、缺陷登记及复检</w:t>
            </w:r>
          </w:p>
        </w:tc>
        <w:tc>
          <w:tcPr>
            <w:tcW w:type="dxa" w:w="2409"/>
            <w:vAlign w:val="center"/>
          </w:tcPr>
          <w:p>
            <w:pPr>
              <w:keepNext w:val="0"/>
              <w:spacing w:line="320" w:lineRule="exact" w:after="0" w:before="0"/>
              <w:ind w:firstLine="0"/>
              <w:jc w:val="left"/>
            </w:pPr>
            <w:r>
              <w:rPr>
                <w:b w:val="0"/>
                <w:sz w:val="21"/>
              </w:rPr>
              <w:t>判定清单、工单、复检记录</w:t>
            </w:r>
          </w:p>
        </w:tc>
        <w:tc>
          <w:tcPr>
            <w:tcW w:type="dxa" w:w="2891"/>
            <w:vAlign w:val="center"/>
          </w:tcPr>
          <w:p>
            <w:pPr>
              <w:keepNext w:val="0"/>
              <w:spacing w:line="320" w:lineRule="exact" w:after="0" w:before="0"/>
              <w:ind w:firstLine="0"/>
              <w:jc w:val="left"/>
            </w:pPr>
            <w:r>
              <w:rPr>
                <w:b w:val="0"/>
                <w:sz w:val="21"/>
              </w:rPr>
              <w:t>生产与版本管理</w:t>
            </w:r>
          </w:p>
        </w:tc>
      </w:tr>
      <w:tr>
        <w:trPr>
          <w:cantSplit/>
        </w:trPr>
        <w:tc>
          <w:tcPr>
            <w:tcW w:type="dxa" w:w="1638"/>
            <w:vAlign w:val="center"/>
          </w:tcPr>
          <w:p>
            <w:pPr>
              <w:keepNext w:val="0"/>
              <w:spacing w:line="320" w:lineRule="exact" w:after="0" w:before="0"/>
              <w:ind w:firstLine="0"/>
              <w:jc w:val="left"/>
            </w:pPr>
            <w:r>
              <w:rPr>
                <w:b w:val="0"/>
                <w:sz w:val="21"/>
              </w:rPr>
              <w:t>训练验证</w:t>
            </w:r>
          </w:p>
        </w:tc>
        <w:tc>
          <w:tcPr>
            <w:tcW w:type="dxa" w:w="2699"/>
            <w:vAlign w:val="center"/>
          </w:tcPr>
          <w:p>
            <w:pPr>
              <w:keepNext w:val="0"/>
              <w:spacing w:line="320" w:lineRule="exact" w:after="0" w:before="0"/>
              <w:ind w:firstLine="0"/>
              <w:jc w:val="left"/>
            </w:pPr>
            <w:r>
              <w:rPr>
                <w:b w:val="0"/>
                <w:sz w:val="21"/>
              </w:rPr>
              <w:t>训练、评测、统计比较及归因</w:t>
            </w:r>
          </w:p>
        </w:tc>
        <w:tc>
          <w:tcPr>
            <w:tcW w:type="dxa" w:w="2409"/>
            <w:vAlign w:val="center"/>
          </w:tcPr>
          <w:p>
            <w:pPr>
              <w:keepNext w:val="0"/>
              <w:spacing w:line="320" w:lineRule="exact" w:after="0" w:before="0"/>
              <w:ind w:firstLine="0"/>
              <w:jc w:val="left"/>
            </w:pPr>
            <w:r>
              <w:rPr>
                <w:b w:val="0"/>
                <w:sz w:val="21"/>
              </w:rPr>
              <w:t>实验档案、报告和整改任务</w:t>
            </w:r>
          </w:p>
        </w:tc>
        <w:tc>
          <w:tcPr>
            <w:tcW w:type="dxa" w:w="2891"/>
            <w:vAlign w:val="center"/>
          </w:tcPr>
          <w:p>
            <w:pPr>
              <w:keepNext w:val="0"/>
              <w:spacing w:line="320" w:lineRule="exact" w:after="0" w:before="0"/>
              <w:ind w:firstLine="0"/>
              <w:jc w:val="left"/>
            </w:pPr>
            <w:r>
              <w:rPr>
                <w:b w:val="0"/>
                <w:sz w:val="21"/>
              </w:rPr>
              <w:t>专业评审及版本管理</w:t>
            </w:r>
          </w:p>
        </w:tc>
      </w:tr>
      <w:tr>
        <w:trPr>
          <w:cantSplit/>
        </w:trPr>
        <w:tc>
          <w:tcPr>
            <w:tcW w:type="dxa" w:w="1638"/>
            <w:vAlign w:val="center"/>
          </w:tcPr>
          <w:p>
            <w:pPr>
              <w:keepNext w:val="0"/>
              <w:spacing w:line="320" w:lineRule="exact" w:after="0" w:before="0"/>
              <w:ind w:firstLine="0"/>
              <w:jc w:val="left"/>
            </w:pPr>
            <w:r>
              <w:rPr>
                <w:b w:val="0"/>
                <w:sz w:val="21"/>
              </w:rPr>
              <w:t>专业评审</w:t>
            </w:r>
          </w:p>
        </w:tc>
        <w:tc>
          <w:tcPr>
            <w:tcW w:type="dxa" w:w="2699"/>
            <w:vAlign w:val="center"/>
          </w:tcPr>
          <w:p>
            <w:pPr>
              <w:keepNext w:val="0"/>
              <w:spacing w:line="320" w:lineRule="exact" w:after="0" w:before="0"/>
              <w:ind w:firstLine="0"/>
              <w:jc w:val="left"/>
            </w:pPr>
            <w:r>
              <w:rPr>
                <w:b w:val="0"/>
                <w:sz w:val="21"/>
              </w:rPr>
              <w:t>证据裁定、知识终审和结果审核</w:t>
            </w:r>
          </w:p>
        </w:tc>
        <w:tc>
          <w:tcPr>
            <w:tcW w:type="dxa" w:w="2409"/>
            <w:vAlign w:val="center"/>
          </w:tcPr>
          <w:p>
            <w:pPr>
              <w:keepNext w:val="0"/>
              <w:spacing w:line="320" w:lineRule="exact" w:after="0" w:before="0"/>
              <w:ind w:firstLine="0"/>
              <w:jc w:val="left"/>
            </w:pPr>
            <w:r>
              <w:rPr>
                <w:b w:val="0"/>
                <w:sz w:val="21"/>
              </w:rPr>
              <w:t>意见、依据及影响范围</w:t>
            </w:r>
          </w:p>
        </w:tc>
        <w:tc>
          <w:tcPr>
            <w:tcW w:type="dxa" w:w="2891"/>
            <w:vAlign w:val="center"/>
          </w:tcPr>
          <w:p>
            <w:pPr>
              <w:keepNext w:val="0"/>
              <w:spacing w:line="320" w:lineRule="exact" w:after="0" w:before="0"/>
              <w:ind w:firstLine="0"/>
              <w:jc w:val="left"/>
            </w:pPr>
            <w:r>
              <w:rPr>
                <w:b w:val="0"/>
                <w:sz w:val="21"/>
              </w:rPr>
              <w:t>各执行岗位</w:t>
            </w:r>
          </w:p>
        </w:tc>
      </w:tr>
      <w:tr>
        <w:trPr>
          <w:cantSplit/>
        </w:trPr>
        <w:tc>
          <w:tcPr>
            <w:tcW w:type="dxa" w:w="1638"/>
            <w:vAlign w:val="center"/>
          </w:tcPr>
          <w:p>
            <w:pPr>
              <w:keepNext w:val="0"/>
              <w:spacing w:line="320" w:lineRule="exact" w:after="0" w:before="0"/>
              <w:ind w:firstLine="0"/>
              <w:jc w:val="left"/>
            </w:pPr>
            <w:r>
              <w:rPr>
                <w:b w:val="0"/>
                <w:sz w:val="21"/>
              </w:rPr>
              <w:t>版本管理</w:t>
            </w:r>
          </w:p>
        </w:tc>
        <w:tc>
          <w:tcPr>
            <w:tcW w:type="dxa" w:w="2699"/>
            <w:vAlign w:val="center"/>
          </w:tcPr>
          <w:p>
            <w:pPr>
              <w:keepNext w:val="0"/>
              <w:spacing w:line="320" w:lineRule="exact" w:after="0" w:before="0"/>
              <w:ind w:firstLine="0"/>
              <w:jc w:val="left"/>
            </w:pPr>
            <w:r>
              <w:rPr>
                <w:b w:val="0"/>
                <w:sz w:val="21"/>
              </w:rPr>
              <w:t>清单冻结、计量、封装、发布及移交</w:t>
            </w:r>
          </w:p>
        </w:tc>
        <w:tc>
          <w:tcPr>
            <w:tcW w:type="dxa" w:w="2409"/>
            <w:vAlign w:val="center"/>
          </w:tcPr>
          <w:p>
            <w:pPr>
              <w:keepNext w:val="0"/>
              <w:spacing w:line="320" w:lineRule="exact" w:after="0" w:before="0"/>
              <w:ind w:firstLine="0"/>
              <w:jc w:val="left"/>
            </w:pPr>
            <w:r>
              <w:rPr>
                <w:b w:val="0"/>
                <w:sz w:val="21"/>
              </w:rPr>
              <w:t>发布审批、接收、资产及使用记录</w:t>
            </w:r>
          </w:p>
        </w:tc>
        <w:tc>
          <w:tcPr>
            <w:tcW w:type="dxa" w:w="2891"/>
            <w:vAlign w:val="center"/>
          </w:tcPr>
          <w:p>
            <w:pPr>
              <w:keepNext w:val="0"/>
              <w:spacing w:line="320" w:lineRule="exact" w:after="0" w:before="0"/>
              <w:ind w:firstLine="0"/>
              <w:jc w:val="left"/>
            </w:pPr>
            <w:r>
              <w:rPr>
                <w:b w:val="0"/>
                <w:sz w:val="21"/>
              </w:rPr>
              <w:t>运营服务与甲方</w:t>
            </w:r>
          </w:p>
        </w:tc>
      </w:tr>
    </w:tbl>
    <w:p>
      <w:pPr>
        <w:spacing w:after="40" w:line="240" w:lineRule="auto"/>
        <w:ind w:firstLine="0"/>
      </w:pPr>
      <w:r>
        <w:rPr>
          <w:sz w:val="4"/>
        </w:rPr>
      </w:r>
    </w:p>
    <w:p>
      <w:pPr>
        <w:pStyle w:val="Heading2"/>
      </w:pPr>
      <w:r>
        <w:t>9.2 分阶段实施及进入条件</w:t>
      </w:r>
    </w:p>
    <w:p>
      <w:pPr>
        <w:jc w:val="both"/>
      </w:pPr>
      <w:r>
        <w:t>实施先完成规范和小批次贯通，再根据合格产能扩大生产。四个数据集并行推进，各自的十六项用途任务按依赖关系安排。基准来源隔离、真实样本接收和标签规则确认优先完成，生成增强在缺口分析及配置评审通过后投入，质量检查贯穿批次流转。</w:t>
      </w:r>
    </w:p>
    <w:p>
      <w:pPr>
        <w:jc w:val="both"/>
      </w:pPr>
      <w:r>
        <w:t>试点选择具有代表性的合同、选型、图纸、工艺、时序、图像、质量及经营指标样本，覆盖四个用途子集的主要结构。试点完成接收、标注、质检、训练、验证和封装全过程，重点检验对象关联、指标计算、质量退回和独立解析是否可执行。发现系统性问题先修正规范及工具，再扩大同类任务。</w:t>
      </w:r>
    </w:p>
    <w:p>
      <w:pPr>
        <w:pStyle w:val="Caption"/>
        <w:keepNext/>
      </w:pPr>
      <w:r>
        <w:t>表9-2 分阶段实施及进入条件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阶段</w:t>
            </w:r>
          </w:p>
        </w:tc>
        <w:tc>
          <w:tcPr>
            <w:tcW w:type="dxa" w:w="2699"/>
            <w:vAlign w:val="center"/>
            <w:shd w:fill="EDF1F3"/>
          </w:tcPr>
          <w:p>
            <w:pPr>
              <w:keepNext/>
              <w:spacing w:line="320" w:lineRule="exact" w:after="0" w:before="0"/>
              <w:ind w:firstLine="0"/>
              <w:jc w:val="center"/>
            </w:pPr>
            <w:r>
              <w:rPr>
                <w:b/>
                <w:sz w:val="21"/>
              </w:rPr>
              <w:t>进入条件</w:t>
            </w:r>
          </w:p>
        </w:tc>
        <w:tc>
          <w:tcPr>
            <w:tcW w:type="dxa" w:w="2409"/>
            <w:vAlign w:val="center"/>
            <w:shd w:fill="EDF1F3"/>
          </w:tcPr>
          <w:p>
            <w:pPr>
              <w:keepNext/>
              <w:spacing w:line="320" w:lineRule="exact" w:after="0" w:before="0"/>
              <w:ind w:firstLine="0"/>
              <w:jc w:val="center"/>
            </w:pPr>
            <w:r>
              <w:rPr>
                <w:b/>
                <w:sz w:val="21"/>
              </w:rPr>
              <w:t>主要产出</w:t>
            </w:r>
          </w:p>
        </w:tc>
        <w:tc>
          <w:tcPr>
            <w:tcW w:type="dxa" w:w="2891"/>
            <w:vAlign w:val="center"/>
            <w:shd w:fill="EDF1F3"/>
          </w:tcPr>
          <w:p>
            <w:pPr>
              <w:keepNext/>
              <w:spacing w:line="320" w:lineRule="exact" w:after="0" w:before="0"/>
              <w:ind w:firstLine="0"/>
              <w:jc w:val="center"/>
            </w:pPr>
            <w:r>
              <w:rPr>
                <w:b/>
                <w:sz w:val="21"/>
              </w:rPr>
              <w:t>阶段完成依据</w:t>
            </w:r>
          </w:p>
        </w:tc>
      </w:tr>
      <w:tr>
        <w:trPr>
          <w:cantSplit/>
        </w:trPr>
        <w:tc>
          <w:tcPr>
            <w:tcW w:type="dxa" w:w="1638"/>
            <w:vAlign w:val="center"/>
          </w:tcPr>
          <w:p>
            <w:pPr>
              <w:keepNext w:val="0"/>
              <w:spacing w:line="320" w:lineRule="exact" w:after="0" w:before="0"/>
              <w:ind w:firstLine="0"/>
              <w:jc w:val="left"/>
            </w:pPr>
            <w:r>
              <w:rPr>
                <w:b w:val="0"/>
                <w:sz w:val="21"/>
              </w:rPr>
              <w:t>准备与规范</w:t>
            </w:r>
          </w:p>
        </w:tc>
        <w:tc>
          <w:tcPr>
            <w:tcW w:type="dxa" w:w="2699"/>
            <w:vAlign w:val="center"/>
          </w:tcPr>
          <w:p>
            <w:pPr>
              <w:keepNext w:val="0"/>
              <w:spacing w:line="320" w:lineRule="exact" w:after="0" w:before="0"/>
              <w:ind w:firstLine="0"/>
              <w:jc w:val="left"/>
            </w:pPr>
            <w:r>
              <w:rPr>
                <w:b w:val="0"/>
                <w:sz w:val="21"/>
              </w:rPr>
              <w:t>数据范围及源资料明确</w:t>
            </w:r>
          </w:p>
        </w:tc>
        <w:tc>
          <w:tcPr>
            <w:tcW w:type="dxa" w:w="2409"/>
            <w:vAlign w:val="center"/>
          </w:tcPr>
          <w:p>
            <w:pPr>
              <w:keepNext w:val="0"/>
              <w:spacing w:line="320" w:lineRule="exact" w:after="0" w:before="0"/>
              <w:ind w:firstLine="0"/>
              <w:jc w:val="left"/>
            </w:pPr>
            <w:r>
              <w:rPr>
                <w:b w:val="0"/>
                <w:sz w:val="21"/>
              </w:rPr>
              <w:t>接收清单、规范、规则、权限和试点计划</w:t>
            </w:r>
          </w:p>
        </w:tc>
        <w:tc>
          <w:tcPr>
            <w:tcW w:type="dxa" w:w="2891"/>
            <w:vAlign w:val="center"/>
          </w:tcPr>
          <w:p>
            <w:pPr>
              <w:keepNext w:val="0"/>
              <w:spacing w:line="320" w:lineRule="exact" w:after="0" w:before="0"/>
              <w:ind w:firstLine="0"/>
              <w:jc w:val="left"/>
            </w:pPr>
            <w:r>
              <w:rPr>
                <w:b w:val="0"/>
                <w:sz w:val="21"/>
              </w:rPr>
              <w:t>规范评审及环境检查通过</w:t>
            </w:r>
          </w:p>
        </w:tc>
      </w:tr>
      <w:tr>
        <w:trPr>
          <w:cantSplit/>
        </w:trPr>
        <w:tc>
          <w:tcPr>
            <w:tcW w:type="dxa" w:w="1638"/>
            <w:vAlign w:val="center"/>
          </w:tcPr>
          <w:p>
            <w:pPr>
              <w:keepNext w:val="0"/>
              <w:spacing w:line="320" w:lineRule="exact" w:after="0" w:before="0"/>
              <w:ind w:firstLine="0"/>
              <w:jc w:val="left"/>
            </w:pPr>
            <w:r>
              <w:rPr>
                <w:b w:val="0"/>
                <w:sz w:val="21"/>
              </w:rPr>
              <w:t>试点贯通</w:t>
            </w:r>
          </w:p>
        </w:tc>
        <w:tc>
          <w:tcPr>
            <w:tcW w:type="dxa" w:w="2699"/>
            <w:vAlign w:val="center"/>
          </w:tcPr>
          <w:p>
            <w:pPr>
              <w:keepNext w:val="0"/>
              <w:spacing w:line="320" w:lineRule="exact" w:after="0" w:before="0"/>
              <w:ind w:firstLine="0"/>
              <w:jc w:val="left"/>
            </w:pPr>
            <w:r>
              <w:rPr>
                <w:b w:val="0"/>
                <w:sz w:val="21"/>
              </w:rPr>
              <w:t>输入和知识状态符合要求</w:t>
            </w:r>
          </w:p>
        </w:tc>
        <w:tc>
          <w:tcPr>
            <w:tcW w:type="dxa" w:w="2409"/>
            <w:vAlign w:val="center"/>
          </w:tcPr>
          <w:p>
            <w:pPr>
              <w:keepNext w:val="0"/>
              <w:spacing w:line="320" w:lineRule="exact" w:after="0" w:before="0"/>
              <w:ind w:firstLine="0"/>
              <w:jc w:val="left"/>
            </w:pPr>
            <w:r>
              <w:rPr>
                <w:b w:val="0"/>
                <w:sz w:val="21"/>
              </w:rPr>
              <w:t>试标结果、首批工单、实验及解析记录</w:t>
            </w:r>
          </w:p>
        </w:tc>
        <w:tc>
          <w:tcPr>
            <w:tcW w:type="dxa" w:w="2891"/>
            <w:vAlign w:val="center"/>
          </w:tcPr>
          <w:p>
            <w:pPr>
              <w:keepNext w:val="0"/>
              <w:spacing w:line="320" w:lineRule="exact" w:after="0" w:before="0"/>
              <w:ind w:firstLine="0"/>
              <w:jc w:val="left"/>
            </w:pPr>
            <w:r>
              <w:rPr>
                <w:b w:val="0"/>
                <w:sz w:val="21"/>
              </w:rPr>
              <w:t>全流程可执行，主要问题已处理</w:t>
            </w:r>
          </w:p>
        </w:tc>
      </w:tr>
      <w:tr>
        <w:trPr>
          <w:cantSplit/>
        </w:trPr>
        <w:tc>
          <w:tcPr>
            <w:tcW w:type="dxa" w:w="1638"/>
            <w:vAlign w:val="center"/>
          </w:tcPr>
          <w:p>
            <w:pPr>
              <w:keepNext w:val="0"/>
              <w:spacing w:line="320" w:lineRule="exact" w:after="0" w:before="0"/>
              <w:ind w:firstLine="0"/>
              <w:jc w:val="left"/>
            </w:pPr>
            <w:r>
              <w:rPr>
                <w:b w:val="0"/>
                <w:sz w:val="21"/>
              </w:rPr>
              <w:t>真实数据生产</w:t>
            </w:r>
          </w:p>
        </w:tc>
        <w:tc>
          <w:tcPr>
            <w:tcW w:type="dxa" w:w="2699"/>
            <w:vAlign w:val="center"/>
          </w:tcPr>
          <w:p>
            <w:pPr>
              <w:keepNext w:val="0"/>
              <w:spacing w:line="320" w:lineRule="exact" w:after="0" w:before="0"/>
              <w:ind w:firstLine="0"/>
              <w:jc w:val="left"/>
            </w:pPr>
            <w:r>
              <w:rPr>
                <w:b w:val="0"/>
                <w:sz w:val="21"/>
              </w:rPr>
              <w:t>合格产能及质量检查条件具备</w:t>
            </w:r>
          </w:p>
        </w:tc>
        <w:tc>
          <w:tcPr>
            <w:tcW w:type="dxa" w:w="2409"/>
            <w:vAlign w:val="center"/>
          </w:tcPr>
          <w:p>
            <w:pPr>
              <w:keepNext w:val="0"/>
              <w:spacing w:line="320" w:lineRule="exact" w:after="0" w:before="0"/>
              <w:ind w:firstLine="0"/>
              <w:jc w:val="left"/>
            </w:pPr>
            <w:r>
              <w:rPr>
                <w:b w:val="0"/>
                <w:sz w:val="21"/>
              </w:rPr>
              <w:t>标注批次、独立基准、分布统计</w:t>
            </w:r>
          </w:p>
        </w:tc>
        <w:tc>
          <w:tcPr>
            <w:tcW w:type="dxa" w:w="2891"/>
            <w:vAlign w:val="center"/>
          </w:tcPr>
          <w:p>
            <w:pPr>
              <w:keepNext w:val="0"/>
              <w:spacing w:line="320" w:lineRule="exact" w:after="0" w:before="0"/>
              <w:ind w:firstLine="0"/>
              <w:jc w:val="left"/>
            </w:pPr>
            <w:r>
              <w:rPr>
                <w:b w:val="0"/>
                <w:sz w:val="21"/>
              </w:rPr>
              <w:t>批次通过且来源隔离有效</w:t>
            </w:r>
          </w:p>
        </w:tc>
      </w:tr>
      <w:tr>
        <w:trPr>
          <w:cantSplit/>
        </w:trPr>
        <w:tc>
          <w:tcPr>
            <w:tcW w:type="dxa" w:w="1638"/>
            <w:vAlign w:val="center"/>
          </w:tcPr>
          <w:p>
            <w:pPr>
              <w:keepNext w:val="0"/>
              <w:spacing w:line="320" w:lineRule="exact" w:after="0" w:before="0"/>
              <w:ind w:firstLine="0"/>
              <w:jc w:val="left"/>
            </w:pPr>
            <w:r>
              <w:rPr>
                <w:b w:val="0"/>
                <w:sz w:val="21"/>
              </w:rPr>
              <w:t>合成增强补充</w:t>
            </w:r>
          </w:p>
        </w:tc>
        <w:tc>
          <w:tcPr>
            <w:tcW w:type="dxa" w:w="2699"/>
            <w:vAlign w:val="center"/>
          </w:tcPr>
          <w:p>
            <w:pPr>
              <w:keepNext w:val="0"/>
              <w:spacing w:line="320" w:lineRule="exact" w:after="0" w:before="0"/>
              <w:ind w:firstLine="0"/>
              <w:jc w:val="left"/>
            </w:pPr>
            <w:r>
              <w:rPr>
                <w:b w:val="0"/>
                <w:sz w:val="21"/>
              </w:rPr>
              <w:t>缺口与配置审批通过</w:t>
            </w:r>
          </w:p>
        </w:tc>
        <w:tc>
          <w:tcPr>
            <w:tcW w:type="dxa" w:w="2409"/>
            <w:vAlign w:val="center"/>
          </w:tcPr>
          <w:p>
            <w:pPr>
              <w:keepNext w:val="0"/>
              <w:spacing w:line="320" w:lineRule="exact" w:after="0" w:before="0"/>
              <w:ind w:firstLine="0"/>
              <w:jc w:val="left"/>
            </w:pPr>
            <w:r>
              <w:rPr>
                <w:b w:val="0"/>
                <w:sz w:val="21"/>
              </w:rPr>
              <w:t>合成增强批次、配比及前后分布</w:t>
            </w:r>
          </w:p>
        </w:tc>
        <w:tc>
          <w:tcPr>
            <w:tcW w:type="dxa" w:w="2891"/>
            <w:vAlign w:val="center"/>
          </w:tcPr>
          <w:p>
            <w:pPr>
              <w:keepNext w:val="0"/>
              <w:spacing w:line="320" w:lineRule="exact" w:after="0" w:before="0"/>
              <w:ind w:firstLine="0"/>
              <w:jc w:val="left"/>
            </w:pPr>
            <w:r>
              <w:rPr>
                <w:b w:val="0"/>
                <w:sz w:val="21"/>
              </w:rPr>
              <w:t>一致性、业务及污染检查通过</w:t>
            </w:r>
          </w:p>
        </w:tc>
      </w:tr>
      <w:tr>
        <w:trPr>
          <w:cantSplit/>
        </w:trPr>
        <w:tc>
          <w:tcPr>
            <w:tcW w:type="dxa" w:w="1638"/>
            <w:vAlign w:val="center"/>
          </w:tcPr>
          <w:p>
            <w:pPr>
              <w:keepNext w:val="0"/>
              <w:spacing w:line="320" w:lineRule="exact" w:after="0" w:before="0"/>
              <w:ind w:firstLine="0"/>
              <w:jc w:val="left"/>
            </w:pPr>
            <w:r>
              <w:rPr>
                <w:b w:val="0"/>
                <w:sz w:val="21"/>
              </w:rPr>
              <w:t>验证与修复</w:t>
            </w:r>
          </w:p>
        </w:tc>
        <w:tc>
          <w:tcPr>
            <w:tcW w:type="dxa" w:w="2699"/>
            <w:vAlign w:val="center"/>
          </w:tcPr>
          <w:p>
            <w:pPr>
              <w:keepNext w:val="0"/>
              <w:spacing w:line="320" w:lineRule="exact" w:after="0" w:before="0"/>
              <w:ind w:firstLine="0"/>
              <w:jc w:val="left"/>
            </w:pPr>
            <w:r>
              <w:rPr>
                <w:b w:val="0"/>
                <w:sz w:val="21"/>
              </w:rPr>
              <w:t>候选清单及协议冻结</w:t>
            </w:r>
          </w:p>
        </w:tc>
        <w:tc>
          <w:tcPr>
            <w:tcW w:type="dxa" w:w="2409"/>
            <w:vAlign w:val="center"/>
          </w:tcPr>
          <w:p>
            <w:pPr>
              <w:keepNext w:val="0"/>
              <w:spacing w:line="320" w:lineRule="exact" w:after="0" w:before="0"/>
              <w:ind w:firstLine="0"/>
              <w:jc w:val="left"/>
            </w:pPr>
            <w:r>
              <w:rPr>
                <w:b w:val="0"/>
                <w:sz w:val="21"/>
              </w:rPr>
              <w:t>四阶段模型结果、场景结论、复评记录</w:t>
            </w:r>
          </w:p>
        </w:tc>
        <w:tc>
          <w:tcPr>
            <w:tcW w:type="dxa" w:w="2891"/>
            <w:vAlign w:val="center"/>
          </w:tcPr>
          <w:p>
            <w:pPr>
              <w:keepNext w:val="0"/>
              <w:spacing w:line="320" w:lineRule="exact" w:after="0" w:before="0"/>
              <w:ind w:firstLine="0"/>
              <w:jc w:val="left"/>
            </w:pPr>
            <w:r>
              <w:rPr>
                <w:b w:val="0"/>
                <w:sz w:val="21"/>
              </w:rPr>
              <w:t>发布前验证要求满足</w:t>
            </w:r>
          </w:p>
        </w:tc>
      </w:tr>
      <w:tr>
        <w:trPr>
          <w:cantSplit/>
        </w:trPr>
        <w:tc>
          <w:tcPr>
            <w:tcW w:type="dxa" w:w="1638"/>
            <w:vAlign w:val="center"/>
          </w:tcPr>
          <w:p>
            <w:pPr>
              <w:keepNext w:val="0"/>
              <w:spacing w:line="320" w:lineRule="exact" w:after="0" w:before="0"/>
              <w:ind w:firstLine="0"/>
              <w:jc w:val="left"/>
            </w:pPr>
            <w:r>
              <w:rPr>
                <w:b w:val="0"/>
                <w:sz w:val="21"/>
              </w:rPr>
              <w:t>发布与移交</w:t>
            </w:r>
          </w:p>
        </w:tc>
        <w:tc>
          <w:tcPr>
            <w:tcW w:type="dxa" w:w="2699"/>
            <w:vAlign w:val="center"/>
          </w:tcPr>
          <w:p>
            <w:pPr>
              <w:keepNext w:val="0"/>
              <w:spacing w:line="320" w:lineRule="exact" w:after="0" w:before="0"/>
              <w:ind w:firstLine="0"/>
              <w:jc w:val="left"/>
            </w:pPr>
            <w:r>
              <w:rPr>
                <w:b w:val="0"/>
                <w:sz w:val="21"/>
              </w:rPr>
              <w:t>规模质量及发布档案齐备</w:t>
            </w:r>
          </w:p>
        </w:tc>
        <w:tc>
          <w:tcPr>
            <w:tcW w:type="dxa" w:w="2409"/>
            <w:vAlign w:val="center"/>
          </w:tcPr>
          <w:p>
            <w:pPr>
              <w:keepNext w:val="0"/>
              <w:spacing w:line="320" w:lineRule="exact" w:after="0" w:before="0"/>
              <w:ind w:firstLine="0"/>
              <w:jc w:val="left"/>
            </w:pPr>
            <w:r>
              <w:rPr>
                <w:b w:val="0"/>
                <w:sz w:val="21"/>
              </w:rPr>
              <w:t>版本包、卡片、报告、资产登记</w:t>
            </w:r>
          </w:p>
        </w:tc>
        <w:tc>
          <w:tcPr>
            <w:tcW w:type="dxa" w:w="2891"/>
            <w:vAlign w:val="center"/>
          </w:tcPr>
          <w:p>
            <w:pPr>
              <w:keepNext w:val="0"/>
              <w:spacing w:line="320" w:lineRule="exact" w:after="0" w:before="0"/>
              <w:ind w:firstLine="0"/>
              <w:jc w:val="left"/>
            </w:pPr>
            <w:r>
              <w:rPr>
                <w:b w:val="0"/>
                <w:sz w:val="21"/>
              </w:rPr>
              <w:t>接收核验及登记完成</w:t>
            </w:r>
          </w:p>
        </w:tc>
      </w:tr>
      <w:tr>
        <w:trPr>
          <w:cantSplit/>
        </w:trPr>
        <w:tc>
          <w:tcPr>
            <w:tcW w:type="dxa" w:w="1638"/>
            <w:vAlign w:val="center"/>
          </w:tcPr>
          <w:p>
            <w:pPr>
              <w:keepNext w:val="0"/>
              <w:spacing w:line="320" w:lineRule="exact" w:after="0" w:before="0"/>
              <w:ind w:firstLine="0"/>
              <w:jc w:val="left"/>
            </w:pPr>
            <w:r>
              <w:rPr>
                <w:b w:val="0"/>
                <w:sz w:val="21"/>
              </w:rPr>
              <w:t>更新与维护</w:t>
            </w:r>
          </w:p>
        </w:tc>
        <w:tc>
          <w:tcPr>
            <w:tcW w:type="dxa" w:w="2699"/>
            <w:vAlign w:val="center"/>
          </w:tcPr>
          <w:p>
            <w:pPr>
              <w:keepNext w:val="0"/>
              <w:spacing w:line="320" w:lineRule="exact" w:after="0" w:before="0"/>
              <w:ind w:firstLine="0"/>
              <w:jc w:val="left"/>
            </w:pPr>
            <w:r>
              <w:rPr>
                <w:b w:val="0"/>
                <w:sz w:val="21"/>
              </w:rPr>
              <w:t>运营反馈或增量需求形成</w:t>
            </w:r>
          </w:p>
        </w:tc>
        <w:tc>
          <w:tcPr>
            <w:tcW w:type="dxa" w:w="2409"/>
            <w:vAlign w:val="center"/>
          </w:tcPr>
          <w:p>
            <w:pPr>
              <w:keepNext w:val="0"/>
              <w:spacing w:line="320" w:lineRule="exact" w:after="0" w:before="0"/>
              <w:ind w:firstLine="0"/>
              <w:jc w:val="left"/>
            </w:pPr>
            <w:r>
              <w:rPr>
                <w:b w:val="0"/>
                <w:sz w:val="21"/>
              </w:rPr>
              <w:t>修订计划、新版本及撤回记录</w:t>
            </w:r>
          </w:p>
        </w:tc>
        <w:tc>
          <w:tcPr>
            <w:tcW w:type="dxa" w:w="2891"/>
            <w:vAlign w:val="center"/>
          </w:tcPr>
          <w:p>
            <w:pPr>
              <w:keepNext w:val="0"/>
              <w:spacing w:line="320" w:lineRule="exact" w:after="0" w:before="0"/>
              <w:ind w:firstLine="0"/>
              <w:jc w:val="left"/>
            </w:pPr>
            <w:r>
              <w:rPr>
                <w:b w:val="0"/>
                <w:sz w:val="21"/>
              </w:rPr>
              <w:t>按相同质量条件重新放行</w:t>
            </w:r>
          </w:p>
        </w:tc>
      </w:tr>
    </w:tbl>
    <w:p>
      <w:pPr>
        <w:spacing w:after="40" w:line="240" w:lineRule="auto"/>
        <w:ind w:firstLine="0"/>
      </w:pPr>
      <w:r>
        <w:rPr>
          <w:sz w:val="4"/>
        </w:rPr>
      </w:r>
    </w:p>
    <w:p>
      <w:pPr>
        <w:jc w:val="both"/>
      </w:pPr>
      <w:r>
        <w:t>阶段计划纳入项目总体实施安排，服务建设周期衔接至2028年5月，质保不少于12个月。具体批次和资源计划按批准的总体里程碑分解，提前安排独立评测、整改复测、专家审核及接收验证时间，避免将全部验证压在最终交付前集中完成。局部任务延误时调整资源和并行顺序，同时维持质量前置条件。</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0" name="Picture 10"/>
            <wp:cNvGraphicFramePr>
              <a:graphicFrameLocks noChangeAspect="1"/>
            </wp:cNvGraphicFramePr>
            <a:graphic>
              <a:graphicData uri="http://schemas.openxmlformats.org/drawingml/2006/picture">
                <pic:pic>
                  <pic:nvPicPr>
                    <pic:cNvPr id="0" name="图10_阶段实施.png"/>
                    <pic:cNvPicPr/>
                  </pic:nvPicPr>
                  <pic:blipFill>
                    <a:blip r:embed="rId20"/>
                    <a:stretch>
                      <a:fillRect/>
                    </a:stretch>
                  </pic:blipFill>
                  <pic:spPr>
                    <a:xfrm>
                      <a:off x="0" y="0"/>
                      <a:ext cx="6048000" cy="1942338"/>
                    </a:xfrm>
                    <a:prstGeom prst="rect"/>
                  </pic:spPr>
                </pic:pic>
              </a:graphicData>
            </a:graphic>
          </wp:inline>
        </w:drawing>
      </w:r>
    </w:p>
    <w:p>
      <w:pPr>
        <w:pStyle w:val="Caption"/>
        <w:jc w:val="center"/>
      </w:pPr>
      <w:r>
        <w:t>图 9-1 实施阶段与成果交付</w:t>
      </w:r>
    </w:p>
    <w:p>
      <w:pPr>
        <w:pStyle w:val="Heading2"/>
      </w:pPr>
      <w:r>
        <w:t>9.3 进度跟踪与问题处置</w:t>
      </w:r>
    </w:p>
    <w:p>
      <w:pPr>
        <w:jc w:val="both"/>
      </w:pPr>
      <w:r>
        <w:t>生产看板按数据集、用途子集和批次展示计划量、接收量、作业量、合格量、隔离量、返工量及正式发布量。过程量与交付量分列，生成速度或标注提交量不能直接代表项目完成率。计划偏差分析结合净合格产出、关键类别覆盖和当前瓶颈，形成资源调整及处置任务。</w:t>
      </w:r>
    </w:p>
    <w:p>
      <w:pPr>
        <w:jc w:val="both"/>
      </w:pPr>
      <w:r>
        <w:t>日常作业核查未结异常、任务失败、权限及配置变更；周度检查四域规模、模态时效性、标注一致性、缺陷变化和验证进度；阶段评审核对里程碑成果、质量结论及下一阶段进入条件。问题负责人、完成时点和复核方法写入工单，同类问题反复出现时分析规则或流程原因，不仅重复要求个人重做。</w:t>
      </w:r>
    </w:p>
    <w:p>
      <w:pPr>
        <w:jc w:val="both"/>
      </w:pPr>
      <w:r>
        <w:t>甲方配合事项包括源资料调阅、业务口径确认、既有系统接口和专业人员参与，逐项登记需求、前置条件及计划时点。我方提前组织资料准备、核查方案和替代作业安排，配合条件变化时评估对规模、质量和工期的影响并按项目程序处理。必要交付条件未满足时继续推进补采及整改，不以卡片披露替代应交成果。</w:t>
      </w:r>
    </w:p>
    <w:p>
      <w:pPr>
        <w:pStyle w:val="Heading2"/>
      </w:pPr>
      <w:r>
        <w:t>9.4 变更与运行风险管理</w:t>
      </w:r>
    </w:p>
    <w:p>
      <w:pPr>
        <w:jc w:val="both"/>
      </w:pPr>
      <w:r>
        <w:t>数据来源、规范、工具配置、教师模型、训练基座、评测协议和发布结构均纳入变更管理。变更申请说明原因、原状态、新状态、影响范围、验证方法和回退条件。与已冻结版本关联的变更通过新版本生效，不能静默修改已用于报告和验收的内容。紧急安全或授权问题先采取阻断措施，再完成原因和影响核查，保留应急记录。</w:t>
      </w:r>
    </w:p>
    <w:p>
      <w:pPr>
        <w:pStyle w:val="Caption"/>
        <w:keepNext/>
      </w:pPr>
      <w:r>
        <w:t>表9-3 变更与运行风险管理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风险</w:t>
            </w:r>
          </w:p>
        </w:tc>
        <w:tc>
          <w:tcPr>
            <w:tcW w:type="dxa" w:w="2699"/>
            <w:vAlign w:val="center"/>
            <w:shd w:fill="EDF1F3"/>
          </w:tcPr>
          <w:p>
            <w:pPr>
              <w:keepNext/>
              <w:spacing w:line="320" w:lineRule="exact" w:after="0" w:before="0"/>
              <w:ind w:firstLine="0"/>
              <w:jc w:val="center"/>
            </w:pPr>
            <w:r>
              <w:rPr>
                <w:b/>
                <w:sz w:val="21"/>
              </w:rPr>
              <w:t>触发信号</w:t>
            </w:r>
          </w:p>
        </w:tc>
        <w:tc>
          <w:tcPr>
            <w:tcW w:type="dxa" w:w="2409"/>
            <w:vAlign w:val="center"/>
            <w:shd w:fill="EDF1F3"/>
          </w:tcPr>
          <w:p>
            <w:pPr>
              <w:keepNext/>
              <w:spacing w:line="320" w:lineRule="exact" w:after="0" w:before="0"/>
              <w:ind w:firstLine="0"/>
              <w:jc w:val="center"/>
            </w:pPr>
            <w:r>
              <w:rPr>
                <w:b/>
                <w:sz w:val="21"/>
              </w:rPr>
              <w:t>处置措施</w:t>
            </w:r>
          </w:p>
        </w:tc>
        <w:tc>
          <w:tcPr>
            <w:tcW w:type="dxa" w:w="2891"/>
            <w:vAlign w:val="center"/>
            <w:shd w:fill="EDF1F3"/>
          </w:tcPr>
          <w:p>
            <w:pPr>
              <w:keepNext/>
              <w:spacing w:line="320" w:lineRule="exact" w:after="0" w:before="0"/>
              <w:ind w:firstLine="0"/>
              <w:jc w:val="center"/>
            </w:pPr>
            <w:r>
              <w:rPr>
                <w:b/>
                <w:sz w:val="21"/>
              </w:rPr>
              <w:t>复核依据</w:t>
            </w:r>
          </w:p>
        </w:tc>
      </w:tr>
      <w:tr>
        <w:trPr>
          <w:cantSplit/>
        </w:trPr>
        <w:tc>
          <w:tcPr>
            <w:tcW w:type="dxa" w:w="1638"/>
            <w:vAlign w:val="center"/>
          </w:tcPr>
          <w:p>
            <w:pPr>
              <w:keepNext w:val="0"/>
              <w:spacing w:line="320" w:lineRule="exact" w:after="0" w:before="0"/>
              <w:ind w:firstLine="0"/>
              <w:jc w:val="left"/>
            </w:pPr>
            <w:r>
              <w:rPr>
                <w:b w:val="0"/>
                <w:sz w:val="21"/>
              </w:rPr>
              <w:t>来源和配对不足</w:t>
            </w:r>
          </w:p>
        </w:tc>
        <w:tc>
          <w:tcPr>
            <w:tcW w:type="dxa" w:w="2699"/>
            <w:vAlign w:val="center"/>
          </w:tcPr>
          <w:p>
            <w:pPr>
              <w:keepNext w:val="0"/>
              <w:spacing w:line="320" w:lineRule="exact" w:after="0" w:before="0"/>
              <w:ind w:firstLine="0"/>
              <w:jc w:val="left"/>
            </w:pPr>
            <w:r>
              <w:rPr>
                <w:b w:val="0"/>
                <w:sz w:val="21"/>
              </w:rPr>
              <w:t>许可或对象关系无法核验</w:t>
            </w:r>
          </w:p>
        </w:tc>
        <w:tc>
          <w:tcPr>
            <w:tcW w:type="dxa" w:w="2409"/>
            <w:vAlign w:val="center"/>
          </w:tcPr>
          <w:p>
            <w:pPr>
              <w:keepNext w:val="0"/>
              <w:spacing w:line="320" w:lineRule="exact" w:after="0" w:before="0"/>
              <w:ind w:firstLine="0"/>
              <w:jc w:val="left"/>
            </w:pPr>
            <w:r>
              <w:rPr>
                <w:b w:val="0"/>
                <w:sz w:val="21"/>
              </w:rPr>
              <w:t>隔离、补证、补采及调整作业顺序</w:t>
            </w:r>
          </w:p>
        </w:tc>
        <w:tc>
          <w:tcPr>
            <w:tcW w:type="dxa" w:w="2891"/>
            <w:vAlign w:val="center"/>
          </w:tcPr>
          <w:p>
            <w:pPr>
              <w:keepNext w:val="0"/>
              <w:spacing w:line="320" w:lineRule="exact" w:after="0" w:before="0"/>
              <w:ind w:firstLine="0"/>
              <w:jc w:val="left"/>
            </w:pPr>
            <w:r>
              <w:rPr>
                <w:b w:val="0"/>
                <w:sz w:val="21"/>
              </w:rPr>
              <w:t>来源凭证和关系核验</w:t>
            </w:r>
          </w:p>
        </w:tc>
      </w:tr>
      <w:tr>
        <w:trPr>
          <w:cantSplit/>
        </w:trPr>
        <w:tc>
          <w:tcPr>
            <w:tcW w:type="dxa" w:w="1638"/>
            <w:vAlign w:val="center"/>
          </w:tcPr>
          <w:p>
            <w:pPr>
              <w:keepNext w:val="0"/>
              <w:spacing w:line="320" w:lineRule="exact" w:after="0" w:before="0"/>
              <w:ind w:firstLine="0"/>
              <w:jc w:val="left"/>
            </w:pPr>
            <w:r>
              <w:rPr>
                <w:b w:val="0"/>
                <w:sz w:val="21"/>
              </w:rPr>
              <w:t>标注分歧增加</w:t>
            </w:r>
          </w:p>
        </w:tc>
        <w:tc>
          <w:tcPr>
            <w:tcW w:type="dxa" w:w="2699"/>
            <w:vAlign w:val="center"/>
          </w:tcPr>
          <w:p>
            <w:pPr>
              <w:keepNext w:val="0"/>
              <w:spacing w:line="320" w:lineRule="exact" w:after="0" w:before="0"/>
              <w:ind w:firstLine="0"/>
              <w:jc w:val="left"/>
            </w:pPr>
            <w:r>
              <w:rPr>
                <w:b w:val="0"/>
                <w:sz w:val="21"/>
              </w:rPr>
              <w:t>一致性下降或关键误标</w:t>
            </w:r>
          </w:p>
        </w:tc>
        <w:tc>
          <w:tcPr>
            <w:tcW w:type="dxa" w:w="2409"/>
            <w:vAlign w:val="center"/>
          </w:tcPr>
          <w:p>
            <w:pPr>
              <w:keepNext w:val="0"/>
              <w:spacing w:line="320" w:lineRule="exact" w:after="0" w:before="0"/>
              <w:ind w:firstLine="0"/>
              <w:jc w:val="left"/>
            </w:pPr>
            <w:r>
              <w:rPr>
                <w:b w:val="0"/>
                <w:sz w:val="21"/>
              </w:rPr>
              <w:t>暂停受影响任务，修订规范并重标</w:t>
            </w:r>
          </w:p>
        </w:tc>
        <w:tc>
          <w:tcPr>
            <w:tcW w:type="dxa" w:w="2891"/>
            <w:vAlign w:val="center"/>
          </w:tcPr>
          <w:p>
            <w:pPr>
              <w:keepNext w:val="0"/>
              <w:spacing w:line="320" w:lineRule="exact" w:after="0" w:before="0"/>
              <w:ind w:firstLine="0"/>
              <w:jc w:val="left"/>
            </w:pPr>
            <w:r>
              <w:rPr>
                <w:b w:val="0"/>
                <w:sz w:val="21"/>
              </w:rPr>
              <w:t>独立重复标注及复检</w:t>
            </w:r>
          </w:p>
        </w:tc>
      </w:tr>
      <w:tr>
        <w:trPr>
          <w:cantSplit/>
        </w:trPr>
        <w:tc>
          <w:tcPr>
            <w:tcW w:type="dxa" w:w="1638"/>
            <w:vAlign w:val="center"/>
          </w:tcPr>
          <w:p>
            <w:pPr>
              <w:keepNext w:val="0"/>
              <w:spacing w:line="320" w:lineRule="exact" w:after="0" w:before="0"/>
              <w:ind w:firstLine="0"/>
              <w:jc w:val="left"/>
            </w:pPr>
            <w:r>
              <w:rPr>
                <w:b w:val="0"/>
                <w:sz w:val="21"/>
              </w:rPr>
              <w:t>合成过度集中</w:t>
            </w:r>
          </w:p>
        </w:tc>
        <w:tc>
          <w:tcPr>
            <w:tcW w:type="dxa" w:w="2699"/>
            <w:vAlign w:val="center"/>
          </w:tcPr>
          <w:p>
            <w:pPr>
              <w:keepNext w:val="0"/>
              <w:spacing w:line="320" w:lineRule="exact" w:after="0" w:before="0"/>
              <w:ind w:firstLine="0"/>
              <w:jc w:val="left"/>
            </w:pPr>
            <w:r>
              <w:rPr>
                <w:b w:val="0"/>
                <w:sz w:val="21"/>
              </w:rPr>
              <w:t>少量种子反复派生、分布偏置</w:t>
            </w:r>
          </w:p>
        </w:tc>
        <w:tc>
          <w:tcPr>
            <w:tcW w:type="dxa" w:w="2409"/>
            <w:vAlign w:val="center"/>
          </w:tcPr>
          <w:p>
            <w:pPr>
              <w:keepNext w:val="0"/>
              <w:spacing w:line="320" w:lineRule="exact" w:after="0" w:before="0"/>
              <w:ind w:firstLine="0"/>
              <w:jc w:val="left"/>
            </w:pPr>
            <w:r>
              <w:rPr>
                <w:b w:val="0"/>
                <w:sz w:val="21"/>
              </w:rPr>
              <w:t>限制家族权重并增加真实来源</w:t>
            </w:r>
          </w:p>
        </w:tc>
        <w:tc>
          <w:tcPr>
            <w:tcW w:type="dxa" w:w="2891"/>
            <w:vAlign w:val="center"/>
          </w:tcPr>
          <w:p>
            <w:pPr>
              <w:keepNext w:val="0"/>
              <w:spacing w:line="320" w:lineRule="exact" w:after="0" w:before="0"/>
              <w:ind w:firstLine="0"/>
              <w:jc w:val="left"/>
            </w:pPr>
            <w:r>
              <w:rPr>
                <w:b w:val="0"/>
                <w:sz w:val="21"/>
              </w:rPr>
              <w:t>配比和来源分布对比</w:t>
            </w:r>
          </w:p>
        </w:tc>
      </w:tr>
      <w:tr>
        <w:trPr>
          <w:cantSplit/>
        </w:trPr>
        <w:tc>
          <w:tcPr>
            <w:tcW w:type="dxa" w:w="1638"/>
            <w:vAlign w:val="center"/>
          </w:tcPr>
          <w:p>
            <w:pPr>
              <w:keepNext w:val="0"/>
              <w:spacing w:line="320" w:lineRule="exact" w:after="0" w:before="0"/>
              <w:ind w:firstLine="0"/>
              <w:jc w:val="left"/>
            </w:pPr>
            <w:r>
              <w:rPr>
                <w:b w:val="0"/>
                <w:sz w:val="21"/>
              </w:rPr>
              <w:t>变换破坏语义</w:t>
            </w:r>
          </w:p>
        </w:tc>
        <w:tc>
          <w:tcPr>
            <w:tcW w:type="dxa" w:w="2699"/>
            <w:vAlign w:val="center"/>
          </w:tcPr>
          <w:p>
            <w:pPr>
              <w:keepNext w:val="0"/>
              <w:spacing w:line="320" w:lineRule="exact" w:after="0" w:before="0"/>
              <w:ind w:firstLine="0"/>
              <w:jc w:val="left"/>
            </w:pPr>
            <w:r>
              <w:rPr>
                <w:b w:val="0"/>
                <w:sz w:val="21"/>
              </w:rPr>
              <w:t>关键事件或标签丢失</w:t>
            </w:r>
          </w:p>
        </w:tc>
        <w:tc>
          <w:tcPr>
            <w:tcW w:type="dxa" w:w="2409"/>
            <w:vAlign w:val="center"/>
          </w:tcPr>
          <w:p>
            <w:pPr>
              <w:keepNext w:val="0"/>
              <w:spacing w:line="320" w:lineRule="exact" w:after="0" w:before="0"/>
              <w:ind w:firstLine="0"/>
              <w:jc w:val="left"/>
            </w:pPr>
            <w:r>
              <w:rPr>
                <w:b w:val="0"/>
                <w:sz w:val="21"/>
              </w:rPr>
              <w:t>整批回退，重审算子和参数</w:t>
            </w:r>
          </w:p>
        </w:tc>
        <w:tc>
          <w:tcPr>
            <w:tcW w:type="dxa" w:w="2891"/>
            <w:vAlign w:val="center"/>
          </w:tcPr>
          <w:p>
            <w:pPr>
              <w:keepNext w:val="0"/>
              <w:spacing w:line="320" w:lineRule="exact" w:after="0" w:before="0"/>
              <w:ind w:firstLine="0"/>
              <w:jc w:val="left"/>
            </w:pPr>
            <w:r>
              <w:rPr>
                <w:b w:val="0"/>
                <w:sz w:val="21"/>
              </w:rPr>
              <w:t>语义与标签复核</w:t>
            </w:r>
          </w:p>
        </w:tc>
      </w:tr>
      <w:tr>
        <w:trPr>
          <w:cantSplit/>
        </w:trPr>
        <w:tc>
          <w:tcPr>
            <w:tcW w:type="dxa" w:w="1638"/>
            <w:vAlign w:val="center"/>
          </w:tcPr>
          <w:p>
            <w:pPr>
              <w:keepNext w:val="0"/>
              <w:spacing w:line="320" w:lineRule="exact" w:after="0" w:before="0"/>
              <w:ind w:firstLine="0"/>
              <w:jc w:val="left"/>
            </w:pPr>
            <w:r>
              <w:rPr>
                <w:b w:val="0"/>
                <w:sz w:val="21"/>
              </w:rPr>
              <w:t>评测污染</w:t>
            </w:r>
          </w:p>
        </w:tc>
        <w:tc>
          <w:tcPr>
            <w:tcW w:type="dxa" w:w="2699"/>
            <w:vAlign w:val="center"/>
          </w:tcPr>
          <w:p>
            <w:pPr>
              <w:keepNext w:val="0"/>
              <w:spacing w:line="320" w:lineRule="exact" w:after="0" w:before="0"/>
              <w:ind w:firstLine="0"/>
              <w:jc w:val="left"/>
            </w:pPr>
            <w:r>
              <w:rPr>
                <w:b w:val="0"/>
                <w:sz w:val="21"/>
              </w:rPr>
              <w:t>同源或已训练对象进入基准</w:t>
            </w:r>
          </w:p>
        </w:tc>
        <w:tc>
          <w:tcPr>
            <w:tcW w:type="dxa" w:w="2409"/>
            <w:vAlign w:val="center"/>
          </w:tcPr>
          <w:p>
            <w:pPr>
              <w:keepNext w:val="0"/>
              <w:spacing w:line="320" w:lineRule="exact" w:after="0" w:before="0"/>
              <w:ind w:firstLine="0"/>
              <w:jc w:val="left"/>
            </w:pPr>
            <w:r>
              <w:rPr>
                <w:b w:val="0"/>
                <w:sz w:val="21"/>
              </w:rPr>
              <w:t>隔离影响范围，重建独立比较</w:t>
            </w:r>
          </w:p>
        </w:tc>
        <w:tc>
          <w:tcPr>
            <w:tcW w:type="dxa" w:w="2891"/>
            <w:vAlign w:val="center"/>
          </w:tcPr>
          <w:p>
            <w:pPr>
              <w:keepNext w:val="0"/>
              <w:spacing w:line="320" w:lineRule="exact" w:after="0" w:before="0"/>
              <w:ind w:firstLine="0"/>
              <w:jc w:val="left"/>
            </w:pPr>
            <w:r>
              <w:rPr>
                <w:b w:val="0"/>
                <w:sz w:val="21"/>
              </w:rPr>
              <w:t>使用历史和重测结果</w:t>
            </w:r>
          </w:p>
        </w:tc>
      </w:tr>
      <w:tr>
        <w:trPr>
          <w:cantSplit/>
        </w:trPr>
        <w:tc>
          <w:tcPr>
            <w:tcW w:type="dxa" w:w="1638"/>
            <w:vAlign w:val="center"/>
          </w:tcPr>
          <w:p>
            <w:pPr>
              <w:keepNext w:val="0"/>
              <w:spacing w:line="320" w:lineRule="exact" w:after="0" w:before="0"/>
              <w:ind w:firstLine="0"/>
              <w:jc w:val="left"/>
            </w:pPr>
            <w:r>
              <w:rPr>
                <w:b w:val="0"/>
                <w:sz w:val="21"/>
              </w:rPr>
              <w:t>训练异常</w:t>
            </w:r>
          </w:p>
        </w:tc>
        <w:tc>
          <w:tcPr>
            <w:tcW w:type="dxa" w:w="2699"/>
            <w:vAlign w:val="center"/>
          </w:tcPr>
          <w:p>
            <w:pPr>
              <w:keepNext w:val="0"/>
              <w:spacing w:line="320" w:lineRule="exact" w:after="0" w:before="0"/>
              <w:ind w:firstLine="0"/>
              <w:jc w:val="left"/>
            </w:pPr>
            <w:r>
              <w:rPr>
                <w:b w:val="0"/>
                <w:sz w:val="21"/>
              </w:rPr>
              <w:t>损失异常、数据游标或环境漂移</w:t>
            </w:r>
          </w:p>
        </w:tc>
        <w:tc>
          <w:tcPr>
            <w:tcW w:type="dxa" w:w="2409"/>
            <w:vAlign w:val="center"/>
          </w:tcPr>
          <w:p>
            <w:pPr>
              <w:keepNext w:val="0"/>
              <w:spacing w:line="320" w:lineRule="exact" w:after="0" w:before="0"/>
              <w:ind w:firstLine="0"/>
              <w:jc w:val="left"/>
            </w:pPr>
            <w:r>
              <w:rPr>
                <w:b w:val="0"/>
                <w:sz w:val="21"/>
              </w:rPr>
              <w:t>停止异常运行，检查输入及恢复状态</w:t>
            </w:r>
          </w:p>
        </w:tc>
        <w:tc>
          <w:tcPr>
            <w:tcW w:type="dxa" w:w="2891"/>
            <w:vAlign w:val="center"/>
          </w:tcPr>
          <w:p>
            <w:pPr>
              <w:keepNext w:val="0"/>
              <w:spacing w:line="320" w:lineRule="exact" w:after="0" w:before="0"/>
              <w:ind w:firstLine="0"/>
              <w:jc w:val="left"/>
            </w:pPr>
            <w:r>
              <w:rPr>
                <w:b w:val="0"/>
                <w:sz w:val="21"/>
              </w:rPr>
              <w:t>日志、检查点及重跑结果</w:t>
            </w:r>
          </w:p>
        </w:tc>
      </w:tr>
      <w:tr>
        <w:trPr>
          <w:cantSplit/>
        </w:trPr>
        <w:tc>
          <w:tcPr>
            <w:tcW w:type="dxa" w:w="1638"/>
            <w:vAlign w:val="center"/>
          </w:tcPr>
          <w:p>
            <w:pPr>
              <w:keepNext w:val="0"/>
              <w:spacing w:line="320" w:lineRule="exact" w:after="0" w:before="0"/>
              <w:ind w:firstLine="0"/>
              <w:jc w:val="left"/>
            </w:pPr>
            <w:r>
              <w:rPr>
                <w:b w:val="0"/>
                <w:sz w:val="21"/>
              </w:rPr>
              <w:t>发布不一致</w:t>
            </w:r>
          </w:p>
        </w:tc>
        <w:tc>
          <w:tcPr>
            <w:tcW w:type="dxa" w:w="2699"/>
            <w:vAlign w:val="center"/>
          </w:tcPr>
          <w:p>
            <w:pPr>
              <w:keepNext w:val="0"/>
              <w:spacing w:line="320" w:lineRule="exact" w:after="0" w:before="0"/>
              <w:ind w:firstLine="0"/>
              <w:jc w:val="left"/>
            </w:pPr>
            <w:r>
              <w:rPr>
                <w:b w:val="0"/>
                <w:sz w:val="21"/>
              </w:rPr>
              <w:t>数据、卡片或报告版本不符</w:t>
            </w:r>
          </w:p>
        </w:tc>
        <w:tc>
          <w:tcPr>
            <w:tcW w:type="dxa" w:w="2409"/>
            <w:vAlign w:val="center"/>
          </w:tcPr>
          <w:p>
            <w:pPr>
              <w:keepNext w:val="0"/>
              <w:spacing w:line="320" w:lineRule="exact" w:after="0" w:before="0"/>
              <w:ind w:firstLine="0"/>
              <w:jc w:val="left"/>
            </w:pPr>
            <w:r>
              <w:rPr>
                <w:b w:val="0"/>
                <w:sz w:val="21"/>
              </w:rPr>
              <w:t>保持原有效版，重新核对候选包</w:t>
            </w:r>
          </w:p>
        </w:tc>
        <w:tc>
          <w:tcPr>
            <w:tcW w:type="dxa" w:w="2891"/>
            <w:vAlign w:val="center"/>
          </w:tcPr>
          <w:p>
            <w:pPr>
              <w:keepNext w:val="0"/>
              <w:spacing w:line="320" w:lineRule="exact" w:after="0" w:before="0"/>
              <w:ind w:firstLine="0"/>
              <w:jc w:val="left"/>
            </w:pPr>
            <w:r>
              <w:rPr>
                <w:b w:val="0"/>
                <w:sz w:val="21"/>
              </w:rPr>
              <w:t>清单、摘要及接收验证</w:t>
            </w:r>
          </w:p>
        </w:tc>
      </w:tr>
      <w:tr>
        <w:trPr>
          <w:cantSplit/>
        </w:trPr>
        <w:tc>
          <w:tcPr>
            <w:tcW w:type="dxa" w:w="1638"/>
            <w:vAlign w:val="center"/>
          </w:tcPr>
          <w:p>
            <w:pPr>
              <w:keepNext w:val="0"/>
              <w:spacing w:line="320" w:lineRule="exact" w:after="0" w:before="0"/>
              <w:ind w:firstLine="0"/>
              <w:jc w:val="left"/>
            </w:pPr>
            <w:r>
              <w:rPr>
                <w:b w:val="0"/>
                <w:sz w:val="21"/>
              </w:rPr>
              <w:t>使用阶段发现缺陷</w:t>
            </w:r>
          </w:p>
        </w:tc>
        <w:tc>
          <w:tcPr>
            <w:tcW w:type="dxa" w:w="2699"/>
            <w:vAlign w:val="center"/>
          </w:tcPr>
          <w:p>
            <w:pPr>
              <w:keepNext w:val="0"/>
              <w:spacing w:line="320" w:lineRule="exact" w:after="0" w:before="0"/>
              <w:ind w:firstLine="0"/>
              <w:jc w:val="left"/>
            </w:pPr>
            <w:r>
              <w:rPr>
                <w:b w:val="0"/>
                <w:sz w:val="21"/>
              </w:rPr>
              <w:t>有效问题反馈及复现证据</w:t>
            </w:r>
          </w:p>
        </w:tc>
        <w:tc>
          <w:tcPr>
            <w:tcW w:type="dxa" w:w="2409"/>
            <w:vAlign w:val="center"/>
          </w:tcPr>
          <w:p>
            <w:pPr>
              <w:keepNext w:val="0"/>
              <w:spacing w:line="320" w:lineRule="exact" w:after="0" w:before="0"/>
              <w:ind w:firstLine="0"/>
              <w:jc w:val="left"/>
            </w:pPr>
            <w:r>
              <w:rPr>
                <w:b w:val="0"/>
                <w:sz w:val="21"/>
              </w:rPr>
              <w:t>追踪范围、限制供给、修复复评</w:t>
            </w:r>
          </w:p>
        </w:tc>
        <w:tc>
          <w:tcPr>
            <w:tcW w:type="dxa" w:w="2891"/>
            <w:vAlign w:val="center"/>
          </w:tcPr>
          <w:p>
            <w:pPr>
              <w:keepNext w:val="0"/>
              <w:spacing w:line="320" w:lineRule="exact" w:after="0" w:before="0"/>
              <w:ind w:firstLine="0"/>
              <w:jc w:val="left"/>
            </w:pPr>
            <w:r>
              <w:rPr>
                <w:b w:val="0"/>
                <w:sz w:val="21"/>
              </w:rPr>
              <w:t>新版本及使用方处置记录</w:t>
            </w:r>
          </w:p>
        </w:tc>
      </w:tr>
    </w:tbl>
    <w:p>
      <w:pPr>
        <w:spacing w:after="40" w:line="240" w:lineRule="auto"/>
        <w:ind w:firstLine="0"/>
      </w:pPr>
      <w:r>
        <w:rPr>
          <w:sz w:val="4"/>
        </w:rPr>
      </w:r>
    </w:p>
    <w:p>
      <w:pPr>
        <w:pStyle w:val="Heading2"/>
      </w:pPr>
      <w:r>
        <w:t>9.5 成果清单与验收组织</w:t>
      </w:r>
    </w:p>
    <w:p>
      <w:pPr>
        <w:spacing w:line="400" w:lineRule="exact"/>
        <w:jc w:val="both"/>
      </w:pPr>
      <w:r>
        <w:t>成果按四个数据集、四个用途子集及版本归集，批次记录与正式版本之间保持可追溯关系。标注样本包含规范版本、作业人员标识及校验结论；合成样本包含种子、方法、提示词和教师模型记录；增强样本包含算子、参数、来源链及前后校验结果。质检与验证报告绑定实际内容指纹，封装内的字典、结构和清单能够独立使用。</w:t>
      </w:r>
    </w:p>
    <w:p>
      <w:pPr>
        <w:pStyle w:val="Caption"/>
        <w:keepNext/>
      </w:pPr>
      <w:r>
        <w:t>表9-4 成果清单与验收组织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60" w:type="dxa"/>
          <w:bottom w:w="6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00" w:lineRule="exact" w:after="0" w:before="0"/>
              <w:ind w:firstLine="0"/>
              <w:jc w:val="center"/>
            </w:pPr>
            <w:r>
              <w:rPr>
                <w:b/>
                <w:sz w:val="21"/>
              </w:rPr>
              <w:t>成果类别</w:t>
            </w:r>
          </w:p>
        </w:tc>
        <w:tc>
          <w:tcPr>
            <w:tcW w:type="dxa" w:w="4048"/>
            <w:vAlign w:val="center"/>
            <w:shd w:fill="EDF1F3"/>
          </w:tcPr>
          <w:p>
            <w:pPr>
              <w:keepNext/>
              <w:spacing w:line="300" w:lineRule="exact" w:after="0" w:before="0"/>
              <w:ind w:firstLine="0"/>
              <w:jc w:val="center"/>
            </w:pPr>
            <w:r>
              <w:rPr>
                <w:b/>
                <w:sz w:val="21"/>
              </w:rPr>
              <w:t>交付内容</w:t>
            </w:r>
          </w:p>
        </w:tc>
        <w:tc>
          <w:tcPr>
            <w:tcW w:type="dxa" w:w="3470"/>
            <w:vAlign w:val="center"/>
            <w:shd w:fill="EDF1F3"/>
          </w:tcPr>
          <w:p>
            <w:pPr>
              <w:keepNext/>
              <w:spacing w:line="300" w:lineRule="exact" w:after="0" w:before="0"/>
              <w:ind w:firstLine="0"/>
              <w:jc w:val="center"/>
            </w:pPr>
            <w:r>
              <w:rPr>
                <w:b/>
                <w:sz w:val="21"/>
              </w:rPr>
              <w:t>核查方法</w:t>
            </w:r>
          </w:p>
        </w:tc>
      </w:tr>
      <w:tr>
        <w:trPr>
          <w:cantSplit/>
        </w:trPr>
        <w:tc>
          <w:tcPr>
            <w:tcW w:type="dxa" w:w="2120"/>
            <w:vAlign w:val="center"/>
          </w:tcPr>
          <w:p>
            <w:pPr>
              <w:keepNext w:val="0"/>
              <w:spacing w:line="300" w:lineRule="exact" w:after="0" w:before="0"/>
              <w:ind w:firstLine="0"/>
              <w:jc w:val="left"/>
            </w:pPr>
            <w:r>
              <w:rPr>
                <w:b w:val="0"/>
                <w:sz w:val="21"/>
              </w:rPr>
              <w:t>标注规范与样本</w:t>
            </w:r>
          </w:p>
        </w:tc>
        <w:tc>
          <w:tcPr>
            <w:tcW w:type="dxa" w:w="4048"/>
            <w:vAlign w:val="center"/>
          </w:tcPr>
          <w:p>
            <w:pPr>
              <w:keepNext w:val="0"/>
              <w:spacing w:line="300" w:lineRule="exact" w:after="0" w:before="0"/>
              <w:ind w:firstLine="0"/>
              <w:jc w:val="left"/>
            </w:pPr>
            <w:r>
              <w:rPr>
                <w:b w:val="0"/>
                <w:sz w:val="21"/>
              </w:rPr>
              <w:t>分任务规范、本体引用、标注记录、黄金集及一致性统计</w:t>
            </w:r>
          </w:p>
        </w:tc>
        <w:tc>
          <w:tcPr>
            <w:tcW w:type="dxa" w:w="3470"/>
            <w:vAlign w:val="center"/>
          </w:tcPr>
          <w:p>
            <w:pPr>
              <w:keepNext w:val="0"/>
              <w:spacing w:line="300" w:lineRule="exact" w:after="0" w:before="0"/>
              <w:ind w:firstLine="0"/>
              <w:jc w:val="left"/>
            </w:pPr>
            <w:r>
              <w:rPr>
                <w:b w:val="0"/>
                <w:sz w:val="21"/>
              </w:rPr>
              <w:t>反向重标、证据回查及字段核验</w:t>
            </w:r>
          </w:p>
        </w:tc>
      </w:tr>
      <w:tr>
        <w:trPr>
          <w:cantSplit/>
        </w:trPr>
        <w:tc>
          <w:tcPr>
            <w:tcW w:type="dxa" w:w="2120"/>
            <w:vAlign w:val="center"/>
          </w:tcPr>
          <w:p>
            <w:pPr>
              <w:keepNext w:val="0"/>
              <w:spacing w:line="300" w:lineRule="exact" w:after="0" w:before="0"/>
              <w:ind w:firstLine="0"/>
              <w:jc w:val="left"/>
            </w:pPr>
            <w:r>
              <w:rPr>
                <w:b w:val="0"/>
                <w:sz w:val="21"/>
              </w:rPr>
              <w:t>合成生产成果</w:t>
            </w:r>
          </w:p>
        </w:tc>
        <w:tc>
          <w:tcPr>
            <w:tcW w:type="dxa" w:w="4048"/>
            <w:vAlign w:val="center"/>
          </w:tcPr>
          <w:p>
            <w:pPr>
              <w:keepNext w:val="0"/>
              <w:spacing w:line="300" w:lineRule="exact" w:after="0" w:before="0"/>
              <w:ind w:firstLine="0"/>
              <w:jc w:val="left"/>
            </w:pPr>
            <w:r>
              <w:rPr>
                <w:b w:val="0"/>
                <w:sz w:val="21"/>
              </w:rPr>
              <w:t>样本、种子、提示词配置、教师模型许可及过滤记录</w:t>
            </w:r>
          </w:p>
        </w:tc>
        <w:tc>
          <w:tcPr>
            <w:tcW w:type="dxa" w:w="3470"/>
            <w:vAlign w:val="center"/>
          </w:tcPr>
          <w:p>
            <w:pPr>
              <w:keepNext w:val="0"/>
              <w:spacing w:line="300" w:lineRule="exact" w:after="0" w:before="0"/>
              <w:ind w:firstLine="0"/>
              <w:jc w:val="left"/>
            </w:pPr>
            <w:r>
              <w:rPr>
                <w:b w:val="0"/>
                <w:sz w:val="21"/>
              </w:rPr>
              <w:t>血缘回查、规则复算和分布核验</w:t>
            </w:r>
          </w:p>
        </w:tc>
      </w:tr>
      <w:tr>
        <w:trPr>
          <w:cantSplit/>
        </w:trPr>
        <w:tc>
          <w:tcPr>
            <w:tcW w:type="dxa" w:w="2120"/>
            <w:vAlign w:val="center"/>
          </w:tcPr>
          <w:p>
            <w:pPr>
              <w:keepNext w:val="0"/>
              <w:spacing w:line="300" w:lineRule="exact" w:after="0" w:before="0"/>
              <w:ind w:firstLine="0"/>
              <w:jc w:val="left"/>
            </w:pPr>
            <w:r>
              <w:rPr>
                <w:b w:val="0"/>
                <w:sz w:val="21"/>
              </w:rPr>
              <w:t>增强生产成果</w:t>
            </w:r>
          </w:p>
        </w:tc>
        <w:tc>
          <w:tcPr>
            <w:tcW w:type="dxa" w:w="4048"/>
            <w:vAlign w:val="center"/>
          </w:tcPr>
          <w:p>
            <w:pPr>
              <w:keepNext w:val="0"/>
              <w:spacing w:line="300" w:lineRule="exact" w:after="0" w:before="0"/>
              <w:ind w:firstLine="0"/>
              <w:jc w:val="left"/>
            </w:pPr>
            <w:r>
              <w:rPr>
                <w:b w:val="0"/>
                <w:sz w:val="21"/>
              </w:rPr>
              <w:t>样本、算子参数、标签变换及前后分布</w:t>
            </w:r>
          </w:p>
        </w:tc>
        <w:tc>
          <w:tcPr>
            <w:tcW w:type="dxa" w:w="3470"/>
            <w:vAlign w:val="center"/>
          </w:tcPr>
          <w:p>
            <w:pPr>
              <w:keepNext w:val="0"/>
              <w:spacing w:line="300" w:lineRule="exact" w:after="0" w:before="0"/>
              <w:ind w:firstLine="0"/>
              <w:jc w:val="left"/>
            </w:pPr>
            <w:r>
              <w:rPr>
                <w:b w:val="0"/>
                <w:sz w:val="21"/>
              </w:rPr>
              <w:t>变换复现、语义与标签复核</w:t>
            </w:r>
          </w:p>
        </w:tc>
      </w:tr>
      <w:tr>
        <w:trPr>
          <w:cantSplit/>
        </w:trPr>
        <w:tc>
          <w:tcPr>
            <w:tcW w:type="dxa" w:w="2120"/>
            <w:vAlign w:val="center"/>
          </w:tcPr>
          <w:p>
            <w:pPr>
              <w:keepNext w:val="0"/>
              <w:spacing w:line="300" w:lineRule="exact" w:after="0" w:before="0"/>
              <w:ind w:firstLine="0"/>
              <w:jc w:val="left"/>
            </w:pPr>
            <w:r>
              <w:rPr>
                <w:b w:val="0"/>
                <w:sz w:val="21"/>
              </w:rPr>
              <w:t>过程质检成果</w:t>
            </w:r>
          </w:p>
        </w:tc>
        <w:tc>
          <w:tcPr>
            <w:tcW w:type="dxa" w:w="4048"/>
            <w:vAlign w:val="center"/>
          </w:tcPr>
          <w:p>
            <w:pPr>
              <w:keepNext w:val="0"/>
              <w:spacing w:line="300" w:lineRule="exact" w:after="0" w:before="0"/>
              <w:ind w:firstLine="0"/>
              <w:jc w:val="left"/>
            </w:pPr>
            <w:r>
              <w:rPr>
                <w:b w:val="0"/>
                <w:sz w:val="21"/>
              </w:rPr>
              <w:t>各环节结论、异常清单、修复及复检记录</w:t>
            </w:r>
          </w:p>
        </w:tc>
        <w:tc>
          <w:tcPr>
            <w:tcW w:type="dxa" w:w="3470"/>
            <w:vAlign w:val="center"/>
          </w:tcPr>
          <w:p>
            <w:pPr>
              <w:keepNext w:val="0"/>
              <w:spacing w:line="300" w:lineRule="exact" w:after="0" w:before="0"/>
              <w:ind w:firstLine="0"/>
              <w:jc w:val="left"/>
            </w:pPr>
            <w:r>
              <w:rPr>
                <w:b w:val="0"/>
                <w:sz w:val="21"/>
              </w:rPr>
              <w:t>抽样核查和未结项对账</w:t>
            </w:r>
          </w:p>
        </w:tc>
      </w:tr>
      <w:tr>
        <w:trPr>
          <w:cantSplit/>
        </w:trPr>
        <w:tc>
          <w:tcPr>
            <w:tcW w:type="dxa" w:w="2120"/>
            <w:vAlign w:val="center"/>
          </w:tcPr>
          <w:p>
            <w:pPr>
              <w:keepNext w:val="0"/>
              <w:spacing w:line="300" w:lineRule="exact" w:after="0" w:before="0"/>
              <w:ind w:firstLine="0"/>
              <w:jc w:val="left"/>
            </w:pPr>
            <w:r>
              <w:rPr>
                <w:b w:val="0"/>
                <w:sz w:val="21"/>
              </w:rPr>
              <w:t>数据集验证成果</w:t>
            </w:r>
          </w:p>
        </w:tc>
        <w:tc>
          <w:tcPr>
            <w:tcW w:type="dxa" w:w="4048"/>
            <w:vAlign w:val="center"/>
          </w:tcPr>
          <w:p>
            <w:pPr>
              <w:keepNext w:val="0"/>
              <w:spacing w:line="300" w:lineRule="exact" w:after="0" w:before="0"/>
              <w:ind w:firstLine="0"/>
              <w:jc w:val="left"/>
            </w:pPr>
            <w:r>
              <w:rPr>
                <w:b w:val="0"/>
                <w:sz w:val="21"/>
              </w:rPr>
              <w:t>训练实验、标准化评测、能力图、场景结论及整改复评</w:t>
            </w:r>
          </w:p>
        </w:tc>
        <w:tc>
          <w:tcPr>
            <w:tcW w:type="dxa" w:w="3470"/>
            <w:vAlign w:val="center"/>
          </w:tcPr>
          <w:p>
            <w:pPr>
              <w:keepNext w:val="0"/>
              <w:spacing w:line="300" w:lineRule="exact" w:after="0" w:before="0"/>
              <w:ind w:firstLine="0"/>
              <w:jc w:val="left"/>
            </w:pPr>
            <w:r>
              <w:rPr>
                <w:b w:val="0"/>
                <w:sz w:val="21"/>
              </w:rPr>
              <w:t>固定协议重测及报告数据核对</w:t>
            </w:r>
          </w:p>
        </w:tc>
      </w:tr>
      <w:tr>
        <w:trPr>
          <w:cantSplit/>
        </w:trPr>
        <w:tc>
          <w:tcPr>
            <w:tcW w:type="dxa" w:w="2120"/>
            <w:vAlign w:val="center"/>
          </w:tcPr>
          <w:p>
            <w:pPr>
              <w:keepNext w:val="0"/>
              <w:spacing w:line="300" w:lineRule="exact" w:after="0" w:before="0"/>
              <w:ind w:firstLine="0"/>
              <w:jc w:val="left"/>
            </w:pPr>
            <w:r>
              <w:rPr>
                <w:b w:val="0"/>
                <w:sz w:val="21"/>
              </w:rPr>
              <w:t>版本与封装成果</w:t>
            </w:r>
          </w:p>
        </w:tc>
        <w:tc>
          <w:tcPr>
            <w:tcW w:type="dxa" w:w="4048"/>
            <w:vAlign w:val="center"/>
          </w:tcPr>
          <w:p>
            <w:pPr>
              <w:keepNext w:val="0"/>
              <w:spacing w:line="300" w:lineRule="exact" w:after="0" w:before="0"/>
              <w:ind w:firstLine="0"/>
              <w:jc w:val="left"/>
            </w:pPr>
            <w:r>
              <w:rPr>
                <w:b w:val="0"/>
                <w:sz w:val="21"/>
              </w:rPr>
              <w:t>数据内容、卡片、指纹、字典、自描述文件及报告</w:t>
            </w:r>
          </w:p>
        </w:tc>
        <w:tc>
          <w:tcPr>
            <w:tcW w:type="dxa" w:w="3470"/>
            <w:vAlign w:val="center"/>
          </w:tcPr>
          <w:p>
            <w:pPr>
              <w:keepNext w:val="0"/>
              <w:spacing w:line="300" w:lineRule="exact" w:after="0" w:before="0"/>
              <w:ind w:firstLine="0"/>
              <w:jc w:val="left"/>
            </w:pPr>
            <w:r>
              <w:rPr>
                <w:b w:val="0"/>
                <w:sz w:val="21"/>
              </w:rPr>
              <w:t>清单计量、摘要及独立解析</w:t>
            </w:r>
          </w:p>
        </w:tc>
      </w:tr>
      <w:tr>
        <w:trPr>
          <w:cantSplit/>
        </w:trPr>
        <w:tc>
          <w:tcPr>
            <w:tcW w:type="dxa" w:w="2120"/>
            <w:vAlign w:val="center"/>
          </w:tcPr>
          <w:p>
            <w:pPr>
              <w:keepNext w:val="0"/>
              <w:spacing w:line="300" w:lineRule="exact" w:after="0" w:before="0"/>
              <w:ind w:firstLine="0"/>
              <w:jc w:val="left"/>
            </w:pPr>
            <w:r>
              <w:rPr>
                <w:b w:val="0"/>
                <w:sz w:val="21"/>
              </w:rPr>
              <w:t>项目与运营衔接</w:t>
            </w:r>
          </w:p>
        </w:tc>
        <w:tc>
          <w:tcPr>
            <w:tcW w:type="dxa" w:w="4048"/>
            <w:vAlign w:val="center"/>
          </w:tcPr>
          <w:p>
            <w:pPr>
              <w:keepNext w:val="0"/>
              <w:spacing w:line="300" w:lineRule="exact" w:after="0" w:before="0"/>
              <w:ind w:firstLine="0"/>
              <w:jc w:val="left"/>
            </w:pPr>
            <w:r>
              <w:rPr>
                <w:b w:val="0"/>
                <w:sz w:val="21"/>
              </w:rPr>
              <w:t>资产台账、发布记录、移交登记及修订计划</w:t>
            </w:r>
          </w:p>
        </w:tc>
        <w:tc>
          <w:tcPr>
            <w:tcW w:type="dxa" w:w="3470"/>
            <w:vAlign w:val="center"/>
          </w:tcPr>
          <w:p>
            <w:pPr>
              <w:keepNext w:val="0"/>
              <w:spacing w:line="300" w:lineRule="exact" w:after="0" w:before="0"/>
              <w:ind w:firstLine="0"/>
              <w:jc w:val="left"/>
            </w:pPr>
            <w:r>
              <w:rPr>
                <w:b w:val="0"/>
                <w:sz w:val="21"/>
              </w:rPr>
              <w:t>登记回查、接收记录和使用状态核对</w:t>
            </w:r>
          </w:p>
        </w:tc>
      </w:tr>
    </w:tbl>
    <w:p>
      <w:pPr>
        <w:spacing w:after="40" w:line="240" w:lineRule="auto"/>
        <w:ind w:firstLine="0"/>
      </w:pPr>
      <w:r>
        <w:rPr>
          <w:sz w:val="4"/>
        </w:rPr>
      </w:r>
    </w:p>
    <w:p>
      <w:pPr>
        <w:spacing w:line="400" w:lineRule="exact"/>
        <w:jc w:val="both"/>
      </w:pPr>
      <w:r>
        <w:t>验收先核对范围与完整性，再实施内容、质量和实际使用检查。规模、模态、时效性与用途配比按冻结清单复算，标注和关联样本回查原始证据，模型效果按统一协议核验，封装在独立环境解析。发现问题形成明确的整改范围及复检要求，修复导致统计或报告变化时同步更新相关交付物。</w:t>
      </w:r>
    </w:p>
    <w:p>
      <w:pPr>
        <w:spacing w:line="400" w:lineRule="exact"/>
        <w:jc w:val="both"/>
      </w:pPr>
      <w:r>
        <w:t>阶段接收不免除后续发现问题的修复责任。验收档案保留版本、范围、方法、结论及签认记录，质保期间的问题处理沿用相同的来源追踪、缺陷分级和修复复评机制。数据集后续更新与运营供给保持版本明确、许可有效和质量可核验，形成持续可用的项目成果。</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数据标注合成增强与质量验证实施方案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6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数据标注合成增强与质量验证实施方案</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