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99990">
      <w:pPr>
        <w:jc w:val="center"/>
        <w:rPr>
          <w:rFonts w:hint="eastAsia"/>
          <w:b/>
          <w:bCs/>
          <w:sz w:val="28"/>
          <w:szCs w:val="28"/>
        </w:rPr>
      </w:pPr>
      <w:r>
        <w:rPr>
          <w:rFonts w:hint="eastAsia"/>
          <w:b/>
          <w:bCs/>
          <w:sz w:val="28"/>
          <w:szCs w:val="28"/>
        </w:rPr>
        <w:t>标书问答助手数据集验证场景需求说明</w:t>
      </w:r>
    </w:p>
    <w:p w14:paraId="5A81C1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场景归属与编制依据</w:t>
      </w:r>
    </w:p>
    <w:p w14:paraId="6C86CF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本场景为矿山装备制造领域高质量数据集建设及场景应用示范项目五大通用 AI 应用场景之一（标书问答助手），由营销中心牵头编制，依据 2026年7月20日高质量数据集项目推进会会议要求、天地奔牛投标业务全流程痛点、行业AI标书落地标杆实践、近三年招投标业务数据现状编制，用于明确标书问答助手所需数据集范围、验证目标、功能需求、数据标准、验证指标、实施保障，支撑矿山装备制造行业高质量数据集合规建设、落地验证与项目验收。</w:t>
      </w:r>
    </w:p>
    <w:p w14:paraId="0092B0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场景建设背景</w:t>
      </w:r>
    </w:p>
    <w:p w14:paraId="5739EF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天地奔牛当前投标工作全流程依赖人工操作，从招标文件研读、业绩筛选、标书撰写、合规自查、分值预估均存在大量重复人工劳动：招标条款分散，人工检索历史同类标书、技术应答方案耗时久；业绩、设备、安标等硬性材料匹配需跨台账、多文件人工比对，易漏项、错配；标书撰写依赖老员工经验，新人上手周期长，优秀应答方案无法沉淀复用；废标条款、资格门槛、评分细则人工核对易出现疏漏，存在废标风险；不同招标单位对业绩、设备证明、安标证书材料组合要求差异化强，无统一智能检索复用渠道。</w:t>
      </w:r>
    </w:p>
    <w:p w14:paraId="3D8074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依托国家先行先试项目建设的矿山装备行业高质量多模态数据集，搭建标书问答智能体（标书问答助手），通过数据集训练、校验、迭代，实现招投标全流程智能问答、标书辅助编制、风险自动核查，将人工重复性工作交由 AI 承载，大幅提升投标效率、降低废标概率，沉淀企业投标知识资产。</w:t>
      </w:r>
    </w:p>
    <w:p w14:paraId="5A24B7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建设目标</w:t>
      </w:r>
    </w:p>
    <w:p w14:paraId="6B0D860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数据层面：</w:t>
      </w:r>
      <w:r>
        <w:rPr>
          <w:rFonts w:hint="eastAsia" w:ascii="宋体" w:hAnsi="宋体" w:eastAsia="宋体" w:cs="宋体"/>
          <w:sz w:val="24"/>
          <w:szCs w:val="24"/>
        </w:rPr>
        <w:t>完成投标全业务多模态数据集归集、治理、标注、入库，形成可用于大模型微调、问答检索、智能生成的标准化标书专项高质量子数据集，满足模型训练、场景验证双重标准；</w:t>
      </w:r>
    </w:p>
    <w:p w14:paraId="64EE6C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1、资料库功能：</w:t>
      </w:r>
    </w:p>
    <w:p w14:paraId="6A0855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（1）业绩资料库：</w:t>
      </w:r>
      <w:r>
        <w:rPr>
          <w:rFonts w:hint="eastAsia" w:ascii="宋体" w:hAnsi="宋体" w:eastAsia="宋体" w:cs="宋体"/>
          <w:b w:val="0"/>
          <w:bCs w:val="0"/>
          <w:sz w:val="24"/>
          <w:szCs w:val="24"/>
          <w:lang w:val="en-US" w:eastAsia="zh-CN"/>
        </w:rPr>
        <w:t>包含合同、发票、使用证明、中标通知书、技术协议、其他资料6个子模块，实时补充更新。</w:t>
      </w:r>
    </w:p>
    <w:p w14:paraId="0B452FA6">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要求：根据招标文件业绩要求、格式要求及人工指令一键生成标书业绩部分。</w:t>
      </w:r>
    </w:p>
    <w:p w14:paraId="54DC3A1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rPr>
      </w:pPr>
      <w:r>
        <w:rPr>
          <w:rFonts w:hint="eastAsia" w:ascii="宋体" w:hAnsi="宋体" w:eastAsia="宋体" w:cs="宋体"/>
          <w:b/>
          <w:bCs/>
          <w:sz w:val="24"/>
          <w:szCs w:val="24"/>
          <w:lang w:val="en-US" w:eastAsia="zh-CN"/>
        </w:rPr>
        <w:t>（2）证书资料库：</w:t>
      </w:r>
      <w:r>
        <w:rPr>
          <w:rFonts w:hint="eastAsia" w:ascii="宋体" w:hAnsi="宋体" w:eastAsia="宋体" w:cs="宋体"/>
          <w:b w:val="0"/>
          <w:bCs w:val="0"/>
          <w:sz w:val="24"/>
          <w:szCs w:val="24"/>
          <w:lang w:val="en-US" w:eastAsia="zh-CN"/>
        </w:rPr>
        <w:t>包含安标证书、防爆证书、检验检测报告、公司内部资证（营业执照、三体系证书、信用证书等）、公司内部资料（企业简介、技术力量、加工制造能力、检验检测设备），</w:t>
      </w:r>
      <w:r>
        <w:rPr>
          <w:rFonts w:hint="eastAsia" w:ascii="宋体" w:hAnsi="宋体" w:eastAsia="宋体" w:cs="宋体"/>
          <w:b w:val="0"/>
          <w:bCs w:val="0"/>
          <w:sz w:val="24"/>
          <w:szCs w:val="24"/>
          <w:lang w:val="en-US" w:eastAsia="zh-CN"/>
        </w:rPr>
        <w:t>实时补充更新。</w:t>
      </w:r>
    </w:p>
    <w:p w14:paraId="764A19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要求：根据招标文件资质要求、格式要求及人工指令一键生成标书资证部分。</w:t>
      </w:r>
    </w:p>
    <w:p w14:paraId="12CB6D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rPr>
      </w:pPr>
      <w:r>
        <w:rPr>
          <w:rFonts w:hint="eastAsia" w:ascii="宋体" w:hAnsi="宋体" w:eastAsia="宋体" w:cs="宋体"/>
          <w:b/>
          <w:bCs/>
          <w:sz w:val="24"/>
          <w:szCs w:val="24"/>
          <w:lang w:val="en-US" w:eastAsia="zh-CN"/>
        </w:rPr>
        <w:t>（3）知识问答库：</w:t>
      </w:r>
      <w:r>
        <w:rPr>
          <w:rFonts w:hint="eastAsia" w:ascii="宋体" w:hAnsi="宋体" w:eastAsia="宋体" w:cs="宋体"/>
          <w:b w:val="0"/>
          <w:bCs w:val="0"/>
          <w:sz w:val="24"/>
          <w:szCs w:val="24"/>
          <w:lang w:val="en-US" w:eastAsia="zh-CN"/>
        </w:rPr>
        <w:t>包含公司常用投标平台的操作手册、操作视频、客服电话、常见问题解析</w:t>
      </w:r>
      <w:r>
        <w:rPr>
          <w:rFonts w:hint="eastAsia" w:ascii="宋体" w:hAnsi="宋体" w:eastAsia="宋体" w:cs="宋体"/>
          <w:b w:val="0"/>
          <w:bCs w:val="0"/>
          <w:sz w:val="24"/>
          <w:szCs w:val="24"/>
          <w:lang w:val="en-US" w:eastAsia="zh-CN"/>
        </w:rPr>
        <w:t>，实时补充更新。</w:t>
      </w:r>
    </w:p>
    <w:p w14:paraId="3A59E9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要求：具备提问解析功能，在上传过程中遇到困难，可直接提问知识库予以解答，降低投标上传风险。</w:t>
      </w:r>
    </w:p>
    <w:p w14:paraId="20256713">
      <w:pPr>
        <w:keepNext w:val="0"/>
        <w:keepLines w:val="0"/>
        <w:pageBreakBefore w:val="0"/>
        <w:widowControl w:val="0"/>
        <w:numPr>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（4）标准模板库：</w:t>
      </w:r>
      <w:r>
        <w:rPr>
          <w:rFonts w:hint="eastAsia" w:ascii="宋体" w:hAnsi="宋体" w:eastAsia="宋体" w:cs="宋体"/>
          <w:b w:val="0"/>
          <w:bCs w:val="0"/>
          <w:sz w:val="24"/>
          <w:szCs w:val="24"/>
          <w:lang w:val="en-US" w:eastAsia="zh-CN"/>
        </w:rPr>
        <w:t>包含公司近期标准化投标文件模板，（如：国能模板、华能模板、潞安模板、焦煤模板、淮河能源模板、通用模板等），将标准化投标文件导入，在智能生成中优先结合指定模板进行参考编辑。</w:t>
      </w:r>
    </w:p>
    <w:p w14:paraId="312EC0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要求：具备对比审查功能，同步对比招标文件要求及历史标书要求，反馈变更点，在按历史模板生产的同时做到“求同存异”。</w:t>
      </w:r>
      <w:bookmarkStart w:id="0" w:name="_GoBack"/>
      <w:bookmarkEnd w:id="0"/>
    </w:p>
    <w:p w14:paraId="03EE73D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2、AI辅助功能</w:t>
      </w:r>
    </w:p>
    <w:p w14:paraId="5C6A98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（1）解标书：</w:t>
      </w:r>
      <w:r>
        <w:rPr>
          <w:rFonts w:hint="eastAsia" w:ascii="宋体" w:hAnsi="宋体" w:eastAsia="宋体" w:cs="宋体"/>
          <w:b w:val="0"/>
          <w:bCs w:val="0"/>
          <w:sz w:val="24"/>
          <w:szCs w:val="24"/>
          <w:lang w:val="en-US" w:eastAsia="zh-CN"/>
        </w:rPr>
        <w:t>智能化解析招标文件，一键解析评分标准，罗列废标风险点，出具标书制作意见及注意事项清单。</w:t>
      </w:r>
    </w:p>
    <w:p w14:paraId="3C70B34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rPr>
      </w:pPr>
      <w:r>
        <w:rPr>
          <w:rFonts w:hint="eastAsia" w:ascii="宋体" w:hAnsi="宋体" w:eastAsia="宋体" w:cs="宋体"/>
          <w:b/>
          <w:bCs/>
          <w:sz w:val="24"/>
          <w:szCs w:val="24"/>
          <w:lang w:val="en-US" w:eastAsia="zh-CN"/>
        </w:rPr>
        <w:t>（2）做标书：</w:t>
      </w:r>
      <w:r>
        <w:rPr>
          <w:rFonts w:hint="eastAsia" w:ascii="宋体" w:hAnsi="宋体" w:eastAsia="宋体" w:cs="宋体"/>
          <w:b w:val="0"/>
          <w:bCs w:val="0"/>
          <w:sz w:val="24"/>
          <w:szCs w:val="24"/>
          <w:lang w:val="en-US" w:eastAsia="zh-CN"/>
        </w:rPr>
        <w:t>引入三大资料库内容，根据招标文件要求，一键生成投标文件，保证格式、内容准确率99%以上。</w:t>
      </w:r>
    </w:p>
    <w:p w14:paraId="7B628BC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（3）审标书：</w:t>
      </w:r>
      <w:r>
        <w:rPr>
          <w:rFonts w:hint="eastAsia" w:ascii="宋体" w:hAnsi="宋体" w:eastAsia="宋体" w:cs="宋体"/>
          <w:b w:val="0"/>
          <w:bCs w:val="0"/>
          <w:sz w:val="24"/>
          <w:szCs w:val="24"/>
          <w:lang w:val="en-US" w:eastAsia="zh-CN"/>
        </w:rPr>
        <w:t>导入招标文件及投标文件，自动审核，自动评分，出具审核意见及评审报告，可根据审核意见自动修改。</w:t>
      </w:r>
    </w:p>
    <w:p w14:paraId="6DE66E2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3、</w:t>
      </w:r>
      <w:r>
        <w:rPr>
          <w:rFonts w:hint="eastAsia" w:ascii="宋体" w:hAnsi="宋体" w:eastAsia="宋体" w:cs="宋体"/>
          <w:b/>
          <w:bCs/>
          <w:sz w:val="24"/>
          <w:szCs w:val="24"/>
        </w:rPr>
        <w:t>功能层面</w:t>
      </w:r>
    </w:p>
    <w:p w14:paraId="718884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依托数据集实现招标文件解析、历史标书相似检索、条款智能应答、业绩 / </w:t>
      </w:r>
      <w:r>
        <w:rPr>
          <w:rFonts w:hint="eastAsia" w:ascii="宋体" w:hAnsi="宋体" w:eastAsia="宋体" w:cs="宋体"/>
          <w:sz w:val="24"/>
          <w:szCs w:val="24"/>
          <w:lang w:val="en-US" w:eastAsia="zh-CN"/>
        </w:rPr>
        <w:t>加工制造设备及检验检测设备</w:t>
      </w:r>
      <w:r>
        <w:rPr>
          <w:rFonts w:hint="eastAsia" w:ascii="宋体" w:hAnsi="宋体" w:eastAsia="宋体" w:cs="宋体"/>
          <w:sz w:val="24"/>
          <w:szCs w:val="24"/>
        </w:rPr>
        <w:t xml:space="preserve"> / 安标</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防爆、检验报告</w:t>
      </w:r>
      <w:r>
        <w:rPr>
          <w:rFonts w:hint="eastAsia" w:ascii="宋体" w:hAnsi="宋体" w:eastAsia="宋体" w:cs="宋体"/>
          <w:sz w:val="24"/>
          <w:szCs w:val="24"/>
        </w:rPr>
        <w:t>智能匹配、标书废标风险自查、评分模拟测算六大核心问答辅助能力；</w:t>
      </w:r>
    </w:p>
    <w:p w14:paraId="0E0253F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验证层面</w:t>
      </w:r>
    </w:p>
    <w:p w14:paraId="6B75C84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建立完整数据集质量、场景功能、业务适配三维验证指标体系，证明本数据集可稳定支撑标书问答助手全功能运行，达到行业同等 AI 标书系统效率、准确率水平；</w:t>
      </w:r>
    </w:p>
    <w:p w14:paraId="23A59E2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业务层面</w:t>
      </w:r>
    </w:p>
    <w:p w14:paraId="42E2B2C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投标文件编制周期缩短60%以上，废标风险识别准确率≥97%，历史标书复用率显著提升，实现投标经验数字化留存，降低人员流动带来业务断层风险</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形成标书全生命周期管理。</w:t>
      </w:r>
    </w:p>
    <w:p w14:paraId="69264DF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二阶段目标</w:t>
      </w:r>
    </w:p>
    <w:p w14:paraId="5F71CF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待技术场景完善后，建设标书问答助手数据集技术部分模块，目前全力推进一阶段商务模块落地。</w:t>
      </w:r>
    </w:p>
    <w:p w14:paraId="0835D1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验证报告出具</w:t>
      </w:r>
    </w:p>
    <w:p w14:paraId="32B8E7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汇总数据集质量、功能、业务三类指标测试结果，出具《标书问答助手数据集验证报告》，明确数据集是否满足场景上线要求，同步记录现存数据短板与迭代优化方案。</w:t>
      </w:r>
    </w:p>
    <w:p w14:paraId="3A40D8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、数据安全与合规要求</w:t>
      </w:r>
    </w:p>
    <w:p w14:paraId="30B214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全量招投标数据集仅限公司内部 AI 场景私有化部署使用，禁止对外流通原始涉密标书、客户信息；</w:t>
      </w:r>
    </w:p>
    <w:p w14:paraId="13AE5B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所有对外输出问答内容、标书草稿均经过脱敏处理，屏蔽项目涉密报价、客户核心资料；</w:t>
      </w:r>
    </w:p>
    <w:p w14:paraId="7F0C0E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建立数据集访问权限管控，仅营销投标、数字化项目运维人员可按需调取；</w:t>
      </w:r>
    </w:p>
    <w:p w14:paraId="58433C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严格遵循国家高质量数据集建设规范、数据安全相关法律法规，完成数据分级分类、访问日志留存；</w:t>
      </w:r>
    </w:p>
    <w:p w14:paraId="7C2F58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安标、资质类证书数据仅用于投标辅助，不得挪用于投标以外业务。</w:t>
      </w:r>
    </w:p>
    <w:p w14:paraId="479B29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、迭代优化需求</w:t>
      </w:r>
    </w:p>
    <w:p w14:paraId="4931ED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增量更新：每季度归集新增招投标项目资料，同步扩充数据集；</w:t>
      </w:r>
    </w:p>
    <w:p w14:paraId="44DC1E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迭代标注：试点使用过程中新发现的招标规则、高频问答持续补充标签与语料；</w:t>
      </w:r>
    </w:p>
    <w:p w14:paraId="5C57E9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数据补全：针对数据集缺失的老旧设备安标、早期业绩附件，由对应业务部门定期补齐；</w:t>
      </w:r>
    </w:p>
    <w:p w14:paraId="502EB1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模型微调：依托新增数据集每半年完成一次大模型二次微调，持续提升问答、生成准确率。</w:t>
      </w:r>
    </w:p>
    <w:p w14:paraId="1DF759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、预期成效</w:t>
      </w:r>
    </w:p>
    <w:p w14:paraId="3A075D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数据资产层面：建成国内煤机行业首个标准化招投标专项高质量子数据集，沉淀可复用投标知识资产，满足国家先行先试项目验收要求；</w:t>
      </w:r>
    </w:p>
    <w:p w14:paraId="4092FA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业务效率层面：大幅减少投标人工重复检索、材料匹配、校对工作，缩短标书编制周期；</w:t>
      </w:r>
    </w:p>
    <w:p w14:paraId="10CDE8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风险管控层面：AI 自动识别废标、资格缺失风险，降低人工失误带来的投标损失；</w:t>
      </w:r>
    </w:p>
    <w:p w14:paraId="6E4B9F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人才传承层面：将资深投标人员经验固化至数据集与问答模型，解决人员流动经验流失问题；</w:t>
      </w:r>
    </w:p>
    <w:p w14:paraId="791EBF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项目示范层面：形成矿山装备制造行业 “招投标数据集 + AI 问答助手” 可复制落地范式，为行业同类智能化场景提供示范。</w:t>
      </w:r>
    </w:p>
    <w:p w14:paraId="31C198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14:paraId="05F4F5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14:paraId="1DC0C4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14:paraId="6DB5C341">
      <w:pPr>
        <w:keepNext w:val="0"/>
        <w:keepLines w:val="0"/>
        <w:pageBreakBefore w:val="0"/>
        <w:widowControl w:val="0"/>
        <w:kinsoku/>
        <w:wordWrap/>
        <w:overflowPunct/>
        <w:topLinePunct w:val="0"/>
        <w:autoSpaceDE/>
        <w:autoSpaceDN/>
        <w:bidi w:val="0"/>
        <w:adjustRightInd/>
        <w:snapToGrid/>
        <w:spacing w:line="360" w:lineRule="auto"/>
        <w:ind w:firstLine="4320" w:firstLineChars="1800"/>
        <w:textAlignment w:val="auto"/>
        <w:rPr>
          <w:rFonts w:hint="eastAsia" w:ascii="宋体" w:hAnsi="宋体" w:eastAsia="宋体" w:cs="宋体"/>
          <w:sz w:val="24"/>
          <w:szCs w:val="24"/>
        </w:rPr>
      </w:pPr>
      <w:r>
        <w:rPr>
          <w:rFonts w:hint="eastAsia" w:ascii="宋体" w:hAnsi="宋体" w:eastAsia="宋体" w:cs="宋体"/>
          <w:sz w:val="24"/>
          <w:szCs w:val="24"/>
        </w:rPr>
        <w:t>编制部门：营销中心</w:t>
      </w:r>
    </w:p>
    <w:p w14:paraId="42342610">
      <w:pPr>
        <w:keepNext w:val="0"/>
        <w:keepLines w:val="0"/>
        <w:pageBreakBefore w:val="0"/>
        <w:widowControl w:val="0"/>
        <w:kinsoku/>
        <w:wordWrap/>
        <w:overflowPunct/>
        <w:topLinePunct w:val="0"/>
        <w:autoSpaceDE/>
        <w:autoSpaceDN/>
        <w:bidi w:val="0"/>
        <w:adjustRightInd/>
        <w:snapToGrid/>
        <w:spacing w:line="360" w:lineRule="auto"/>
        <w:ind w:firstLine="4560" w:firstLineChars="1900"/>
        <w:textAlignment w:val="auto"/>
        <w:rPr>
          <w:rFonts w:hint="eastAsia" w:ascii="宋体" w:hAnsi="宋体" w:eastAsia="宋体" w:cs="宋体"/>
          <w:sz w:val="24"/>
          <w:szCs w:val="24"/>
        </w:rPr>
      </w:pPr>
      <w:r>
        <w:rPr>
          <w:rFonts w:hint="eastAsia" w:ascii="宋体" w:hAnsi="宋体" w:eastAsia="宋体" w:cs="宋体"/>
          <w:sz w:val="24"/>
          <w:szCs w:val="24"/>
        </w:rPr>
        <w:t>编制人：许安民</w:t>
      </w:r>
    </w:p>
    <w:p w14:paraId="6CD45195">
      <w:pPr>
        <w:keepNext w:val="0"/>
        <w:keepLines w:val="0"/>
        <w:pageBreakBefore w:val="0"/>
        <w:widowControl w:val="0"/>
        <w:kinsoku/>
        <w:wordWrap/>
        <w:overflowPunct/>
        <w:topLinePunct w:val="0"/>
        <w:autoSpaceDE/>
        <w:autoSpaceDN/>
        <w:bidi w:val="0"/>
        <w:adjustRightInd/>
        <w:snapToGrid/>
        <w:spacing w:line="360" w:lineRule="auto"/>
        <w:ind w:firstLine="4080" w:firstLineChars="1700"/>
        <w:textAlignment w:val="auto"/>
        <w:rPr>
          <w:rFonts w:hint="eastAsia" w:ascii="宋体" w:hAnsi="宋体" w:eastAsia="宋体" w:cs="宋体"/>
          <w:sz w:val="24"/>
          <w:szCs w:val="24"/>
        </w:rPr>
      </w:pPr>
      <w:r>
        <w:rPr>
          <w:rFonts w:hint="eastAsia" w:ascii="宋体" w:hAnsi="宋体" w:eastAsia="宋体" w:cs="宋体"/>
          <w:sz w:val="24"/>
          <w:szCs w:val="24"/>
        </w:rPr>
        <w:t>编制日期：2026年07月2</w:t>
      </w:r>
      <w:r>
        <w:rPr>
          <w:rFonts w:hint="eastAsia" w:ascii="宋体" w:hAnsi="宋体" w:eastAsia="宋体" w:cs="宋体"/>
          <w:sz w:val="24"/>
          <w:szCs w:val="24"/>
          <w:lang w:val="en-US" w:eastAsia="zh-CN"/>
        </w:rPr>
        <w:t>9</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C542"/>
    <w:multiLevelType w:val="singleLevel"/>
    <w:tmpl w:val="0315C54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72B31"/>
    <w:rsid w:val="190F4F1E"/>
    <w:rsid w:val="31B9528D"/>
    <w:rsid w:val="43DB2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TDBN</dc:creator>
  <cp:lastModifiedBy>天地奔牛</cp:lastModifiedBy>
  <dcterms:modified xsi:type="dcterms:W3CDTF">2026-07-30T08:10:16Z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8D4C79ADFC134933BBD2AA5D570C285A_12</vt:lpwstr>
  </property>
  <property fmtid="{D5CDD505-2E9C-101B-9397-08002B2CF9AE}" pid="4" name="KSOTemplateDocerSaveRecord">
    <vt:lpwstr>eyJoZGlkIjoiYWE2NzViZGU0MTkwM2E1M2U3YzIwMTdkMmIyZTRhZTgiLCJ1c2VySWQiOiIzNDE4MTUxNjkifQ==</vt:lpwstr>
  </property>
</Properties>
</file>