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数据集质量评测方案</w:t>
      </w:r>
    </w:p>
    <w:p>
      <w:pPr>
        <w:spacing w:line="324" w:lineRule="auto"/>
        <w:ind w:firstLine="0"/>
        <w:jc w:val="center"/>
      </w:pPr>
      <w:r>
        <w:t>矿山装备制造领域高质量数据集建设及场景应用项目配套设施</w:t>
        <w:br/>
        <w:t>数据加工生产服务</w:t>
      </w:r>
    </w:p>
    <w:p>
      <w:pPr>
        <w:spacing w:after="200"/>
      </w:pPr>
      <w:r>
        <w:t>我方对四大数据集及十六个用途子集开展三维度全指标评测，执行静态检测、专家复核和基准模型对照，完成全部缺陷整改与完整复测，由具备相应资质的第三方机构出具正式盖章报告，形成可追溯、可复算的质量档案。</w:t>
      </w:r>
    </w:p>
    <w:p>
      <w:pPr>
        <w:spacing w:line="264" w:lineRule="auto"/>
        <w:ind w:firstLine="0"/>
      </w:pPr>
      <w:r>
        <w:rPr>
          <w:b/>
        </w:rPr>
        <w:t>目录</w:t>
      </w:r>
    </w:p>
    <w:p>
      <w:pPr>
        <w:tabs>
          <w:tab w:pos="9411" w:val="right" w:leader="dot"/>
        </w:tabs>
        <w:spacing w:line="300" w:lineRule="exact" w:after="40"/>
        <w:ind w:firstLine="0"/>
      </w:pPr>
      <w:r>
        <w:rPr>
          <w:sz w:val="21"/>
        </w:rPr>
        <w:t>1 评测范围与质量目标</w:t>
        <w:tab/>
        <w:t>2</w:t>
      </w:r>
    </w:p>
    <w:p>
      <w:pPr>
        <w:tabs>
          <w:tab w:pos="9411" w:val="right" w:leader="dot"/>
        </w:tabs>
        <w:spacing w:line="300" w:lineRule="exact" w:after="40"/>
        <w:ind w:firstLine="0"/>
      </w:pPr>
      <w:r>
        <w:rPr>
          <w:sz w:val="21"/>
        </w:rPr>
        <w:t>2 评测依据与量化判定</w:t>
        <w:tab/>
        <w:t>6</w:t>
      </w:r>
    </w:p>
    <w:p>
      <w:pPr>
        <w:tabs>
          <w:tab w:pos="9411" w:val="right" w:leader="dot"/>
        </w:tabs>
        <w:spacing w:line="300" w:lineRule="exact" w:after="40"/>
        <w:ind w:firstLine="0"/>
      </w:pPr>
      <w:r>
        <w:rPr>
          <w:sz w:val="21"/>
        </w:rPr>
        <w:t>3 数据准备与隔离环境</w:t>
        <w:tab/>
        <w:t>11</w:t>
      </w:r>
    </w:p>
    <w:p>
      <w:pPr>
        <w:tabs>
          <w:tab w:pos="9411" w:val="right" w:leader="dot"/>
        </w:tabs>
        <w:spacing w:line="300" w:lineRule="exact" w:after="40"/>
        <w:ind w:firstLine="0"/>
      </w:pPr>
      <w:r>
        <w:rPr>
          <w:sz w:val="21"/>
        </w:rPr>
        <w:t>4 说明文档指标评测</w:t>
        <w:tab/>
        <w:t>14</w:t>
      </w:r>
    </w:p>
    <w:p>
      <w:pPr>
        <w:tabs>
          <w:tab w:pos="9411" w:val="right" w:leader="dot"/>
        </w:tabs>
        <w:spacing w:line="300" w:lineRule="exact" w:after="40"/>
        <w:ind w:firstLine="0"/>
      </w:pPr>
      <w:r>
        <w:rPr>
          <w:sz w:val="21"/>
        </w:rPr>
        <w:t>5 数据质量指标评测</w:t>
        <w:tab/>
        <w:t>22</w:t>
      </w:r>
    </w:p>
    <w:p>
      <w:pPr>
        <w:tabs>
          <w:tab w:pos="9411" w:val="right" w:leader="dot"/>
        </w:tabs>
        <w:spacing w:line="300" w:lineRule="exact" w:after="40"/>
        <w:ind w:firstLine="0"/>
      </w:pPr>
      <w:r>
        <w:rPr>
          <w:sz w:val="21"/>
        </w:rPr>
        <w:t>6 模型应用指标评测</w:t>
        <w:tab/>
        <w:t>37</w:t>
      </w:r>
    </w:p>
    <w:p>
      <w:pPr>
        <w:tabs>
          <w:tab w:pos="9411" w:val="right" w:leader="dot"/>
        </w:tabs>
        <w:spacing w:line="300" w:lineRule="exact" w:after="40"/>
        <w:ind w:firstLine="0"/>
      </w:pPr>
      <w:r>
        <w:rPr>
          <w:sz w:val="21"/>
        </w:rPr>
        <w:t>7 基准模型对照实验</w:t>
        <w:tab/>
        <w:t>43</w:t>
      </w:r>
    </w:p>
    <w:p>
      <w:pPr>
        <w:tabs>
          <w:tab w:pos="9411" w:val="right" w:leader="dot"/>
        </w:tabs>
        <w:spacing w:line="300" w:lineRule="exact" w:after="40"/>
        <w:ind w:firstLine="0"/>
      </w:pPr>
      <w:r>
        <w:rPr>
          <w:sz w:val="21"/>
        </w:rPr>
        <w:t>8 抽样复核与检测质量控制</w:t>
        <w:tab/>
        <w:t>51</w:t>
      </w:r>
    </w:p>
    <w:p>
      <w:pPr>
        <w:tabs>
          <w:tab w:pos="9411" w:val="right" w:leader="dot"/>
        </w:tabs>
        <w:spacing w:line="300" w:lineRule="exact" w:after="40"/>
        <w:ind w:firstLine="0"/>
      </w:pPr>
      <w:r>
        <w:rPr>
          <w:sz w:val="21"/>
        </w:rPr>
        <w:t>9 五阶段实施与整改复测</w:t>
        <w:tab/>
        <w:t>55</w:t>
      </w:r>
    </w:p>
    <w:p>
      <w:pPr>
        <w:tabs>
          <w:tab w:pos="9411" w:val="right" w:leader="dot"/>
        </w:tabs>
        <w:spacing w:line="300" w:lineRule="exact" w:after="40"/>
        <w:ind w:firstLine="0"/>
      </w:pPr>
      <w:r>
        <w:rPr>
          <w:sz w:val="21"/>
        </w:rPr>
        <w:t>10 正式报告与质量档案交付</w:t>
        <w:tab/>
        <w:t>60</w:t>
      </w:r>
    </w:p>
    <w:p>
      <w:r>
        <w:br w:type="page"/>
      </w:r>
    </w:p>
    <w:p>
      <w:pPr>
        <w:pStyle w:val="Heading1"/>
      </w:pPr>
      <w:r>
        <w:t>1 评测范围与质量目标</w:t>
      </w:r>
    </w:p>
    <w:p>
      <w:pPr>
        <w:pStyle w:val="Heading2"/>
      </w:pPr>
      <w:r>
        <w:t>1.1 服务范围与实施责任</w:t>
      </w:r>
    </w:p>
    <w:p>
      <w:pPr>
        <w:jc w:val="both"/>
      </w:pPr>
      <w:r>
        <w:t>我方对供需计划、产品工艺设计、制造过程、产品质量四大数据集开展首轮全量评测、缺陷分析、整改指导、集中复测及正式报告交付。评测覆盖预训练、指令微调、偏好对齐、基准评测四类用途子集，贯通数据说明、样本内容、模型实用效能和交付版本，形成每项指标均有检测结果、每项缺陷均有处理结论、每个交付版本均有原始证据的质量档案。</w:t>
      </w:r>
    </w:p>
    <w:p>
      <w:pPr>
        <w:jc w:val="both"/>
      </w:pPr>
      <w:r>
        <w:t>首轮全量评测以全部拟交付数据集、全部用途子集、全部适用指标为范围。文件完整性、格式解析、规模计量、精确重复、隐私及内容安全等具备自动化条件的项目执行全量检测；需要专业判断的普通质量指标执行经甲方批准的分层抽样和专家复核；高风险检测范围覆盖全部数据，自动化检出的高危样本逐一人工复核。全量评测不以抽取少量样本后外推代替全量机器检测，也不以完成一次模型实验代替对其他用途、模态及业务领域的检查。</w:t>
      </w:r>
    </w:p>
    <w:p>
      <w:pPr>
        <w:jc w:val="both"/>
      </w:pPr>
      <w:r>
        <w:t>我方组织评测方案设计、环境部署、工具调试、指标执行、问题定位、整改指导及复测，协调具备相应资质和服务能力的第三方评测机构开展独立评测并出具盖章报告。甲方组织业务规则确认、场景及涉密边界确认、方案审核、数据修正及阶段成果确认。我方对属于自身数据加工、标注、配置和交付范围的问题承担修正责任，配合甲方完成涉及源系统和业务事实的核实，保证责任分工落实到每项缺陷的执行人员和复核人员。</w:t>
      </w:r>
    </w:p>
    <w:p>
      <w:pPr>
        <w:pStyle w:val="Heading2"/>
      </w:pPr>
      <w:r>
        <w:t>1.2 质量目标与放行条件</w:t>
      </w:r>
    </w:p>
    <w:p>
      <w:pPr>
        <w:jc w:val="both"/>
      </w:pPr>
      <w:r>
        <w:t>说明文档、数据质量、模型应用三大维度的全部81项三级指标均纳入指标登记和适用性审查，指标覆盖率达到100%。四大数据集分别形成评测结论，不以某一领域的较高得分抵消另一领域的不合格。依据《高质量数据集质量评测规范》TC609-5-2025-04，三个维度分别达到90分及以上，同时满足招标要求的数据集综合质量得分不低于85分。综合得分与各维度最低合格线分别核验，任何一项未满足均不得形成达标结论。</w:t>
      </w:r>
    </w:p>
    <w:p>
      <w:pPr>
        <w:jc w:val="both"/>
      </w:pPr>
      <w:r>
        <w:t>数据内涉政、色情、暴恐、涉密、未脱敏隐私等高风险缺陷100%清零，标注错误、样本缺失、内容重复等中低风险缺陷整改完成率达到100%。对于已发现并确认的问题，不以抽样合格、平均得分较高、业务使用频率较低或者后续版本计划修复为理由放行。经复核属于误报的记录保留判定依据，经确认属于实际缺陷的记录必须完成修正及复检后才能关闭。</w:t>
      </w:r>
    </w:p>
    <w:p>
      <w:pPr>
        <w:jc w:val="both"/>
      </w:pPr>
      <w:r>
        <w:t>动态模型验证完成微调前后对照，形成可复现性能基线，达到设计阶段经甲方确认的最低性能提升阈值。提升指标同时列明适用场景、测试集版本、统计单位和比较方式。全部原始检测记录、实验配置、输出结果、专家判定、整改资料及盖章报告完整归档，保证甲方能够沿报告中的证据索引复核数据、过程和结论。</w:t>
      </w:r>
    </w:p>
    <w:p>
      <w:pPr>
        <w:pStyle w:val="Caption"/>
        <w:keepNext/>
      </w:pPr>
      <w:r>
        <w:t>表1-1 质量目标与放行条件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控制对象</w:t>
            </w:r>
          </w:p>
        </w:tc>
        <w:tc>
          <w:tcPr>
            <w:tcW w:type="dxa" w:w="2699"/>
            <w:vAlign w:val="center"/>
            <w:shd w:fill="EDF1F3"/>
          </w:tcPr>
          <w:p>
            <w:pPr>
              <w:keepNext/>
              <w:spacing w:line="320" w:lineRule="exact" w:after="0" w:before="0"/>
              <w:ind w:firstLine="0"/>
              <w:jc w:val="center"/>
            </w:pPr>
            <w:r>
              <w:rPr>
                <w:b/>
                <w:sz w:val="21"/>
              </w:rPr>
              <w:t>质量要求</w:t>
            </w:r>
          </w:p>
        </w:tc>
        <w:tc>
          <w:tcPr>
            <w:tcW w:type="dxa" w:w="2409"/>
            <w:vAlign w:val="center"/>
            <w:shd w:fill="EDF1F3"/>
          </w:tcPr>
          <w:p>
            <w:pPr>
              <w:keepNext/>
              <w:spacing w:line="320" w:lineRule="exact" w:after="0" w:before="0"/>
              <w:ind w:firstLine="0"/>
              <w:jc w:val="center"/>
            </w:pPr>
            <w:r>
              <w:rPr>
                <w:b/>
                <w:sz w:val="21"/>
              </w:rPr>
              <w:t>主要核验依据</w:t>
            </w:r>
          </w:p>
        </w:tc>
        <w:tc>
          <w:tcPr>
            <w:tcW w:type="dxa" w:w="2891"/>
            <w:vAlign w:val="center"/>
            <w:shd w:fill="EDF1F3"/>
          </w:tcPr>
          <w:p>
            <w:pPr>
              <w:keepNext/>
              <w:spacing w:line="320" w:lineRule="exact" w:after="0" w:before="0"/>
              <w:ind w:firstLine="0"/>
              <w:jc w:val="center"/>
            </w:pPr>
            <w:r>
              <w:rPr>
                <w:b/>
                <w:sz w:val="21"/>
              </w:rPr>
              <w:t>不满足时的处理</w:t>
            </w:r>
          </w:p>
        </w:tc>
      </w:tr>
      <w:tr>
        <w:trPr>
          <w:cantSplit/>
        </w:trPr>
        <w:tc>
          <w:tcPr>
            <w:tcW w:type="dxa" w:w="1638"/>
            <w:vAlign w:val="center"/>
          </w:tcPr>
          <w:p>
            <w:pPr>
              <w:keepNext w:val="0"/>
              <w:spacing w:line="320" w:lineRule="exact" w:after="0" w:before="0"/>
              <w:ind w:firstLine="0"/>
              <w:jc w:val="left"/>
            </w:pPr>
            <w:r>
              <w:rPr>
                <w:b w:val="0"/>
                <w:sz w:val="21"/>
              </w:rPr>
              <w:t>指标覆盖</w:t>
            </w:r>
          </w:p>
        </w:tc>
        <w:tc>
          <w:tcPr>
            <w:tcW w:type="dxa" w:w="2699"/>
            <w:vAlign w:val="center"/>
          </w:tcPr>
          <w:p>
            <w:pPr>
              <w:keepNext w:val="0"/>
              <w:spacing w:line="320" w:lineRule="exact" w:after="0" w:before="0"/>
              <w:ind w:firstLine="0"/>
              <w:jc w:val="left"/>
            </w:pPr>
            <w:r>
              <w:rPr>
                <w:b w:val="0"/>
                <w:sz w:val="21"/>
              </w:rPr>
              <w:t>81项逐项登记，适用指标全部执行</w:t>
            </w:r>
          </w:p>
        </w:tc>
        <w:tc>
          <w:tcPr>
            <w:tcW w:type="dxa" w:w="2409"/>
            <w:vAlign w:val="center"/>
          </w:tcPr>
          <w:p>
            <w:pPr>
              <w:keepNext w:val="0"/>
              <w:spacing w:line="320" w:lineRule="exact" w:after="0" w:before="0"/>
              <w:ind w:firstLine="0"/>
              <w:jc w:val="left"/>
            </w:pPr>
            <w:r>
              <w:rPr>
                <w:b w:val="0"/>
                <w:sz w:val="21"/>
              </w:rPr>
              <w:t>指标清单、适用性审批、执行台账</w:t>
            </w:r>
          </w:p>
        </w:tc>
        <w:tc>
          <w:tcPr>
            <w:tcW w:type="dxa" w:w="2891"/>
            <w:vAlign w:val="center"/>
          </w:tcPr>
          <w:p>
            <w:pPr>
              <w:keepNext w:val="0"/>
              <w:spacing w:line="320" w:lineRule="exact" w:after="0" w:before="0"/>
              <w:ind w:firstLine="0"/>
              <w:jc w:val="left"/>
            </w:pPr>
            <w:r>
              <w:rPr>
                <w:b w:val="0"/>
                <w:sz w:val="21"/>
              </w:rPr>
              <w:t>补充检测，不出具完整评测结论</w:t>
            </w:r>
          </w:p>
        </w:tc>
      </w:tr>
      <w:tr>
        <w:trPr>
          <w:cantSplit/>
        </w:trPr>
        <w:tc>
          <w:tcPr>
            <w:tcW w:type="dxa" w:w="1638"/>
            <w:vAlign w:val="center"/>
          </w:tcPr>
          <w:p>
            <w:pPr>
              <w:keepNext w:val="0"/>
              <w:spacing w:line="320" w:lineRule="exact" w:after="0" w:before="0"/>
              <w:ind w:firstLine="0"/>
              <w:jc w:val="left"/>
            </w:pPr>
            <w:r>
              <w:rPr>
                <w:b w:val="0"/>
                <w:sz w:val="21"/>
              </w:rPr>
              <w:t>三个维度</w:t>
            </w:r>
          </w:p>
        </w:tc>
        <w:tc>
          <w:tcPr>
            <w:tcW w:type="dxa" w:w="2699"/>
            <w:vAlign w:val="center"/>
          </w:tcPr>
          <w:p>
            <w:pPr>
              <w:keepNext w:val="0"/>
              <w:spacing w:line="320" w:lineRule="exact" w:after="0" w:before="0"/>
              <w:ind w:firstLine="0"/>
              <w:jc w:val="left"/>
            </w:pPr>
            <w:r>
              <w:rPr>
                <w:b w:val="0"/>
                <w:sz w:val="21"/>
              </w:rPr>
              <w:t>各维度均不低于90分</w:t>
            </w:r>
          </w:p>
        </w:tc>
        <w:tc>
          <w:tcPr>
            <w:tcW w:type="dxa" w:w="2409"/>
            <w:vAlign w:val="center"/>
          </w:tcPr>
          <w:p>
            <w:pPr>
              <w:keepNext w:val="0"/>
              <w:spacing w:line="320" w:lineRule="exact" w:after="0" w:before="0"/>
              <w:ind w:firstLine="0"/>
              <w:jc w:val="left"/>
            </w:pPr>
            <w:r>
              <w:rPr>
                <w:b w:val="0"/>
                <w:sz w:val="21"/>
              </w:rPr>
              <w:t>规范评分、项目指标评分及原始记录</w:t>
            </w:r>
          </w:p>
        </w:tc>
        <w:tc>
          <w:tcPr>
            <w:tcW w:type="dxa" w:w="2891"/>
            <w:vAlign w:val="center"/>
          </w:tcPr>
          <w:p>
            <w:pPr>
              <w:keepNext w:val="0"/>
              <w:spacing w:line="320" w:lineRule="exact" w:after="0" w:before="0"/>
              <w:ind w:firstLine="0"/>
              <w:jc w:val="left"/>
            </w:pPr>
            <w:r>
              <w:rPr>
                <w:b w:val="0"/>
                <w:sz w:val="21"/>
              </w:rPr>
              <w:t>分析缺口并整改复测</w:t>
            </w:r>
          </w:p>
        </w:tc>
      </w:tr>
      <w:tr>
        <w:trPr>
          <w:cantSplit/>
        </w:trPr>
        <w:tc>
          <w:tcPr>
            <w:tcW w:type="dxa" w:w="1638"/>
            <w:vAlign w:val="center"/>
          </w:tcPr>
          <w:p>
            <w:pPr>
              <w:keepNext w:val="0"/>
              <w:spacing w:line="320" w:lineRule="exact" w:after="0" w:before="0"/>
              <w:ind w:firstLine="0"/>
              <w:jc w:val="left"/>
            </w:pPr>
            <w:r>
              <w:rPr>
                <w:b w:val="0"/>
                <w:sz w:val="21"/>
              </w:rPr>
              <w:t>综合质量</w:t>
            </w:r>
          </w:p>
        </w:tc>
        <w:tc>
          <w:tcPr>
            <w:tcW w:type="dxa" w:w="2699"/>
            <w:vAlign w:val="center"/>
          </w:tcPr>
          <w:p>
            <w:pPr>
              <w:keepNext w:val="0"/>
              <w:spacing w:line="320" w:lineRule="exact" w:after="0" w:before="0"/>
              <w:ind w:firstLine="0"/>
              <w:jc w:val="left"/>
            </w:pPr>
            <w:r>
              <w:rPr>
                <w:b w:val="0"/>
                <w:sz w:val="21"/>
              </w:rPr>
              <w:t>每个数据集综合总分不低于85分</w:t>
            </w:r>
          </w:p>
        </w:tc>
        <w:tc>
          <w:tcPr>
            <w:tcW w:type="dxa" w:w="2409"/>
            <w:vAlign w:val="center"/>
          </w:tcPr>
          <w:p>
            <w:pPr>
              <w:keepNext w:val="0"/>
              <w:spacing w:line="320" w:lineRule="exact" w:after="0" w:before="0"/>
              <w:ind w:firstLine="0"/>
              <w:jc w:val="left"/>
            </w:pPr>
            <w:r>
              <w:rPr>
                <w:b w:val="0"/>
                <w:sz w:val="21"/>
              </w:rPr>
              <w:t>经确认权重及可复算计分表</w:t>
            </w:r>
          </w:p>
        </w:tc>
        <w:tc>
          <w:tcPr>
            <w:tcW w:type="dxa" w:w="2891"/>
            <w:vAlign w:val="center"/>
          </w:tcPr>
          <w:p>
            <w:pPr>
              <w:keepNext w:val="0"/>
              <w:spacing w:line="320" w:lineRule="exact" w:after="0" w:before="0"/>
              <w:ind w:firstLine="0"/>
              <w:jc w:val="left"/>
            </w:pPr>
            <w:r>
              <w:rPr>
                <w:b w:val="0"/>
                <w:sz w:val="21"/>
              </w:rPr>
              <w:t>阻断达标交付</w:t>
            </w:r>
          </w:p>
        </w:tc>
      </w:tr>
      <w:tr>
        <w:trPr>
          <w:cantSplit/>
        </w:trPr>
        <w:tc>
          <w:tcPr>
            <w:tcW w:type="dxa" w:w="1638"/>
            <w:vAlign w:val="center"/>
          </w:tcPr>
          <w:p>
            <w:pPr>
              <w:keepNext w:val="0"/>
              <w:spacing w:line="320" w:lineRule="exact" w:after="0" w:before="0"/>
              <w:ind w:firstLine="0"/>
              <w:jc w:val="left"/>
            </w:pPr>
            <w:r>
              <w:rPr>
                <w:b w:val="0"/>
                <w:sz w:val="21"/>
              </w:rPr>
              <w:t>高风险缺陷</w:t>
            </w:r>
          </w:p>
        </w:tc>
        <w:tc>
          <w:tcPr>
            <w:tcW w:type="dxa" w:w="2699"/>
            <w:vAlign w:val="center"/>
          </w:tcPr>
          <w:p>
            <w:pPr>
              <w:keepNext w:val="0"/>
              <w:spacing w:line="320" w:lineRule="exact" w:after="0" w:before="0"/>
              <w:ind w:firstLine="0"/>
              <w:jc w:val="left"/>
            </w:pPr>
            <w:r>
              <w:rPr>
                <w:b w:val="0"/>
                <w:sz w:val="21"/>
              </w:rPr>
              <w:t>确认缺陷100%清零</w:t>
            </w:r>
          </w:p>
        </w:tc>
        <w:tc>
          <w:tcPr>
            <w:tcW w:type="dxa" w:w="2409"/>
            <w:vAlign w:val="center"/>
          </w:tcPr>
          <w:p>
            <w:pPr>
              <w:keepNext w:val="0"/>
              <w:spacing w:line="320" w:lineRule="exact" w:after="0" w:before="0"/>
              <w:ind w:firstLine="0"/>
              <w:jc w:val="left"/>
            </w:pPr>
            <w:r>
              <w:rPr>
                <w:b w:val="0"/>
                <w:sz w:val="21"/>
              </w:rPr>
              <w:t>全量扫描、人工复核和影响范围复查</w:t>
            </w:r>
          </w:p>
        </w:tc>
        <w:tc>
          <w:tcPr>
            <w:tcW w:type="dxa" w:w="2891"/>
            <w:vAlign w:val="center"/>
          </w:tcPr>
          <w:p>
            <w:pPr>
              <w:keepNext w:val="0"/>
              <w:spacing w:line="320" w:lineRule="exact" w:after="0" w:before="0"/>
              <w:ind w:firstLine="0"/>
              <w:jc w:val="left"/>
            </w:pPr>
            <w:r>
              <w:rPr>
                <w:b w:val="0"/>
                <w:sz w:val="21"/>
              </w:rPr>
              <w:t>隔离相关批次及派生物</w:t>
            </w:r>
          </w:p>
        </w:tc>
      </w:tr>
      <w:tr>
        <w:trPr>
          <w:cantSplit/>
        </w:trPr>
        <w:tc>
          <w:tcPr>
            <w:tcW w:type="dxa" w:w="1638"/>
            <w:vAlign w:val="center"/>
          </w:tcPr>
          <w:p>
            <w:pPr>
              <w:keepNext w:val="0"/>
              <w:spacing w:line="320" w:lineRule="exact" w:after="0" w:before="0"/>
              <w:ind w:firstLine="0"/>
              <w:jc w:val="left"/>
            </w:pPr>
            <w:r>
              <w:rPr>
                <w:b w:val="0"/>
                <w:sz w:val="21"/>
              </w:rPr>
              <w:t>中低风险缺陷</w:t>
            </w:r>
          </w:p>
        </w:tc>
        <w:tc>
          <w:tcPr>
            <w:tcW w:type="dxa" w:w="2699"/>
            <w:vAlign w:val="center"/>
          </w:tcPr>
          <w:p>
            <w:pPr>
              <w:keepNext w:val="0"/>
              <w:spacing w:line="320" w:lineRule="exact" w:after="0" w:before="0"/>
              <w:ind w:firstLine="0"/>
              <w:jc w:val="left"/>
            </w:pPr>
            <w:r>
              <w:rPr>
                <w:b w:val="0"/>
                <w:sz w:val="21"/>
              </w:rPr>
              <w:t>已确认缺陷100%完成整改</w:t>
            </w:r>
          </w:p>
        </w:tc>
        <w:tc>
          <w:tcPr>
            <w:tcW w:type="dxa" w:w="2409"/>
            <w:vAlign w:val="center"/>
          </w:tcPr>
          <w:p>
            <w:pPr>
              <w:keepNext w:val="0"/>
              <w:spacing w:line="320" w:lineRule="exact" w:after="0" w:before="0"/>
              <w:ind w:firstLine="0"/>
              <w:jc w:val="left"/>
            </w:pPr>
            <w:r>
              <w:rPr>
                <w:b w:val="0"/>
                <w:sz w:val="21"/>
              </w:rPr>
              <w:t>缺陷清单及逐项复检记录</w:t>
            </w:r>
          </w:p>
        </w:tc>
        <w:tc>
          <w:tcPr>
            <w:tcW w:type="dxa" w:w="2891"/>
            <w:vAlign w:val="center"/>
          </w:tcPr>
          <w:p>
            <w:pPr>
              <w:keepNext w:val="0"/>
              <w:spacing w:line="320" w:lineRule="exact" w:after="0" w:before="0"/>
              <w:ind w:firstLine="0"/>
              <w:jc w:val="left"/>
            </w:pPr>
            <w:r>
              <w:rPr>
                <w:b w:val="0"/>
                <w:sz w:val="21"/>
              </w:rPr>
              <w:t>继续修正，不以得分抵消</w:t>
            </w:r>
          </w:p>
        </w:tc>
      </w:tr>
      <w:tr>
        <w:trPr>
          <w:cantSplit/>
        </w:trPr>
        <w:tc>
          <w:tcPr>
            <w:tcW w:type="dxa" w:w="1638"/>
            <w:vAlign w:val="center"/>
          </w:tcPr>
          <w:p>
            <w:pPr>
              <w:keepNext w:val="0"/>
              <w:spacing w:line="320" w:lineRule="exact" w:after="0" w:before="0"/>
              <w:ind w:firstLine="0"/>
              <w:jc w:val="left"/>
            </w:pPr>
            <w:r>
              <w:rPr>
                <w:b w:val="0"/>
                <w:sz w:val="21"/>
              </w:rPr>
              <w:t>模型应用</w:t>
            </w:r>
          </w:p>
        </w:tc>
        <w:tc>
          <w:tcPr>
            <w:tcW w:type="dxa" w:w="2699"/>
            <w:vAlign w:val="center"/>
          </w:tcPr>
          <w:p>
            <w:pPr>
              <w:keepNext w:val="0"/>
              <w:spacing w:line="320" w:lineRule="exact" w:after="0" w:before="0"/>
              <w:ind w:firstLine="0"/>
              <w:jc w:val="left"/>
            </w:pPr>
            <w:r>
              <w:rPr>
                <w:b w:val="0"/>
                <w:sz w:val="21"/>
              </w:rPr>
              <w:t>各适用实验达到约定最低提升阈值</w:t>
            </w:r>
          </w:p>
        </w:tc>
        <w:tc>
          <w:tcPr>
            <w:tcW w:type="dxa" w:w="2409"/>
            <w:vAlign w:val="center"/>
          </w:tcPr>
          <w:p>
            <w:pPr>
              <w:keepNext w:val="0"/>
              <w:spacing w:line="320" w:lineRule="exact" w:after="0" w:before="0"/>
              <w:ind w:firstLine="0"/>
              <w:jc w:val="left"/>
            </w:pPr>
            <w:r>
              <w:rPr>
                <w:b w:val="0"/>
                <w:sz w:val="21"/>
              </w:rPr>
              <w:t>同协议对照、分层结果和重复运行</w:t>
            </w:r>
          </w:p>
        </w:tc>
        <w:tc>
          <w:tcPr>
            <w:tcW w:type="dxa" w:w="2891"/>
            <w:vAlign w:val="center"/>
          </w:tcPr>
          <w:p>
            <w:pPr>
              <w:keepNext w:val="0"/>
              <w:spacing w:line="320" w:lineRule="exact" w:after="0" w:before="0"/>
              <w:ind w:firstLine="0"/>
              <w:jc w:val="left"/>
            </w:pPr>
            <w:r>
              <w:rPr>
                <w:b w:val="0"/>
                <w:sz w:val="21"/>
              </w:rPr>
              <w:t>优化数据后重新实验</w:t>
            </w:r>
          </w:p>
        </w:tc>
      </w:tr>
      <w:tr>
        <w:trPr>
          <w:cantSplit/>
        </w:trPr>
        <w:tc>
          <w:tcPr>
            <w:tcW w:type="dxa" w:w="1638"/>
            <w:vAlign w:val="center"/>
          </w:tcPr>
          <w:p>
            <w:pPr>
              <w:keepNext w:val="0"/>
              <w:spacing w:line="320" w:lineRule="exact" w:after="0" w:before="0"/>
              <w:ind w:firstLine="0"/>
              <w:jc w:val="left"/>
            </w:pPr>
            <w:r>
              <w:rPr>
                <w:b w:val="0"/>
                <w:sz w:val="21"/>
              </w:rPr>
              <w:t>成果完整性</w:t>
            </w:r>
          </w:p>
        </w:tc>
        <w:tc>
          <w:tcPr>
            <w:tcW w:type="dxa" w:w="2699"/>
            <w:vAlign w:val="center"/>
          </w:tcPr>
          <w:p>
            <w:pPr>
              <w:keepNext w:val="0"/>
              <w:spacing w:line="320" w:lineRule="exact" w:after="0" w:before="0"/>
              <w:ind w:firstLine="0"/>
              <w:jc w:val="left"/>
            </w:pPr>
            <w:r>
              <w:rPr>
                <w:b w:val="0"/>
                <w:sz w:val="21"/>
              </w:rPr>
              <w:t>正式报告与全套过程资料齐备</w:t>
            </w:r>
          </w:p>
        </w:tc>
        <w:tc>
          <w:tcPr>
            <w:tcW w:type="dxa" w:w="2409"/>
            <w:vAlign w:val="center"/>
          </w:tcPr>
          <w:p>
            <w:pPr>
              <w:keepNext w:val="0"/>
              <w:spacing w:line="320" w:lineRule="exact" w:after="0" w:before="0"/>
              <w:ind w:firstLine="0"/>
              <w:jc w:val="left"/>
            </w:pPr>
            <w:r>
              <w:rPr>
                <w:b w:val="0"/>
                <w:sz w:val="21"/>
              </w:rPr>
              <w:t>档案清单、版本关系及机构盖章</w:t>
            </w:r>
          </w:p>
        </w:tc>
        <w:tc>
          <w:tcPr>
            <w:tcW w:type="dxa" w:w="2891"/>
            <w:vAlign w:val="center"/>
          </w:tcPr>
          <w:p>
            <w:pPr>
              <w:keepNext w:val="0"/>
              <w:spacing w:line="320" w:lineRule="exact" w:after="0" w:before="0"/>
              <w:ind w:firstLine="0"/>
              <w:jc w:val="left"/>
            </w:pPr>
            <w:r>
              <w:rPr>
                <w:b w:val="0"/>
                <w:sz w:val="21"/>
              </w:rPr>
              <w:t>补齐并核对正式版本</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 name="Picture 1"/>
            <wp:cNvGraphicFramePr>
              <a:graphicFrameLocks noChangeAspect="1"/>
            </wp:cNvGraphicFramePr>
            <a:graphic>
              <a:graphicData uri="http://schemas.openxmlformats.org/drawingml/2006/picture">
                <pic:pic>
                  <pic:nvPicPr>
                    <pic:cNvPr id="0" name="图1_评测范围.png"/>
                    <pic:cNvPicPr/>
                  </pic:nvPicPr>
                  <pic:blipFill>
                    <a:blip r:embed="rId11"/>
                    <a:stretch>
                      <a:fillRect/>
                    </a:stretch>
                  </pic:blipFill>
                  <pic:spPr>
                    <a:xfrm>
                      <a:off x="0" y="0"/>
                      <a:ext cx="6048000" cy="3004615"/>
                    </a:xfrm>
                    <a:prstGeom prst="rect"/>
                  </pic:spPr>
                </pic:pic>
              </a:graphicData>
            </a:graphic>
          </wp:inline>
        </w:drawing>
      </w:r>
    </w:p>
    <w:p>
      <w:pPr>
        <w:pStyle w:val="Caption"/>
        <w:jc w:val="center"/>
      </w:pPr>
      <w:r>
        <w:t>图1-1 数据集质量评测范围</w:t>
      </w:r>
    </w:p>
    <w:p>
      <w:pPr>
        <w:pStyle w:val="Heading2"/>
      </w:pPr>
      <w:r>
        <w:t>1.3 四大数据集及计量边界</w:t>
      </w:r>
    </w:p>
    <w:p>
      <w:pPr>
        <w:jc w:val="both"/>
      </w:pPr>
      <w:r>
        <w:t>四大数据集按业务领域划分，四类用途按模型训练及评价用途划分。两个维度分别登记，形成十六个用途子集。规模统计使用完成清洗、去重、质检和验证后的有效交付净量，原始采集量、处理中间量、无效样本和被隔离样本不进入交付规模。批次间重复以及跨版本重复引用均通过对象标识和内容指纹核查，避免重复导出、文件切片及备份副本造成数量虚增。</w:t>
      </w:r>
    </w:p>
    <w:p>
      <w:pPr>
        <w:pStyle w:val="Caption"/>
        <w:keepNext/>
      </w:pPr>
      <w:r>
        <w:t>表1-2 四大数据集及计量边界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数据集</w:t>
            </w:r>
          </w:p>
        </w:tc>
        <w:tc>
          <w:tcPr>
            <w:tcW w:type="dxa" w:w="2120"/>
            <w:vAlign w:val="center"/>
            <w:shd w:fill="EDF1F3"/>
          </w:tcPr>
          <w:p>
            <w:pPr>
              <w:keepNext/>
              <w:spacing w:line="320" w:lineRule="exact" w:after="0" w:before="0"/>
              <w:ind w:firstLine="0"/>
              <w:jc w:val="center"/>
            </w:pPr>
            <w:r>
              <w:rPr>
                <w:b/>
                <w:sz w:val="21"/>
              </w:rPr>
              <w:t>预训练</w:t>
            </w:r>
          </w:p>
        </w:tc>
        <w:tc>
          <w:tcPr>
            <w:tcW w:type="dxa" w:w="1928"/>
            <w:vAlign w:val="center"/>
            <w:shd w:fill="EDF1F3"/>
          </w:tcPr>
          <w:p>
            <w:pPr>
              <w:keepNext/>
              <w:spacing w:line="320" w:lineRule="exact" w:after="0" w:before="0"/>
              <w:ind w:firstLine="0"/>
              <w:jc w:val="center"/>
            </w:pPr>
            <w:r>
              <w:rPr>
                <w:b/>
                <w:sz w:val="21"/>
              </w:rPr>
              <w:t>指令微调</w:t>
            </w:r>
          </w:p>
        </w:tc>
        <w:tc>
          <w:tcPr>
            <w:tcW w:type="dxa" w:w="1928"/>
            <w:vAlign w:val="center"/>
            <w:shd w:fill="EDF1F3"/>
          </w:tcPr>
          <w:p>
            <w:pPr>
              <w:keepNext/>
              <w:spacing w:line="320" w:lineRule="exact" w:after="0" w:before="0"/>
              <w:ind w:firstLine="0"/>
              <w:jc w:val="center"/>
            </w:pPr>
            <w:r>
              <w:rPr>
                <w:b/>
                <w:sz w:val="21"/>
              </w:rPr>
              <w:t>偏好对齐</w:t>
            </w:r>
          </w:p>
        </w:tc>
        <w:tc>
          <w:tcPr>
            <w:tcW w:type="dxa" w:w="1928"/>
            <w:vAlign w:val="center"/>
            <w:shd w:fill="EDF1F3"/>
          </w:tcPr>
          <w:p>
            <w:pPr>
              <w:keepNext/>
              <w:spacing w:line="320" w:lineRule="exact" w:after="0" w:before="0"/>
              <w:ind w:firstLine="0"/>
              <w:jc w:val="center"/>
            </w:pPr>
            <w:r>
              <w:rPr>
                <w:b/>
                <w:sz w:val="21"/>
              </w:rPr>
              <w:t>基准评测</w:t>
            </w:r>
          </w:p>
        </w:tc>
      </w:tr>
      <w:tr>
        <w:trPr>
          <w:cantSplit/>
        </w:trPr>
        <w:tc>
          <w:tcPr>
            <w:tcW w:type="dxa" w:w="1735"/>
            <w:vAlign w:val="center"/>
          </w:tcPr>
          <w:p>
            <w:pPr>
              <w:keepNext w:val="0"/>
              <w:spacing w:line="320" w:lineRule="exact" w:after="0" w:before="0"/>
              <w:ind w:firstLine="0"/>
              <w:jc w:val="left"/>
            </w:pPr>
            <w:r>
              <w:rPr>
                <w:b w:val="0"/>
                <w:sz w:val="21"/>
              </w:rPr>
              <w:t>供需计划</w:t>
            </w:r>
          </w:p>
        </w:tc>
        <w:tc>
          <w:tcPr>
            <w:tcW w:type="dxa" w:w="2120"/>
            <w:vAlign w:val="center"/>
          </w:tcPr>
          <w:p>
            <w:pPr>
              <w:keepNext w:val="0"/>
              <w:spacing w:line="320" w:lineRule="exact" w:after="0" w:before="0"/>
              <w:ind w:firstLine="0"/>
              <w:jc w:val="left"/>
            </w:pPr>
            <w:r>
              <w:rPr>
                <w:b w:val="0"/>
                <w:sz w:val="21"/>
              </w:rPr>
              <w:t>276亿Token</w:t>
            </w:r>
          </w:p>
        </w:tc>
        <w:tc>
          <w:tcPr>
            <w:tcW w:type="dxa" w:w="1928"/>
            <w:vAlign w:val="center"/>
          </w:tcPr>
          <w:p>
            <w:pPr>
              <w:keepNext w:val="0"/>
              <w:spacing w:line="320" w:lineRule="exact" w:after="0" w:before="0"/>
              <w:ind w:firstLine="0"/>
              <w:jc w:val="left"/>
            </w:pPr>
            <w:r>
              <w:rPr>
                <w:b w:val="0"/>
                <w:sz w:val="21"/>
              </w:rPr>
              <w:t>40万条</w:t>
            </w:r>
          </w:p>
        </w:tc>
        <w:tc>
          <w:tcPr>
            <w:tcW w:type="dxa" w:w="1928"/>
            <w:vAlign w:val="center"/>
          </w:tcPr>
          <w:p>
            <w:pPr>
              <w:keepNext w:val="0"/>
              <w:spacing w:line="320" w:lineRule="exact" w:after="0" w:before="0"/>
              <w:ind w:firstLine="0"/>
              <w:jc w:val="left"/>
            </w:pPr>
            <w:r>
              <w:rPr>
                <w:b w:val="0"/>
                <w:sz w:val="21"/>
              </w:rPr>
              <w:t>3.2万组</w:t>
            </w:r>
          </w:p>
        </w:tc>
        <w:tc>
          <w:tcPr>
            <w:tcW w:type="dxa" w:w="1928"/>
            <w:vAlign w:val="center"/>
          </w:tcPr>
          <w:p>
            <w:pPr>
              <w:keepNext w:val="0"/>
              <w:spacing w:line="320" w:lineRule="exact" w:after="0" w:before="0"/>
              <w:ind w:firstLine="0"/>
              <w:jc w:val="left"/>
            </w:pPr>
            <w:r>
              <w:rPr>
                <w:b w:val="0"/>
                <w:sz w:val="21"/>
              </w:rPr>
              <w:t>0.4万条</w:t>
            </w:r>
          </w:p>
        </w:tc>
      </w:tr>
      <w:tr>
        <w:trPr>
          <w:cantSplit/>
        </w:trPr>
        <w:tc>
          <w:tcPr>
            <w:tcW w:type="dxa" w:w="1735"/>
            <w:vAlign w:val="center"/>
          </w:tcPr>
          <w:p>
            <w:pPr>
              <w:keepNext w:val="0"/>
              <w:spacing w:line="320" w:lineRule="exact" w:after="0" w:before="0"/>
              <w:ind w:firstLine="0"/>
              <w:jc w:val="left"/>
            </w:pPr>
            <w:r>
              <w:rPr>
                <w:b w:val="0"/>
                <w:sz w:val="21"/>
              </w:rPr>
              <w:t>产品工艺设计</w:t>
            </w:r>
          </w:p>
        </w:tc>
        <w:tc>
          <w:tcPr>
            <w:tcW w:type="dxa" w:w="2120"/>
            <w:vAlign w:val="center"/>
          </w:tcPr>
          <w:p>
            <w:pPr>
              <w:keepNext w:val="0"/>
              <w:spacing w:line="320" w:lineRule="exact" w:after="0" w:before="0"/>
              <w:ind w:firstLine="0"/>
              <w:jc w:val="left"/>
            </w:pPr>
            <w:r>
              <w:rPr>
                <w:b w:val="0"/>
                <w:sz w:val="21"/>
              </w:rPr>
              <w:t>70亿Token</w:t>
            </w:r>
          </w:p>
        </w:tc>
        <w:tc>
          <w:tcPr>
            <w:tcW w:type="dxa" w:w="1928"/>
            <w:vAlign w:val="center"/>
          </w:tcPr>
          <w:p>
            <w:pPr>
              <w:keepNext w:val="0"/>
              <w:spacing w:line="320" w:lineRule="exact" w:after="0" w:before="0"/>
              <w:ind w:firstLine="0"/>
              <w:jc w:val="left"/>
            </w:pPr>
            <w:r>
              <w:rPr>
                <w:b w:val="0"/>
                <w:sz w:val="21"/>
              </w:rPr>
              <w:t>10万条</w:t>
            </w:r>
          </w:p>
        </w:tc>
        <w:tc>
          <w:tcPr>
            <w:tcW w:type="dxa" w:w="1928"/>
            <w:vAlign w:val="center"/>
          </w:tcPr>
          <w:p>
            <w:pPr>
              <w:keepNext w:val="0"/>
              <w:spacing w:line="320" w:lineRule="exact" w:after="0" w:before="0"/>
              <w:ind w:firstLine="0"/>
              <w:jc w:val="left"/>
            </w:pPr>
            <w:r>
              <w:rPr>
                <w:b w:val="0"/>
                <w:sz w:val="21"/>
              </w:rPr>
              <w:t>0.8万组</w:t>
            </w:r>
          </w:p>
        </w:tc>
        <w:tc>
          <w:tcPr>
            <w:tcW w:type="dxa" w:w="1928"/>
            <w:vAlign w:val="center"/>
          </w:tcPr>
          <w:p>
            <w:pPr>
              <w:keepNext w:val="0"/>
              <w:spacing w:line="320" w:lineRule="exact" w:after="0" w:before="0"/>
              <w:ind w:firstLine="0"/>
              <w:jc w:val="left"/>
            </w:pPr>
            <w:r>
              <w:rPr>
                <w:b w:val="0"/>
                <w:sz w:val="21"/>
              </w:rPr>
              <w:t>0.1万条</w:t>
            </w:r>
          </w:p>
        </w:tc>
      </w:tr>
      <w:tr>
        <w:trPr>
          <w:cantSplit/>
        </w:trPr>
        <w:tc>
          <w:tcPr>
            <w:tcW w:type="dxa" w:w="1735"/>
            <w:vAlign w:val="center"/>
          </w:tcPr>
          <w:p>
            <w:pPr>
              <w:keepNext w:val="0"/>
              <w:spacing w:line="320" w:lineRule="exact" w:after="0" w:before="0"/>
              <w:ind w:firstLine="0"/>
              <w:jc w:val="left"/>
            </w:pPr>
            <w:r>
              <w:rPr>
                <w:b w:val="0"/>
                <w:sz w:val="21"/>
              </w:rPr>
              <w:t>制造过程</w:t>
            </w:r>
          </w:p>
        </w:tc>
        <w:tc>
          <w:tcPr>
            <w:tcW w:type="dxa" w:w="2120"/>
            <w:vAlign w:val="center"/>
          </w:tcPr>
          <w:p>
            <w:pPr>
              <w:keepNext w:val="0"/>
              <w:spacing w:line="320" w:lineRule="exact" w:after="0" w:before="0"/>
              <w:ind w:firstLine="0"/>
              <w:jc w:val="left"/>
            </w:pPr>
            <w:r>
              <w:rPr>
                <w:b w:val="0"/>
                <w:sz w:val="21"/>
              </w:rPr>
              <w:t>105亿Token</w:t>
            </w:r>
          </w:p>
        </w:tc>
        <w:tc>
          <w:tcPr>
            <w:tcW w:type="dxa" w:w="1928"/>
            <w:vAlign w:val="center"/>
          </w:tcPr>
          <w:p>
            <w:pPr>
              <w:keepNext w:val="0"/>
              <w:spacing w:line="320" w:lineRule="exact" w:after="0" w:before="0"/>
              <w:ind w:firstLine="0"/>
              <w:jc w:val="left"/>
            </w:pPr>
            <w:r>
              <w:rPr>
                <w:b w:val="0"/>
                <w:sz w:val="21"/>
              </w:rPr>
              <w:t>15万条</w:t>
            </w:r>
          </w:p>
        </w:tc>
        <w:tc>
          <w:tcPr>
            <w:tcW w:type="dxa" w:w="1928"/>
            <w:vAlign w:val="center"/>
          </w:tcPr>
          <w:p>
            <w:pPr>
              <w:keepNext w:val="0"/>
              <w:spacing w:line="320" w:lineRule="exact" w:after="0" w:before="0"/>
              <w:ind w:firstLine="0"/>
              <w:jc w:val="left"/>
            </w:pPr>
            <w:r>
              <w:rPr>
                <w:b w:val="0"/>
                <w:sz w:val="21"/>
              </w:rPr>
              <w:t>1万组</w:t>
            </w:r>
          </w:p>
        </w:tc>
        <w:tc>
          <w:tcPr>
            <w:tcW w:type="dxa" w:w="1928"/>
            <w:vAlign w:val="center"/>
          </w:tcPr>
          <w:p>
            <w:pPr>
              <w:keepNext w:val="0"/>
              <w:spacing w:line="320" w:lineRule="exact" w:after="0" w:before="0"/>
              <w:ind w:firstLine="0"/>
              <w:jc w:val="left"/>
            </w:pPr>
            <w:r>
              <w:rPr>
                <w:b w:val="0"/>
                <w:sz w:val="21"/>
              </w:rPr>
              <w:t>0.2万条</w:t>
            </w:r>
          </w:p>
        </w:tc>
      </w:tr>
      <w:tr>
        <w:trPr>
          <w:cantSplit/>
        </w:trPr>
        <w:tc>
          <w:tcPr>
            <w:tcW w:type="dxa" w:w="1735"/>
            <w:vAlign w:val="center"/>
          </w:tcPr>
          <w:p>
            <w:pPr>
              <w:keepNext w:val="0"/>
              <w:spacing w:line="320" w:lineRule="exact" w:after="0" w:before="0"/>
              <w:ind w:firstLine="0"/>
              <w:jc w:val="left"/>
            </w:pPr>
            <w:r>
              <w:rPr>
                <w:b w:val="0"/>
                <w:sz w:val="21"/>
              </w:rPr>
              <w:t>产品质量</w:t>
            </w:r>
          </w:p>
        </w:tc>
        <w:tc>
          <w:tcPr>
            <w:tcW w:type="dxa" w:w="2120"/>
            <w:vAlign w:val="center"/>
          </w:tcPr>
          <w:p>
            <w:pPr>
              <w:keepNext w:val="0"/>
              <w:spacing w:line="320" w:lineRule="exact" w:after="0" w:before="0"/>
              <w:ind w:firstLine="0"/>
              <w:jc w:val="left"/>
            </w:pPr>
            <w:r>
              <w:rPr>
                <w:b w:val="0"/>
                <w:sz w:val="21"/>
              </w:rPr>
              <w:t>164亿Token</w:t>
            </w:r>
          </w:p>
        </w:tc>
        <w:tc>
          <w:tcPr>
            <w:tcW w:type="dxa" w:w="1928"/>
            <w:vAlign w:val="center"/>
          </w:tcPr>
          <w:p>
            <w:pPr>
              <w:keepNext w:val="0"/>
              <w:spacing w:line="320" w:lineRule="exact" w:after="0" w:before="0"/>
              <w:ind w:firstLine="0"/>
              <w:jc w:val="left"/>
            </w:pPr>
            <w:r>
              <w:rPr>
                <w:b w:val="0"/>
                <w:sz w:val="21"/>
              </w:rPr>
              <w:t>24万条</w:t>
            </w:r>
          </w:p>
        </w:tc>
        <w:tc>
          <w:tcPr>
            <w:tcW w:type="dxa" w:w="1928"/>
            <w:vAlign w:val="center"/>
          </w:tcPr>
          <w:p>
            <w:pPr>
              <w:keepNext w:val="0"/>
              <w:spacing w:line="320" w:lineRule="exact" w:after="0" w:before="0"/>
              <w:ind w:firstLine="0"/>
              <w:jc w:val="left"/>
            </w:pPr>
            <w:r>
              <w:rPr>
                <w:b w:val="0"/>
                <w:sz w:val="21"/>
              </w:rPr>
              <w:t>1.6万组</w:t>
            </w:r>
          </w:p>
        </w:tc>
        <w:tc>
          <w:tcPr>
            <w:tcW w:type="dxa" w:w="1928"/>
            <w:vAlign w:val="center"/>
          </w:tcPr>
          <w:p>
            <w:pPr>
              <w:keepNext w:val="0"/>
              <w:spacing w:line="320" w:lineRule="exact" w:after="0" w:before="0"/>
              <w:ind w:firstLine="0"/>
              <w:jc w:val="left"/>
            </w:pPr>
            <w:r>
              <w:rPr>
                <w:b w:val="0"/>
                <w:sz w:val="21"/>
              </w:rPr>
              <w:t>0.25万条</w:t>
            </w:r>
          </w:p>
        </w:tc>
      </w:tr>
      <w:tr>
        <w:trPr>
          <w:cantSplit/>
        </w:trPr>
        <w:tc>
          <w:tcPr>
            <w:tcW w:type="dxa" w:w="1735"/>
            <w:vAlign w:val="center"/>
          </w:tcPr>
          <w:p>
            <w:pPr>
              <w:keepNext w:val="0"/>
              <w:spacing w:line="320" w:lineRule="exact" w:after="0" w:before="0"/>
              <w:ind w:firstLine="0"/>
              <w:jc w:val="left"/>
            </w:pPr>
            <w:r>
              <w:rPr>
                <w:b w:val="0"/>
                <w:sz w:val="21"/>
              </w:rPr>
              <w:t>合计</w:t>
            </w:r>
          </w:p>
        </w:tc>
        <w:tc>
          <w:tcPr>
            <w:tcW w:type="dxa" w:w="2120"/>
            <w:vAlign w:val="center"/>
          </w:tcPr>
          <w:p>
            <w:pPr>
              <w:keepNext w:val="0"/>
              <w:spacing w:line="320" w:lineRule="exact" w:after="0" w:before="0"/>
              <w:ind w:firstLine="0"/>
              <w:jc w:val="left"/>
            </w:pPr>
            <w:r>
              <w:rPr>
                <w:b w:val="0"/>
                <w:sz w:val="21"/>
              </w:rPr>
              <w:t>615亿Token</w:t>
            </w:r>
          </w:p>
        </w:tc>
        <w:tc>
          <w:tcPr>
            <w:tcW w:type="dxa" w:w="1928"/>
            <w:vAlign w:val="center"/>
          </w:tcPr>
          <w:p>
            <w:pPr>
              <w:keepNext w:val="0"/>
              <w:spacing w:line="320" w:lineRule="exact" w:after="0" w:before="0"/>
              <w:ind w:firstLine="0"/>
              <w:jc w:val="left"/>
            </w:pPr>
            <w:r>
              <w:rPr>
                <w:b w:val="0"/>
                <w:sz w:val="21"/>
              </w:rPr>
              <w:t>89万条</w:t>
            </w:r>
          </w:p>
        </w:tc>
        <w:tc>
          <w:tcPr>
            <w:tcW w:type="dxa" w:w="1928"/>
            <w:vAlign w:val="center"/>
          </w:tcPr>
          <w:p>
            <w:pPr>
              <w:keepNext w:val="0"/>
              <w:spacing w:line="320" w:lineRule="exact" w:after="0" w:before="0"/>
              <w:ind w:firstLine="0"/>
              <w:jc w:val="left"/>
            </w:pPr>
            <w:r>
              <w:rPr>
                <w:b w:val="0"/>
                <w:sz w:val="21"/>
              </w:rPr>
              <w:t>6.6万组</w:t>
            </w:r>
          </w:p>
        </w:tc>
        <w:tc>
          <w:tcPr>
            <w:tcW w:type="dxa" w:w="1928"/>
            <w:vAlign w:val="center"/>
          </w:tcPr>
          <w:p>
            <w:pPr>
              <w:keepNext w:val="0"/>
              <w:spacing w:line="320" w:lineRule="exact" w:after="0" w:before="0"/>
              <w:ind w:firstLine="0"/>
              <w:jc w:val="left"/>
            </w:pPr>
            <w:r>
              <w:rPr>
                <w:b w:val="0"/>
                <w:sz w:val="21"/>
              </w:rPr>
              <w:t>0.95万条</w:t>
            </w:r>
          </w:p>
        </w:tc>
      </w:tr>
    </w:tbl>
    <w:p>
      <w:pPr>
        <w:spacing w:after="40" w:line="240" w:lineRule="auto"/>
        <w:ind w:firstLine="0"/>
      </w:pPr>
      <w:r>
        <w:rPr>
          <w:sz w:val="4"/>
        </w:rPr>
      </w:r>
    </w:p>
    <w:p>
      <w:pPr>
        <w:jc w:val="both"/>
      </w:pPr>
      <w:r>
        <w:t>十六项数量分别达到相应要求，不以领域间调剂、用途间折算或者总量超额抵消单项不足。预训练Token采用固定分词器和同一计数配置，报告记录分词器名称、版本、词表摘要、特殊标记处理和去重规则。指令微调以完整任务计数，偏好对齐以包含完整比较对象及偏好依据的组计数，基准评测以完整题目计数。无答案、无必要输入、损坏附件或者不能执行评价的记录不得计入有效净量。</w:t>
      </w:r>
    </w:p>
    <w:p>
      <w:pPr>
        <w:jc w:val="both"/>
      </w:pPr>
      <w:r>
        <w:t>项目数据模态包括文本、图像、时序、视频，各领域具备不少于三种有效模态，多模态条数占比不低于40%，近三年数据条数占比不低于40%。评测准备同时清点实际产生的音频及语音数据，对存在的音频执行相应质量指标和模型验证。时序数据保持独立模态身份，不以转换成图像或者嵌入文本后的文件形式替代对原始时间轴、测点、单位和采样关系的检测。</w:t>
      </w:r>
    </w:p>
    <w:p>
      <w:pPr>
        <w:pStyle w:val="Heading2"/>
      </w:pPr>
      <w:r>
        <w:t>1.4 与数据加工及场景应用的衔接</w:t>
      </w:r>
    </w:p>
    <w:p>
      <w:pPr>
        <w:jc w:val="both"/>
      </w:pPr>
      <w:r>
        <w:t>生产质检围绕保真度、完备性、规整性、均衡性、可用性、可信性六项指标开展，业务治理围绕完整性、准确性、一致性、唯一性、及时性、有效性开展，正式质量评测采用说明文档、数据质量、模型应用三维度。三类工作共享数据版本和检测证据，分别保留评价对象、判定标准及结论。生产质检通过作为进入正式评测的重要条件，不能直接等同于第三方评测达标。</w:t>
      </w:r>
    </w:p>
    <w:p>
      <w:pPr>
        <w:jc w:val="both"/>
      </w:pPr>
      <w:r>
        <w:t>我方将生产环节发现的问题、数据卡中的分布及许可信息、训练验证中的失败样本与正式评测结果关联，减少同一对象在不同环节出现名称、数量、标签和版本不一致。正式评测发现问题后，整改任务沿样本血缘回到采集、预处理、标注、合成、增强或者封装环节，同时检查下游数据卡、知识库、训练任务和场景应用受到的影响。</w:t>
      </w:r>
    </w:p>
    <w:p>
      <w:pPr>
        <w:jc w:val="both"/>
      </w:pPr>
      <w:r>
        <w:t>模型实战验证与十一个场景的业务测试相互衔接。产品智能选型、板材备料工艺智能设计、库存控制智能化、热处理过程控制智能化、焊接过程控制智能化、刮板输送装备健康诊断智能化及五类智能助手提供业务任务和专业判断依据。正式数据集质量评测仍按照独立的模型协议及指标执行，场景运行的满意度、响应时长或者系统集成测试不能替代数据集质量结论。</w:t>
      </w:r>
    </w:p>
    <w:p>
      <w:pPr>
        <w:pStyle w:val="Heading2"/>
      </w:pPr>
      <w:r>
        <w:t>1.5 评测组织与独立复核</w:t>
      </w:r>
    </w:p>
    <w:p>
      <w:pPr>
        <w:jc w:val="both"/>
      </w:pPr>
      <w:r>
        <w:t>评测负责人统筹范围、进度、资源和问题关闭，对外提交阶段成果；指标设计人员负责指标定义、分子分母、阈值及证据规则；数据检测人员负责全量检测及结果解析；模型实验人员负责隔离环境、基线和微调实验；业务专家负责术语、工艺、设备状态和质量判据；安全人员负责涉密、隐私及授权边界；档案人员负责证据登记与交付。第三方机构根据确认的范围独立审核方案、复核检测结果并形成正式结论。</w:t>
      </w:r>
    </w:p>
    <w:p>
      <w:pPr>
        <w:jc w:val="both"/>
      </w:pPr>
      <w:r>
        <w:t>标注人员不单独裁定本人加工样本的最终准确性，模型训练人员不得读取保留测试集的标准答案并据此调整训练数据。关键争议由未参与原处理的专家复核，涉及业务事实与技术检测同时存在争议的事项由相关专业联合核定。专家意见保留对象、依据、判定和日期，不能以签名代替实际检测记录。</w:t>
      </w:r>
    </w:p>
    <w:p>
      <w:pPr>
        <w:pStyle w:val="Caption"/>
        <w:keepNext/>
      </w:pPr>
      <w:r>
        <w:t>表1-3 评测组织与独立复核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角色</w:t>
            </w:r>
          </w:p>
        </w:tc>
        <w:tc>
          <w:tcPr>
            <w:tcW w:type="dxa" w:w="2699"/>
            <w:vAlign w:val="center"/>
            <w:shd w:fill="EDF1F3"/>
          </w:tcPr>
          <w:p>
            <w:pPr>
              <w:keepNext/>
              <w:spacing w:line="320" w:lineRule="exact" w:after="0" w:before="0"/>
              <w:ind w:firstLine="0"/>
              <w:jc w:val="center"/>
            </w:pPr>
            <w:r>
              <w:rPr>
                <w:b/>
                <w:sz w:val="21"/>
              </w:rPr>
              <w:t>主要职责</w:t>
            </w:r>
          </w:p>
        </w:tc>
        <w:tc>
          <w:tcPr>
            <w:tcW w:type="dxa" w:w="2409"/>
            <w:vAlign w:val="center"/>
            <w:shd w:fill="EDF1F3"/>
          </w:tcPr>
          <w:p>
            <w:pPr>
              <w:keepNext/>
              <w:spacing w:line="320" w:lineRule="exact" w:after="0" w:before="0"/>
              <w:ind w:firstLine="0"/>
              <w:jc w:val="center"/>
            </w:pPr>
            <w:r>
              <w:rPr>
                <w:b/>
                <w:sz w:val="21"/>
              </w:rPr>
              <w:t>工作交接</w:t>
            </w:r>
          </w:p>
        </w:tc>
        <w:tc>
          <w:tcPr>
            <w:tcW w:type="dxa" w:w="2891"/>
            <w:vAlign w:val="center"/>
            <w:shd w:fill="EDF1F3"/>
          </w:tcPr>
          <w:p>
            <w:pPr>
              <w:keepNext/>
              <w:spacing w:line="320" w:lineRule="exact" w:after="0" w:before="0"/>
              <w:ind w:firstLine="0"/>
              <w:jc w:val="center"/>
            </w:pPr>
            <w:r>
              <w:rPr>
                <w:b/>
                <w:sz w:val="21"/>
              </w:rPr>
              <w:t>复核要求</w:t>
            </w:r>
          </w:p>
        </w:tc>
      </w:tr>
      <w:tr>
        <w:trPr>
          <w:cantSplit/>
        </w:trPr>
        <w:tc>
          <w:tcPr>
            <w:tcW w:type="dxa" w:w="1638"/>
            <w:vAlign w:val="center"/>
          </w:tcPr>
          <w:p>
            <w:pPr>
              <w:keepNext w:val="0"/>
              <w:spacing w:line="320" w:lineRule="exact" w:after="0" w:before="0"/>
              <w:ind w:firstLine="0"/>
              <w:jc w:val="left"/>
            </w:pPr>
            <w:r>
              <w:rPr>
                <w:b w:val="0"/>
                <w:sz w:val="21"/>
              </w:rPr>
              <w:t>甲方业务及数据管理人员</w:t>
            </w:r>
          </w:p>
        </w:tc>
        <w:tc>
          <w:tcPr>
            <w:tcW w:type="dxa" w:w="2699"/>
            <w:vAlign w:val="center"/>
          </w:tcPr>
          <w:p>
            <w:pPr>
              <w:keepNext w:val="0"/>
              <w:spacing w:line="320" w:lineRule="exact" w:after="0" w:before="0"/>
              <w:ind w:firstLine="0"/>
              <w:jc w:val="left"/>
            </w:pPr>
            <w:r>
              <w:rPr>
                <w:b w:val="0"/>
                <w:sz w:val="21"/>
              </w:rPr>
              <w:t>确认范围、业务规则、数据修正和阶段成果</w:t>
            </w:r>
          </w:p>
        </w:tc>
        <w:tc>
          <w:tcPr>
            <w:tcW w:type="dxa" w:w="2409"/>
            <w:vAlign w:val="center"/>
          </w:tcPr>
          <w:p>
            <w:pPr>
              <w:keepNext w:val="0"/>
              <w:spacing w:line="320" w:lineRule="exact" w:after="0" w:before="0"/>
              <w:ind w:firstLine="0"/>
              <w:jc w:val="left"/>
            </w:pPr>
            <w:r>
              <w:rPr>
                <w:b w:val="0"/>
                <w:sz w:val="21"/>
              </w:rPr>
              <w:t>业务规则、授权材料、修正批次</w:t>
            </w:r>
          </w:p>
        </w:tc>
        <w:tc>
          <w:tcPr>
            <w:tcW w:type="dxa" w:w="2891"/>
            <w:vAlign w:val="center"/>
          </w:tcPr>
          <w:p>
            <w:pPr>
              <w:keepNext w:val="0"/>
              <w:spacing w:line="320" w:lineRule="exact" w:after="0" w:before="0"/>
              <w:ind w:firstLine="0"/>
              <w:jc w:val="left"/>
            </w:pPr>
            <w:r>
              <w:rPr>
                <w:b w:val="0"/>
                <w:sz w:val="21"/>
              </w:rPr>
              <w:t>确认实际业务事实及应用边界</w:t>
            </w:r>
          </w:p>
        </w:tc>
      </w:tr>
      <w:tr>
        <w:trPr>
          <w:cantSplit/>
        </w:trPr>
        <w:tc>
          <w:tcPr>
            <w:tcW w:type="dxa" w:w="1638"/>
            <w:vAlign w:val="center"/>
          </w:tcPr>
          <w:p>
            <w:pPr>
              <w:keepNext w:val="0"/>
              <w:spacing w:line="320" w:lineRule="exact" w:after="0" w:before="0"/>
              <w:ind w:firstLine="0"/>
              <w:jc w:val="left"/>
            </w:pPr>
            <w:r>
              <w:rPr>
                <w:b w:val="0"/>
                <w:sz w:val="21"/>
              </w:rPr>
              <w:t>我方评测负责人</w:t>
            </w:r>
          </w:p>
        </w:tc>
        <w:tc>
          <w:tcPr>
            <w:tcW w:type="dxa" w:w="2699"/>
            <w:vAlign w:val="center"/>
          </w:tcPr>
          <w:p>
            <w:pPr>
              <w:keepNext w:val="0"/>
              <w:spacing w:line="320" w:lineRule="exact" w:after="0" w:before="0"/>
              <w:ind w:firstLine="0"/>
              <w:jc w:val="left"/>
            </w:pPr>
            <w:r>
              <w:rPr>
                <w:b w:val="0"/>
                <w:sz w:val="21"/>
              </w:rPr>
              <w:t>组织方案、执行、整改及交付</w:t>
            </w:r>
          </w:p>
        </w:tc>
        <w:tc>
          <w:tcPr>
            <w:tcW w:type="dxa" w:w="2409"/>
            <w:vAlign w:val="center"/>
          </w:tcPr>
          <w:p>
            <w:pPr>
              <w:keepNext w:val="0"/>
              <w:spacing w:line="320" w:lineRule="exact" w:after="0" w:before="0"/>
              <w:ind w:firstLine="0"/>
              <w:jc w:val="left"/>
            </w:pPr>
            <w:r>
              <w:rPr>
                <w:b w:val="0"/>
                <w:sz w:val="21"/>
              </w:rPr>
              <w:t>阶段成果、问题清单、进度计划</w:t>
            </w:r>
          </w:p>
        </w:tc>
        <w:tc>
          <w:tcPr>
            <w:tcW w:type="dxa" w:w="2891"/>
            <w:vAlign w:val="center"/>
          </w:tcPr>
          <w:p>
            <w:pPr>
              <w:keepNext w:val="0"/>
              <w:spacing w:line="320" w:lineRule="exact" w:after="0" w:before="0"/>
              <w:ind w:firstLine="0"/>
              <w:jc w:val="left"/>
            </w:pPr>
            <w:r>
              <w:rPr>
                <w:b w:val="0"/>
                <w:sz w:val="21"/>
              </w:rPr>
              <w:t>核对范围完整性和责任落实</w:t>
            </w:r>
          </w:p>
        </w:tc>
      </w:tr>
      <w:tr>
        <w:trPr>
          <w:cantSplit/>
        </w:trPr>
        <w:tc>
          <w:tcPr>
            <w:tcW w:type="dxa" w:w="1638"/>
            <w:vAlign w:val="center"/>
          </w:tcPr>
          <w:p>
            <w:pPr>
              <w:keepNext w:val="0"/>
              <w:spacing w:line="320" w:lineRule="exact" w:after="0" w:before="0"/>
              <w:ind w:firstLine="0"/>
              <w:jc w:val="left"/>
            </w:pPr>
            <w:r>
              <w:rPr>
                <w:b w:val="0"/>
                <w:sz w:val="21"/>
              </w:rPr>
              <w:t>检测与模型实验人员</w:t>
            </w:r>
          </w:p>
        </w:tc>
        <w:tc>
          <w:tcPr>
            <w:tcW w:type="dxa" w:w="2699"/>
            <w:vAlign w:val="center"/>
          </w:tcPr>
          <w:p>
            <w:pPr>
              <w:keepNext w:val="0"/>
              <w:spacing w:line="320" w:lineRule="exact" w:after="0" w:before="0"/>
              <w:ind w:firstLine="0"/>
              <w:jc w:val="left"/>
            </w:pPr>
            <w:r>
              <w:rPr>
                <w:b w:val="0"/>
                <w:sz w:val="21"/>
              </w:rPr>
              <w:t>运行工具、执行实验、定位问题</w:t>
            </w:r>
          </w:p>
        </w:tc>
        <w:tc>
          <w:tcPr>
            <w:tcW w:type="dxa" w:w="2409"/>
            <w:vAlign w:val="center"/>
          </w:tcPr>
          <w:p>
            <w:pPr>
              <w:keepNext w:val="0"/>
              <w:spacing w:line="320" w:lineRule="exact" w:after="0" w:before="0"/>
              <w:ind w:firstLine="0"/>
              <w:jc w:val="left"/>
            </w:pPr>
            <w:r>
              <w:rPr>
                <w:b w:val="0"/>
                <w:sz w:val="21"/>
              </w:rPr>
              <w:t>原始输出、环境配置、运行日志</w:t>
            </w:r>
          </w:p>
        </w:tc>
        <w:tc>
          <w:tcPr>
            <w:tcW w:type="dxa" w:w="2891"/>
            <w:vAlign w:val="center"/>
          </w:tcPr>
          <w:p>
            <w:pPr>
              <w:keepNext w:val="0"/>
              <w:spacing w:line="320" w:lineRule="exact" w:after="0" w:before="0"/>
              <w:ind w:firstLine="0"/>
              <w:jc w:val="left"/>
            </w:pPr>
            <w:r>
              <w:rPr>
                <w:b w:val="0"/>
                <w:sz w:val="21"/>
              </w:rPr>
              <w:t>同协议复现和交叉检查</w:t>
            </w:r>
          </w:p>
        </w:tc>
      </w:tr>
      <w:tr>
        <w:trPr>
          <w:cantSplit/>
        </w:trPr>
        <w:tc>
          <w:tcPr>
            <w:tcW w:type="dxa" w:w="1638"/>
            <w:vAlign w:val="center"/>
          </w:tcPr>
          <w:p>
            <w:pPr>
              <w:keepNext w:val="0"/>
              <w:spacing w:line="320" w:lineRule="exact" w:after="0" w:before="0"/>
              <w:ind w:firstLine="0"/>
              <w:jc w:val="left"/>
            </w:pPr>
            <w:r>
              <w:rPr>
                <w:b w:val="0"/>
                <w:sz w:val="21"/>
              </w:rPr>
              <w:t>行业及安全专家</w:t>
            </w:r>
          </w:p>
        </w:tc>
        <w:tc>
          <w:tcPr>
            <w:tcW w:type="dxa" w:w="2699"/>
            <w:vAlign w:val="center"/>
          </w:tcPr>
          <w:p>
            <w:pPr>
              <w:keepNext w:val="0"/>
              <w:spacing w:line="320" w:lineRule="exact" w:after="0" w:before="0"/>
              <w:ind w:firstLine="0"/>
              <w:jc w:val="left"/>
            </w:pPr>
            <w:r>
              <w:rPr>
                <w:b w:val="0"/>
                <w:sz w:val="21"/>
              </w:rPr>
              <w:t>专业判定、风险复核、争议处理</w:t>
            </w:r>
          </w:p>
        </w:tc>
        <w:tc>
          <w:tcPr>
            <w:tcW w:type="dxa" w:w="2409"/>
            <w:vAlign w:val="center"/>
          </w:tcPr>
          <w:p>
            <w:pPr>
              <w:keepNext w:val="0"/>
              <w:spacing w:line="320" w:lineRule="exact" w:after="0" w:before="0"/>
              <w:ind w:firstLine="0"/>
              <w:jc w:val="left"/>
            </w:pPr>
            <w:r>
              <w:rPr>
                <w:b w:val="0"/>
                <w:sz w:val="21"/>
              </w:rPr>
              <w:t>复核记录、判据和处置意见</w:t>
            </w:r>
          </w:p>
        </w:tc>
        <w:tc>
          <w:tcPr>
            <w:tcW w:type="dxa" w:w="2891"/>
            <w:vAlign w:val="center"/>
          </w:tcPr>
          <w:p>
            <w:pPr>
              <w:keepNext w:val="0"/>
              <w:spacing w:line="320" w:lineRule="exact" w:after="0" w:before="0"/>
              <w:ind w:firstLine="0"/>
              <w:jc w:val="left"/>
            </w:pPr>
            <w:r>
              <w:rPr>
                <w:b w:val="0"/>
                <w:sz w:val="21"/>
              </w:rPr>
              <w:t>与原加工岗位适当分离</w:t>
            </w:r>
          </w:p>
        </w:tc>
      </w:tr>
      <w:tr>
        <w:trPr>
          <w:cantSplit/>
        </w:trPr>
        <w:tc>
          <w:tcPr>
            <w:tcW w:type="dxa" w:w="1638"/>
            <w:vAlign w:val="center"/>
          </w:tcPr>
          <w:p>
            <w:pPr>
              <w:keepNext w:val="0"/>
              <w:spacing w:line="320" w:lineRule="exact" w:after="0" w:before="0"/>
              <w:ind w:firstLine="0"/>
              <w:jc w:val="left"/>
            </w:pPr>
            <w:r>
              <w:rPr>
                <w:b w:val="0"/>
                <w:sz w:val="21"/>
              </w:rPr>
              <w:t>第三方评测机构</w:t>
            </w:r>
          </w:p>
        </w:tc>
        <w:tc>
          <w:tcPr>
            <w:tcW w:type="dxa" w:w="2699"/>
            <w:vAlign w:val="center"/>
          </w:tcPr>
          <w:p>
            <w:pPr>
              <w:keepNext w:val="0"/>
              <w:spacing w:line="320" w:lineRule="exact" w:after="0" w:before="0"/>
              <w:ind w:firstLine="0"/>
              <w:jc w:val="left"/>
            </w:pPr>
            <w:r>
              <w:rPr>
                <w:b w:val="0"/>
                <w:sz w:val="21"/>
              </w:rPr>
              <w:t>独立评测、结果审核、报告出具</w:t>
            </w:r>
          </w:p>
        </w:tc>
        <w:tc>
          <w:tcPr>
            <w:tcW w:type="dxa" w:w="2409"/>
            <w:vAlign w:val="center"/>
          </w:tcPr>
          <w:p>
            <w:pPr>
              <w:keepNext w:val="0"/>
              <w:spacing w:line="320" w:lineRule="exact" w:after="0" w:before="0"/>
              <w:ind w:firstLine="0"/>
              <w:jc w:val="left"/>
            </w:pPr>
            <w:r>
              <w:rPr>
                <w:b w:val="0"/>
                <w:sz w:val="21"/>
              </w:rPr>
              <w:t>正式检测材料和盖章报告</w:t>
            </w:r>
          </w:p>
        </w:tc>
        <w:tc>
          <w:tcPr>
            <w:tcW w:type="dxa" w:w="2891"/>
            <w:vAlign w:val="center"/>
          </w:tcPr>
          <w:p>
            <w:pPr>
              <w:keepNext w:val="0"/>
              <w:spacing w:line="320" w:lineRule="exact" w:after="0" w:before="0"/>
              <w:ind w:firstLine="0"/>
              <w:jc w:val="left"/>
            </w:pPr>
            <w:r>
              <w:rPr>
                <w:b w:val="0"/>
                <w:sz w:val="21"/>
              </w:rPr>
              <w:t>结论有证据，签章可核验</w:t>
            </w:r>
          </w:p>
        </w:tc>
      </w:tr>
      <w:tr>
        <w:trPr>
          <w:cantSplit/>
        </w:trPr>
        <w:tc>
          <w:tcPr>
            <w:tcW w:type="dxa" w:w="1638"/>
            <w:vAlign w:val="center"/>
          </w:tcPr>
          <w:p>
            <w:pPr>
              <w:keepNext w:val="0"/>
              <w:spacing w:line="320" w:lineRule="exact" w:after="0" w:before="0"/>
              <w:ind w:firstLine="0"/>
              <w:jc w:val="left"/>
            </w:pPr>
            <w:r>
              <w:rPr>
                <w:b w:val="0"/>
                <w:sz w:val="21"/>
              </w:rPr>
              <w:t>档案与配置人员</w:t>
            </w:r>
          </w:p>
        </w:tc>
        <w:tc>
          <w:tcPr>
            <w:tcW w:type="dxa" w:w="2699"/>
            <w:vAlign w:val="center"/>
          </w:tcPr>
          <w:p>
            <w:pPr>
              <w:keepNext w:val="0"/>
              <w:spacing w:line="320" w:lineRule="exact" w:after="0" w:before="0"/>
              <w:ind w:firstLine="0"/>
              <w:jc w:val="left"/>
            </w:pPr>
            <w:r>
              <w:rPr>
                <w:b w:val="0"/>
                <w:sz w:val="21"/>
              </w:rPr>
              <w:t>版本、索引、权限及移交管理</w:t>
            </w:r>
          </w:p>
        </w:tc>
        <w:tc>
          <w:tcPr>
            <w:tcW w:type="dxa" w:w="2409"/>
            <w:vAlign w:val="center"/>
          </w:tcPr>
          <w:p>
            <w:pPr>
              <w:keepNext w:val="0"/>
              <w:spacing w:line="320" w:lineRule="exact" w:after="0" w:before="0"/>
              <w:ind w:firstLine="0"/>
              <w:jc w:val="left"/>
            </w:pPr>
            <w:r>
              <w:rPr>
                <w:b w:val="0"/>
                <w:sz w:val="21"/>
              </w:rPr>
              <w:t>交付包、清单、摘要及接收记录</w:t>
            </w:r>
          </w:p>
        </w:tc>
        <w:tc>
          <w:tcPr>
            <w:tcW w:type="dxa" w:w="2891"/>
            <w:vAlign w:val="center"/>
          </w:tcPr>
          <w:p>
            <w:pPr>
              <w:keepNext w:val="0"/>
              <w:spacing w:line="320" w:lineRule="exact" w:after="0" w:before="0"/>
              <w:ind w:firstLine="0"/>
              <w:jc w:val="left"/>
            </w:pPr>
            <w:r>
              <w:rPr>
                <w:b w:val="0"/>
                <w:sz w:val="21"/>
              </w:rPr>
              <w:t>资料与报告绑定同一正式版本</w:t>
            </w:r>
          </w:p>
        </w:tc>
      </w:tr>
    </w:tbl>
    <w:p>
      <w:pPr>
        <w:spacing w:after="40" w:line="240" w:lineRule="auto"/>
        <w:ind w:firstLine="0"/>
      </w:pPr>
      <w:r>
        <w:rPr>
          <w:sz w:val="4"/>
        </w:rPr>
      </w:r>
    </w:p>
    <w:p>
      <w:pPr>
        <w:pStyle w:val="Heading1"/>
      </w:pPr>
      <w:r>
        <w:t>2 评测依据与量化判定</w:t>
      </w:r>
    </w:p>
    <w:p>
      <w:pPr>
        <w:pStyle w:val="Heading2"/>
      </w:pPr>
      <w:r>
        <w:t>2.1 四层依据落实</w:t>
      </w:r>
    </w:p>
    <w:p>
      <w:pPr>
        <w:jc w:val="both"/>
      </w:pPr>
      <w:r>
        <w:t>我方以国家法律法规、人工智能与数据领域专项规范、煤炭装备行业补充依据、甲方内部管理制度为依据开展评测。依据清单登记名称、发布主体、有效版本、适用条款、对应检查项及证据方式。依据更新时先分析其对数据来源、处理方式、评测指标和历史结论的影响，由甲方确认执行安排；不得因更换依据造成硬性要求降低或者既有缺陷退出检查范围。</w:t>
      </w:r>
    </w:p>
    <w:p>
      <w:pPr>
        <w:jc w:val="both"/>
      </w:pPr>
      <w:r>
        <w:t>国家法律法规层面执行《中华人民共和国数据安全法》《中华人民共和国个人信息保护法》《中华人民共和国网络安全法》《生成式人工智能服务管理暂行办法》《关键信息基础设施安全保护条例》的适用要求，将数据分类分级、处理授权、个人信息保护、网络与环境安全、内容安全及涉密管控落实为具体检测规则。对适用范围、处理目的和授权链进行逐项核验，不能仅凭数据在企业内部流转便认定全部用途均获得授权。</w:t>
      </w:r>
    </w:p>
    <w:p>
      <w:pPr>
        <w:jc w:val="both"/>
      </w:pPr>
      <w:r>
        <w:t>专项规范层面以《高质量数据集质量评测规范》TC609-5-2025-04构建三维度评分与模型适配验证，结合《关于推进行业高质量数据集建设行动的实施方案》落实行业数据的质量管理、应用验证和持续改进。采用招标列明的指标扩展为完整81项清单，并建立与规范原有分项的对应关系。规范名称、编号与版本完整写入评测方案和正式报告，技术文件不误标为国家标准编号。</w:t>
      </w:r>
    </w:p>
    <w:p>
      <w:pPr>
        <w:jc w:val="both"/>
      </w:pPr>
      <w:r>
        <w:t>行业层面依据《煤矿智能化建设指南》及煤机装备技术数据、设备参数保密管理的适用行业指引，核查工艺表达、装备术语、井下环境、设备状态和安全边界。企业制度层面执行甲方经确认的现行数据管理、保密、账号权限、数据共享、档案及质量管理要求，逐项登记文件和生效状态，对制度中的严于一般检查规则的要求落实相应控制。</w:t>
      </w:r>
    </w:p>
    <w:p>
      <w:pPr>
        <w:pStyle w:val="Caption"/>
        <w:keepNext/>
      </w:pPr>
      <w:r>
        <w:t>表2-1 四层依据落实</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依据层次</w:t>
            </w:r>
          </w:p>
        </w:tc>
        <w:tc>
          <w:tcPr>
            <w:tcW w:type="dxa" w:w="2699"/>
            <w:vAlign w:val="center"/>
            <w:shd w:fill="EDF1F3"/>
          </w:tcPr>
          <w:p>
            <w:pPr>
              <w:keepNext/>
              <w:spacing w:line="320" w:lineRule="exact" w:after="0" w:before="0"/>
              <w:ind w:firstLine="0"/>
              <w:jc w:val="center"/>
            </w:pPr>
            <w:r>
              <w:rPr>
                <w:b/>
                <w:sz w:val="21"/>
              </w:rPr>
              <w:t>检测落实重点</w:t>
            </w:r>
          </w:p>
        </w:tc>
        <w:tc>
          <w:tcPr>
            <w:tcW w:type="dxa" w:w="2409"/>
            <w:vAlign w:val="center"/>
            <w:shd w:fill="EDF1F3"/>
          </w:tcPr>
          <w:p>
            <w:pPr>
              <w:keepNext/>
              <w:spacing w:line="320" w:lineRule="exact" w:after="0" w:before="0"/>
              <w:ind w:firstLine="0"/>
              <w:jc w:val="center"/>
            </w:pPr>
            <w:r>
              <w:rPr>
                <w:b/>
                <w:sz w:val="21"/>
              </w:rPr>
              <w:t>形成的证据</w:t>
            </w:r>
          </w:p>
        </w:tc>
        <w:tc>
          <w:tcPr>
            <w:tcW w:type="dxa" w:w="2891"/>
            <w:vAlign w:val="center"/>
            <w:shd w:fill="EDF1F3"/>
          </w:tcPr>
          <w:p>
            <w:pPr>
              <w:keepNext/>
              <w:spacing w:line="320" w:lineRule="exact" w:after="0" w:before="0"/>
              <w:ind w:firstLine="0"/>
              <w:jc w:val="center"/>
            </w:pPr>
            <w:r>
              <w:rPr>
                <w:b/>
                <w:sz w:val="21"/>
              </w:rPr>
              <w:t>变更控制</w:t>
            </w:r>
          </w:p>
        </w:tc>
      </w:tr>
      <w:tr>
        <w:trPr>
          <w:cantSplit/>
        </w:trPr>
        <w:tc>
          <w:tcPr>
            <w:tcW w:type="dxa" w:w="1638"/>
            <w:vAlign w:val="center"/>
          </w:tcPr>
          <w:p>
            <w:pPr>
              <w:keepNext w:val="0"/>
              <w:spacing w:line="320" w:lineRule="exact" w:after="0" w:before="0"/>
              <w:ind w:firstLine="0"/>
              <w:jc w:val="left"/>
            </w:pPr>
            <w:r>
              <w:rPr>
                <w:b w:val="0"/>
                <w:sz w:val="21"/>
              </w:rPr>
              <w:t>国家法律法规</w:t>
            </w:r>
          </w:p>
        </w:tc>
        <w:tc>
          <w:tcPr>
            <w:tcW w:type="dxa" w:w="2699"/>
            <w:vAlign w:val="center"/>
          </w:tcPr>
          <w:p>
            <w:pPr>
              <w:keepNext w:val="0"/>
              <w:spacing w:line="320" w:lineRule="exact" w:after="0" w:before="0"/>
              <w:ind w:firstLine="0"/>
              <w:jc w:val="left"/>
            </w:pPr>
            <w:r>
              <w:rPr>
                <w:b w:val="0"/>
                <w:sz w:val="21"/>
              </w:rPr>
              <w:t>来源授权、隐私保护、涉密筛查、离线处理</w:t>
            </w:r>
          </w:p>
        </w:tc>
        <w:tc>
          <w:tcPr>
            <w:tcW w:type="dxa" w:w="2409"/>
            <w:vAlign w:val="center"/>
          </w:tcPr>
          <w:p>
            <w:pPr>
              <w:keepNext w:val="0"/>
              <w:spacing w:line="320" w:lineRule="exact" w:after="0" w:before="0"/>
              <w:ind w:firstLine="0"/>
              <w:jc w:val="left"/>
            </w:pPr>
            <w:r>
              <w:rPr>
                <w:b w:val="0"/>
                <w:sz w:val="21"/>
              </w:rPr>
              <w:t>授权链、风险复核、访问与处置记录</w:t>
            </w:r>
          </w:p>
        </w:tc>
        <w:tc>
          <w:tcPr>
            <w:tcW w:type="dxa" w:w="2891"/>
            <w:vAlign w:val="center"/>
          </w:tcPr>
          <w:p>
            <w:pPr>
              <w:keepNext w:val="0"/>
              <w:spacing w:line="320" w:lineRule="exact" w:after="0" w:before="0"/>
              <w:ind w:firstLine="0"/>
              <w:jc w:val="left"/>
            </w:pPr>
            <w:r>
              <w:rPr>
                <w:b w:val="0"/>
                <w:sz w:val="21"/>
              </w:rPr>
              <w:t>有效版本核验，适用变化评审</w:t>
            </w:r>
          </w:p>
        </w:tc>
      </w:tr>
      <w:tr>
        <w:trPr>
          <w:cantSplit/>
        </w:trPr>
        <w:tc>
          <w:tcPr>
            <w:tcW w:type="dxa" w:w="1638"/>
            <w:vAlign w:val="center"/>
          </w:tcPr>
          <w:p>
            <w:pPr>
              <w:keepNext w:val="0"/>
              <w:spacing w:line="320" w:lineRule="exact" w:after="0" w:before="0"/>
              <w:ind w:firstLine="0"/>
              <w:jc w:val="left"/>
            </w:pPr>
            <w:r>
              <w:rPr>
                <w:b w:val="0"/>
                <w:sz w:val="21"/>
              </w:rPr>
              <w:t>行业专项规范</w:t>
            </w:r>
          </w:p>
        </w:tc>
        <w:tc>
          <w:tcPr>
            <w:tcW w:type="dxa" w:w="2699"/>
            <w:vAlign w:val="center"/>
          </w:tcPr>
          <w:p>
            <w:pPr>
              <w:keepNext w:val="0"/>
              <w:spacing w:line="320" w:lineRule="exact" w:after="0" w:before="0"/>
              <w:ind w:firstLine="0"/>
              <w:jc w:val="left"/>
            </w:pPr>
            <w:r>
              <w:rPr>
                <w:b w:val="0"/>
                <w:sz w:val="21"/>
              </w:rPr>
              <w:t>三维度指标、量化评分、模型适配验证</w:t>
            </w:r>
          </w:p>
        </w:tc>
        <w:tc>
          <w:tcPr>
            <w:tcW w:type="dxa" w:w="2409"/>
            <w:vAlign w:val="center"/>
          </w:tcPr>
          <w:p>
            <w:pPr>
              <w:keepNext w:val="0"/>
              <w:spacing w:line="320" w:lineRule="exact" w:after="0" w:before="0"/>
              <w:ind w:firstLine="0"/>
              <w:jc w:val="left"/>
            </w:pPr>
            <w:r>
              <w:rPr>
                <w:b w:val="0"/>
                <w:sz w:val="21"/>
              </w:rPr>
              <w:t>指标映射、计分表、实验报告</w:t>
            </w:r>
          </w:p>
        </w:tc>
        <w:tc>
          <w:tcPr>
            <w:tcW w:type="dxa" w:w="2891"/>
            <w:vAlign w:val="center"/>
          </w:tcPr>
          <w:p>
            <w:pPr>
              <w:keepNext w:val="0"/>
              <w:spacing w:line="320" w:lineRule="exact" w:after="0" w:before="0"/>
              <w:ind w:firstLine="0"/>
              <w:jc w:val="left"/>
            </w:pPr>
            <w:r>
              <w:rPr>
                <w:b w:val="0"/>
                <w:sz w:val="21"/>
              </w:rPr>
              <w:t>保留原始口径及变更影响</w:t>
            </w:r>
          </w:p>
        </w:tc>
      </w:tr>
      <w:tr>
        <w:trPr>
          <w:cantSplit/>
        </w:trPr>
        <w:tc>
          <w:tcPr>
            <w:tcW w:type="dxa" w:w="1638"/>
            <w:vAlign w:val="center"/>
          </w:tcPr>
          <w:p>
            <w:pPr>
              <w:keepNext w:val="0"/>
              <w:spacing w:line="320" w:lineRule="exact" w:after="0" w:before="0"/>
              <w:ind w:firstLine="0"/>
              <w:jc w:val="left"/>
            </w:pPr>
            <w:r>
              <w:rPr>
                <w:b w:val="0"/>
                <w:sz w:val="21"/>
              </w:rPr>
              <w:t>煤炭装备行业依据</w:t>
            </w:r>
          </w:p>
        </w:tc>
        <w:tc>
          <w:tcPr>
            <w:tcW w:type="dxa" w:w="2699"/>
            <w:vAlign w:val="center"/>
          </w:tcPr>
          <w:p>
            <w:pPr>
              <w:keepNext w:val="0"/>
              <w:spacing w:line="320" w:lineRule="exact" w:after="0" w:before="0"/>
              <w:ind w:firstLine="0"/>
              <w:jc w:val="left"/>
            </w:pPr>
            <w:r>
              <w:rPr>
                <w:b w:val="0"/>
                <w:sz w:val="21"/>
              </w:rPr>
              <w:t>术语、技术参数、设备及井下场景</w:t>
            </w:r>
          </w:p>
        </w:tc>
        <w:tc>
          <w:tcPr>
            <w:tcW w:type="dxa" w:w="2409"/>
            <w:vAlign w:val="center"/>
          </w:tcPr>
          <w:p>
            <w:pPr>
              <w:keepNext w:val="0"/>
              <w:spacing w:line="320" w:lineRule="exact" w:after="0" w:before="0"/>
              <w:ind w:firstLine="0"/>
              <w:jc w:val="left"/>
            </w:pPr>
            <w:r>
              <w:rPr>
                <w:b w:val="0"/>
                <w:sz w:val="21"/>
              </w:rPr>
              <w:t>专家判据、行业词表、专业复核记录</w:t>
            </w:r>
          </w:p>
        </w:tc>
        <w:tc>
          <w:tcPr>
            <w:tcW w:type="dxa" w:w="2891"/>
            <w:vAlign w:val="center"/>
          </w:tcPr>
          <w:p>
            <w:pPr>
              <w:keepNext w:val="0"/>
              <w:spacing w:line="320" w:lineRule="exact" w:after="0" w:before="0"/>
              <w:ind w:firstLine="0"/>
              <w:jc w:val="left"/>
            </w:pPr>
            <w:r>
              <w:rPr>
                <w:b w:val="0"/>
                <w:sz w:val="21"/>
              </w:rPr>
              <w:t>业务专家确认适用范围</w:t>
            </w:r>
          </w:p>
        </w:tc>
      </w:tr>
      <w:tr>
        <w:trPr>
          <w:cantSplit/>
        </w:trPr>
        <w:tc>
          <w:tcPr>
            <w:tcW w:type="dxa" w:w="1638"/>
            <w:vAlign w:val="center"/>
          </w:tcPr>
          <w:p>
            <w:pPr>
              <w:keepNext w:val="0"/>
              <w:spacing w:line="320" w:lineRule="exact" w:after="0" w:before="0"/>
              <w:ind w:firstLine="0"/>
              <w:jc w:val="left"/>
            </w:pPr>
            <w:r>
              <w:rPr>
                <w:b w:val="0"/>
                <w:sz w:val="21"/>
              </w:rPr>
              <w:t>甲方内部制度</w:t>
            </w:r>
          </w:p>
        </w:tc>
        <w:tc>
          <w:tcPr>
            <w:tcW w:type="dxa" w:w="2699"/>
            <w:vAlign w:val="center"/>
          </w:tcPr>
          <w:p>
            <w:pPr>
              <w:keepNext w:val="0"/>
              <w:spacing w:line="320" w:lineRule="exact" w:after="0" w:before="0"/>
              <w:ind w:firstLine="0"/>
              <w:jc w:val="left"/>
            </w:pPr>
            <w:r>
              <w:rPr>
                <w:b w:val="0"/>
                <w:sz w:val="21"/>
              </w:rPr>
              <w:t>分级、权限、导出、共享与归档</w:t>
            </w:r>
          </w:p>
        </w:tc>
        <w:tc>
          <w:tcPr>
            <w:tcW w:type="dxa" w:w="2409"/>
            <w:vAlign w:val="center"/>
          </w:tcPr>
          <w:p>
            <w:pPr>
              <w:keepNext w:val="0"/>
              <w:spacing w:line="320" w:lineRule="exact" w:after="0" w:before="0"/>
              <w:ind w:firstLine="0"/>
              <w:jc w:val="left"/>
            </w:pPr>
            <w:r>
              <w:rPr>
                <w:b w:val="0"/>
                <w:sz w:val="21"/>
              </w:rPr>
              <w:t>制度清单、批准记录、实际控制检查</w:t>
            </w:r>
          </w:p>
        </w:tc>
        <w:tc>
          <w:tcPr>
            <w:tcW w:type="dxa" w:w="2891"/>
            <w:vAlign w:val="center"/>
          </w:tcPr>
          <w:p>
            <w:pPr>
              <w:keepNext w:val="0"/>
              <w:spacing w:line="320" w:lineRule="exact" w:after="0" w:before="0"/>
              <w:ind w:firstLine="0"/>
              <w:jc w:val="left"/>
            </w:pPr>
            <w:r>
              <w:rPr>
                <w:b w:val="0"/>
                <w:sz w:val="21"/>
              </w:rPr>
              <w:t>新制度生效后更新相关规则</w:t>
            </w:r>
          </w:p>
        </w:tc>
      </w:tr>
    </w:tbl>
    <w:p>
      <w:pPr>
        <w:spacing w:after="40" w:line="240" w:lineRule="auto"/>
        <w:ind w:firstLine="0"/>
      </w:pPr>
      <w:r>
        <w:rPr>
          <w:sz w:val="4"/>
        </w:rPr>
      </w:r>
    </w:p>
    <w:p>
      <w:pPr>
        <w:pStyle w:val="Heading2"/>
      </w:pPr>
      <w:r>
        <w:t>2.2 指标结构与适用性登记</w:t>
      </w:r>
    </w:p>
    <w:p>
      <w:pPr>
        <w:jc w:val="both"/>
      </w:pPr>
      <w:r>
        <w:t>指标结构由3个维度、22个二级指标组和81项三级指标组成。说明文档维度包括4组21项，数据质量维度包括11组45项，模型应用维度包括7组15项。每一项登记指标编号、名称、对象、检测手段、判定口径及合格阈值、缺陷等级、证据留存方式和适用条件，与项目交付表式保持一致。另行登记执行状态、实测值、得分、复核人员和版本，用于运行跟踪。</w:t>
      </w:r>
    </w:p>
    <w:p>
      <w:pPr>
        <w:jc w:val="both"/>
      </w:pPr>
      <w:r>
        <w:t>适用性从四大数据集、用途、实际模态、业务场景逐层判定。同一指标对某个子集不适用，不代表对整个项目不适用。没有音频的子集可不执行音频信噪比，但项目中实际存在的语音训练数据必须执行；没有监督标签的纯无监督预训练内容按规范处理标注指标，不能将包含人工标签的训练样本同时排除。所有不适用结论列明实际对象、原因、数量及确认依据，经甲方审核后固定。</w:t>
      </w:r>
    </w:p>
    <w:p>
      <w:pPr>
        <w:jc w:val="both"/>
      </w:pPr>
      <w:r>
        <w:t>未执行、执行失败、缺少证据、结果待复核和不适用分别记录。已经适用但执行失败的指标不能转为不适用；数据质量较差、资源不足或者没有达到预期提升也不能作为裁剪理由。后续新增模态、用途或来源时重新进行适用性评审，增加对应检查范围，并保留新旧范围之间的变化说明及统计关系。</w:t>
      </w:r>
    </w:p>
    <w:p>
      <w:pPr>
        <w:pStyle w:val="Caption"/>
        <w:keepNext/>
      </w:pPr>
      <w:r>
        <w:t>表2-2 指标结构与适用性登记</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维度</w:t>
            </w:r>
          </w:p>
        </w:tc>
        <w:tc>
          <w:tcPr>
            <w:tcW w:type="dxa" w:w="2699"/>
            <w:vAlign w:val="center"/>
            <w:shd w:fill="EDF1F3"/>
          </w:tcPr>
          <w:p>
            <w:pPr>
              <w:keepNext/>
              <w:spacing w:line="320" w:lineRule="exact" w:after="0" w:before="0"/>
              <w:ind w:firstLine="0"/>
              <w:jc w:val="center"/>
            </w:pPr>
            <w:r>
              <w:rPr>
                <w:b/>
                <w:sz w:val="21"/>
              </w:rPr>
              <w:t>二级指标组</w:t>
            </w:r>
          </w:p>
        </w:tc>
        <w:tc>
          <w:tcPr>
            <w:tcW w:type="dxa" w:w="2409"/>
            <w:vAlign w:val="center"/>
            <w:shd w:fill="EDF1F3"/>
          </w:tcPr>
          <w:p>
            <w:pPr>
              <w:keepNext/>
              <w:spacing w:line="320" w:lineRule="exact" w:after="0" w:before="0"/>
              <w:ind w:firstLine="0"/>
              <w:jc w:val="center"/>
            </w:pPr>
            <w:r>
              <w:rPr>
                <w:b/>
                <w:sz w:val="21"/>
              </w:rPr>
              <w:t>三级指标数</w:t>
            </w:r>
          </w:p>
        </w:tc>
        <w:tc>
          <w:tcPr>
            <w:tcW w:type="dxa" w:w="2891"/>
            <w:vAlign w:val="center"/>
            <w:shd w:fill="EDF1F3"/>
          </w:tcPr>
          <w:p>
            <w:pPr>
              <w:keepNext/>
              <w:spacing w:line="320" w:lineRule="exact" w:after="0" w:before="0"/>
              <w:ind w:firstLine="0"/>
              <w:jc w:val="center"/>
            </w:pPr>
            <w:r>
              <w:rPr>
                <w:b/>
                <w:sz w:val="21"/>
              </w:rPr>
              <w:t>核心方法</w:t>
            </w:r>
          </w:p>
        </w:tc>
      </w:tr>
      <w:tr>
        <w:trPr>
          <w:cantSplit/>
        </w:trPr>
        <w:tc>
          <w:tcPr>
            <w:tcW w:type="dxa" w:w="1638"/>
            <w:vAlign w:val="center"/>
          </w:tcPr>
          <w:p>
            <w:pPr>
              <w:keepNext w:val="0"/>
              <w:spacing w:line="320" w:lineRule="exact" w:after="0" w:before="0"/>
              <w:ind w:firstLine="0"/>
              <w:jc w:val="left"/>
            </w:pPr>
            <w:r>
              <w:rPr>
                <w:b w:val="0"/>
                <w:sz w:val="21"/>
              </w:rPr>
              <w:t>说明文档</w:t>
            </w:r>
          </w:p>
        </w:tc>
        <w:tc>
          <w:tcPr>
            <w:tcW w:type="dxa" w:w="2699"/>
            <w:vAlign w:val="center"/>
          </w:tcPr>
          <w:p>
            <w:pPr>
              <w:keepNext w:val="0"/>
              <w:spacing w:line="320" w:lineRule="exact" w:after="0" w:before="0"/>
              <w:ind w:firstLine="0"/>
              <w:jc w:val="left"/>
            </w:pPr>
            <w:r>
              <w:rPr>
                <w:b w:val="0"/>
                <w:sz w:val="21"/>
              </w:rPr>
              <w:t>基本信息、内容特征、建设过程、应用说明完整性</w:t>
            </w:r>
          </w:p>
        </w:tc>
        <w:tc>
          <w:tcPr>
            <w:tcW w:type="dxa" w:w="2409"/>
            <w:vAlign w:val="center"/>
          </w:tcPr>
          <w:p>
            <w:pPr>
              <w:keepNext w:val="0"/>
              <w:spacing w:line="320" w:lineRule="exact" w:after="0" w:before="0"/>
              <w:ind w:firstLine="0"/>
              <w:jc w:val="center"/>
            </w:pPr>
            <w:r>
              <w:rPr>
                <w:b w:val="0"/>
                <w:sz w:val="21"/>
              </w:rPr>
              <w:t>21</w:t>
            </w:r>
          </w:p>
        </w:tc>
        <w:tc>
          <w:tcPr>
            <w:tcW w:type="dxa" w:w="2891"/>
            <w:vAlign w:val="center"/>
          </w:tcPr>
          <w:p>
            <w:pPr>
              <w:keepNext w:val="0"/>
              <w:spacing w:line="320" w:lineRule="exact" w:after="0" w:before="0"/>
              <w:ind w:firstLine="0"/>
              <w:jc w:val="left"/>
            </w:pPr>
            <w:r>
              <w:rPr>
                <w:b w:val="0"/>
                <w:sz w:val="21"/>
              </w:rPr>
              <w:t>文档全检、实际数据核对、操作验证</w:t>
            </w:r>
          </w:p>
        </w:tc>
      </w:tr>
      <w:tr>
        <w:trPr>
          <w:cantSplit/>
        </w:trPr>
        <w:tc>
          <w:tcPr>
            <w:tcW w:type="dxa" w:w="1638"/>
            <w:vAlign w:val="center"/>
          </w:tcPr>
          <w:p>
            <w:pPr>
              <w:keepNext w:val="0"/>
              <w:spacing w:line="320" w:lineRule="exact" w:after="0" w:before="0"/>
              <w:ind w:firstLine="0"/>
              <w:jc w:val="left"/>
            </w:pPr>
            <w:r>
              <w:rPr>
                <w:b w:val="0"/>
                <w:sz w:val="21"/>
              </w:rPr>
              <w:t>数据质量</w:t>
            </w:r>
          </w:p>
        </w:tc>
        <w:tc>
          <w:tcPr>
            <w:tcW w:type="dxa" w:w="2699"/>
            <w:vAlign w:val="center"/>
          </w:tcPr>
          <w:p>
            <w:pPr>
              <w:keepNext w:val="0"/>
              <w:spacing w:line="320" w:lineRule="exact" w:after="0" w:before="0"/>
              <w:ind w:firstLine="0"/>
              <w:jc w:val="left"/>
            </w:pPr>
            <w:r>
              <w:rPr>
                <w:b w:val="0"/>
                <w:sz w:val="21"/>
              </w:rPr>
              <w:t>结构完整、安全、格式、标注、类型、真实、干净、一致、隐私、原创、专业</w:t>
            </w:r>
          </w:p>
        </w:tc>
        <w:tc>
          <w:tcPr>
            <w:tcW w:type="dxa" w:w="2409"/>
            <w:vAlign w:val="center"/>
          </w:tcPr>
          <w:p>
            <w:pPr>
              <w:keepNext w:val="0"/>
              <w:spacing w:line="320" w:lineRule="exact" w:after="0" w:before="0"/>
              <w:ind w:firstLine="0"/>
              <w:jc w:val="center"/>
            </w:pPr>
            <w:r>
              <w:rPr>
                <w:b w:val="0"/>
                <w:sz w:val="21"/>
              </w:rPr>
              <w:t>45</w:t>
            </w:r>
          </w:p>
        </w:tc>
        <w:tc>
          <w:tcPr>
            <w:tcW w:type="dxa" w:w="2891"/>
            <w:vAlign w:val="center"/>
          </w:tcPr>
          <w:p>
            <w:pPr>
              <w:keepNext w:val="0"/>
              <w:spacing w:line="320" w:lineRule="exact" w:after="0" w:before="0"/>
              <w:ind w:firstLine="0"/>
              <w:jc w:val="left"/>
            </w:pPr>
            <w:r>
              <w:rPr>
                <w:b w:val="0"/>
                <w:sz w:val="21"/>
              </w:rPr>
              <w:t>自动化全检、风险复核、行业专家抽检</w:t>
            </w:r>
          </w:p>
        </w:tc>
      </w:tr>
      <w:tr>
        <w:trPr>
          <w:cantSplit/>
        </w:trPr>
        <w:tc>
          <w:tcPr>
            <w:tcW w:type="dxa" w:w="1638"/>
            <w:vAlign w:val="center"/>
          </w:tcPr>
          <w:p>
            <w:pPr>
              <w:keepNext w:val="0"/>
              <w:spacing w:line="320" w:lineRule="exact" w:after="0" w:before="0"/>
              <w:ind w:firstLine="0"/>
              <w:jc w:val="left"/>
            </w:pPr>
            <w:r>
              <w:rPr>
                <w:b w:val="0"/>
                <w:sz w:val="21"/>
              </w:rPr>
              <w:t>模型应用</w:t>
            </w:r>
          </w:p>
        </w:tc>
        <w:tc>
          <w:tcPr>
            <w:tcW w:type="dxa" w:w="2699"/>
            <w:vAlign w:val="center"/>
          </w:tcPr>
          <w:p>
            <w:pPr>
              <w:keepNext w:val="0"/>
              <w:spacing w:line="320" w:lineRule="exact" w:after="0" w:before="0"/>
              <w:ind w:firstLine="0"/>
              <w:jc w:val="left"/>
            </w:pPr>
            <w:r>
              <w:rPr>
                <w:b w:val="0"/>
                <w:sz w:val="21"/>
              </w:rPr>
              <w:t>适配、多样、规模、标注准确、业务相关、均衡、时间跨度</w:t>
            </w:r>
          </w:p>
        </w:tc>
        <w:tc>
          <w:tcPr>
            <w:tcW w:type="dxa" w:w="2409"/>
            <w:vAlign w:val="center"/>
          </w:tcPr>
          <w:p>
            <w:pPr>
              <w:keepNext w:val="0"/>
              <w:spacing w:line="320" w:lineRule="exact" w:after="0" w:before="0"/>
              <w:ind w:firstLine="0"/>
              <w:jc w:val="center"/>
            </w:pPr>
            <w:r>
              <w:rPr>
                <w:b w:val="0"/>
                <w:sz w:val="21"/>
              </w:rPr>
              <w:t>15</w:t>
            </w:r>
          </w:p>
        </w:tc>
        <w:tc>
          <w:tcPr>
            <w:tcW w:type="dxa" w:w="2891"/>
            <w:vAlign w:val="center"/>
          </w:tcPr>
          <w:p>
            <w:pPr>
              <w:keepNext w:val="0"/>
              <w:spacing w:line="320" w:lineRule="exact" w:after="0" w:before="0"/>
              <w:ind w:firstLine="0"/>
              <w:jc w:val="left"/>
            </w:pPr>
            <w:r>
              <w:rPr>
                <w:b w:val="0"/>
                <w:sz w:val="21"/>
              </w:rPr>
              <w:t>对照实验、分层统计、专家核定</w:t>
            </w:r>
          </w:p>
        </w:tc>
      </w:tr>
      <w:tr>
        <w:trPr>
          <w:cantSplit/>
        </w:trPr>
        <w:tc>
          <w:tcPr>
            <w:tcW w:type="dxa" w:w="1638"/>
            <w:vAlign w:val="center"/>
          </w:tcPr>
          <w:p>
            <w:pPr>
              <w:keepNext w:val="0"/>
              <w:spacing w:line="320" w:lineRule="exact" w:after="0" w:before="0"/>
              <w:ind w:firstLine="0"/>
              <w:jc w:val="left"/>
            </w:pPr>
            <w:r>
              <w:rPr>
                <w:b w:val="0"/>
                <w:sz w:val="21"/>
              </w:rPr>
              <w:t>合计</w:t>
            </w:r>
          </w:p>
        </w:tc>
        <w:tc>
          <w:tcPr>
            <w:tcW w:type="dxa" w:w="2699"/>
            <w:vAlign w:val="center"/>
          </w:tcPr>
          <w:p>
            <w:pPr>
              <w:keepNext w:val="0"/>
              <w:spacing w:line="320" w:lineRule="exact" w:after="0" w:before="0"/>
              <w:ind w:firstLine="0"/>
              <w:jc w:val="left"/>
            </w:pPr>
            <w:r>
              <w:rPr>
                <w:b w:val="0"/>
                <w:sz w:val="21"/>
              </w:rPr>
              <w:t>22个二级指标组</w:t>
            </w:r>
          </w:p>
        </w:tc>
        <w:tc>
          <w:tcPr>
            <w:tcW w:type="dxa" w:w="2409"/>
            <w:vAlign w:val="center"/>
          </w:tcPr>
          <w:p>
            <w:pPr>
              <w:keepNext w:val="0"/>
              <w:spacing w:line="320" w:lineRule="exact" w:after="0" w:before="0"/>
              <w:ind w:firstLine="0"/>
              <w:jc w:val="center"/>
            </w:pPr>
            <w:r>
              <w:rPr>
                <w:b w:val="0"/>
                <w:sz w:val="21"/>
              </w:rPr>
              <w:t>81</w:t>
            </w:r>
          </w:p>
        </w:tc>
        <w:tc>
          <w:tcPr>
            <w:tcW w:type="dxa" w:w="2891"/>
            <w:vAlign w:val="center"/>
          </w:tcPr>
          <w:p>
            <w:pPr>
              <w:keepNext w:val="0"/>
              <w:spacing w:line="320" w:lineRule="exact" w:after="0" w:before="0"/>
              <w:ind w:firstLine="0"/>
              <w:jc w:val="left"/>
            </w:pPr>
            <w:r>
              <w:rPr>
                <w:b w:val="0"/>
                <w:sz w:val="21"/>
              </w:rPr>
              <w:t>逐项执行及证据关联</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2" name="Picture 2"/>
            <wp:cNvGraphicFramePr>
              <a:graphicFrameLocks noChangeAspect="1"/>
            </wp:cNvGraphicFramePr>
            <a:graphic>
              <a:graphicData uri="http://schemas.openxmlformats.org/drawingml/2006/picture">
                <pic:pic>
                  <pic:nvPicPr>
                    <pic:cNvPr id="0" name="图2_评分判定.png"/>
                    <pic:cNvPicPr/>
                  </pic:nvPicPr>
                  <pic:blipFill>
                    <a:blip r:embed="rId12"/>
                    <a:stretch>
                      <a:fillRect/>
                    </a:stretch>
                  </pic:blipFill>
                  <pic:spPr>
                    <a:xfrm>
                      <a:off x="0" y="0"/>
                      <a:ext cx="6048000" cy="3004615"/>
                    </a:xfrm>
                    <a:prstGeom prst="rect"/>
                  </pic:spPr>
                </pic:pic>
              </a:graphicData>
            </a:graphic>
          </wp:inline>
        </w:drawing>
      </w:r>
    </w:p>
    <w:p>
      <w:pPr>
        <w:pStyle w:val="Caption"/>
        <w:jc w:val="center"/>
      </w:pPr>
      <w:r>
        <w:t>图2-1 指标计分与验收判定</w:t>
      </w:r>
    </w:p>
    <w:p>
      <w:pPr>
        <w:pStyle w:val="Heading2"/>
      </w:pPr>
      <w:r>
        <w:t>2.3 原始指标与评分的对应关系</w:t>
      </w:r>
    </w:p>
    <w:p>
      <w:pPr>
        <w:jc w:val="both"/>
      </w:pPr>
      <w:r>
        <w:t>我方先记录原始检测量，再按确认的计分规则转换得分。数量、比例、误差、信噪比、困惑度、分辨率及模型性能分别保留其原始单位，不能将不同单位直接相加。对于符合率类指标，分子为满足全部指定条件的对象数量，分母为该指标全部应检对象数量；对于缺陷率类指标，记录问题对象数量及对应总体；同一对象存在多个问题时，样本缺陷率按对象去重，缺陷项数量另行统计。</w:t>
      </w:r>
    </w:p>
    <w:p>
      <w:pPr>
        <w:jc w:val="both"/>
      </w:pPr>
      <w:r>
        <w:t>文档完整性先核对每项应有内容是否存在，再核对其是否正确、清楚并与当前数据版本一致。仅存在标题但缺少实际内容不计为满足；内容存在但不能在数据包或运行记录中验证也不计为满足。各二级组按满足要求的方面数量与应满足方面总数计算，说明文档四组按规范建议等权形成维度得分。三级指标的检查证据向对应方面汇总，避免同一信息在多个文件重复出现而重复加分。</w:t>
      </w:r>
    </w:p>
    <w:p>
      <w:pPr>
        <w:jc w:val="both"/>
      </w:pPr>
      <w:r>
        <w:t>数据质量及模型应用按规范原有指标形成规范评分，同时将招标扩展指标逐项纳入项目评分和验收约束。模型适配性以对照实验及最低提升阈值独立判定，不将其简单混入规范中不含模型适配性的加权分项。项目扩展评价明确分组权重及三级指标权重，规范评分与项目评分分别展示；判定同时满足规范最低分、项目指标合格规则、动态效能要求和缺陷关闭要求。</w:t>
      </w:r>
    </w:p>
    <w:p>
      <w:pPr>
        <w:jc w:val="both"/>
      </w:pPr>
      <w:r>
        <w:t>规范模型应用评分先对内容多样性、规模完整性、内容时效性和标注准确性等相应分项加权，再按模型适配性指示函数修正。性能达到或超过预期时修正系数取1；未达到时按规范以自然常数e为底、适配性得分减1为指数计算修正系数，反映模型应用不足对得分的影响。性能越高越好的指标按实际值与预期值之比计算适配程度，性能越低越好的指标采用相反方向。存在零值、多个性能指标或多类任务时，在方案阶段明确适用计算及聚合规则，不能除以零或选择有利指标代替全部约定要求。</w:t>
      </w:r>
    </w:p>
    <w:p>
      <w:pPr>
        <w:jc w:val="both"/>
      </w:pPr>
      <w:r>
        <w:t>规范评分中说明文档四个分项采用相应完整性比例，数据质量八个分项与项目扩展的十一组建立映射，模型应用按规范规定处理适配性和其他分项。项目新增的隐私、原创性、领域专业性、业务相关性和内容均衡性等仍逐项检测，纳入项目评分和硬性检查，不因规范原表未单列而省略。同一事实可支撑多个必要判断，计算时按各自定义归集，不以重复记录人为增加权重。</w:t>
      </w:r>
    </w:p>
    <w:p>
      <w:pPr>
        <w:pStyle w:val="Caption"/>
        <w:keepNext/>
      </w:pPr>
      <w:r>
        <w:t>表2-3 原始指标与评分的对应关系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计分层次</w:t>
            </w:r>
          </w:p>
        </w:tc>
        <w:tc>
          <w:tcPr>
            <w:tcW w:type="dxa" w:w="2699"/>
            <w:vAlign w:val="center"/>
            <w:shd w:fill="EDF1F3"/>
          </w:tcPr>
          <w:p>
            <w:pPr>
              <w:keepNext/>
              <w:spacing w:line="320" w:lineRule="exact" w:after="0" w:before="0"/>
              <w:ind w:firstLine="0"/>
              <w:jc w:val="center"/>
            </w:pPr>
            <w:r>
              <w:rPr>
                <w:b/>
                <w:sz w:val="21"/>
              </w:rPr>
              <w:t>原始输入</w:t>
            </w:r>
          </w:p>
        </w:tc>
        <w:tc>
          <w:tcPr>
            <w:tcW w:type="dxa" w:w="2409"/>
            <w:vAlign w:val="center"/>
            <w:shd w:fill="EDF1F3"/>
          </w:tcPr>
          <w:p>
            <w:pPr>
              <w:keepNext/>
              <w:spacing w:line="320" w:lineRule="exact" w:after="0" w:before="0"/>
              <w:ind w:firstLine="0"/>
              <w:jc w:val="center"/>
            </w:pPr>
            <w:r>
              <w:rPr>
                <w:b/>
                <w:sz w:val="21"/>
              </w:rPr>
              <w:t>汇总规则</w:t>
            </w:r>
          </w:p>
        </w:tc>
        <w:tc>
          <w:tcPr>
            <w:tcW w:type="dxa" w:w="2891"/>
            <w:vAlign w:val="center"/>
            <w:shd w:fill="EDF1F3"/>
          </w:tcPr>
          <w:p>
            <w:pPr>
              <w:keepNext/>
              <w:spacing w:line="320" w:lineRule="exact" w:after="0" w:before="0"/>
              <w:ind w:firstLine="0"/>
              <w:jc w:val="center"/>
            </w:pPr>
            <w:r>
              <w:rPr>
                <w:b/>
                <w:sz w:val="21"/>
              </w:rPr>
              <w:t>独立判定</w:t>
            </w:r>
          </w:p>
        </w:tc>
      </w:tr>
      <w:tr>
        <w:trPr>
          <w:cantSplit/>
        </w:trPr>
        <w:tc>
          <w:tcPr>
            <w:tcW w:type="dxa" w:w="1638"/>
            <w:vAlign w:val="center"/>
          </w:tcPr>
          <w:p>
            <w:pPr>
              <w:keepNext w:val="0"/>
              <w:spacing w:line="320" w:lineRule="exact" w:after="0" w:before="0"/>
              <w:ind w:firstLine="0"/>
              <w:jc w:val="left"/>
            </w:pPr>
            <w:r>
              <w:rPr>
                <w:b w:val="0"/>
                <w:sz w:val="21"/>
              </w:rPr>
              <w:t>三级指标</w:t>
            </w:r>
          </w:p>
        </w:tc>
        <w:tc>
          <w:tcPr>
            <w:tcW w:type="dxa" w:w="2699"/>
            <w:vAlign w:val="center"/>
          </w:tcPr>
          <w:p>
            <w:pPr>
              <w:keepNext w:val="0"/>
              <w:spacing w:line="320" w:lineRule="exact" w:after="0" w:before="0"/>
              <w:ind w:firstLine="0"/>
              <w:jc w:val="left"/>
            </w:pPr>
            <w:r>
              <w:rPr>
                <w:b w:val="0"/>
                <w:sz w:val="21"/>
              </w:rPr>
              <w:t>检测量、专家结论或实验性能</w:t>
            </w:r>
          </w:p>
        </w:tc>
        <w:tc>
          <w:tcPr>
            <w:tcW w:type="dxa" w:w="2409"/>
            <w:vAlign w:val="center"/>
          </w:tcPr>
          <w:p>
            <w:pPr>
              <w:keepNext w:val="0"/>
              <w:spacing w:line="320" w:lineRule="exact" w:after="0" w:before="0"/>
              <w:ind w:firstLine="0"/>
              <w:jc w:val="left"/>
            </w:pPr>
            <w:r>
              <w:rPr>
                <w:b w:val="0"/>
                <w:sz w:val="21"/>
              </w:rPr>
              <w:t>按指标方向和确认规则计算</w:t>
            </w:r>
          </w:p>
        </w:tc>
        <w:tc>
          <w:tcPr>
            <w:tcW w:type="dxa" w:w="2891"/>
            <w:vAlign w:val="center"/>
          </w:tcPr>
          <w:p>
            <w:pPr>
              <w:keepNext w:val="0"/>
              <w:spacing w:line="320" w:lineRule="exact" w:after="0" w:before="0"/>
              <w:ind w:firstLine="0"/>
              <w:jc w:val="left"/>
            </w:pPr>
            <w:r>
              <w:rPr>
                <w:b w:val="0"/>
                <w:sz w:val="21"/>
              </w:rPr>
              <w:t>适用项全部有实测与证据</w:t>
            </w:r>
          </w:p>
        </w:tc>
      </w:tr>
      <w:tr>
        <w:trPr>
          <w:cantSplit/>
        </w:trPr>
        <w:tc>
          <w:tcPr>
            <w:tcW w:type="dxa" w:w="1638"/>
            <w:vAlign w:val="center"/>
          </w:tcPr>
          <w:p>
            <w:pPr>
              <w:keepNext w:val="0"/>
              <w:spacing w:line="320" w:lineRule="exact" w:after="0" w:before="0"/>
              <w:ind w:firstLine="0"/>
              <w:jc w:val="left"/>
            </w:pPr>
            <w:r>
              <w:rPr>
                <w:b w:val="0"/>
                <w:sz w:val="21"/>
              </w:rPr>
              <w:t>二级指标组</w:t>
            </w:r>
          </w:p>
        </w:tc>
        <w:tc>
          <w:tcPr>
            <w:tcW w:type="dxa" w:w="2699"/>
            <w:vAlign w:val="center"/>
          </w:tcPr>
          <w:p>
            <w:pPr>
              <w:keepNext w:val="0"/>
              <w:spacing w:line="320" w:lineRule="exact" w:after="0" w:before="0"/>
              <w:ind w:firstLine="0"/>
              <w:jc w:val="left"/>
            </w:pPr>
            <w:r>
              <w:rPr>
                <w:b w:val="0"/>
                <w:sz w:val="21"/>
              </w:rPr>
              <w:t>所属三级项及规范要求方面</w:t>
            </w:r>
          </w:p>
        </w:tc>
        <w:tc>
          <w:tcPr>
            <w:tcW w:type="dxa" w:w="2409"/>
            <w:vAlign w:val="center"/>
          </w:tcPr>
          <w:p>
            <w:pPr>
              <w:keepNext w:val="0"/>
              <w:spacing w:line="320" w:lineRule="exact" w:after="0" w:before="0"/>
              <w:ind w:firstLine="0"/>
              <w:jc w:val="left"/>
            </w:pPr>
            <w:r>
              <w:rPr>
                <w:b w:val="0"/>
                <w:sz w:val="21"/>
              </w:rPr>
              <w:t>按批准权重汇总，保留分子分母</w:t>
            </w:r>
          </w:p>
        </w:tc>
        <w:tc>
          <w:tcPr>
            <w:tcW w:type="dxa" w:w="2891"/>
            <w:vAlign w:val="center"/>
          </w:tcPr>
          <w:p>
            <w:pPr>
              <w:keepNext w:val="0"/>
              <w:spacing w:line="320" w:lineRule="exact" w:after="0" w:before="0"/>
              <w:ind w:firstLine="0"/>
              <w:jc w:val="left"/>
            </w:pPr>
            <w:r>
              <w:rPr>
                <w:b w:val="0"/>
                <w:sz w:val="21"/>
              </w:rPr>
              <w:t>单项缺陷不能被隐藏</w:t>
            </w:r>
          </w:p>
        </w:tc>
      </w:tr>
      <w:tr>
        <w:trPr>
          <w:cantSplit/>
        </w:trPr>
        <w:tc>
          <w:tcPr>
            <w:tcW w:type="dxa" w:w="1638"/>
            <w:vAlign w:val="center"/>
          </w:tcPr>
          <w:p>
            <w:pPr>
              <w:keepNext w:val="0"/>
              <w:spacing w:line="320" w:lineRule="exact" w:after="0" w:before="0"/>
              <w:ind w:firstLine="0"/>
              <w:jc w:val="left"/>
            </w:pPr>
            <w:r>
              <w:rPr>
                <w:b w:val="0"/>
                <w:sz w:val="21"/>
              </w:rPr>
              <w:t>规范维度评分</w:t>
            </w:r>
          </w:p>
        </w:tc>
        <w:tc>
          <w:tcPr>
            <w:tcW w:type="dxa" w:w="2699"/>
            <w:vAlign w:val="center"/>
          </w:tcPr>
          <w:p>
            <w:pPr>
              <w:keepNext w:val="0"/>
              <w:spacing w:line="320" w:lineRule="exact" w:after="0" w:before="0"/>
              <w:ind w:firstLine="0"/>
              <w:jc w:val="left"/>
            </w:pPr>
            <w:r>
              <w:rPr>
                <w:b w:val="0"/>
                <w:sz w:val="21"/>
              </w:rPr>
              <w:t>规范分项及模型适配修正</w:t>
            </w:r>
          </w:p>
        </w:tc>
        <w:tc>
          <w:tcPr>
            <w:tcW w:type="dxa" w:w="2409"/>
            <w:vAlign w:val="center"/>
          </w:tcPr>
          <w:p>
            <w:pPr>
              <w:keepNext w:val="0"/>
              <w:spacing w:line="320" w:lineRule="exact" w:after="0" w:before="0"/>
              <w:ind w:firstLine="0"/>
              <w:jc w:val="left"/>
            </w:pPr>
            <w:r>
              <w:rPr>
                <w:b w:val="0"/>
                <w:sz w:val="21"/>
              </w:rPr>
              <w:t>使用规范规定的评分关系</w:t>
            </w:r>
          </w:p>
        </w:tc>
        <w:tc>
          <w:tcPr>
            <w:tcW w:type="dxa" w:w="2891"/>
            <w:vAlign w:val="center"/>
          </w:tcPr>
          <w:p>
            <w:pPr>
              <w:keepNext w:val="0"/>
              <w:spacing w:line="320" w:lineRule="exact" w:after="0" w:before="0"/>
              <w:ind w:firstLine="0"/>
              <w:jc w:val="left"/>
            </w:pPr>
            <w:r>
              <w:rPr>
                <w:b w:val="0"/>
                <w:sz w:val="21"/>
              </w:rPr>
              <w:t>三个维度分别不低于90分</w:t>
            </w:r>
          </w:p>
        </w:tc>
      </w:tr>
      <w:tr>
        <w:trPr>
          <w:cantSplit/>
        </w:trPr>
        <w:tc>
          <w:tcPr>
            <w:tcW w:type="dxa" w:w="1638"/>
            <w:vAlign w:val="center"/>
          </w:tcPr>
          <w:p>
            <w:pPr>
              <w:keepNext w:val="0"/>
              <w:spacing w:line="320" w:lineRule="exact" w:after="0" w:before="0"/>
              <w:ind w:firstLine="0"/>
              <w:jc w:val="left"/>
            </w:pPr>
            <w:r>
              <w:rPr>
                <w:b w:val="0"/>
                <w:sz w:val="21"/>
              </w:rPr>
              <w:t>项目扩展评分</w:t>
            </w:r>
          </w:p>
        </w:tc>
        <w:tc>
          <w:tcPr>
            <w:tcW w:type="dxa" w:w="2699"/>
            <w:vAlign w:val="center"/>
          </w:tcPr>
          <w:p>
            <w:pPr>
              <w:keepNext w:val="0"/>
              <w:spacing w:line="320" w:lineRule="exact" w:after="0" w:before="0"/>
              <w:ind w:firstLine="0"/>
              <w:jc w:val="left"/>
            </w:pPr>
            <w:r>
              <w:rPr>
                <w:b w:val="0"/>
                <w:sz w:val="21"/>
              </w:rPr>
              <w:t>全部招标指标及业务适配</w:t>
            </w:r>
          </w:p>
        </w:tc>
        <w:tc>
          <w:tcPr>
            <w:tcW w:type="dxa" w:w="2409"/>
            <w:vAlign w:val="center"/>
          </w:tcPr>
          <w:p>
            <w:pPr>
              <w:keepNext w:val="0"/>
              <w:spacing w:line="320" w:lineRule="exact" w:after="0" w:before="0"/>
              <w:ind w:firstLine="0"/>
              <w:jc w:val="left"/>
            </w:pPr>
            <w:r>
              <w:rPr>
                <w:b w:val="0"/>
                <w:sz w:val="21"/>
              </w:rPr>
              <w:t>执行批准的分组和三级权重</w:t>
            </w:r>
          </w:p>
        </w:tc>
        <w:tc>
          <w:tcPr>
            <w:tcW w:type="dxa" w:w="2891"/>
            <w:vAlign w:val="center"/>
          </w:tcPr>
          <w:p>
            <w:pPr>
              <w:keepNext w:val="0"/>
              <w:spacing w:line="320" w:lineRule="exact" w:after="0" w:before="0"/>
              <w:ind w:firstLine="0"/>
              <w:jc w:val="left"/>
            </w:pPr>
            <w:r>
              <w:rPr>
                <w:b w:val="0"/>
                <w:sz w:val="21"/>
              </w:rPr>
              <w:t>扩展要求逐项满足</w:t>
            </w:r>
          </w:p>
        </w:tc>
      </w:tr>
      <w:tr>
        <w:trPr>
          <w:cantSplit/>
        </w:trPr>
        <w:tc>
          <w:tcPr>
            <w:tcW w:type="dxa" w:w="1638"/>
            <w:vAlign w:val="center"/>
          </w:tcPr>
          <w:p>
            <w:pPr>
              <w:keepNext w:val="0"/>
              <w:spacing w:line="320" w:lineRule="exact" w:after="0" w:before="0"/>
              <w:ind w:firstLine="0"/>
              <w:jc w:val="left"/>
            </w:pPr>
            <w:r>
              <w:rPr>
                <w:b w:val="0"/>
                <w:sz w:val="21"/>
              </w:rPr>
              <w:t>综合得分</w:t>
            </w:r>
          </w:p>
        </w:tc>
        <w:tc>
          <w:tcPr>
            <w:tcW w:type="dxa" w:w="2699"/>
            <w:vAlign w:val="center"/>
          </w:tcPr>
          <w:p>
            <w:pPr>
              <w:keepNext w:val="0"/>
              <w:spacing w:line="320" w:lineRule="exact" w:after="0" w:before="0"/>
              <w:ind w:firstLine="0"/>
              <w:jc w:val="left"/>
            </w:pPr>
            <w:r>
              <w:rPr>
                <w:b w:val="0"/>
                <w:sz w:val="21"/>
              </w:rPr>
              <w:t>三个维度最终得分</w:t>
            </w:r>
          </w:p>
        </w:tc>
        <w:tc>
          <w:tcPr>
            <w:tcW w:type="dxa" w:w="2409"/>
            <w:vAlign w:val="center"/>
          </w:tcPr>
          <w:p>
            <w:pPr>
              <w:keepNext w:val="0"/>
              <w:spacing w:line="320" w:lineRule="exact" w:after="0" w:before="0"/>
              <w:ind w:firstLine="0"/>
              <w:jc w:val="left"/>
            </w:pPr>
            <w:r>
              <w:rPr>
                <w:b w:val="0"/>
                <w:sz w:val="21"/>
              </w:rPr>
              <w:t>使用批准的综合权重</w:t>
            </w:r>
          </w:p>
        </w:tc>
        <w:tc>
          <w:tcPr>
            <w:tcW w:type="dxa" w:w="2891"/>
            <w:vAlign w:val="center"/>
          </w:tcPr>
          <w:p>
            <w:pPr>
              <w:keepNext w:val="0"/>
              <w:spacing w:line="320" w:lineRule="exact" w:after="0" w:before="0"/>
              <w:ind w:firstLine="0"/>
              <w:jc w:val="left"/>
            </w:pPr>
            <w:r>
              <w:rPr>
                <w:b w:val="0"/>
                <w:sz w:val="21"/>
              </w:rPr>
              <w:t>每个数据集不低于85分</w:t>
            </w:r>
          </w:p>
        </w:tc>
      </w:tr>
      <w:tr>
        <w:trPr>
          <w:cantSplit/>
        </w:trPr>
        <w:tc>
          <w:tcPr>
            <w:tcW w:type="dxa" w:w="1638"/>
            <w:vAlign w:val="center"/>
          </w:tcPr>
          <w:p>
            <w:pPr>
              <w:keepNext w:val="0"/>
              <w:spacing w:line="320" w:lineRule="exact" w:after="0" w:before="0"/>
              <w:ind w:firstLine="0"/>
              <w:jc w:val="left"/>
            </w:pPr>
            <w:r>
              <w:rPr>
                <w:b w:val="0"/>
                <w:sz w:val="21"/>
              </w:rPr>
              <w:t>验收条件</w:t>
            </w:r>
          </w:p>
        </w:tc>
        <w:tc>
          <w:tcPr>
            <w:tcW w:type="dxa" w:w="2699"/>
            <w:vAlign w:val="center"/>
          </w:tcPr>
          <w:p>
            <w:pPr>
              <w:keepNext w:val="0"/>
              <w:spacing w:line="320" w:lineRule="exact" w:after="0" w:before="0"/>
              <w:ind w:firstLine="0"/>
              <w:jc w:val="left"/>
            </w:pPr>
            <w:r>
              <w:rPr>
                <w:b w:val="0"/>
                <w:sz w:val="21"/>
              </w:rPr>
              <w:t>缺陷、净量、提升及成果</w:t>
            </w:r>
          </w:p>
        </w:tc>
        <w:tc>
          <w:tcPr>
            <w:tcW w:type="dxa" w:w="2409"/>
            <w:vAlign w:val="center"/>
          </w:tcPr>
          <w:p>
            <w:pPr>
              <w:keepNext w:val="0"/>
              <w:spacing w:line="320" w:lineRule="exact" w:after="0" w:before="0"/>
              <w:ind w:firstLine="0"/>
              <w:jc w:val="left"/>
            </w:pPr>
            <w:r>
              <w:rPr>
                <w:b w:val="0"/>
                <w:sz w:val="21"/>
              </w:rPr>
              <w:t>逐条核对，不折算抵扣</w:t>
            </w:r>
          </w:p>
        </w:tc>
        <w:tc>
          <w:tcPr>
            <w:tcW w:type="dxa" w:w="2891"/>
            <w:vAlign w:val="center"/>
          </w:tcPr>
          <w:p>
            <w:pPr>
              <w:keepNext w:val="0"/>
              <w:spacing w:line="320" w:lineRule="exact" w:after="0" w:before="0"/>
              <w:ind w:firstLine="0"/>
              <w:jc w:val="left"/>
            </w:pPr>
            <w:r>
              <w:rPr>
                <w:b w:val="0"/>
                <w:sz w:val="21"/>
              </w:rPr>
              <w:t>全部条件同时满足</w:t>
            </w:r>
          </w:p>
        </w:tc>
      </w:tr>
    </w:tbl>
    <w:p>
      <w:pPr>
        <w:spacing w:after="40" w:line="240" w:lineRule="auto"/>
        <w:ind w:firstLine="0"/>
      </w:pPr>
      <w:r>
        <w:rPr>
          <w:sz w:val="4"/>
        </w:rPr>
      </w:r>
    </w:p>
    <w:p>
      <w:pPr>
        <w:pStyle w:val="Heading2"/>
      </w:pPr>
      <w:r>
        <w:t>2.4 权重与阈值确认</w:t>
      </w:r>
    </w:p>
    <w:p>
      <w:pPr>
        <w:jc w:val="both"/>
      </w:pPr>
      <w:r>
        <w:t>综合计分方案以说明文档20%、数据质量50%、模型应用30%作为我方设计起点，在定制评测方案阶段结合甲方要求及第三方机构评审结果确认，形成正式权重表后执行。三级指标权重、连续指标的归一化方法、单项合格阈值、模型最低提升幅度均在首轮正式执行前确定。所有权重合计、适用性调整及计算精度由程序校验，结果可通过原始计分表独立复算。</w:t>
      </w:r>
    </w:p>
    <w:p>
      <w:pPr>
        <w:jc w:val="both"/>
      </w:pPr>
      <w:r>
        <w:t>合格阈值分三类管理。招标明确的数量、比例、缺陷清零、整改完成率、综合得分等采用明确值；规范规定的维度最低分采用规范值；受业务场景、模态及设备条件影响的分辨率、信噪比、模型提升等采用经甲方确认的场景阈值。场景阈值根据实际采集条件、目标任务识别需求、行业专家判断及小规模预实验确定，预实验仅用于确定合理协议，保留测试集不参与调参。</w:t>
      </w:r>
    </w:p>
    <w:p>
      <w:pPr>
        <w:jc w:val="both"/>
      </w:pPr>
      <w:r>
        <w:t>通过修改权重、剔除低分指标、降低最低性能提升幅度或者更换测试数据来消除不合格结果均不予采用。确需调整协议时履行变更评审，记录理由、影响对象及可比性，按新协议对基线与微调模型重新运行。历史结果保留，后续报告注明对应协议版本，保证同一趋势图和对照表采用可比较数据。</w:t>
      </w:r>
    </w:p>
    <w:p>
      <w:pPr>
        <w:pStyle w:val="Heading2"/>
      </w:pPr>
      <w:r>
        <w:t>2.5 缺陷分级与否决条件</w:t>
      </w:r>
    </w:p>
    <w:p>
      <w:pPr>
        <w:jc w:val="both"/>
      </w:pPr>
      <w:r>
        <w:t>缺陷等级综合内容性质、影响范围和业务后果确定。高风险包括违法违规内容、涉密数据违规进入数据集、未经授权的敏感信息暴露、未脱敏个人信息、评测集泄漏导致结论失真以及可能造成严重安全后果的关键业务错误。中风险包括影响训练或评价有效性的标注错误、关键字段缺失、重要类别覆盖不足和跨模态错配。低风险包括不影响关键语义但仍需修正的重复、说明不清或格式瑕疵。具体问题按实际影响核定，不因表面表现属于文本错误便机械归为低风险。</w:t>
      </w:r>
    </w:p>
    <w:p>
      <w:pPr>
        <w:jc w:val="both"/>
      </w:pPr>
      <w:r>
        <w:t>高风险发现后立即隔离受影响对象及其派生范围，暂停相关数据进入训练、导出和交付；对于不能判定影响边界的情况扩大隔离范围，先核实再恢复。中低风险建立问题单，明确责任、修正方式及复核要求。每一项已确认缺陷均完成整改，等级用于确定处理优先级和控制措施，不用于免除整改责任。</w:t>
      </w:r>
    </w:p>
    <w:p>
      <w:pPr>
        <w:pStyle w:val="Caption"/>
        <w:keepNext/>
      </w:pPr>
      <w:r>
        <w:t>表2-4 缺陷分级与否决条件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缺陷情形</w:t>
            </w:r>
          </w:p>
        </w:tc>
        <w:tc>
          <w:tcPr>
            <w:tcW w:type="dxa" w:w="2699"/>
            <w:vAlign w:val="center"/>
            <w:shd w:fill="EDF1F3"/>
          </w:tcPr>
          <w:p>
            <w:pPr>
              <w:keepNext/>
              <w:spacing w:line="320" w:lineRule="exact" w:after="0" w:before="0"/>
              <w:ind w:firstLine="0"/>
              <w:jc w:val="center"/>
            </w:pPr>
            <w:r>
              <w:rPr>
                <w:b/>
                <w:sz w:val="21"/>
              </w:rPr>
              <w:t>检测与确认</w:t>
            </w:r>
          </w:p>
        </w:tc>
        <w:tc>
          <w:tcPr>
            <w:tcW w:type="dxa" w:w="2409"/>
            <w:vAlign w:val="center"/>
            <w:shd w:fill="EDF1F3"/>
          </w:tcPr>
          <w:p>
            <w:pPr>
              <w:keepNext/>
              <w:spacing w:line="320" w:lineRule="exact" w:after="0" w:before="0"/>
              <w:ind w:firstLine="0"/>
              <w:jc w:val="center"/>
            </w:pPr>
            <w:r>
              <w:rPr>
                <w:b/>
                <w:sz w:val="21"/>
              </w:rPr>
              <w:t>处置重点</w:t>
            </w:r>
          </w:p>
        </w:tc>
        <w:tc>
          <w:tcPr>
            <w:tcW w:type="dxa" w:w="2891"/>
            <w:vAlign w:val="center"/>
            <w:shd w:fill="EDF1F3"/>
          </w:tcPr>
          <w:p>
            <w:pPr>
              <w:keepNext/>
              <w:spacing w:line="320" w:lineRule="exact" w:after="0" w:before="0"/>
              <w:ind w:firstLine="0"/>
              <w:jc w:val="center"/>
            </w:pPr>
            <w:r>
              <w:rPr>
                <w:b/>
                <w:sz w:val="21"/>
              </w:rPr>
              <w:t>关闭条件</w:t>
            </w:r>
          </w:p>
        </w:tc>
      </w:tr>
      <w:tr>
        <w:trPr>
          <w:cantSplit/>
        </w:trPr>
        <w:tc>
          <w:tcPr>
            <w:tcW w:type="dxa" w:w="1638"/>
            <w:vAlign w:val="center"/>
          </w:tcPr>
          <w:p>
            <w:pPr>
              <w:keepNext w:val="0"/>
              <w:spacing w:line="320" w:lineRule="exact" w:after="0" w:before="0"/>
              <w:ind w:firstLine="0"/>
              <w:jc w:val="left"/>
            </w:pPr>
            <w:r>
              <w:rPr>
                <w:b w:val="0"/>
                <w:sz w:val="21"/>
              </w:rPr>
              <w:t>隐私或涉密暴露</w:t>
            </w:r>
          </w:p>
        </w:tc>
        <w:tc>
          <w:tcPr>
            <w:tcW w:type="dxa" w:w="2699"/>
            <w:vAlign w:val="center"/>
          </w:tcPr>
          <w:p>
            <w:pPr>
              <w:keepNext w:val="0"/>
              <w:spacing w:line="320" w:lineRule="exact" w:after="0" w:before="0"/>
              <w:ind w:firstLine="0"/>
              <w:jc w:val="left"/>
            </w:pPr>
            <w:r>
              <w:rPr>
                <w:b w:val="0"/>
                <w:sz w:val="21"/>
              </w:rPr>
              <w:t>全量筛查及安全人员逐项确认</w:t>
            </w:r>
          </w:p>
        </w:tc>
        <w:tc>
          <w:tcPr>
            <w:tcW w:type="dxa" w:w="2409"/>
            <w:vAlign w:val="center"/>
          </w:tcPr>
          <w:p>
            <w:pPr>
              <w:keepNext w:val="0"/>
              <w:spacing w:line="320" w:lineRule="exact" w:after="0" w:before="0"/>
              <w:ind w:firstLine="0"/>
              <w:jc w:val="left"/>
            </w:pPr>
            <w:r>
              <w:rPr>
                <w:b w:val="0"/>
                <w:sz w:val="21"/>
              </w:rPr>
              <w:t>隔离原件、衍生副本、索引与训练输入</w:t>
            </w:r>
          </w:p>
        </w:tc>
        <w:tc>
          <w:tcPr>
            <w:tcW w:type="dxa" w:w="2891"/>
            <w:vAlign w:val="center"/>
          </w:tcPr>
          <w:p>
            <w:pPr>
              <w:keepNext w:val="0"/>
              <w:spacing w:line="320" w:lineRule="exact" w:after="0" w:before="0"/>
              <w:ind w:firstLine="0"/>
              <w:jc w:val="left"/>
            </w:pPr>
            <w:r>
              <w:rPr>
                <w:b w:val="0"/>
                <w:sz w:val="21"/>
              </w:rPr>
              <w:t>影响范围处置完成且再次检测通过</w:t>
            </w:r>
          </w:p>
        </w:tc>
      </w:tr>
      <w:tr>
        <w:trPr>
          <w:cantSplit/>
        </w:trPr>
        <w:tc>
          <w:tcPr>
            <w:tcW w:type="dxa" w:w="1638"/>
            <w:vAlign w:val="center"/>
          </w:tcPr>
          <w:p>
            <w:pPr>
              <w:keepNext w:val="0"/>
              <w:spacing w:line="320" w:lineRule="exact" w:after="0" w:before="0"/>
              <w:ind w:firstLine="0"/>
              <w:jc w:val="left"/>
            </w:pPr>
            <w:r>
              <w:rPr>
                <w:b w:val="0"/>
                <w:sz w:val="21"/>
              </w:rPr>
              <w:t>评测污染</w:t>
            </w:r>
          </w:p>
        </w:tc>
        <w:tc>
          <w:tcPr>
            <w:tcW w:type="dxa" w:w="2699"/>
            <w:vAlign w:val="center"/>
          </w:tcPr>
          <w:p>
            <w:pPr>
              <w:keepNext w:val="0"/>
              <w:spacing w:line="320" w:lineRule="exact" w:after="0" w:before="0"/>
              <w:ind w:firstLine="0"/>
              <w:jc w:val="left"/>
            </w:pPr>
            <w:r>
              <w:rPr>
                <w:b w:val="0"/>
                <w:sz w:val="21"/>
              </w:rPr>
              <w:t>指纹、相似度、来源家族与时间核查</w:t>
            </w:r>
          </w:p>
        </w:tc>
        <w:tc>
          <w:tcPr>
            <w:tcW w:type="dxa" w:w="2409"/>
            <w:vAlign w:val="center"/>
          </w:tcPr>
          <w:p>
            <w:pPr>
              <w:keepNext w:val="0"/>
              <w:spacing w:line="320" w:lineRule="exact" w:after="0" w:before="0"/>
              <w:ind w:firstLine="0"/>
              <w:jc w:val="left"/>
            </w:pPr>
            <w:r>
              <w:rPr>
                <w:b w:val="0"/>
                <w:sz w:val="21"/>
              </w:rPr>
              <w:t>隔离污染样本并重建有效对照</w:t>
            </w:r>
          </w:p>
        </w:tc>
        <w:tc>
          <w:tcPr>
            <w:tcW w:type="dxa" w:w="2891"/>
            <w:vAlign w:val="center"/>
          </w:tcPr>
          <w:p>
            <w:pPr>
              <w:keepNext w:val="0"/>
              <w:spacing w:line="320" w:lineRule="exact" w:after="0" w:before="0"/>
              <w:ind w:firstLine="0"/>
              <w:jc w:val="left"/>
            </w:pPr>
            <w:r>
              <w:rPr>
                <w:b w:val="0"/>
                <w:sz w:val="21"/>
              </w:rPr>
              <w:t>测试集独立且基线与微调实验重跑</w:t>
            </w:r>
          </w:p>
        </w:tc>
      </w:tr>
      <w:tr>
        <w:trPr>
          <w:cantSplit/>
        </w:trPr>
        <w:tc>
          <w:tcPr>
            <w:tcW w:type="dxa" w:w="1638"/>
            <w:vAlign w:val="center"/>
          </w:tcPr>
          <w:p>
            <w:pPr>
              <w:keepNext w:val="0"/>
              <w:spacing w:line="320" w:lineRule="exact" w:after="0" w:before="0"/>
              <w:ind w:firstLine="0"/>
              <w:jc w:val="left"/>
            </w:pPr>
            <w:r>
              <w:rPr>
                <w:b w:val="0"/>
                <w:sz w:val="21"/>
              </w:rPr>
              <w:t>关键标签错误</w:t>
            </w:r>
          </w:p>
        </w:tc>
        <w:tc>
          <w:tcPr>
            <w:tcW w:type="dxa" w:w="2699"/>
            <w:vAlign w:val="center"/>
          </w:tcPr>
          <w:p>
            <w:pPr>
              <w:keepNext w:val="0"/>
              <w:spacing w:line="320" w:lineRule="exact" w:after="0" w:before="0"/>
              <w:ind w:firstLine="0"/>
              <w:jc w:val="left"/>
            </w:pPr>
            <w:r>
              <w:rPr>
                <w:b w:val="0"/>
                <w:sz w:val="21"/>
              </w:rPr>
              <w:t>专家与原始业务依据核对</w:t>
            </w:r>
          </w:p>
        </w:tc>
        <w:tc>
          <w:tcPr>
            <w:tcW w:type="dxa" w:w="2409"/>
            <w:vAlign w:val="center"/>
          </w:tcPr>
          <w:p>
            <w:pPr>
              <w:keepNext w:val="0"/>
              <w:spacing w:line="320" w:lineRule="exact" w:after="0" w:before="0"/>
              <w:ind w:firstLine="0"/>
              <w:jc w:val="left"/>
            </w:pPr>
            <w:r>
              <w:rPr>
                <w:b w:val="0"/>
                <w:sz w:val="21"/>
              </w:rPr>
              <w:t>追查同批规则、同标注人员和同类样本</w:t>
            </w:r>
          </w:p>
        </w:tc>
        <w:tc>
          <w:tcPr>
            <w:tcW w:type="dxa" w:w="2891"/>
            <w:vAlign w:val="center"/>
          </w:tcPr>
          <w:p>
            <w:pPr>
              <w:keepNext w:val="0"/>
              <w:spacing w:line="320" w:lineRule="exact" w:after="0" w:before="0"/>
              <w:ind w:firstLine="0"/>
              <w:jc w:val="left"/>
            </w:pPr>
            <w:r>
              <w:rPr>
                <w:b w:val="0"/>
                <w:sz w:val="21"/>
              </w:rPr>
              <w:t>规则修正及扩大范围复查通过</w:t>
            </w:r>
          </w:p>
        </w:tc>
      </w:tr>
      <w:tr>
        <w:trPr>
          <w:cantSplit/>
        </w:trPr>
        <w:tc>
          <w:tcPr>
            <w:tcW w:type="dxa" w:w="1638"/>
            <w:vAlign w:val="center"/>
          </w:tcPr>
          <w:p>
            <w:pPr>
              <w:keepNext w:val="0"/>
              <w:spacing w:line="320" w:lineRule="exact" w:after="0" w:before="0"/>
              <w:ind w:firstLine="0"/>
              <w:jc w:val="left"/>
            </w:pPr>
            <w:r>
              <w:rPr>
                <w:b w:val="0"/>
                <w:sz w:val="21"/>
              </w:rPr>
              <w:t>缺失与损坏</w:t>
            </w:r>
          </w:p>
        </w:tc>
        <w:tc>
          <w:tcPr>
            <w:tcW w:type="dxa" w:w="2699"/>
            <w:vAlign w:val="center"/>
          </w:tcPr>
          <w:p>
            <w:pPr>
              <w:keepNext w:val="0"/>
              <w:spacing w:line="320" w:lineRule="exact" w:after="0" w:before="0"/>
              <w:ind w:firstLine="0"/>
              <w:jc w:val="left"/>
            </w:pPr>
            <w:r>
              <w:rPr>
                <w:b w:val="0"/>
                <w:sz w:val="21"/>
              </w:rPr>
              <w:t>清单、解析和关联校验</w:t>
            </w:r>
          </w:p>
        </w:tc>
        <w:tc>
          <w:tcPr>
            <w:tcW w:type="dxa" w:w="2409"/>
            <w:vAlign w:val="center"/>
          </w:tcPr>
          <w:p>
            <w:pPr>
              <w:keepNext w:val="0"/>
              <w:spacing w:line="320" w:lineRule="exact" w:after="0" w:before="0"/>
              <w:ind w:firstLine="0"/>
              <w:jc w:val="left"/>
            </w:pPr>
            <w:r>
              <w:rPr>
                <w:b w:val="0"/>
                <w:sz w:val="21"/>
              </w:rPr>
              <w:t>补采、恢复或替换有效数据</w:t>
            </w:r>
          </w:p>
        </w:tc>
        <w:tc>
          <w:tcPr>
            <w:tcW w:type="dxa" w:w="2891"/>
            <w:vAlign w:val="center"/>
          </w:tcPr>
          <w:p>
            <w:pPr>
              <w:keepNext w:val="0"/>
              <w:spacing w:line="320" w:lineRule="exact" w:after="0" w:before="0"/>
              <w:ind w:firstLine="0"/>
              <w:jc w:val="left"/>
            </w:pPr>
            <w:r>
              <w:rPr>
                <w:b w:val="0"/>
                <w:sz w:val="21"/>
              </w:rPr>
              <w:t>数量、内容、关系和净量均复核</w:t>
            </w:r>
          </w:p>
        </w:tc>
      </w:tr>
      <w:tr>
        <w:trPr>
          <w:cantSplit/>
        </w:trPr>
        <w:tc>
          <w:tcPr>
            <w:tcW w:type="dxa" w:w="1638"/>
            <w:vAlign w:val="center"/>
          </w:tcPr>
          <w:p>
            <w:pPr>
              <w:keepNext w:val="0"/>
              <w:spacing w:line="320" w:lineRule="exact" w:after="0" w:before="0"/>
              <w:ind w:firstLine="0"/>
              <w:jc w:val="left"/>
            </w:pPr>
            <w:r>
              <w:rPr>
                <w:b w:val="0"/>
                <w:sz w:val="21"/>
              </w:rPr>
              <w:t>重复与低质内容</w:t>
            </w:r>
          </w:p>
        </w:tc>
        <w:tc>
          <w:tcPr>
            <w:tcW w:type="dxa" w:w="2699"/>
            <w:vAlign w:val="center"/>
          </w:tcPr>
          <w:p>
            <w:pPr>
              <w:keepNext w:val="0"/>
              <w:spacing w:line="320" w:lineRule="exact" w:after="0" w:before="0"/>
              <w:ind w:firstLine="0"/>
              <w:jc w:val="left"/>
            </w:pPr>
            <w:r>
              <w:rPr>
                <w:b w:val="0"/>
                <w:sz w:val="21"/>
              </w:rPr>
              <w:t>精确、近重及专业判定</w:t>
            </w:r>
          </w:p>
        </w:tc>
        <w:tc>
          <w:tcPr>
            <w:tcW w:type="dxa" w:w="2409"/>
            <w:vAlign w:val="center"/>
          </w:tcPr>
          <w:p>
            <w:pPr>
              <w:keepNext w:val="0"/>
              <w:spacing w:line="320" w:lineRule="exact" w:after="0" w:before="0"/>
              <w:ind w:firstLine="0"/>
              <w:jc w:val="left"/>
            </w:pPr>
            <w:r>
              <w:rPr>
                <w:b w:val="0"/>
                <w:sz w:val="21"/>
              </w:rPr>
              <w:t>区分无效重复与有价值业务变体</w:t>
            </w:r>
          </w:p>
        </w:tc>
        <w:tc>
          <w:tcPr>
            <w:tcW w:type="dxa" w:w="2891"/>
            <w:vAlign w:val="center"/>
          </w:tcPr>
          <w:p>
            <w:pPr>
              <w:keepNext w:val="0"/>
              <w:spacing w:line="320" w:lineRule="exact" w:after="0" w:before="0"/>
              <w:ind w:firstLine="0"/>
              <w:jc w:val="left"/>
            </w:pPr>
            <w:r>
              <w:rPr>
                <w:b w:val="0"/>
                <w:sz w:val="21"/>
              </w:rPr>
              <w:t>修正后重算规模与分布</w:t>
            </w:r>
          </w:p>
        </w:tc>
      </w:tr>
      <w:tr>
        <w:trPr>
          <w:cantSplit/>
        </w:trPr>
        <w:tc>
          <w:tcPr>
            <w:tcW w:type="dxa" w:w="1638"/>
            <w:vAlign w:val="center"/>
          </w:tcPr>
          <w:p>
            <w:pPr>
              <w:keepNext w:val="0"/>
              <w:spacing w:line="320" w:lineRule="exact" w:after="0" w:before="0"/>
              <w:ind w:firstLine="0"/>
              <w:jc w:val="left"/>
            </w:pPr>
            <w:r>
              <w:rPr>
                <w:b w:val="0"/>
                <w:sz w:val="21"/>
              </w:rPr>
              <w:t>说明或版本不一致</w:t>
            </w:r>
          </w:p>
        </w:tc>
        <w:tc>
          <w:tcPr>
            <w:tcW w:type="dxa" w:w="2699"/>
            <w:vAlign w:val="center"/>
          </w:tcPr>
          <w:p>
            <w:pPr>
              <w:keepNext w:val="0"/>
              <w:spacing w:line="320" w:lineRule="exact" w:after="0" w:before="0"/>
              <w:ind w:firstLine="0"/>
              <w:jc w:val="left"/>
            </w:pPr>
            <w:r>
              <w:rPr>
                <w:b w:val="0"/>
                <w:sz w:val="21"/>
              </w:rPr>
              <w:t>文档、数据卡和交付清单比对</w:t>
            </w:r>
          </w:p>
        </w:tc>
        <w:tc>
          <w:tcPr>
            <w:tcW w:type="dxa" w:w="2409"/>
            <w:vAlign w:val="center"/>
          </w:tcPr>
          <w:p>
            <w:pPr>
              <w:keepNext w:val="0"/>
              <w:spacing w:line="320" w:lineRule="exact" w:after="0" w:before="0"/>
              <w:ind w:firstLine="0"/>
              <w:jc w:val="left"/>
            </w:pPr>
            <w:r>
              <w:rPr>
                <w:b w:val="0"/>
                <w:sz w:val="21"/>
              </w:rPr>
              <w:t>同步更新后继版本及引用关系</w:t>
            </w:r>
          </w:p>
        </w:tc>
        <w:tc>
          <w:tcPr>
            <w:tcW w:type="dxa" w:w="2891"/>
            <w:vAlign w:val="center"/>
          </w:tcPr>
          <w:p>
            <w:pPr>
              <w:keepNext w:val="0"/>
              <w:spacing w:line="320" w:lineRule="exact" w:after="0" w:before="0"/>
              <w:ind w:firstLine="0"/>
              <w:jc w:val="left"/>
            </w:pPr>
            <w:r>
              <w:rPr>
                <w:b w:val="0"/>
                <w:sz w:val="21"/>
              </w:rPr>
              <w:t>文档可执行且与实际版本一致</w:t>
            </w:r>
          </w:p>
        </w:tc>
      </w:tr>
    </w:tbl>
    <w:p>
      <w:pPr>
        <w:spacing w:after="40" w:line="240" w:lineRule="auto"/>
        <w:ind w:firstLine="0"/>
      </w:pPr>
      <w:r>
        <w:rPr>
          <w:sz w:val="4"/>
        </w:rPr>
      </w:r>
    </w:p>
    <w:p>
      <w:pPr>
        <w:pStyle w:val="Heading1"/>
      </w:pPr>
      <w:r>
        <w:t>3 数据准备与隔离环境</w:t>
      </w:r>
    </w:p>
    <w:p>
      <w:pPr>
        <w:pStyle w:val="Heading2"/>
      </w:pPr>
      <w:r>
        <w:t>3.1 数据摸底与评测对象登记</w:t>
      </w:r>
    </w:p>
    <w:p>
      <w:pPr>
        <w:jc w:val="both"/>
      </w:pPr>
      <w:r>
        <w:t>我方在评测准备阶段会同甲方逐项清点数据集名称、业务领域、用途、版本、样本规模、模态组合、来源系统、形成时间、标签体系、授权范围、敏感等级及说明文档。清点覆盖文本、图像、时序、视频及实际存在的音频，记录存储位置、封装形式、压缩包层级、文件数、逻辑记录数、存储量和责任单位。对无法解析、无法访问或说明不足的对象单列清单，完成核实后纳入正式范围。</w:t>
      </w:r>
    </w:p>
    <w:p>
      <w:pPr>
        <w:jc w:val="both"/>
      </w:pPr>
      <w:r>
        <w:t>来源调查覆盖CRM、ERP、SCM、QMS、WMS、MES、LMS物流、EMS能源、SOS售后、EAM、PLM、SCADA、OA、久其、主数据平台、热处理群控及安全监管等项目涉及系统。逐批核对来源表、业务对象、提取条件、时间窗口和授权依据，评测不直接假定某个系统数据完整或准确。外部资料、行业标准、设备手册和历史文件分别核验其版本及使用条件。</w:t>
      </w:r>
    </w:p>
    <w:p>
      <w:pPr>
        <w:jc w:val="both"/>
      </w:pPr>
      <w:r>
        <w:t>数据接收先登记批次并保留原始清单，再校验数量、摘要、大小及解析结果。对账失败的批次保持身份及失败记录，不因接收异常而丢失追踪入口。问题解决后登记修复批次与原批次关系，禁止覆盖原始清单。正式评测对象形成冻结版本，后续修正生成后继版本，通过明确差异关联各轮结果。</w:t>
      </w:r>
    </w:p>
    <w:p>
      <w:pPr>
        <w:pStyle w:val="Heading2"/>
      </w:pPr>
      <w:r>
        <w:t>3.2 业务规则与行业判据确认</w:t>
      </w:r>
    </w:p>
    <w:p>
      <w:pPr>
        <w:jc w:val="both"/>
      </w:pPr>
      <w:r>
        <w:t>业务调研围绕井下运维、设备故障识别、零部件检测、工艺设计、制造控制、供需协同及知识问答开展，确认术语、设备型号、部件层级、工序关系、物理单位、安全边界和判定依据。对同一名称在不同专业中的含义分别登记，例如质量检验结论、生产过程状态和售后故障记录不能仅按相同文字直接合并为同一标签。</w:t>
      </w:r>
    </w:p>
    <w:p>
      <w:pPr>
        <w:jc w:val="both"/>
      </w:pPr>
      <w:r>
        <w:t>我方组织专家审查典型任务的输入条件、期望输出和不可缺失的信息。选型任务核对工况、配套约束和参数依据；热处理任务核对材料、温度、时间及曲线区间；焊接任务核对焊缝位置、工艺条件及缺陷判据；健康诊断任务核对设备、测点、运行状态和维修事件。对原始依据存在冲突的样本先完成事实核查，不能将未经确认的单方意见作为唯一标准答案。</w:t>
      </w:r>
    </w:p>
    <w:p>
      <w:pPr>
        <w:jc w:val="both"/>
      </w:pPr>
      <w:r>
        <w:t>行业术语表、单位字典、对象编码映射、同义词关系和禁用表达形成受控版本。评测过程中发现新词或新工况时由专业人员判断，不能自动以通用词典未收录作为低质结论。判据变更同时追踪受影响的规则、标签、样本及模型实验，必要时对受影响范围重新评测。</w:t>
      </w:r>
    </w:p>
    <w:p>
      <w:pPr>
        <w:pStyle w:val="Heading2"/>
      </w:pPr>
      <w:r>
        <w:t>3.3 离线环境部署与数据安全</w:t>
      </w:r>
    </w:p>
    <w:p>
      <w:pPr>
        <w:jc w:val="both"/>
      </w:pPr>
      <w:r>
        <w:t>自动化检测工具、专家复核界面、基准模型、训练框架和报告服务均部署于甲方内网隔离环境。原始业务数据禁止导出、上传公网，模型推理、嵌入计算、内容安全判断及LLM辅助评审均在批准的本地环境内执行。模型及依赖通过受控引入流程完成来源、许可、完整性和安全检查后导入，不在评测运行时连接公网下载权重或依赖。</w:t>
      </w:r>
    </w:p>
    <w:p>
      <w:pPr>
        <w:jc w:val="both"/>
      </w:pPr>
      <w:r>
        <w:t>环境按数据接收、静态检测、训练、保留测试、结果审核及档案存储划分访问范围。账号实名分配，训练人员与保留测试集管理人员权限分离；临时账号具备明确期限，工具服务账号仅访问指定路径。共享目录、缓存、临时文件、向量索引和训练检查点纳入同等管控，不能只保护原始压缩包而放任派生数据无控制复制。</w:t>
      </w:r>
    </w:p>
    <w:p>
      <w:pPr>
        <w:jc w:val="both"/>
      </w:pPr>
      <w:r>
        <w:t>日志记录身份、对象、操作、时间、结果及审批关联，避免在通用日志中写入完整身份证号、原始敏感文本或业务秘密。错误定位所需内容通过受控证据库查看，报告中的敏感示例采用经批准的脱敏展示方式。环境运行结束或用途变更时回收权限并核查副本，留存档案按甲方制度保管。</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3" name="Picture 3"/>
            <wp:cNvGraphicFramePr>
              <a:graphicFrameLocks noChangeAspect="1"/>
            </wp:cNvGraphicFramePr>
            <a:graphic>
              <a:graphicData uri="http://schemas.openxmlformats.org/drawingml/2006/picture">
                <pic:pic>
                  <pic:nvPicPr>
                    <pic:cNvPr id="0" name="图3_离线环境.png"/>
                    <pic:cNvPicPr/>
                  </pic:nvPicPr>
                  <pic:blipFill>
                    <a:blip r:embed="rId13"/>
                    <a:stretch>
                      <a:fillRect/>
                    </a:stretch>
                  </pic:blipFill>
                  <pic:spPr>
                    <a:xfrm>
                      <a:off x="0" y="0"/>
                      <a:ext cx="6048000" cy="1942338"/>
                    </a:xfrm>
                    <a:prstGeom prst="rect"/>
                  </pic:spPr>
                </pic:pic>
              </a:graphicData>
            </a:graphic>
          </wp:inline>
        </w:drawing>
      </w:r>
    </w:p>
    <w:p>
      <w:pPr>
        <w:pStyle w:val="Caption"/>
        <w:jc w:val="center"/>
      </w:pPr>
      <w:r>
        <w:t>图3-1 本地隔离评测环境</w:t>
      </w:r>
    </w:p>
    <w:p>
      <w:pPr>
        <w:pStyle w:val="Heading2"/>
      </w:pPr>
      <w:r>
        <w:t>3.4 环境基线与运行预检</w:t>
      </w:r>
    </w:p>
    <w:p>
      <w:pPr>
        <w:jc w:val="both"/>
      </w:pPr>
      <w:r>
        <w:t>评测环境基线登记操作系统、驱动、计算设备、框架版本、模型权重摘要、分词器、图像及音视频解码器、规则库、脚本提交版本和容器镜像摘要。相同实验的基线与微调模型使用一致的推理环境和评价脚本。因资源原因采用分批运行时保持参数和处理顺序记录，批次合并前校验样本无遗漏、无重复。</w:t>
      </w:r>
    </w:p>
    <w:p>
      <w:pPr>
        <w:jc w:val="both"/>
      </w:pPr>
      <w:r>
        <w:t>正式运行前执行数据读取、异常文件处理、GPU可用性、存储容量、断点恢复、日志记录、权限拒绝和报告复算检查。使用经审核的测试用例验证工具能够识别损坏文件、空记录、非法编码、重复对象、跨模态错配及已知敏感样例，验证样例单独隔离，不进入交付数据。检测程序运行失败时任务状态保持失败或待重跑，不能写成零缺陷。</w:t>
      </w:r>
    </w:p>
    <w:p>
      <w:pPr>
        <w:pStyle w:val="Caption"/>
        <w:keepNext/>
      </w:pPr>
      <w:r>
        <w:t>表3-1 环境基线与运行预检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环境项目</w:t>
            </w:r>
          </w:p>
        </w:tc>
        <w:tc>
          <w:tcPr>
            <w:tcW w:type="dxa" w:w="2699"/>
            <w:vAlign w:val="center"/>
            <w:shd w:fill="EDF1F3"/>
          </w:tcPr>
          <w:p>
            <w:pPr>
              <w:keepNext/>
              <w:spacing w:line="320" w:lineRule="exact" w:after="0" w:before="0"/>
              <w:ind w:firstLine="0"/>
              <w:jc w:val="center"/>
            </w:pPr>
            <w:r>
              <w:rPr>
                <w:b/>
                <w:sz w:val="21"/>
              </w:rPr>
              <w:t>固定内容</w:t>
            </w:r>
          </w:p>
        </w:tc>
        <w:tc>
          <w:tcPr>
            <w:tcW w:type="dxa" w:w="2409"/>
            <w:vAlign w:val="center"/>
            <w:shd w:fill="EDF1F3"/>
          </w:tcPr>
          <w:p>
            <w:pPr>
              <w:keepNext/>
              <w:spacing w:line="320" w:lineRule="exact" w:after="0" w:before="0"/>
              <w:ind w:firstLine="0"/>
              <w:jc w:val="center"/>
            </w:pPr>
            <w:r>
              <w:rPr>
                <w:b/>
                <w:sz w:val="21"/>
              </w:rPr>
              <w:t>运行前检查</w:t>
            </w:r>
          </w:p>
        </w:tc>
        <w:tc>
          <w:tcPr>
            <w:tcW w:type="dxa" w:w="2891"/>
            <w:vAlign w:val="center"/>
            <w:shd w:fill="EDF1F3"/>
          </w:tcPr>
          <w:p>
            <w:pPr>
              <w:keepNext/>
              <w:spacing w:line="320" w:lineRule="exact" w:after="0" w:before="0"/>
              <w:ind w:firstLine="0"/>
              <w:jc w:val="center"/>
            </w:pPr>
            <w:r>
              <w:rPr>
                <w:b/>
                <w:sz w:val="21"/>
              </w:rPr>
              <w:t>留存记录</w:t>
            </w:r>
          </w:p>
        </w:tc>
      </w:tr>
      <w:tr>
        <w:trPr>
          <w:cantSplit/>
        </w:trPr>
        <w:tc>
          <w:tcPr>
            <w:tcW w:type="dxa" w:w="1638"/>
            <w:vAlign w:val="center"/>
          </w:tcPr>
          <w:p>
            <w:pPr>
              <w:keepNext w:val="0"/>
              <w:spacing w:line="320" w:lineRule="exact" w:after="0" w:before="0"/>
              <w:ind w:firstLine="0"/>
              <w:jc w:val="left"/>
            </w:pPr>
            <w:r>
              <w:rPr>
                <w:b w:val="0"/>
                <w:sz w:val="21"/>
              </w:rPr>
              <w:t>数据版本</w:t>
            </w:r>
          </w:p>
        </w:tc>
        <w:tc>
          <w:tcPr>
            <w:tcW w:type="dxa" w:w="2699"/>
            <w:vAlign w:val="center"/>
          </w:tcPr>
          <w:p>
            <w:pPr>
              <w:keepNext w:val="0"/>
              <w:spacing w:line="320" w:lineRule="exact" w:after="0" w:before="0"/>
              <w:ind w:firstLine="0"/>
              <w:jc w:val="left"/>
            </w:pPr>
            <w:r>
              <w:rPr>
                <w:b w:val="0"/>
                <w:sz w:val="21"/>
              </w:rPr>
              <w:t>数据清单、摘要、标签字典及数据卡</w:t>
            </w:r>
          </w:p>
        </w:tc>
        <w:tc>
          <w:tcPr>
            <w:tcW w:type="dxa" w:w="2409"/>
            <w:vAlign w:val="center"/>
          </w:tcPr>
          <w:p>
            <w:pPr>
              <w:keepNext w:val="0"/>
              <w:spacing w:line="320" w:lineRule="exact" w:after="0" w:before="0"/>
              <w:ind w:firstLine="0"/>
              <w:jc w:val="left"/>
            </w:pPr>
            <w:r>
              <w:rPr>
                <w:b w:val="0"/>
                <w:sz w:val="21"/>
              </w:rPr>
              <w:t>文件可读、数量相符、权限正确</w:t>
            </w:r>
          </w:p>
        </w:tc>
        <w:tc>
          <w:tcPr>
            <w:tcW w:type="dxa" w:w="2891"/>
            <w:vAlign w:val="center"/>
          </w:tcPr>
          <w:p>
            <w:pPr>
              <w:keepNext w:val="0"/>
              <w:spacing w:line="320" w:lineRule="exact" w:after="0" w:before="0"/>
              <w:ind w:firstLine="0"/>
              <w:jc w:val="left"/>
            </w:pPr>
            <w:r>
              <w:rPr>
                <w:b w:val="0"/>
                <w:sz w:val="21"/>
              </w:rPr>
              <w:t>冻结清单与接收校验</w:t>
            </w:r>
          </w:p>
        </w:tc>
      </w:tr>
      <w:tr>
        <w:trPr>
          <w:cantSplit/>
        </w:trPr>
        <w:tc>
          <w:tcPr>
            <w:tcW w:type="dxa" w:w="1638"/>
            <w:vAlign w:val="center"/>
          </w:tcPr>
          <w:p>
            <w:pPr>
              <w:keepNext w:val="0"/>
              <w:spacing w:line="320" w:lineRule="exact" w:after="0" w:before="0"/>
              <w:ind w:firstLine="0"/>
              <w:jc w:val="left"/>
            </w:pPr>
            <w:r>
              <w:rPr>
                <w:b w:val="0"/>
                <w:sz w:val="21"/>
              </w:rPr>
              <w:t>模型环境</w:t>
            </w:r>
          </w:p>
        </w:tc>
        <w:tc>
          <w:tcPr>
            <w:tcW w:type="dxa" w:w="2699"/>
            <w:vAlign w:val="center"/>
          </w:tcPr>
          <w:p>
            <w:pPr>
              <w:keepNext w:val="0"/>
              <w:spacing w:line="320" w:lineRule="exact" w:after="0" w:before="0"/>
              <w:ind w:firstLine="0"/>
              <w:jc w:val="left"/>
            </w:pPr>
            <w:r>
              <w:rPr>
                <w:b w:val="0"/>
                <w:sz w:val="21"/>
              </w:rPr>
              <w:t>权重、配置、分词器及适配器</w:t>
            </w:r>
          </w:p>
        </w:tc>
        <w:tc>
          <w:tcPr>
            <w:tcW w:type="dxa" w:w="2409"/>
            <w:vAlign w:val="center"/>
          </w:tcPr>
          <w:p>
            <w:pPr>
              <w:keepNext w:val="0"/>
              <w:spacing w:line="320" w:lineRule="exact" w:after="0" w:before="0"/>
              <w:ind w:firstLine="0"/>
              <w:jc w:val="left"/>
            </w:pPr>
            <w:r>
              <w:rPr>
                <w:b w:val="0"/>
                <w:sz w:val="21"/>
              </w:rPr>
              <w:t>离线加载、推理成功、许可适用</w:t>
            </w:r>
          </w:p>
        </w:tc>
        <w:tc>
          <w:tcPr>
            <w:tcW w:type="dxa" w:w="2891"/>
            <w:vAlign w:val="center"/>
          </w:tcPr>
          <w:p>
            <w:pPr>
              <w:keepNext w:val="0"/>
              <w:spacing w:line="320" w:lineRule="exact" w:after="0" w:before="0"/>
              <w:ind w:firstLine="0"/>
              <w:jc w:val="left"/>
            </w:pPr>
            <w:r>
              <w:rPr>
                <w:b w:val="0"/>
                <w:sz w:val="21"/>
              </w:rPr>
              <w:t>版本及完整性记录</w:t>
            </w:r>
          </w:p>
        </w:tc>
      </w:tr>
      <w:tr>
        <w:trPr>
          <w:cantSplit/>
        </w:trPr>
        <w:tc>
          <w:tcPr>
            <w:tcW w:type="dxa" w:w="1638"/>
            <w:vAlign w:val="center"/>
          </w:tcPr>
          <w:p>
            <w:pPr>
              <w:keepNext w:val="0"/>
              <w:spacing w:line="320" w:lineRule="exact" w:after="0" w:before="0"/>
              <w:ind w:firstLine="0"/>
              <w:jc w:val="left"/>
            </w:pPr>
            <w:r>
              <w:rPr>
                <w:b w:val="0"/>
                <w:sz w:val="21"/>
              </w:rPr>
              <w:t>检测工具</w:t>
            </w:r>
          </w:p>
        </w:tc>
        <w:tc>
          <w:tcPr>
            <w:tcW w:type="dxa" w:w="2699"/>
            <w:vAlign w:val="center"/>
          </w:tcPr>
          <w:p>
            <w:pPr>
              <w:keepNext w:val="0"/>
              <w:spacing w:line="320" w:lineRule="exact" w:after="0" w:before="0"/>
              <w:ind w:firstLine="0"/>
              <w:jc w:val="left"/>
            </w:pPr>
            <w:r>
              <w:rPr>
                <w:b w:val="0"/>
                <w:sz w:val="21"/>
              </w:rPr>
              <w:t>规则、阈值、依赖和脚本</w:t>
            </w:r>
          </w:p>
        </w:tc>
        <w:tc>
          <w:tcPr>
            <w:tcW w:type="dxa" w:w="2409"/>
            <w:vAlign w:val="center"/>
          </w:tcPr>
          <w:p>
            <w:pPr>
              <w:keepNext w:val="0"/>
              <w:spacing w:line="320" w:lineRule="exact" w:after="0" w:before="0"/>
              <w:ind w:firstLine="0"/>
              <w:jc w:val="left"/>
            </w:pPr>
            <w:r>
              <w:rPr>
                <w:b w:val="0"/>
                <w:sz w:val="21"/>
              </w:rPr>
              <w:t>正反例、边界值和异常处理</w:t>
            </w:r>
          </w:p>
        </w:tc>
        <w:tc>
          <w:tcPr>
            <w:tcW w:type="dxa" w:w="2891"/>
            <w:vAlign w:val="center"/>
          </w:tcPr>
          <w:p>
            <w:pPr>
              <w:keepNext w:val="0"/>
              <w:spacing w:line="320" w:lineRule="exact" w:after="0" w:before="0"/>
              <w:ind w:firstLine="0"/>
              <w:jc w:val="left"/>
            </w:pPr>
            <w:r>
              <w:rPr>
                <w:b w:val="0"/>
                <w:sz w:val="21"/>
              </w:rPr>
              <w:t>工具校验记录</w:t>
            </w:r>
          </w:p>
        </w:tc>
      </w:tr>
      <w:tr>
        <w:trPr>
          <w:cantSplit/>
        </w:trPr>
        <w:tc>
          <w:tcPr>
            <w:tcW w:type="dxa" w:w="1638"/>
            <w:vAlign w:val="center"/>
          </w:tcPr>
          <w:p>
            <w:pPr>
              <w:keepNext w:val="0"/>
              <w:spacing w:line="320" w:lineRule="exact" w:after="0" w:before="0"/>
              <w:ind w:firstLine="0"/>
              <w:jc w:val="left"/>
            </w:pPr>
            <w:r>
              <w:rPr>
                <w:b w:val="0"/>
                <w:sz w:val="21"/>
              </w:rPr>
              <w:t>训练资源</w:t>
            </w:r>
          </w:p>
        </w:tc>
        <w:tc>
          <w:tcPr>
            <w:tcW w:type="dxa" w:w="2699"/>
            <w:vAlign w:val="center"/>
          </w:tcPr>
          <w:p>
            <w:pPr>
              <w:keepNext w:val="0"/>
              <w:spacing w:line="320" w:lineRule="exact" w:after="0" w:before="0"/>
              <w:ind w:firstLine="0"/>
              <w:jc w:val="left"/>
            </w:pPr>
            <w:r>
              <w:rPr>
                <w:b w:val="0"/>
                <w:sz w:val="21"/>
              </w:rPr>
              <w:t>设备、驱动、显存及存储</w:t>
            </w:r>
          </w:p>
        </w:tc>
        <w:tc>
          <w:tcPr>
            <w:tcW w:type="dxa" w:w="2409"/>
            <w:vAlign w:val="center"/>
          </w:tcPr>
          <w:p>
            <w:pPr>
              <w:keepNext w:val="0"/>
              <w:spacing w:line="320" w:lineRule="exact" w:after="0" w:before="0"/>
              <w:ind w:firstLine="0"/>
              <w:jc w:val="left"/>
            </w:pPr>
            <w:r>
              <w:rPr>
                <w:b w:val="0"/>
                <w:sz w:val="21"/>
              </w:rPr>
              <w:t>试运行、容量与中断恢复</w:t>
            </w:r>
          </w:p>
        </w:tc>
        <w:tc>
          <w:tcPr>
            <w:tcW w:type="dxa" w:w="2891"/>
            <w:vAlign w:val="center"/>
          </w:tcPr>
          <w:p>
            <w:pPr>
              <w:keepNext w:val="0"/>
              <w:spacing w:line="320" w:lineRule="exact" w:after="0" w:before="0"/>
              <w:ind w:firstLine="0"/>
              <w:jc w:val="left"/>
            </w:pPr>
            <w:r>
              <w:rPr>
                <w:b w:val="0"/>
                <w:sz w:val="21"/>
              </w:rPr>
              <w:t>资源基线和任务日志</w:t>
            </w:r>
          </w:p>
        </w:tc>
      </w:tr>
      <w:tr>
        <w:trPr>
          <w:cantSplit/>
        </w:trPr>
        <w:tc>
          <w:tcPr>
            <w:tcW w:type="dxa" w:w="1638"/>
            <w:vAlign w:val="center"/>
          </w:tcPr>
          <w:p>
            <w:pPr>
              <w:keepNext w:val="0"/>
              <w:spacing w:line="320" w:lineRule="exact" w:after="0" w:before="0"/>
              <w:ind w:firstLine="0"/>
              <w:jc w:val="left"/>
            </w:pPr>
            <w:r>
              <w:rPr>
                <w:b w:val="0"/>
                <w:sz w:val="21"/>
              </w:rPr>
              <w:t>安全控制</w:t>
            </w:r>
          </w:p>
        </w:tc>
        <w:tc>
          <w:tcPr>
            <w:tcW w:type="dxa" w:w="2699"/>
            <w:vAlign w:val="center"/>
          </w:tcPr>
          <w:p>
            <w:pPr>
              <w:keepNext w:val="0"/>
              <w:spacing w:line="320" w:lineRule="exact" w:after="0" w:before="0"/>
              <w:ind w:firstLine="0"/>
              <w:jc w:val="left"/>
            </w:pPr>
            <w:r>
              <w:rPr>
                <w:b w:val="0"/>
                <w:sz w:val="21"/>
              </w:rPr>
              <w:t>账号、网络、路径和权限</w:t>
            </w:r>
          </w:p>
        </w:tc>
        <w:tc>
          <w:tcPr>
            <w:tcW w:type="dxa" w:w="2409"/>
            <w:vAlign w:val="center"/>
          </w:tcPr>
          <w:p>
            <w:pPr>
              <w:keepNext w:val="0"/>
              <w:spacing w:line="320" w:lineRule="exact" w:after="0" w:before="0"/>
              <w:ind w:firstLine="0"/>
              <w:jc w:val="left"/>
            </w:pPr>
            <w:r>
              <w:rPr>
                <w:b w:val="0"/>
                <w:sz w:val="21"/>
              </w:rPr>
              <w:t>允许与拒绝路径均测试</w:t>
            </w:r>
          </w:p>
        </w:tc>
        <w:tc>
          <w:tcPr>
            <w:tcW w:type="dxa" w:w="2891"/>
            <w:vAlign w:val="center"/>
          </w:tcPr>
          <w:p>
            <w:pPr>
              <w:keepNext w:val="0"/>
              <w:spacing w:line="320" w:lineRule="exact" w:after="0" w:before="0"/>
              <w:ind w:firstLine="0"/>
              <w:jc w:val="left"/>
            </w:pPr>
            <w:r>
              <w:rPr>
                <w:b w:val="0"/>
                <w:sz w:val="21"/>
              </w:rPr>
              <w:t>权限核验及访问记录</w:t>
            </w:r>
          </w:p>
        </w:tc>
      </w:tr>
      <w:tr>
        <w:trPr>
          <w:cantSplit/>
        </w:trPr>
        <w:tc>
          <w:tcPr>
            <w:tcW w:type="dxa" w:w="1638"/>
            <w:vAlign w:val="center"/>
          </w:tcPr>
          <w:p>
            <w:pPr>
              <w:keepNext w:val="0"/>
              <w:spacing w:line="320" w:lineRule="exact" w:after="0" w:before="0"/>
              <w:ind w:firstLine="0"/>
              <w:jc w:val="left"/>
            </w:pPr>
            <w:r>
              <w:rPr>
                <w:b w:val="0"/>
                <w:sz w:val="21"/>
              </w:rPr>
              <w:t>结果服务</w:t>
            </w:r>
          </w:p>
        </w:tc>
        <w:tc>
          <w:tcPr>
            <w:tcW w:type="dxa" w:w="2699"/>
            <w:vAlign w:val="center"/>
          </w:tcPr>
          <w:p>
            <w:pPr>
              <w:keepNext w:val="0"/>
              <w:spacing w:line="320" w:lineRule="exact" w:after="0" w:before="0"/>
              <w:ind w:firstLine="0"/>
              <w:jc w:val="left"/>
            </w:pPr>
            <w:r>
              <w:rPr>
                <w:b w:val="0"/>
                <w:sz w:val="21"/>
              </w:rPr>
              <w:t>数据表、图表、报告及索引</w:t>
            </w:r>
          </w:p>
        </w:tc>
        <w:tc>
          <w:tcPr>
            <w:tcW w:type="dxa" w:w="2409"/>
            <w:vAlign w:val="center"/>
          </w:tcPr>
          <w:p>
            <w:pPr>
              <w:keepNext w:val="0"/>
              <w:spacing w:line="320" w:lineRule="exact" w:after="0" w:before="0"/>
              <w:ind w:firstLine="0"/>
              <w:jc w:val="left"/>
            </w:pPr>
            <w:r>
              <w:rPr>
                <w:b w:val="0"/>
                <w:sz w:val="21"/>
              </w:rPr>
              <w:t>计分复算、引用可达</w:t>
            </w:r>
          </w:p>
        </w:tc>
        <w:tc>
          <w:tcPr>
            <w:tcW w:type="dxa" w:w="2891"/>
            <w:vAlign w:val="center"/>
          </w:tcPr>
          <w:p>
            <w:pPr>
              <w:keepNext w:val="0"/>
              <w:spacing w:line="320" w:lineRule="exact" w:after="0" w:before="0"/>
              <w:ind w:firstLine="0"/>
              <w:jc w:val="left"/>
            </w:pPr>
            <w:r>
              <w:rPr>
                <w:b w:val="0"/>
                <w:sz w:val="21"/>
              </w:rPr>
              <w:t>输出检查与复核签认</w:t>
            </w:r>
          </w:p>
        </w:tc>
      </w:tr>
    </w:tbl>
    <w:p>
      <w:pPr>
        <w:spacing w:after="40" w:line="240" w:lineRule="auto"/>
        <w:ind w:firstLine="0"/>
      </w:pPr>
      <w:r>
        <w:rPr>
          <w:sz w:val="4"/>
        </w:rPr>
      </w:r>
    </w:p>
    <w:p>
      <w:pPr>
        <w:pStyle w:val="Heading2"/>
      </w:pPr>
      <w:r>
        <w:t>3.5 数据版本与证据关联</w:t>
      </w:r>
    </w:p>
    <w:p>
      <w:pPr>
        <w:jc w:val="both"/>
      </w:pPr>
      <w:r>
        <w:t>每次运行绑定数据集版本、对象清单摘要、协议版本、规则版本和环境基线，生成唯一运行标识。每个检测结果能够定位业务领域、用途子集、样本、文件、字段或时间片段；涉及图像区域时保存坐标及原图尺寸，涉及视频时保存时间戳和帧定位，涉及时序时保存测点与起止时间。证据定位不依赖可能变化的展示序号。</w:t>
      </w:r>
    </w:p>
    <w:p>
      <w:pPr>
        <w:jc w:val="both"/>
      </w:pPr>
      <w:r>
        <w:t>内容根摘要覆盖实际数据、必要元数据和字典；最终交付封装清单再关联数据卡、检测报告、正式评测报告及其他配套文件，避免文件相互包含摘要形成循环。报告修订不修改历史数据摘要，数据变更则生成新的内容版本并重评影响范围。缺陷关闭记录同时引用发现版本和修正版本，使甲方能够验证修正前后的差异。</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4_版本证据.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图3-2 数据版本与评测证据关系</w:t>
      </w:r>
    </w:p>
    <w:p>
      <w:pPr>
        <w:pStyle w:val="Heading2"/>
      </w:pPr>
      <w:r>
        <w:t>3.6 规模和比例预核验</w:t>
      </w:r>
    </w:p>
    <w:p>
      <w:pPr>
        <w:jc w:val="both"/>
      </w:pPr>
      <w:r>
        <w:t>正式评测前预核验十六项净量、每领域有效模态、多模态条数、近三年数据和合成增强来源比例。比例分母包括预训练有效语义记录、指令完整任务、偏好完整组和基准完整题目，不能通过假定平均Token长度反推预训练记录数，也不能只统计微调及评测部分而排除预训练。用于比例汇总的记录台账保留用途和统计单位，避免直接将Token与条数混加。</w:t>
      </w:r>
    </w:p>
    <w:p>
      <w:pPr>
        <w:jc w:val="both"/>
      </w:pPr>
      <w:r>
        <w:t>模态出现次数可重叠，统计多模态占比时每个有效记录只计一次，互斥模态组合数量之和等于有效总记录数。同一内容转成不同文件格式不增加模态，多张同类型图片也不自动构成多模态。近三年以实际发布日期倒推36个自然月，以业务或资料实际形成时间认定，上传、加工或迁移时间不能替代形成时间；时间未知记录保留在分母但不计入近三年分子。</w:t>
      </w:r>
    </w:p>
    <w:p>
      <w:pPr>
        <w:jc w:val="both"/>
      </w:pPr>
      <w:r>
        <w:t>预训练合成及增强来源内容合并去重后不超过有效Token的20%；指令微调合成来源整体不超过45%，真实数据充足任务不超过30%，推理及长尾任务不超过60%，同时服从整体上限；偏好对齐含合成回答及其派生内容的组不超过50%；基准评测合成比例为零，不以人为增强扩充题量。来源性质与增强方式分别登记，纯真实增强不误记为合成，合成后再增强的内容不得借改变加工方式退出合成计量。</w:t>
      </w:r>
    </w:p>
    <w:p>
      <w:pPr>
        <w:pStyle w:val="Heading1"/>
      </w:pPr>
      <w:r>
        <w:t>4 说明文档指标评测</w:t>
      </w:r>
    </w:p>
    <w:p>
      <w:pPr>
        <w:pStyle w:val="Heading2"/>
      </w:pPr>
      <w:r>
        <w:t>4.1 文档检查范围与执行方式</w:t>
      </w:r>
    </w:p>
    <w:p>
      <w:pPr>
        <w:jc w:val="both"/>
      </w:pPr>
      <w:r>
        <w:t>说明文档检查覆盖数据集说明书、四张数据集汇总卡、十六张用途子集卡、格式及目录规范、采集和加工记录、标注规范、许可材料、版本记录、基准实验及典型应用资料。数据卡沿用A至G七组84字段的统一结构，字段编号、名称、必填性与取值约束保持一致，不因评测需要另行建立名称相似而口径不同的卡片。评测人员从文档记录出发回查实际数据，再从实际样本反向查找文档描述，验证双向可追溯。</w:t>
      </w:r>
    </w:p>
    <w:p>
      <w:pPr>
        <w:jc w:val="both"/>
      </w:pPr>
      <w:r>
        <w:t>说明文档21项全部检查，不采用仅抽取部分文件标题的方式评价完整性。检查结果区分缺项、错误、含糊、过时和不可执行，分别记录所在文件、章节、字段及受影响子集。一个共用文档覆盖多个子集时核查适用范围；对子集差异未作区分的共用描述不能直接作为全部子集的合格证据。</w:t>
      </w:r>
    </w:p>
    <w:p>
      <w:pPr>
        <w:pStyle w:val="Caption"/>
        <w:keepNext/>
      </w:pPr>
      <w:r>
        <w:t>表4-1 文档检查范围与执行方式</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指标组</w:t>
            </w:r>
          </w:p>
        </w:tc>
        <w:tc>
          <w:tcPr>
            <w:tcW w:type="dxa" w:w="2699"/>
            <w:vAlign w:val="center"/>
            <w:shd w:fill="EDF1F3"/>
          </w:tcPr>
          <w:p>
            <w:pPr>
              <w:keepNext/>
              <w:spacing w:line="320" w:lineRule="exact" w:after="0" w:before="0"/>
              <w:ind w:firstLine="0"/>
              <w:jc w:val="center"/>
            </w:pPr>
            <w:r>
              <w:rPr>
                <w:b/>
                <w:sz w:val="21"/>
              </w:rPr>
              <w:t>检查数量</w:t>
            </w:r>
          </w:p>
        </w:tc>
        <w:tc>
          <w:tcPr>
            <w:tcW w:type="dxa" w:w="2409"/>
            <w:vAlign w:val="center"/>
            <w:shd w:fill="EDF1F3"/>
          </w:tcPr>
          <w:p>
            <w:pPr>
              <w:keepNext/>
              <w:spacing w:line="320" w:lineRule="exact" w:after="0" w:before="0"/>
              <w:ind w:firstLine="0"/>
              <w:jc w:val="center"/>
            </w:pPr>
            <w:r>
              <w:rPr>
                <w:b/>
                <w:sz w:val="21"/>
              </w:rPr>
              <w:t>核心核对对象</w:t>
            </w:r>
          </w:p>
        </w:tc>
        <w:tc>
          <w:tcPr>
            <w:tcW w:type="dxa" w:w="2891"/>
            <w:vAlign w:val="center"/>
            <w:shd w:fill="EDF1F3"/>
          </w:tcPr>
          <w:p>
            <w:pPr>
              <w:keepNext/>
              <w:spacing w:line="320" w:lineRule="exact" w:after="0" w:before="0"/>
              <w:ind w:firstLine="0"/>
              <w:jc w:val="center"/>
            </w:pPr>
            <w:r>
              <w:rPr>
                <w:b/>
                <w:sz w:val="21"/>
              </w:rPr>
              <w:t>常见不合格处理</w:t>
            </w:r>
          </w:p>
        </w:tc>
      </w:tr>
      <w:tr>
        <w:trPr>
          <w:cantSplit/>
        </w:trPr>
        <w:tc>
          <w:tcPr>
            <w:tcW w:type="dxa" w:w="1638"/>
            <w:vAlign w:val="center"/>
          </w:tcPr>
          <w:p>
            <w:pPr>
              <w:keepNext w:val="0"/>
              <w:spacing w:line="320" w:lineRule="exact" w:after="0" w:before="0"/>
              <w:ind w:firstLine="0"/>
              <w:jc w:val="left"/>
            </w:pPr>
            <w:r>
              <w:rPr>
                <w:b w:val="0"/>
                <w:sz w:val="21"/>
              </w:rPr>
              <w:t>基本信息完整性</w:t>
            </w:r>
          </w:p>
        </w:tc>
        <w:tc>
          <w:tcPr>
            <w:tcW w:type="dxa" w:w="2699"/>
            <w:vAlign w:val="center"/>
          </w:tcPr>
          <w:p>
            <w:pPr>
              <w:keepNext w:val="0"/>
              <w:spacing w:line="320" w:lineRule="exact" w:after="0" w:before="0"/>
              <w:ind w:firstLine="0"/>
              <w:jc w:val="left"/>
            </w:pPr>
            <w:r>
              <w:rPr>
                <w:b w:val="0"/>
                <w:sz w:val="21"/>
              </w:rPr>
              <w:t>6项</w:t>
            </w:r>
          </w:p>
        </w:tc>
        <w:tc>
          <w:tcPr>
            <w:tcW w:type="dxa" w:w="2409"/>
            <w:vAlign w:val="center"/>
          </w:tcPr>
          <w:p>
            <w:pPr>
              <w:keepNext w:val="0"/>
              <w:spacing w:line="320" w:lineRule="exact" w:after="0" w:before="0"/>
              <w:ind w:firstLine="0"/>
              <w:jc w:val="left"/>
            </w:pPr>
            <w:r>
              <w:rPr>
                <w:b w:val="0"/>
                <w:sz w:val="21"/>
              </w:rPr>
              <w:t>规模、格式、结构、访问、支持、使用</w:t>
            </w:r>
          </w:p>
        </w:tc>
        <w:tc>
          <w:tcPr>
            <w:tcW w:type="dxa" w:w="2891"/>
            <w:vAlign w:val="center"/>
          </w:tcPr>
          <w:p>
            <w:pPr>
              <w:keepNext w:val="0"/>
              <w:spacing w:line="320" w:lineRule="exact" w:after="0" w:before="0"/>
              <w:ind w:firstLine="0"/>
              <w:jc w:val="left"/>
            </w:pPr>
            <w:r>
              <w:rPr>
                <w:b w:val="0"/>
                <w:sz w:val="21"/>
              </w:rPr>
              <w:t>补齐可执行信息并与实际封装核对</w:t>
            </w:r>
          </w:p>
        </w:tc>
      </w:tr>
      <w:tr>
        <w:trPr>
          <w:cantSplit/>
        </w:trPr>
        <w:tc>
          <w:tcPr>
            <w:tcW w:type="dxa" w:w="1638"/>
            <w:vAlign w:val="center"/>
          </w:tcPr>
          <w:p>
            <w:pPr>
              <w:keepNext w:val="0"/>
              <w:spacing w:line="320" w:lineRule="exact" w:after="0" w:before="0"/>
              <w:ind w:firstLine="0"/>
              <w:jc w:val="left"/>
            </w:pPr>
            <w:r>
              <w:rPr>
                <w:b w:val="0"/>
                <w:sz w:val="21"/>
              </w:rPr>
              <w:t>内容特征完整性</w:t>
            </w:r>
          </w:p>
        </w:tc>
        <w:tc>
          <w:tcPr>
            <w:tcW w:type="dxa" w:w="2699"/>
            <w:vAlign w:val="center"/>
          </w:tcPr>
          <w:p>
            <w:pPr>
              <w:keepNext w:val="0"/>
              <w:spacing w:line="320" w:lineRule="exact" w:after="0" w:before="0"/>
              <w:ind w:firstLine="0"/>
              <w:jc w:val="left"/>
            </w:pPr>
            <w:r>
              <w:rPr>
                <w:b w:val="0"/>
                <w:sz w:val="21"/>
              </w:rPr>
              <w:t>5项</w:t>
            </w:r>
          </w:p>
        </w:tc>
        <w:tc>
          <w:tcPr>
            <w:tcW w:type="dxa" w:w="2409"/>
            <w:vAlign w:val="center"/>
          </w:tcPr>
          <w:p>
            <w:pPr>
              <w:keepNext w:val="0"/>
              <w:spacing w:line="320" w:lineRule="exact" w:after="0" w:before="0"/>
              <w:ind w:firstLine="0"/>
              <w:jc w:val="left"/>
            </w:pPr>
            <w:r>
              <w:rPr>
                <w:b w:val="0"/>
                <w:sz w:val="21"/>
              </w:rPr>
              <w:t>模态、分布、标签、示例、局限</w:t>
            </w:r>
          </w:p>
        </w:tc>
        <w:tc>
          <w:tcPr>
            <w:tcW w:type="dxa" w:w="2891"/>
            <w:vAlign w:val="center"/>
          </w:tcPr>
          <w:p>
            <w:pPr>
              <w:keepNext w:val="0"/>
              <w:spacing w:line="320" w:lineRule="exact" w:after="0" w:before="0"/>
              <w:ind w:firstLine="0"/>
              <w:jc w:val="left"/>
            </w:pPr>
            <w:r>
              <w:rPr>
                <w:b w:val="0"/>
                <w:sz w:val="21"/>
              </w:rPr>
              <w:t>重算分布，修正范围及代表性</w:t>
            </w:r>
          </w:p>
        </w:tc>
      </w:tr>
      <w:tr>
        <w:trPr>
          <w:cantSplit/>
        </w:trPr>
        <w:tc>
          <w:tcPr>
            <w:tcW w:type="dxa" w:w="1638"/>
            <w:vAlign w:val="center"/>
          </w:tcPr>
          <w:p>
            <w:pPr>
              <w:keepNext w:val="0"/>
              <w:spacing w:line="320" w:lineRule="exact" w:after="0" w:before="0"/>
              <w:ind w:firstLine="0"/>
              <w:jc w:val="left"/>
            </w:pPr>
            <w:r>
              <w:rPr>
                <w:b w:val="0"/>
                <w:sz w:val="21"/>
              </w:rPr>
              <w:t>建设过程完整性</w:t>
            </w:r>
          </w:p>
        </w:tc>
        <w:tc>
          <w:tcPr>
            <w:tcW w:type="dxa" w:w="2699"/>
            <w:vAlign w:val="center"/>
          </w:tcPr>
          <w:p>
            <w:pPr>
              <w:keepNext w:val="0"/>
              <w:spacing w:line="320" w:lineRule="exact" w:after="0" w:before="0"/>
              <w:ind w:firstLine="0"/>
              <w:jc w:val="left"/>
            </w:pPr>
            <w:r>
              <w:rPr>
                <w:b w:val="0"/>
                <w:sz w:val="21"/>
              </w:rPr>
              <w:t>5项</w:t>
            </w:r>
          </w:p>
        </w:tc>
        <w:tc>
          <w:tcPr>
            <w:tcW w:type="dxa" w:w="2409"/>
            <w:vAlign w:val="center"/>
          </w:tcPr>
          <w:p>
            <w:pPr>
              <w:keepNext w:val="0"/>
              <w:spacing w:line="320" w:lineRule="exact" w:after="0" w:before="0"/>
              <w:ind w:firstLine="0"/>
              <w:jc w:val="left"/>
            </w:pPr>
            <w:r>
              <w:rPr>
                <w:b w:val="0"/>
                <w:sz w:val="21"/>
              </w:rPr>
              <w:t>来源、采集、加工、标注、版本</w:t>
            </w:r>
          </w:p>
        </w:tc>
        <w:tc>
          <w:tcPr>
            <w:tcW w:type="dxa" w:w="2891"/>
            <w:vAlign w:val="center"/>
          </w:tcPr>
          <w:p>
            <w:pPr>
              <w:keepNext w:val="0"/>
              <w:spacing w:line="320" w:lineRule="exact" w:after="0" w:before="0"/>
              <w:ind w:firstLine="0"/>
              <w:jc w:val="left"/>
            </w:pPr>
            <w:r>
              <w:rPr>
                <w:b w:val="0"/>
                <w:sz w:val="21"/>
              </w:rPr>
              <w:t>补齐真实记录，恢复处理链条</w:t>
            </w:r>
          </w:p>
        </w:tc>
      </w:tr>
      <w:tr>
        <w:trPr>
          <w:cantSplit/>
        </w:trPr>
        <w:tc>
          <w:tcPr>
            <w:tcW w:type="dxa" w:w="1638"/>
            <w:vAlign w:val="center"/>
          </w:tcPr>
          <w:p>
            <w:pPr>
              <w:keepNext w:val="0"/>
              <w:spacing w:line="320" w:lineRule="exact" w:after="0" w:before="0"/>
              <w:ind w:firstLine="0"/>
              <w:jc w:val="left"/>
            </w:pPr>
            <w:r>
              <w:rPr>
                <w:b w:val="0"/>
                <w:sz w:val="21"/>
              </w:rPr>
              <w:t>应用说明完整性</w:t>
            </w:r>
          </w:p>
        </w:tc>
        <w:tc>
          <w:tcPr>
            <w:tcW w:type="dxa" w:w="2699"/>
            <w:vAlign w:val="center"/>
          </w:tcPr>
          <w:p>
            <w:pPr>
              <w:keepNext w:val="0"/>
              <w:spacing w:line="320" w:lineRule="exact" w:after="0" w:before="0"/>
              <w:ind w:firstLine="0"/>
              <w:jc w:val="left"/>
            </w:pPr>
            <w:r>
              <w:rPr>
                <w:b w:val="0"/>
                <w:sz w:val="21"/>
              </w:rPr>
              <w:t>5项</w:t>
            </w:r>
          </w:p>
        </w:tc>
        <w:tc>
          <w:tcPr>
            <w:tcW w:type="dxa" w:w="2409"/>
            <w:vAlign w:val="center"/>
          </w:tcPr>
          <w:p>
            <w:pPr>
              <w:keepNext w:val="0"/>
              <w:spacing w:line="320" w:lineRule="exact" w:after="0" w:before="0"/>
              <w:ind w:firstLine="0"/>
              <w:jc w:val="left"/>
            </w:pPr>
            <w:r>
              <w:rPr>
                <w:b w:val="0"/>
                <w:sz w:val="21"/>
              </w:rPr>
              <w:t>许可、场景、方法、基线、案例</w:t>
            </w:r>
          </w:p>
        </w:tc>
        <w:tc>
          <w:tcPr>
            <w:tcW w:type="dxa" w:w="2891"/>
            <w:vAlign w:val="center"/>
          </w:tcPr>
          <w:p>
            <w:pPr>
              <w:keepNext w:val="0"/>
              <w:spacing w:line="320" w:lineRule="exact" w:after="0" w:before="0"/>
              <w:ind w:firstLine="0"/>
              <w:jc w:val="left"/>
            </w:pPr>
            <w:r>
              <w:rPr>
                <w:b w:val="0"/>
                <w:sz w:val="21"/>
              </w:rPr>
              <w:t>核实使用边界和效果证据</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5" name="Picture 5"/>
            <wp:cNvGraphicFramePr>
              <a:graphicFrameLocks noChangeAspect="1"/>
            </wp:cNvGraphicFramePr>
            <a:graphic>
              <a:graphicData uri="http://schemas.openxmlformats.org/drawingml/2006/picture">
                <pic:pic>
                  <pic:nvPicPr>
                    <pic:cNvPr id="0" name="图5_说明文档.png"/>
                    <pic:cNvPicPr/>
                  </pic:nvPicPr>
                  <pic:blipFill>
                    <a:blip r:embed="rId15"/>
                    <a:stretch>
                      <a:fillRect/>
                    </a:stretch>
                  </pic:blipFill>
                  <pic:spPr>
                    <a:xfrm>
                      <a:off x="0" y="0"/>
                      <a:ext cx="6048000" cy="2477354"/>
                    </a:xfrm>
                    <a:prstGeom prst="rect"/>
                  </pic:spPr>
                </pic:pic>
              </a:graphicData>
            </a:graphic>
          </wp:inline>
        </w:drawing>
      </w:r>
    </w:p>
    <w:p>
      <w:pPr>
        <w:pStyle w:val="Caption"/>
        <w:jc w:val="center"/>
      </w:pPr>
      <w:r>
        <w:t>图4-1 说明文档全项检查</w:t>
      </w:r>
    </w:p>
    <w:p>
      <w:pPr>
        <w:pStyle w:val="Heading2"/>
      </w:pPr>
      <w:r>
        <w:t>4.2 基本信息完整性</w:t>
      </w:r>
    </w:p>
    <w:p>
      <w:pPr>
        <w:pStyle w:val="Heading3"/>
      </w:pPr>
      <w:r>
        <w:t>4.2.1 数据集规模</w:t>
      </w:r>
    </w:p>
    <w:p>
      <w:pPr>
        <w:jc w:val="both"/>
      </w:pPr>
      <w:r>
        <w:t>指标1.1.1核查规模描述是否覆盖有效样本数、存储空间及适用的Token、音视频时长等信息，明确单位、统计对象、统计时间及版本。评测人员从冻结清单复算四大数据集及十六个用途子集数量，与说明书、数据卡和交付清单逐项比对。压缩前后体积、原始文件量和有效逻辑样本量分别列示，不把存储文件数直接当作训练样本数。</w:t>
      </w:r>
    </w:p>
    <w:p>
      <w:pPr>
        <w:jc w:val="both"/>
      </w:pPr>
      <w:r>
        <w:t>文本计量检查分词器及特殊标记口径，音视频时长检查有效片段与重叠片段处理，偏好组检查组内回答数量与组数的区别。存在修正、剔除和补充时，核对净量变化是否同步反映到文档。发现数量差异后定位至批次和计量脚本，修正实际记录或文档，并重新复算全部受影响汇总项。</w:t>
      </w:r>
    </w:p>
    <w:p>
      <w:pPr>
        <w:pStyle w:val="Heading3"/>
      </w:pPr>
      <w:r>
        <w:t>4.2.2 格式规范</w:t>
      </w:r>
    </w:p>
    <w:p>
      <w:pPr>
        <w:jc w:val="both"/>
      </w:pPr>
      <w:r>
        <w:t>指标1.1.2核查文件类型、编码方式、字段结构、数据类型、单位、缺失值表达、关联键及附件引用是否定义清楚。文本检查字符编码和换行处理，图像检查尺寸与色彩信息，时序检查时间格式、时区和测点单位，音视频检查容器、编码及时间轴。模型输入的封装规则应与原始业务语义保持对应。</w:t>
      </w:r>
    </w:p>
    <w:p>
      <w:pPr>
        <w:jc w:val="both"/>
      </w:pPr>
      <w:r>
        <w:t>检查人员依据格式文档编写或配置独立解析任务，验证实际文件能被正确读取。能够打开文件不代表格式定义完整，还需验证字段含义、枚举取值和关系约束。发现文档与文件不一致时，确认应采用的实际规范后统一修正，避免通过临时兼容代码掩盖未经登记的多套格式。</w:t>
      </w:r>
    </w:p>
    <w:p>
      <w:pPr>
        <w:pStyle w:val="Heading3"/>
      </w:pPr>
      <w:r>
        <w:t>4.2.3 文件结构</w:t>
      </w:r>
    </w:p>
    <w:p>
      <w:pPr>
        <w:jc w:val="both"/>
      </w:pPr>
      <w:r>
        <w:t>指标1.1.3核查目录层次、文件命名、分片规则、说明文件、标签文件、原始附件及索引文件之间的关系。评测从根目录清单逐层解析，验证必要目录存在、文件路径可达、大小写及字符规则一致，检查孤立附件、悬空引用和误放在其他用途目录的样本。</w:t>
      </w:r>
    </w:p>
    <w:p>
      <w:pPr>
        <w:jc w:val="both"/>
      </w:pPr>
      <w:r>
        <w:t>对大型分片数据同时检查分片总数、序号连续性和清单摘要，不以单个分片可读推断整套数据完整。对一条记录关联多个模态文件的情况，验证路径及对象标识保持一一对应。目录结构调整后重新运行引用检查，并保存旧路径到新对象的对应记录，防止文档更新但加载脚本仍引用旧位置。</w:t>
      </w:r>
    </w:p>
    <w:p>
      <w:pPr>
        <w:pStyle w:val="Heading3"/>
      </w:pPr>
      <w:r>
        <w:t>4.2.4 获取渠道</w:t>
      </w:r>
    </w:p>
    <w:p>
      <w:pPr>
        <w:jc w:val="both"/>
      </w:pPr>
      <w:r>
        <w:t>指标1.1.4核查获取数据的入口、申请条件、审批流程、权限期限、可获得版本和访问失败处理方式。对于内网受控数据，采用甲方批准的目录、接口或申请路径，不要求设置公网下载地址。评测人员以获准测试账号执行申请、授权、读取、拒绝及到期回收流程，核对文档步骤与实际行为。</w:t>
      </w:r>
    </w:p>
    <w:p>
      <w:pPr>
        <w:jc w:val="both"/>
      </w:pPr>
      <w:r>
        <w:t>渠道验证同时检查可访问范围是否符合数据级别和用途许可。无权账号能够访问、已撤销授权仍可下载、链接指向非正式版本均列为缺陷。修正后复验正常访问与越权拒绝两类路径，保留实际请求、权限判断及结果，不以截图中存在入口代替功能可用性证据。</w:t>
      </w:r>
    </w:p>
    <w:p>
      <w:pPr>
        <w:pStyle w:val="Heading3"/>
      </w:pPr>
      <w:r>
        <w:t>4.2.5 技术支持</w:t>
      </w:r>
    </w:p>
    <w:p>
      <w:pPr>
        <w:jc w:val="both"/>
      </w:pPr>
      <w:r>
        <w:t>指标1.1.5核查正式技术支持渠道、受理范围、问题分类、升级路径及记录方式。支持方式可以为甲方内网服务台、经确认的工作邮箱或问题管理系统，联系方式与责任岗位由项目服务安排统一维护。文档应使使用者能够提交数据读取、字段含义、版本及质量问题并获取处理进展。</w:t>
      </w:r>
    </w:p>
    <w:p>
      <w:pPr>
        <w:jc w:val="both"/>
      </w:pPr>
      <w:r>
        <w:t>评测通过实际测试工单验证渠道可达、能够登记对象和版本、能够关联处理记录。对仅列个人姓名但无岗位接替机制、渠道已失效或问题无法追踪的情况提出整改。支持记录中的原始敏感样本通过受控附件方式提交，避免使用公开论坛或不受控通信渠道传播业务数据。</w:t>
      </w:r>
    </w:p>
    <w:p>
      <w:pPr>
        <w:pStyle w:val="Heading3"/>
      </w:pPr>
      <w:r>
        <w:t>4.2.6 使用便捷性</w:t>
      </w:r>
    </w:p>
    <w:p>
      <w:pPr>
        <w:jc w:val="both"/>
      </w:pPr>
      <w:r>
        <w:t>指标1.1.6检查使用者能否根据说明完成数据解包、加载、字段理解、样本检索及基础验证。评测选取不同用途和实际模态，在隔离环境中按文档步骤独立操作，记录所需依赖、执行顺序、常见错误和结果验证方式。加载示例应使用正式版本中可定位且允许展示的样本。</w:t>
      </w:r>
    </w:p>
    <w:p>
      <w:pPr>
        <w:jc w:val="both"/>
      </w:pPr>
      <w:r>
        <w:t>便捷性不以放宽权限或省略安全检查实现。必要的审批、解密和脱敏步骤应写入操作流程，使用者无需绕过控制即可完成获准操作。遇到路径硬编码、依赖缺失、单位不明和示例与数据不符等问题时，修正说明及配套脚本，再由未参与编写的人员重新验证完整使用过程。</w:t>
      </w:r>
    </w:p>
    <w:p>
      <w:pPr>
        <w:pStyle w:val="Caption"/>
        <w:keepNext/>
      </w:pPr>
      <w:r>
        <w:t>表4-2 基本信息交叉核验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基本信息项目</w:t>
            </w:r>
          </w:p>
        </w:tc>
        <w:tc>
          <w:tcPr>
            <w:tcW w:type="dxa" w:w="3855"/>
            <w:vAlign w:val="center"/>
            <w:shd w:fill="EDF1F3"/>
          </w:tcPr>
          <w:p>
            <w:pPr>
              <w:keepNext/>
              <w:spacing w:line="320" w:lineRule="exact" w:after="0" w:before="0"/>
              <w:ind w:firstLine="0"/>
              <w:jc w:val="center"/>
            </w:pPr>
            <w:r>
              <w:rPr>
                <w:b/>
                <w:sz w:val="21"/>
              </w:rPr>
              <w:t>交叉核对材料</w:t>
            </w:r>
          </w:p>
        </w:tc>
        <w:tc>
          <w:tcPr>
            <w:tcW w:type="dxa" w:w="3277"/>
            <w:vAlign w:val="center"/>
            <w:shd w:fill="EDF1F3"/>
          </w:tcPr>
          <w:p>
            <w:pPr>
              <w:keepNext/>
              <w:spacing w:line="320" w:lineRule="exact" w:after="0" w:before="0"/>
              <w:ind w:firstLine="0"/>
              <w:jc w:val="center"/>
            </w:pPr>
            <w:r>
              <w:rPr>
                <w:b/>
                <w:sz w:val="21"/>
              </w:rPr>
              <w:t>实际验证动作</w:t>
            </w:r>
          </w:p>
        </w:tc>
      </w:tr>
      <w:tr>
        <w:trPr>
          <w:cantSplit/>
        </w:trPr>
        <w:tc>
          <w:tcPr>
            <w:tcW w:type="dxa" w:w="2506"/>
            <w:vAlign w:val="center"/>
          </w:tcPr>
          <w:p>
            <w:pPr>
              <w:keepNext w:val="0"/>
              <w:spacing w:line="320" w:lineRule="exact" w:after="0" w:before="0"/>
              <w:ind w:firstLine="0"/>
              <w:jc w:val="left"/>
            </w:pPr>
            <w:r>
              <w:rPr>
                <w:b w:val="0"/>
                <w:sz w:val="21"/>
              </w:rPr>
              <w:t>规模与格式</w:t>
            </w:r>
          </w:p>
        </w:tc>
        <w:tc>
          <w:tcPr>
            <w:tcW w:type="dxa" w:w="3855"/>
            <w:vAlign w:val="center"/>
          </w:tcPr>
          <w:p>
            <w:pPr>
              <w:keepNext w:val="0"/>
              <w:spacing w:line="320" w:lineRule="exact" w:after="0" w:before="0"/>
              <w:ind w:firstLine="0"/>
              <w:jc w:val="left"/>
            </w:pPr>
            <w:r>
              <w:rPr>
                <w:b w:val="0"/>
                <w:sz w:val="21"/>
              </w:rPr>
              <w:t>数据卡、清单、计量及解析配置</w:t>
            </w:r>
          </w:p>
        </w:tc>
        <w:tc>
          <w:tcPr>
            <w:tcW w:type="dxa" w:w="3277"/>
            <w:vAlign w:val="center"/>
          </w:tcPr>
          <w:p>
            <w:pPr>
              <w:keepNext w:val="0"/>
              <w:spacing w:line="320" w:lineRule="exact" w:after="0" w:before="0"/>
              <w:ind w:firstLine="0"/>
              <w:jc w:val="left"/>
            </w:pPr>
            <w:r>
              <w:rPr>
                <w:b w:val="0"/>
                <w:sz w:val="21"/>
              </w:rPr>
              <w:t>复算净量并独立加载</w:t>
            </w:r>
          </w:p>
        </w:tc>
      </w:tr>
      <w:tr>
        <w:trPr>
          <w:cantSplit/>
        </w:trPr>
        <w:tc>
          <w:tcPr>
            <w:tcW w:type="dxa" w:w="2506"/>
            <w:vAlign w:val="center"/>
          </w:tcPr>
          <w:p>
            <w:pPr>
              <w:keepNext w:val="0"/>
              <w:spacing w:line="320" w:lineRule="exact" w:after="0" w:before="0"/>
              <w:ind w:firstLine="0"/>
              <w:jc w:val="left"/>
            </w:pPr>
            <w:r>
              <w:rPr>
                <w:b w:val="0"/>
                <w:sz w:val="21"/>
              </w:rPr>
              <w:t>文件结构</w:t>
            </w:r>
          </w:p>
        </w:tc>
        <w:tc>
          <w:tcPr>
            <w:tcW w:type="dxa" w:w="3855"/>
            <w:vAlign w:val="center"/>
          </w:tcPr>
          <w:p>
            <w:pPr>
              <w:keepNext w:val="0"/>
              <w:spacing w:line="320" w:lineRule="exact" w:after="0" w:before="0"/>
              <w:ind w:firstLine="0"/>
              <w:jc w:val="left"/>
            </w:pPr>
            <w:r>
              <w:rPr>
                <w:b w:val="0"/>
                <w:sz w:val="21"/>
              </w:rPr>
              <w:t>目录规范、索引及附件关系</w:t>
            </w:r>
          </w:p>
        </w:tc>
        <w:tc>
          <w:tcPr>
            <w:tcW w:type="dxa" w:w="3277"/>
            <w:vAlign w:val="center"/>
          </w:tcPr>
          <w:p>
            <w:pPr>
              <w:keepNext w:val="0"/>
              <w:spacing w:line="320" w:lineRule="exact" w:after="0" w:before="0"/>
              <w:ind w:firstLine="0"/>
              <w:jc w:val="left"/>
            </w:pPr>
            <w:r>
              <w:rPr>
                <w:b w:val="0"/>
                <w:sz w:val="21"/>
              </w:rPr>
              <w:t>全路径校验和关联检查</w:t>
            </w:r>
          </w:p>
        </w:tc>
      </w:tr>
      <w:tr>
        <w:trPr>
          <w:cantSplit/>
        </w:trPr>
        <w:tc>
          <w:tcPr>
            <w:tcW w:type="dxa" w:w="2506"/>
            <w:vAlign w:val="center"/>
          </w:tcPr>
          <w:p>
            <w:pPr>
              <w:keepNext w:val="0"/>
              <w:spacing w:line="320" w:lineRule="exact" w:after="0" w:before="0"/>
              <w:ind w:firstLine="0"/>
              <w:jc w:val="left"/>
            </w:pPr>
            <w:r>
              <w:rPr>
                <w:b w:val="0"/>
                <w:sz w:val="21"/>
              </w:rPr>
              <w:t>获取渠道</w:t>
            </w:r>
          </w:p>
        </w:tc>
        <w:tc>
          <w:tcPr>
            <w:tcW w:type="dxa" w:w="3855"/>
            <w:vAlign w:val="center"/>
          </w:tcPr>
          <w:p>
            <w:pPr>
              <w:keepNext w:val="0"/>
              <w:spacing w:line="320" w:lineRule="exact" w:after="0" w:before="0"/>
              <w:ind w:firstLine="0"/>
              <w:jc w:val="left"/>
            </w:pPr>
            <w:r>
              <w:rPr>
                <w:b w:val="0"/>
                <w:sz w:val="21"/>
              </w:rPr>
              <w:t>访问流程、授权及版本目录</w:t>
            </w:r>
          </w:p>
        </w:tc>
        <w:tc>
          <w:tcPr>
            <w:tcW w:type="dxa" w:w="3277"/>
            <w:vAlign w:val="center"/>
          </w:tcPr>
          <w:p>
            <w:pPr>
              <w:keepNext w:val="0"/>
              <w:spacing w:line="320" w:lineRule="exact" w:after="0" w:before="0"/>
              <w:ind w:firstLine="0"/>
              <w:jc w:val="left"/>
            </w:pPr>
            <w:r>
              <w:rPr>
                <w:b w:val="0"/>
                <w:sz w:val="21"/>
              </w:rPr>
              <w:t>授权、拒绝及回收测试</w:t>
            </w:r>
          </w:p>
        </w:tc>
      </w:tr>
      <w:tr>
        <w:trPr>
          <w:cantSplit/>
        </w:trPr>
        <w:tc>
          <w:tcPr>
            <w:tcW w:type="dxa" w:w="2506"/>
            <w:vAlign w:val="center"/>
          </w:tcPr>
          <w:p>
            <w:pPr>
              <w:keepNext w:val="0"/>
              <w:spacing w:line="320" w:lineRule="exact" w:after="0" w:before="0"/>
              <w:ind w:firstLine="0"/>
              <w:jc w:val="left"/>
            </w:pPr>
            <w:r>
              <w:rPr>
                <w:b w:val="0"/>
                <w:sz w:val="21"/>
              </w:rPr>
              <w:t>技术支持</w:t>
            </w:r>
          </w:p>
        </w:tc>
        <w:tc>
          <w:tcPr>
            <w:tcW w:type="dxa" w:w="3855"/>
            <w:vAlign w:val="center"/>
          </w:tcPr>
          <w:p>
            <w:pPr>
              <w:keepNext w:val="0"/>
              <w:spacing w:line="320" w:lineRule="exact" w:after="0" w:before="0"/>
              <w:ind w:firstLine="0"/>
              <w:jc w:val="left"/>
            </w:pPr>
            <w:r>
              <w:rPr>
                <w:b w:val="0"/>
                <w:sz w:val="21"/>
              </w:rPr>
              <w:t>服务台、责任岗位及工单记录</w:t>
            </w:r>
          </w:p>
        </w:tc>
        <w:tc>
          <w:tcPr>
            <w:tcW w:type="dxa" w:w="3277"/>
            <w:vAlign w:val="center"/>
          </w:tcPr>
          <w:p>
            <w:pPr>
              <w:keepNext w:val="0"/>
              <w:spacing w:line="320" w:lineRule="exact" w:after="0" w:before="0"/>
              <w:ind w:firstLine="0"/>
              <w:jc w:val="left"/>
            </w:pPr>
            <w:r>
              <w:rPr>
                <w:b w:val="0"/>
                <w:sz w:val="21"/>
              </w:rPr>
              <w:t>提交并追踪实际测试问题</w:t>
            </w:r>
          </w:p>
        </w:tc>
      </w:tr>
      <w:tr>
        <w:trPr>
          <w:cantSplit/>
        </w:trPr>
        <w:tc>
          <w:tcPr>
            <w:tcW w:type="dxa" w:w="2506"/>
            <w:vAlign w:val="center"/>
          </w:tcPr>
          <w:p>
            <w:pPr>
              <w:keepNext w:val="0"/>
              <w:spacing w:line="320" w:lineRule="exact" w:after="0" w:before="0"/>
              <w:ind w:firstLine="0"/>
              <w:jc w:val="left"/>
            </w:pPr>
            <w:r>
              <w:rPr>
                <w:b w:val="0"/>
                <w:sz w:val="21"/>
              </w:rPr>
              <w:t>使用便捷性</w:t>
            </w:r>
          </w:p>
        </w:tc>
        <w:tc>
          <w:tcPr>
            <w:tcW w:type="dxa" w:w="3855"/>
            <w:vAlign w:val="center"/>
          </w:tcPr>
          <w:p>
            <w:pPr>
              <w:keepNext w:val="0"/>
              <w:spacing w:line="320" w:lineRule="exact" w:after="0" w:before="0"/>
              <w:ind w:firstLine="0"/>
              <w:jc w:val="left"/>
            </w:pPr>
            <w:r>
              <w:rPr>
                <w:b w:val="0"/>
                <w:sz w:val="21"/>
              </w:rPr>
              <w:t>操作说明、依赖和样例</w:t>
            </w:r>
          </w:p>
        </w:tc>
        <w:tc>
          <w:tcPr>
            <w:tcW w:type="dxa" w:w="3277"/>
            <w:vAlign w:val="center"/>
          </w:tcPr>
          <w:p>
            <w:pPr>
              <w:keepNext w:val="0"/>
              <w:spacing w:line="320" w:lineRule="exact" w:after="0" w:before="0"/>
              <w:ind w:firstLine="0"/>
              <w:jc w:val="left"/>
            </w:pPr>
            <w:r>
              <w:rPr>
                <w:b w:val="0"/>
                <w:sz w:val="21"/>
              </w:rPr>
              <w:t>按说明完成完整使用过程</w:t>
            </w:r>
          </w:p>
        </w:tc>
      </w:tr>
    </w:tbl>
    <w:p>
      <w:pPr>
        <w:spacing w:after="40" w:line="240" w:lineRule="auto"/>
        <w:ind w:firstLine="0"/>
      </w:pPr>
      <w:r>
        <w:rPr>
          <w:sz w:val="4"/>
        </w:rPr>
      </w:r>
    </w:p>
    <w:p>
      <w:pPr>
        <w:pStyle w:val="Heading2"/>
      </w:pPr>
      <w:r>
        <w:t>4.3 内容特征完整性</w:t>
      </w:r>
    </w:p>
    <w:p>
      <w:pPr>
        <w:pStyle w:val="Heading3"/>
      </w:pPr>
      <w:r>
        <w:t>4.3.1 模态类型</w:t>
      </w:r>
    </w:p>
    <w:p>
      <w:pPr>
        <w:jc w:val="both"/>
      </w:pPr>
      <w:r>
        <w:t>指标1.2.1核查文档是否准确列出文本、图像、时序、视频及实际存在的音频，并区分单模态记录、多模态组合和附带元数据。时序波形图只是原始时序的展示方式时，文档必须说明其与测点序列的关系，不能用一个图片文件同时虚增独立图像模态和时序模态的样本量。</w:t>
      </w:r>
    </w:p>
    <w:p>
      <w:pPr>
        <w:jc w:val="both"/>
      </w:pPr>
      <w:r>
        <w:t>评测从实际记录中的可用内容核对模态，不仅依赖文件后缀。多模态样本需要具备共同业务对象、相互关联的内容和有效对齐关系。文档中的模态组合分布与互斥组合统计逐项比对，检查每个领域不少于三种有效模态及多模态条数占比要求是否有可复算依据。</w:t>
      </w:r>
    </w:p>
    <w:p>
      <w:pPr>
        <w:pStyle w:val="Heading3"/>
      </w:pPr>
      <w:r>
        <w:t>4.3.2 数据分布</w:t>
      </w:r>
    </w:p>
    <w:p>
      <w:pPr>
        <w:jc w:val="both"/>
      </w:pPr>
      <w:r>
        <w:t>指标1.2.2检查业务主题、来源、时间、标签、设备、工况、用途及模态的分布描述是否完整，明确统计单位与分母。评测重算分布并核对合计及比例，识别总体数量正确但部分场景未被展示的情况。涉及长尾类别时同时列示比例和实际数量，避免用百分比掩盖极少样本或零覆盖。</w:t>
      </w:r>
    </w:p>
    <w:p>
      <w:pPr>
        <w:jc w:val="both"/>
      </w:pPr>
      <w:r>
        <w:t>分布描述应能解释数据适用范围及限制，不将人为均衡后的训练分布表述为现场自然分布。训练、验证和测试集分别统计，合成及增强内容另列来源构成。修正分布图表后核查对应数据卡、模型实验分层及场景覆盖清单，确保各处使用同一标签版本和对象范围。</w:t>
      </w:r>
    </w:p>
    <w:p>
      <w:pPr>
        <w:pStyle w:val="Heading3"/>
      </w:pPr>
      <w:r>
        <w:t>4.3.3 标签类别</w:t>
      </w:r>
    </w:p>
    <w:p>
      <w:pPr>
        <w:jc w:val="both"/>
      </w:pPr>
      <w:r>
        <w:t>指标1.2.3检查标签名称、定义、层级、编码、取值范围、数量分布及互斥关系。评测将说明文档与标签字典、实际标注文件比对，核查废弃标签、同义重复、父子类别混用和标签有定义但没有实际样本等情况。多标签任务需明确一条样本能否同时属于多个类别及对应计量方法。</w:t>
      </w:r>
    </w:p>
    <w:p>
      <w:pPr>
        <w:jc w:val="both"/>
      </w:pPr>
      <w:r>
        <w:t>类别数量不以标签文件中的不同字符串简单统计，先确认编码和同义关系。专业缺陷标签依据甲方确认的判据核定，不能将不同检验方法产生的结论直接混同。标签更新后检查历史版本映射、样本迁移和模型输出解释是否同步完成，并保留前后差异。</w:t>
      </w:r>
    </w:p>
    <w:p>
      <w:pPr>
        <w:pStyle w:val="Heading3"/>
      </w:pPr>
      <w:r>
        <w:t>4.3.4 样本示例</w:t>
      </w:r>
    </w:p>
    <w:p>
      <w:pPr>
        <w:jc w:val="both"/>
      </w:pPr>
      <w:r>
        <w:t>指标1.2.4核查示例是否来自当前数据版本，覆盖代表性模态、任务和难度，完整包含必要输入、输出、标签及关联附件。示例应能够通过对象标识在正式数据中定位，不能用临时编造的内容代替真实样本。涉及受限内容时采用经批准的脱敏展示，原始证据在受控环境核验。</w:t>
      </w:r>
    </w:p>
    <w:p>
      <w:pPr>
        <w:jc w:val="both"/>
      </w:pPr>
      <w:r>
        <w:t>评测检查示例能否按文档方法加载和执行评价，所示结果是否与标签及业务依据一致。对只展示正确、清晰且简单样本的情况，补充实际存在的边界条件和适用限制，帮助使用者判断数据能力范围。示例不作为整个数据集质量的替代证据，其作用是验证说明的清晰性和代表性。</w:t>
      </w:r>
    </w:p>
    <w:p>
      <w:pPr>
        <w:pStyle w:val="Heading3"/>
      </w:pPr>
      <w:r>
        <w:t>4.3.5 局限性说明</w:t>
      </w:r>
    </w:p>
    <w:p>
      <w:pPr>
        <w:jc w:val="both"/>
      </w:pPr>
      <w:r>
        <w:t>指标1.2.5核查数据覆盖边界、少见工况、时间范围、来源偏差、标注不确定性及不适用用途是否如实描述。局限性须与实际分布和评测结果一致，不能只写通用提示，也不能将招标要求必须整改的缺陷改称局限性后保留。已知错误仍进入缺陷整改流程。</w:t>
      </w:r>
    </w:p>
    <w:p>
      <w:pPr>
        <w:jc w:val="both"/>
      </w:pPr>
      <w:r>
        <w:t>对于经过批准且不构成交付不合格的应用边界，说明其对象、原因和使用条件，例如某类设备或特殊工况不在已验证范围。评测将局限性与模型失败样本、数据卡及许可条件交叉核对，防止报告声称广泛适用而数据实际覆盖有限。版本补充相关场景后，重新验证并更新局限性记录。</w:t>
      </w:r>
    </w:p>
    <w:p>
      <w:pPr>
        <w:pStyle w:val="Caption"/>
        <w:keepNext/>
      </w:pPr>
      <w:r>
        <w:t>表4-3 内容特征与实际数据核验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内容特征项目</w:t>
            </w:r>
          </w:p>
        </w:tc>
        <w:tc>
          <w:tcPr>
            <w:tcW w:type="dxa" w:w="3855"/>
            <w:vAlign w:val="center"/>
            <w:shd w:fill="EDF1F3"/>
          </w:tcPr>
          <w:p>
            <w:pPr>
              <w:keepNext/>
              <w:spacing w:line="320" w:lineRule="exact" w:after="0" w:before="0"/>
              <w:ind w:firstLine="0"/>
              <w:jc w:val="center"/>
            </w:pPr>
            <w:r>
              <w:rPr>
                <w:b/>
                <w:sz w:val="21"/>
              </w:rPr>
              <w:t>应展示的信息</w:t>
            </w:r>
          </w:p>
        </w:tc>
        <w:tc>
          <w:tcPr>
            <w:tcW w:type="dxa" w:w="3277"/>
            <w:vAlign w:val="center"/>
            <w:shd w:fill="EDF1F3"/>
          </w:tcPr>
          <w:p>
            <w:pPr>
              <w:keepNext/>
              <w:spacing w:line="320" w:lineRule="exact" w:after="0" w:before="0"/>
              <w:ind w:firstLine="0"/>
              <w:jc w:val="center"/>
            </w:pPr>
            <w:r>
              <w:rPr>
                <w:b/>
                <w:sz w:val="21"/>
              </w:rPr>
              <w:t>一致性核验</w:t>
            </w:r>
          </w:p>
        </w:tc>
      </w:tr>
      <w:tr>
        <w:trPr>
          <w:cantSplit/>
        </w:trPr>
        <w:tc>
          <w:tcPr>
            <w:tcW w:type="dxa" w:w="2506"/>
            <w:vAlign w:val="center"/>
          </w:tcPr>
          <w:p>
            <w:pPr>
              <w:keepNext w:val="0"/>
              <w:spacing w:line="320" w:lineRule="exact" w:after="0" w:before="0"/>
              <w:ind w:firstLine="0"/>
              <w:jc w:val="left"/>
            </w:pPr>
            <w:r>
              <w:rPr>
                <w:b w:val="0"/>
                <w:sz w:val="21"/>
              </w:rPr>
              <w:t>模态类型</w:t>
            </w:r>
          </w:p>
        </w:tc>
        <w:tc>
          <w:tcPr>
            <w:tcW w:type="dxa" w:w="3855"/>
            <w:vAlign w:val="center"/>
          </w:tcPr>
          <w:p>
            <w:pPr>
              <w:keepNext w:val="0"/>
              <w:spacing w:line="320" w:lineRule="exact" w:after="0" w:before="0"/>
              <w:ind w:firstLine="0"/>
              <w:jc w:val="left"/>
            </w:pPr>
            <w:r>
              <w:rPr>
                <w:b w:val="0"/>
                <w:sz w:val="21"/>
              </w:rPr>
              <w:t>实际内容及互斥模态组合</w:t>
            </w:r>
          </w:p>
        </w:tc>
        <w:tc>
          <w:tcPr>
            <w:tcW w:type="dxa" w:w="3277"/>
            <w:vAlign w:val="center"/>
          </w:tcPr>
          <w:p>
            <w:pPr>
              <w:keepNext w:val="0"/>
              <w:spacing w:line="320" w:lineRule="exact" w:after="0" w:before="0"/>
              <w:ind w:firstLine="0"/>
              <w:jc w:val="left"/>
            </w:pPr>
            <w:r>
              <w:rPr>
                <w:b w:val="0"/>
                <w:sz w:val="21"/>
              </w:rPr>
              <w:t>不以文件格式虚增模态</w:t>
            </w:r>
          </w:p>
        </w:tc>
      </w:tr>
      <w:tr>
        <w:trPr>
          <w:cantSplit/>
        </w:trPr>
        <w:tc>
          <w:tcPr>
            <w:tcW w:type="dxa" w:w="2506"/>
            <w:vAlign w:val="center"/>
          </w:tcPr>
          <w:p>
            <w:pPr>
              <w:keepNext w:val="0"/>
              <w:spacing w:line="320" w:lineRule="exact" w:after="0" w:before="0"/>
              <w:ind w:firstLine="0"/>
              <w:jc w:val="left"/>
            </w:pPr>
            <w:r>
              <w:rPr>
                <w:b w:val="0"/>
                <w:sz w:val="21"/>
              </w:rPr>
              <w:t>数据分布</w:t>
            </w:r>
          </w:p>
        </w:tc>
        <w:tc>
          <w:tcPr>
            <w:tcW w:type="dxa" w:w="3855"/>
            <w:vAlign w:val="center"/>
          </w:tcPr>
          <w:p>
            <w:pPr>
              <w:keepNext w:val="0"/>
              <w:spacing w:line="320" w:lineRule="exact" w:after="0" w:before="0"/>
              <w:ind w:firstLine="0"/>
              <w:jc w:val="left"/>
            </w:pPr>
            <w:r>
              <w:rPr>
                <w:b w:val="0"/>
                <w:sz w:val="21"/>
              </w:rPr>
              <w:t>主题、来源、时间及难度</w:t>
            </w:r>
          </w:p>
        </w:tc>
        <w:tc>
          <w:tcPr>
            <w:tcW w:type="dxa" w:w="3277"/>
            <w:vAlign w:val="center"/>
          </w:tcPr>
          <w:p>
            <w:pPr>
              <w:keepNext w:val="0"/>
              <w:spacing w:line="320" w:lineRule="exact" w:after="0" w:before="0"/>
              <w:ind w:firstLine="0"/>
              <w:jc w:val="left"/>
            </w:pPr>
            <w:r>
              <w:rPr>
                <w:b w:val="0"/>
                <w:sz w:val="21"/>
              </w:rPr>
              <w:t>明细汇总与图表相符</w:t>
            </w:r>
          </w:p>
        </w:tc>
      </w:tr>
      <w:tr>
        <w:trPr>
          <w:cantSplit/>
        </w:trPr>
        <w:tc>
          <w:tcPr>
            <w:tcW w:type="dxa" w:w="2506"/>
            <w:vAlign w:val="center"/>
          </w:tcPr>
          <w:p>
            <w:pPr>
              <w:keepNext w:val="0"/>
              <w:spacing w:line="320" w:lineRule="exact" w:after="0" w:before="0"/>
              <w:ind w:firstLine="0"/>
              <w:jc w:val="left"/>
            </w:pPr>
            <w:r>
              <w:rPr>
                <w:b w:val="0"/>
                <w:sz w:val="21"/>
              </w:rPr>
              <w:t>标签类别</w:t>
            </w:r>
          </w:p>
        </w:tc>
        <w:tc>
          <w:tcPr>
            <w:tcW w:type="dxa" w:w="3855"/>
            <w:vAlign w:val="center"/>
          </w:tcPr>
          <w:p>
            <w:pPr>
              <w:keepNext w:val="0"/>
              <w:spacing w:line="320" w:lineRule="exact" w:after="0" w:before="0"/>
              <w:ind w:firstLine="0"/>
              <w:jc w:val="left"/>
            </w:pPr>
            <w:r>
              <w:rPr>
                <w:b w:val="0"/>
                <w:sz w:val="21"/>
              </w:rPr>
              <w:t>定义、编码、层级和数量</w:t>
            </w:r>
          </w:p>
        </w:tc>
        <w:tc>
          <w:tcPr>
            <w:tcW w:type="dxa" w:w="3277"/>
            <w:vAlign w:val="center"/>
          </w:tcPr>
          <w:p>
            <w:pPr>
              <w:keepNext w:val="0"/>
              <w:spacing w:line="320" w:lineRule="exact" w:after="0" w:before="0"/>
              <w:ind w:firstLine="0"/>
              <w:jc w:val="left"/>
            </w:pPr>
            <w:r>
              <w:rPr>
                <w:b w:val="0"/>
                <w:sz w:val="21"/>
              </w:rPr>
              <w:t>字典与实际标注一致</w:t>
            </w:r>
          </w:p>
        </w:tc>
      </w:tr>
      <w:tr>
        <w:trPr>
          <w:cantSplit/>
        </w:trPr>
        <w:tc>
          <w:tcPr>
            <w:tcW w:type="dxa" w:w="2506"/>
            <w:vAlign w:val="center"/>
          </w:tcPr>
          <w:p>
            <w:pPr>
              <w:keepNext w:val="0"/>
              <w:spacing w:line="320" w:lineRule="exact" w:after="0" w:before="0"/>
              <w:ind w:firstLine="0"/>
              <w:jc w:val="left"/>
            </w:pPr>
            <w:r>
              <w:rPr>
                <w:b w:val="0"/>
                <w:sz w:val="21"/>
              </w:rPr>
              <w:t>样本示例</w:t>
            </w:r>
          </w:p>
        </w:tc>
        <w:tc>
          <w:tcPr>
            <w:tcW w:type="dxa" w:w="3855"/>
            <w:vAlign w:val="center"/>
          </w:tcPr>
          <w:p>
            <w:pPr>
              <w:keepNext w:val="0"/>
              <w:spacing w:line="320" w:lineRule="exact" w:after="0" w:before="0"/>
              <w:ind w:firstLine="0"/>
              <w:jc w:val="left"/>
            </w:pPr>
            <w:r>
              <w:rPr>
                <w:b w:val="0"/>
                <w:sz w:val="21"/>
              </w:rPr>
              <w:t>完整输入、输出及附件</w:t>
            </w:r>
          </w:p>
        </w:tc>
        <w:tc>
          <w:tcPr>
            <w:tcW w:type="dxa" w:w="3277"/>
            <w:vAlign w:val="center"/>
          </w:tcPr>
          <w:p>
            <w:pPr>
              <w:keepNext w:val="0"/>
              <w:spacing w:line="320" w:lineRule="exact" w:after="0" w:before="0"/>
              <w:ind w:firstLine="0"/>
              <w:jc w:val="left"/>
            </w:pPr>
            <w:r>
              <w:rPr>
                <w:b w:val="0"/>
                <w:sz w:val="21"/>
              </w:rPr>
              <w:t>正式版本可定位并可执行</w:t>
            </w:r>
          </w:p>
        </w:tc>
      </w:tr>
      <w:tr>
        <w:trPr>
          <w:cantSplit/>
        </w:trPr>
        <w:tc>
          <w:tcPr>
            <w:tcW w:type="dxa" w:w="2506"/>
            <w:vAlign w:val="center"/>
          </w:tcPr>
          <w:p>
            <w:pPr>
              <w:keepNext w:val="0"/>
              <w:spacing w:line="320" w:lineRule="exact" w:after="0" w:before="0"/>
              <w:ind w:firstLine="0"/>
              <w:jc w:val="left"/>
            </w:pPr>
            <w:r>
              <w:rPr>
                <w:b w:val="0"/>
                <w:sz w:val="21"/>
              </w:rPr>
              <w:t>局限性</w:t>
            </w:r>
          </w:p>
        </w:tc>
        <w:tc>
          <w:tcPr>
            <w:tcW w:type="dxa" w:w="3855"/>
            <w:vAlign w:val="center"/>
          </w:tcPr>
          <w:p>
            <w:pPr>
              <w:keepNext w:val="0"/>
              <w:spacing w:line="320" w:lineRule="exact" w:after="0" w:before="0"/>
              <w:ind w:firstLine="0"/>
              <w:jc w:val="left"/>
            </w:pPr>
            <w:r>
              <w:rPr>
                <w:b w:val="0"/>
                <w:sz w:val="21"/>
              </w:rPr>
              <w:t>实际覆盖边界及条件</w:t>
            </w:r>
          </w:p>
        </w:tc>
        <w:tc>
          <w:tcPr>
            <w:tcW w:type="dxa" w:w="3277"/>
            <w:vAlign w:val="center"/>
          </w:tcPr>
          <w:p>
            <w:pPr>
              <w:keepNext w:val="0"/>
              <w:spacing w:line="320" w:lineRule="exact" w:after="0" w:before="0"/>
              <w:ind w:firstLine="0"/>
              <w:jc w:val="left"/>
            </w:pPr>
            <w:r>
              <w:rPr>
                <w:b w:val="0"/>
                <w:sz w:val="21"/>
              </w:rPr>
              <w:t>与模型失败和分布相符</w:t>
            </w:r>
          </w:p>
        </w:tc>
      </w:tr>
    </w:tbl>
    <w:p>
      <w:pPr>
        <w:spacing w:after="40" w:line="240" w:lineRule="auto"/>
        <w:ind w:firstLine="0"/>
      </w:pPr>
      <w:r>
        <w:rPr>
          <w:sz w:val="4"/>
        </w:rPr>
      </w:r>
    </w:p>
    <w:p>
      <w:pPr>
        <w:pStyle w:val="Heading2"/>
      </w:pPr>
      <w:r>
        <w:t>4.4 建设过程完整性</w:t>
      </w:r>
    </w:p>
    <w:p>
      <w:pPr>
        <w:pStyle w:val="Heading3"/>
      </w:pPr>
      <w:r>
        <w:t>4.4.1 数据来源</w:t>
      </w:r>
    </w:p>
    <w:p>
      <w:pPr>
        <w:jc w:val="both"/>
      </w:pPr>
      <w:r>
        <w:t>指标1.3.1核查每批数据的来源主体、系统或资料名称、业务对象、提取时间、形成时间、权利依据及责任人员。来源记录应能追溯至可核验的原始业务资料或受控文件，单写互联网、历史资料或者企业内部不足以支持判断。涉及多次转交的数据追查授权链及中间处理情况。</w:t>
      </w:r>
    </w:p>
    <w:p>
      <w:pPr>
        <w:jc w:val="both"/>
      </w:pPr>
      <w:r>
        <w:t>真实数据保留采集源头，合成数据保留生成模型、输入来源、参数和生成记录，增强数据保留原样本及变换方式。评测抽取样本沿血缘反查来源，并从来源批次正向核对入集结果，识别丢失、错配或未经登记的添加。来源证据缺失的内容隔离核实，不能通过后补文字说明代替真实凭据。</w:t>
      </w:r>
    </w:p>
    <w:p>
      <w:pPr>
        <w:pStyle w:val="Heading3"/>
      </w:pPr>
      <w:r>
        <w:t>4.4.2 采集方法</w:t>
      </w:r>
    </w:p>
    <w:p>
      <w:pPr>
        <w:jc w:val="both"/>
      </w:pPr>
      <w:r>
        <w:t>指标1.3.2检查接口提取、数据库同步、文件导入、人工录入及设备采集的实际方法是否写清，包含筛选条件、采集时间窗口、频次、权限、错误重试和对账方式。增量采集核查水位、补采、迟到数据及重复处理，设备采集核查测点、采样设置及校准信息。</w:t>
      </w:r>
    </w:p>
    <w:p>
      <w:pPr>
        <w:jc w:val="both"/>
      </w:pPr>
      <w:r>
        <w:t>评测用批次日志核对文档中的方法是否真实执行，检查是否存在口头说明一种方式而实际采用另一种方式的情况。采集过程中的脱敏、过滤和字段转换需保留前后对应关系。方法调整后确认对时间覆盖、样本分布及原始真实性的影响，不能只更新采集程序而不更新过程记录。</w:t>
      </w:r>
    </w:p>
    <w:p>
      <w:pPr>
        <w:pStyle w:val="Heading3"/>
      </w:pPr>
      <w:r>
        <w:t>4.4.3 加工处理流程</w:t>
      </w:r>
    </w:p>
    <w:p>
      <w:pPr>
        <w:jc w:val="both"/>
      </w:pPr>
      <w:r>
        <w:t>指标1.3.3检查清洗、解析、切分、去重、关联、标准化、标注、合成、增强、质检和封装的处理顺序，记录工具、规则、参数及输入输出版本。评测选择完整处理链回放，核查同一记录经过各环节后是否仍保持正确业务语义，特别检查单位转换、表格展开及多模态配对。</w:t>
      </w:r>
    </w:p>
    <w:p>
      <w:pPr>
        <w:jc w:val="both"/>
      </w:pPr>
      <w:r>
        <w:t>流程文档与实际作业日志逐项比对，不能仅有流程图而没有运行证据。对失败重跑、人工修复和异常分支进行检查，确认其纳入统一版本及审批。造成系统性缺陷的处理规则在整改后重新运行受影响范围，保留原结果，形成可验证的后继版本。</w:t>
      </w:r>
    </w:p>
    <w:p>
      <w:pPr>
        <w:pStyle w:val="Heading3"/>
      </w:pPr>
      <w:r>
        <w:t>4.4.4 标注规范</w:t>
      </w:r>
    </w:p>
    <w:p>
      <w:pPr>
        <w:jc w:val="both"/>
      </w:pPr>
      <w:r>
        <w:t>指标1.3.4核查标注目标、标签定义、作业步骤、边界条件、疑难问题、质量检查和仲裁流程是否完整。文本、区域、时序事件及音视频标注分别明确单位和定位方式，标准答案的依据能够追踪到业务事实或专业判据。偏好任务应说明比较维度及不宜强行排序的情况。</w:t>
      </w:r>
    </w:p>
    <w:p>
      <w:pPr>
        <w:jc w:val="both"/>
      </w:pPr>
      <w:r>
        <w:t>评测以不同标注人员独立执行同类任务，检查规范是否足以产生一致结果。对规则冲突、示例与定义不符、困难样本没有处置路径等问题进行修订。修订后检查已有标注是否受到影响，必要时重新标注和复核，不以新规范发布代替对旧数据的修正。</w:t>
      </w:r>
    </w:p>
    <w:p>
      <w:pPr>
        <w:pStyle w:val="Heading3"/>
      </w:pPr>
      <w:r>
        <w:t>4.4.5 版本记录</w:t>
      </w:r>
    </w:p>
    <w:p>
      <w:pPr>
        <w:jc w:val="both"/>
      </w:pPr>
      <w:r>
        <w:t>指标1.3.5核查版本标识、形成时间、变更内容、影响范围、数量变化、审批及前后关联。数据内容、标签字典、说明文档、模型实验和报告应明确各自版本，并可识别它们所绑定的正式数据版本。仅修改文件名而没有内容差异和处理记录不构成合格的版本管理。</w:t>
      </w:r>
    </w:p>
    <w:p>
      <w:pPr>
        <w:jc w:val="both"/>
      </w:pPr>
      <w:r>
        <w:t>评测从任一正式版本追溯其来源和后继变更，验证能否恢复当时数据及规则状态。退回、撤销和替代版本保留状态及原因，禁止覆盖旧数据后继续沿用旧评测报告。发现版本串用时重建对应关系，重新确认受影响结论的有效性。</w:t>
      </w:r>
    </w:p>
    <w:p>
      <w:pPr>
        <w:pStyle w:val="Caption"/>
        <w:keepNext/>
      </w:pPr>
      <w:r>
        <w:t>表4-4 建设过程追溯关系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过程项目</w:t>
            </w:r>
          </w:p>
        </w:tc>
        <w:tc>
          <w:tcPr>
            <w:tcW w:type="dxa" w:w="3855"/>
            <w:vAlign w:val="center"/>
            <w:shd w:fill="EDF1F3"/>
          </w:tcPr>
          <w:p>
            <w:pPr>
              <w:keepNext/>
              <w:spacing w:line="320" w:lineRule="exact" w:after="0" w:before="0"/>
              <w:ind w:firstLine="0"/>
              <w:jc w:val="center"/>
            </w:pPr>
            <w:r>
              <w:rPr>
                <w:b/>
                <w:sz w:val="21"/>
              </w:rPr>
              <w:t>追溯起点</w:t>
            </w:r>
          </w:p>
        </w:tc>
        <w:tc>
          <w:tcPr>
            <w:tcW w:type="dxa" w:w="3277"/>
            <w:vAlign w:val="center"/>
            <w:shd w:fill="EDF1F3"/>
          </w:tcPr>
          <w:p>
            <w:pPr>
              <w:keepNext/>
              <w:spacing w:line="320" w:lineRule="exact" w:after="0" w:before="0"/>
              <w:ind w:firstLine="0"/>
              <w:jc w:val="center"/>
            </w:pPr>
            <w:r>
              <w:rPr>
                <w:b/>
                <w:sz w:val="21"/>
              </w:rPr>
              <w:t>追溯终点</w:t>
            </w:r>
          </w:p>
        </w:tc>
      </w:tr>
      <w:tr>
        <w:trPr>
          <w:cantSplit/>
        </w:trPr>
        <w:tc>
          <w:tcPr>
            <w:tcW w:type="dxa" w:w="2506"/>
            <w:vAlign w:val="center"/>
          </w:tcPr>
          <w:p>
            <w:pPr>
              <w:keepNext w:val="0"/>
              <w:spacing w:line="320" w:lineRule="exact" w:after="0" w:before="0"/>
              <w:ind w:firstLine="0"/>
              <w:jc w:val="left"/>
            </w:pPr>
            <w:r>
              <w:rPr>
                <w:b w:val="0"/>
                <w:sz w:val="21"/>
              </w:rPr>
              <w:t>来源</w:t>
            </w:r>
          </w:p>
        </w:tc>
        <w:tc>
          <w:tcPr>
            <w:tcW w:type="dxa" w:w="3855"/>
            <w:vAlign w:val="center"/>
          </w:tcPr>
          <w:p>
            <w:pPr>
              <w:keepNext w:val="0"/>
              <w:spacing w:line="320" w:lineRule="exact" w:after="0" w:before="0"/>
              <w:ind w:firstLine="0"/>
              <w:jc w:val="left"/>
            </w:pPr>
            <w:r>
              <w:rPr>
                <w:b w:val="0"/>
                <w:sz w:val="21"/>
              </w:rPr>
              <w:t>当前样本及批次</w:t>
            </w:r>
          </w:p>
        </w:tc>
        <w:tc>
          <w:tcPr>
            <w:tcW w:type="dxa" w:w="3277"/>
            <w:vAlign w:val="center"/>
          </w:tcPr>
          <w:p>
            <w:pPr>
              <w:keepNext w:val="0"/>
              <w:spacing w:line="320" w:lineRule="exact" w:after="0" w:before="0"/>
              <w:ind w:firstLine="0"/>
              <w:jc w:val="left"/>
            </w:pPr>
            <w:r>
              <w:rPr>
                <w:b w:val="0"/>
                <w:sz w:val="21"/>
              </w:rPr>
              <w:t>原始业务对象或授权资料</w:t>
            </w:r>
          </w:p>
        </w:tc>
      </w:tr>
      <w:tr>
        <w:trPr>
          <w:cantSplit/>
        </w:trPr>
        <w:tc>
          <w:tcPr>
            <w:tcW w:type="dxa" w:w="2506"/>
            <w:vAlign w:val="center"/>
          </w:tcPr>
          <w:p>
            <w:pPr>
              <w:keepNext w:val="0"/>
              <w:spacing w:line="320" w:lineRule="exact" w:after="0" w:before="0"/>
              <w:ind w:firstLine="0"/>
              <w:jc w:val="left"/>
            </w:pPr>
            <w:r>
              <w:rPr>
                <w:b w:val="0"/>
                <w:sz w:val="21"/>
              </w:rPr>
              <w:t>采集</w:t>
            </w:r>
          </w:p>
        </w:tc>
        <w:tc>
          <w:tcPr>
            <w:tcW w:type="dxa" w:w="3855"/>
            <w:vAlign w:val="center"/>
          </w:tcPr>
          <w:p>
            <w:pPr>
              <w:keepNext w:val="0"/>
              <w:spacing w:line="320" w:lineRule="exact" w:after="0" w:before="0"/>
              <w:ind w:firstLine="0"/>
              <w:jc w:val="left"/>
            </w:pPr>
            <w:r>
              <w:rPr>
                <w:b w:val="0"/>
                <w:sz w:val="21"/>
              </w:rPr>
              <w:t>接收记录及提取配置</w:t>
            </w:r>
          </w:p>
        </w:tc>
        <w:tc>
          <w:tcPr>
            <w:tcW w:type="dxa" w:w="3277"/>
            <w:vAlign w:val="center"/>
          </w:tcPr>
          <w:p>
            <w:pPr>
              <w:keepNext w:val="0"/>
              <w:spacing w:line="320" w:lineRule="exact" w:after="0" w:before="0"/>
              <w:ind w:firstLine="0"/>
              <w:jc w:val="left"/>
            </w:pPr>
            <w:r>
              <w:rPr>
                <w:b w:val="0"/>
                <w:sz w:val="21"/>
              </w:rPr>
              <w:t>实际采集日志和对账</w:t>
            </w:r>
          </w:p>
        </w:tc>
      </w:tr>
      <w:tr>
        <w:trPr>
          <w:cantSplit/>
        </w:trPr>
        <w:tc>
          <w:tcPr>
            <w:tcW w:type="dxa" w:w="2506"/>
            <w:vAlign w:val="center"/>
          </w:tcPr>
          <w:p>
            <w:pPr>
              <w:keepNext w:val="0"/>
              <w:spacing w:line="320" w:lineRule="exact" w:after="0" w:before="0"/>
              <w:ind w:firstLine="0"/>
              <w:jc w:val="left"/>
            </w:pPr>
            <w:r>
              <w:rPr>
                <w:b w:val="0"/>
                <w:sz w:val="21"/>
              </w:rPr>
              <w:t>加工</w:t>
            </w:r>
          </w:p>
        </w:tc>
        <w:tc>
          <w:tcPr>
            <w:tcW w:type="dxa" w:w="3855"/>
            <w:vAlign w:val="center"/>
          </w:tcPr>
          <w:p>
            <w:pPr>
              <w:keepNext w:val="0"/>
              <w:spacing w:line="320" w:lineRule="exact" w:after="0" w:before="0"/>
              <w:ind w:firstLine="0"/>
              <w:jc w:val="left"/>
            </w:pPr>
            <w:r>
              <w:rPr>
                <w:b w:val="0"/>
                <w:sz w:val="21"/>
              </w:rPr>
              <w:t>最终样本及内容摘要</w:t>
            </w:r>
          </w:p>
        </w:tc>
        <w:tc>
          <w:tcPr>
            <w:tcW w:type="dxa" w:w="3277"/>
            <w:vAlign w:val="center"/>
          </w:tcPr>
          <w:p>
            <w:pPr>
              <w:keepNext w:val="0"/>
              <w:spacing w:line="320" w:lineRule="exact" w:after="0" w:before="0"/>
              <w:ind w:firstLine="0"/>
              <w:jc w:val="left"/>
            </w:pPr>
            <w:r>
              <w:rPr>
                <w:b w:val="0"/>
                <w:sz w:val="21"/>
              </w:rPr>
              <w:t>各处理环节输入输出</w:t>
            </w:r>
          </w:p>
        </w:tc>
      </w:tr>
      <w:tr>
        <w:trPr>
          <w:cantSplit/>
        </w:trPr>
        <w:tc>
          <w:tcPr>
            <w:tcW w:type="dxa" w:w="2506"/>
            <w:vAlign w:val="center"/>
          </w:tcPr>
          <w:p>
            <w:pPr>
              <w:keepNext w:val="0"/>
              <w:spacing w:line="320" w:lineRule="exact" w:after="0" w:before="0"/>
              <w:ind w:firstLine="0"/>
              <w:jc w:val="left"/>
            </w:pPr>
            <w:r>
              <w:rPr>
                <w:b w:val="0"/>
                <w:sz w:val="21"/>
              </w:rPr>
              <w:t>标注</w:t>
            </w:r>
          </w:p>
        </w:tc>
        <w:tc>
          <w:tcPr>
            <w:tcW w:type="dxa" w:w="3855"/>
            <w:vAlign w:val="center"/>
          </w:tcPr>
          <w:p>
            <w:pPr>
              <w:keepNext w:val="0"/>
              <w:spacing w:line="320" w:lineRule="exact" w:after="0" w:before="0"/>
              <w:ind w:firstLine="0"/>
              <w:jc w:val="left"/>
            </w:pPr>
            <w:r>
              <w:rPr>
                <w:b w:val="0"/>
                <w:sz w:val="21"/>
              </w:rPr>
              <w:t>标签及标准答案</w:t>
            </w:r>
          </w:p>
        </w:tc>
        <w:tc>
          <w:tcPr>
            <w:tcW w:type="dxa" w:w="3277"/>
            <w:vAlign w:val="center"/>
          </w:tcPr>
          <w:p>
            <w:pPr>
              <w:keepNext w:val="0"/>
              <w:spacing w:line="320" w:lineRule="exact" w:after="0" w:before="0"/>
              <w:ind w:firstLine="0"/>
              <w:jc w:val="left"/>
            </w:pPr>
            <w:r>
              <w:rPr>
                <w:b w:val="0"/>
                <w:sz w:val="21"/>
              </w:rPr>
              <w:t>判据、人员及仲裁依据</w:t>
            </w:r>
          </w:p>
        </w:tc>
      </w:tr>
      <w:tr>
        <w:trPr>
          <w:cantSplit/>
        </w:trPr>
        <w:tc>
          <w:tcPr>
            <w:tcW w:type="dxa" w:w="2506"/>
            <w:vAlign w:val="center"/>
          </w:tcPr>
          <w:p>
            <w:pPr>
              <w:keepNext w:val="0"/>
              <w:spacing w:line="320" w:lineRule="exact" w:after="0" w:before="0"/>
              <w:ind w:firstLine="0"/>
              <w:jc w:val="left"/>
            </w:pPr>
            <w:r>
              <w:rPr>
                <w:b w:val="0"/>
                <w:sz w:val="21"/>
              </w:rPr>
              <w:t>版本</w:t>
            </w:r>
          </w:p>
        </w:tc>
        <w:tc>
          <w:tcPr>
            <w:tcW w:type="dxa" w:w="3855"/>
            <w:vAlign w:val="center"/>
          </w:tcPr>
          <w:p>
            <w:pPr>
              <w:keepNext w:val="0"/>
              <w:spacing w:line="320" w:lineRule="exact" w:after="0" w:before="0"/>
              <w:ind w:firstLine="0"/>
              <w:jc w:val="left"/>
            </w:pPr>
            <w:r>
              <w:rPr>
                <w:b w:val="0"/>
                <w:sz w:val="21"/>
              </w:rPr>
              <w:t>正式发布数据</w:t>
            </w:r>
          </w:p>
        </w:tc>
        <w:tc>
          <w:tcPr>
            <w:tcW w:type="dxa" w:w="3277"/>
            <w:vAlign w:val="center"/>
          </w:tcPr>
          <w:p>
            <w:pPr>
              <w:keepNext w:val="0"/>
              <w:spacing w:line="320" w:lineRule="exact" w:after="0" w:before="0"/>
              <w:ind w:firstLine="0"/>
              <w:jc w:val="left"/>
            </w:pPr>
            <w:r>
              <w:rPr>
                <w:b w:val="0"/>
                <w:sz w:val="21"/>
              </w:rPr>
              <w:t>历史版本、差异及批准</w:t>
            </w:r>
          </w:p>
        </w:tc>
      </w:tr>
    </w:tbl>
    <w:p>
      <w:pPr>
        <w:spacing w:after="40" w:line="240" w:lineRule="auto"/>
        <w:ind w:firstLine="0"/>
      </w:pPr>
      <w:r>
        <w:rPr>
          <w:sz w:val="4"/>
        </w:rPr>
      </w:r>
    </w:p>
    <w:p>
      <w:pPr>
        <w:pStyle w:val="Heading2"/>
      </w:pPr>
      <w:r>
        <w:t>4.5 应用说明完整性</w:t>
      </w:r>
    </w:p>
    <w:p>
      <w:pPr>
        <w:pStyle w:val="Heading3"/>
      </w:pPr>
      <w:r>
        <w:t>4.5.1 使用许可</w:t>
      </w:r>
    </w:p>
    <w:p>
      <w:pPr>
        <w:jc w:val="both"/>
      </w:pPr>
      <w:r>
        <w:t>指标1.4.1核查数据的使用主体、目的、范围、期限、再分发、模型训练、衍生成果及对外展示条件，许可与实际来源一致。内部授权、采购合同、公开许可及其他合法来源依据分别登记，不能将可阅读或可下载等同于可训练、可商用或可向第三方转交。</w:t>
      </w:r>
    </w:p>
    <w:p>
      <w:pPr>
        <w:jc w:val="both"/>
      </w:pPr>
      <w:r>
        <w:t>评测核对数据集汇总许可是否覆盖其中全部来源，遇到条件不一致时保留来源级限制，并落实到数据访问、分发和训练任务。合成数据同时检查教师模型及输入资料的相关条件，增强内容继承原数据的限制。许可不足、过期或用途不匹配的样本退出对应用途并补足有效规模。</w:t>
      </w:r>
    </w:p>
    <w:p>
      <w:pPr>
        <w:pStyle w:val="Heading3"/>
      </w:pPr>
      <w:r>
        <w:t>4.5.2 目标应用场景</w:t>
      </w:r>
    </w:p>
    <w:p>
      <w:pPr>
        <w:jc w:val="both"/>
      </w:pPr>
      <w:r>
        <w:t>指标1.4.2检查目标场景、使用对象、输入条件、输出要求、任务边界及风险是否清楚。四个业务领域分别对应实际业务任务，五类智能助手的问答范围和专业场景的决策支持范围分别说明，不能用通用的智能制造描述覆盖全部场景。</w:t>
      </w:r>
    </w:p>
    <w:p>
      <w:pPr>
        <w:jc w:val="both"/>
      </w:pPr>
      <w:r>
        <w:t>评测从场景需求反查数据内容和标签，判断是否具备完成任务所需信息。数据不能支持的设备类型、业务条件或决策层级不写入已验证范围。场景调整时同步检查训练样本、保留测试集和专业评价指标，避免数据说明与实际模型验证各自采用不同任务定义。</w:t>
      </w:r>
    </w:p>
    <w:p>
      <w:pPr>
        <w:pStyle w:val="Heading3"/>
      </w:pPr>
      <w:r>
        <w:t>4.5.3 评估方法</w:t>
      </w:r>
    </w:p>
    <w:p>
      <w:pPr>
        <w:jc w:val="both"/>
      </w:pPr>
      <w:r>
        <w:t>指标1.4.3核查静态检测、抽样、专家复核、模型对照、计分、缺陷分级及不适用处理方法，明确各方法的对象和局限。文档列明每项指标的分子分母、参数、阈值及证据位置，确保另一名合格评测人员能够在同一环境复现过程。</w:t>
      </w:r>
    </w:p>
    <w:p>
      <w:pPr>
        <w:jc w:val="both"/>
      </w:pPr>
      <w:r>
        <w:t>模型评价需明确数据划分、基线、训练参数、随机种子、提示词、解码设置和评价程序；人工评价需明确专家资格要求、盲评方式和争议裁定。评测核查方法描述与日志的一致性，发现运行中临时改变规则时追查批准及重跑情况，防止只留下最终有利结果。</w:t>
      </w:r>
    </w:p>
    <w:p>
      <w:pPr>
        <w:pStyle w:val="Heading3"/>
      </w:pPr>
      <w:r>
        <w:t>4.5.4 基准测试结果</w:t>
      </w:r>
    </w:p>
    <w:p>
      <w:pPr>
        <w:jc w:val="both"/>
      </w:pPr>
      <w:r>
        <w:t>指标1.4.4检查基准模型、微调模型、数据版本、评价协议、原始输出、总体与分层指标、误差范围和最低提升要求是否完整。结果必须来自实际完成的实验，不能以预期目标代替实测值，也不能将其他数据版本的结果直接移用。</w:t>
      </w:r>
    </w:p>
    <w:p>
      <w:pPr>
        <w:jc w:val="both"/>
      </w:pPr>
      <w:r>
        <w:t>评测复算主要指标，并检查失败样本、超时、无输出和异常重试是否被完整登记。无法比较的运行分别展示，不在同一提升幅度中混用。报告应使使用者了解模型在哪些场景得到改善、哪些场景仍有不足以及数据质量问题如何影响结果。</w:t>
      </w:r>
    </w:p>
    <w:p>
      <w:pPr>
        <w:pStyle w:val="Heading3"/>
      </w:pPr>
      <w:r>
        <w:t>4.5.5 典型应用案例</w:t>
      </w:r>
    </w:p>
    <w:p>
      <w:pPr>
        <w:jc w:val="both"/>
      </w:pPr>
      <w:r>
        <w:t>指标1.4.5核查案例的业务问题、数据版本、输入输出、使用过程、专业评价及效果依据。案例选择覆盖有代表性的真实任务，优先采用已经完成验证的场景，明确验证环境和适用范围，不将演示效果写成已实现的生产收益。</w:t>
      </w:r>
    </w:p>
    <w:p>
      <w:pPr>
        <w:jc w:val="both"/>
      </w:pPr>
      <w:r>
        <w:t>评测复核案例使用数据是否来自交付版本、结论是否可重现、效果是否有原始记录支持。对存在人工干预或额外知识输入的案例如实记录条件，避免将人工修正结果归为模型独立能力。涉及商业秘密的案例在受控环境核验后采用批准的脱敏材料归档。</w:t>
      </w:r>
    </w:p>
    <w:p>
      <w:pPr>
        <w:pStyle w:val="Heading1"/>
      </w:pPr>
      <w:r>
        <w:t>5 数据质量指标评测</w:t>
      </w:r>
    </w:p>
    <w:p>
      <w:pPr>
        <w:pStyle w:val="Heading2"/>
      </w:pPr>
      <w:r>
        <w:t>5.1 结构完整性</w:t>
      </w:r>
    </w:p>
    <w:p>
      <w:pPr>
        <w:jc w:val="both"/>
      </w:pPr>
      <w:r>
        <w:t>结构完整性区分字段、文件、模态和记录四个层次，分别确定应有对象清单。评测首先根据业务用途和封装规范确定必需内容，再计算完整率。确实允许为空的字段需要有业务条件及明确表达，不能将所有空值统一当作正常，也不能用任意默认值补齐后声称完整。结构检查与内容正确性检查交叉执行，防止形式完整但内容失真的样本通过。</w:t>
      </w:r>
    </w:p>
    <w:p>
      <w:pPr>
        <w:pStyle w:val="Heading3"/>
      </w:pPr>
      <w:r>
        <w:t>5.1.1 字段完整性</w:t>
      </w:r>
    </w:p>
    <w:p>
      <w:pPr>
        <w:jc w:val="both"/>
      </w:pPr>
      <w:r>
        <w:t>指标2.1.1全量检查必填字段、条件必填字段和组合约束。指令任务核查输入、任务指令、有效输出和必要上下文；偏好组核查比较对象、偏好标签及依据；时序记录核查设备、测点、时间和数值；检验记录核查检验对象、项目、判据及结果。按字段与场景分别统计应填、已填、有效填充和缺失数量。</w:t>
      </w:r>
    </w:p>
    <w:p>
      <w:pPr>
        <w:jc w:val="both"/>
      </w:pPr>
      <w:r>
        <w:t>空字符串、仅含空白、无效占位值、错误类型及无依据的默认值均单独识别。存在业务上不适用的字段时，保留条件和原因，不将其混入实际缺失。整改优先从真实来源补齐，无法补齐且影响任务使用的样本隔离或替换，重新计算有效净量及相关分布。</w:t>
      </w:r>
    </w:p>
    <w:p>
      <w:pPr>
        <w:pStyle w:val="Heading3"/>
      </w:pPr>
      <w:r>
        <w:t>5.1.2 文件完整性</w:t>
      </w:r>
    </w:p>
    <w:p>
      <w:pPr>
        <w:jc w:val="both"/>
      </w:pPr>
      <w:r>
        <w:t>指标2.1.2根据交付清单全量核对文件存在、大小、摘要、可解压性及可解析性，检查压缩包损坏、分片缺失、截断文件和重复文件名。图像执行解码校验，音视频检查容器及必要数据流，时序文件检查字段结构与记录边界，文本检查完整读取及编码异常。</w:t>
      </w:r>
    </w:p>
    <w:p>
      <w:pPr>
        <w:jc w:val="both"/>
      </w:pPr>
      <w:r>
        <w:t>文件存在但内容不可用仍计为不完整。发生损坏时依据源文件和传输记录区分采集、存储、传输或封装原因，恢复后重新校验完整文件而非仅测试开头部分。关联文件被替换时同步核查样本引用及内容一致性，防止路径相同但对象已变化。</w:t>
      </w:r>
    </w:p>
    <w:p>
      <w:pPr>
        <w:pStyle w:val="Heading3"/>
      </w:pPr>
      <w:r>
        <w:t>5.1.3 模态完整性</w:t>
      </w:r>
    </w:p>
    <w:p>
      <w:pPr>
        <w:jc w:val="both"/>
      </w:pPr>
      <w:r>
        <w:t>指标2.1.3核查多模态记录是否具备任务所需全部模态及关联信息。图文任务检查图像与描述，视频任务检查视频与时间标注，设备诊断任务检查时序、工况及事件依据。模态是否必需由任务定义决定，不能因某个附件缺失便临时把多模态样本改记为单模态以规避检查。</w:t>
      </w:r>
    </w:p>
    <w:p>
      <w:pPr>
        <w:jc w:val="both"/>
      </w:pPr>
      <w:r>
        <w:t>检测按记录列出应有模态、实有模态、可用状态及对齐结果，特别检查存在文件但无有效内容的情况。整改完成后验证模态之间的设备、工件、事件及时间关系，补齐的附件必须属于同一业务对象。无法恢复完整关系的记录退出相关任务用途并补充有效样本。</w:t>
      </w:r>
    </w:p>
    <w:p>
      <w:pPr>
        <w:pStyle w:val="Heading3"/>
      </w:pPr>
      <w:r>
        <w:t>5.1.4 记录完整性</w:t>
      </w:r>
    </w:p>
    <w:p>
      <w:pPr>
        <w:jc w:val="both"/>
      </w:pPr>
      <w:r>
        <w:t>指标2.1.4核查业务记录及其必要组成是否齐全，识别分页截断、对话缺轮、工序链断裂、偏好组缺回答、视频事件前后文不足及时序区间缺段。记录完整以业务任务可理解、可执行为依据，不能用文件行数或非空字段比例替代。</w:t>
      </w:r>
    </w:p>
    <w:p>
      <w:pPr>
        <w:jc w:val="both"/>
      </w:pPr>
      <w:r>
        <w:t>对于从长资料切分的样本，检查标题、约束条件、表头和引用是否随内容正确保留。存在跨记录引用时验证目标可达并明确加载关系。整改后由专业人员复核任务语义，防止单纯拼接相邻内容引入不属于同一对象的信息。</w:t>
      </w:r>
    </w:p>
    <w:p>
      <w:pPr>
        <w:pStyle w:val="Caption"/>
        <w:keepNext/>
      </w:pPr>
      <w:r>
        <w:t>表5-1 结构完整性四层检查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检查层次</w:t>
            </w:r>
          </w:p>
        </w:tc>
        <w:tc>
          <w:tcPr>
            <w:tcW w:type="dxa" w:w="2699"/>
            <w:vAlign w:val="center"/>
            <w:shd w:fill="EDF1F3"/>
          </w:tcPr>
          <w:p>
            <w:pPr>
              <w:keepNext/>
              <w:spacing w:line="320" w:lineRule="exact" w:after="0" w:before="0"/>
              <w:ind w:firstLine="0"/>
              <w:jc w:val="center"/>
            </w:pPr>
            <w:r>
              <w:rPr>
                <w:b/>
                <w:sz w:val="21"/>
              </w:rPr>
              <w:t>全量检测重点</w:t>
            </w:r>
          </w:p>
        </w:tc>
        <w:tc>
          <w:tcPr>
            <w:tcW w:type="dxa" w:w="2409"/>
            <w:vAlign w:val="center"/>
            <w:shd w:fill="EDF1F3"/>
          </w:tcPr>
          <w:p>
            <w:pPr>
              <w:keepNext/>
              <w:spacing w:line="320" w:lineRule="exact" w:after="0" w:before="0"/>
              <w:ind w:firstLine="0"/>
              <w:jc w:val="center"/>
            </w:pPr>
            <w:r>
              <w:rPr>
                <w:b/>
                <w:sz w:val="21"/>
              </w:rPr>
              <w:t>统计单位</w:t>
            </w:r>
          </w:p>
        </w:tc>
        <w:tc>
          <w:tcPr>
            <w:tcW w:type="dxa" w:w="2891"/>
            <w:vAlign w:val="center"/>
            <w:shd w:fill="EDF1F3"/>
          </w:tcPr>
          <w:p>
            <w:pPr>
              <w:keepNext/>
              <w:spacing w:line="320" w:lineRule="exact" w:after="0" w:before="0"/>
              <w:ind w:firstLine="0"/>
              <w:jc w:val="center"/>
            </w:pPr>
            <w:r>
              <w:rPr>
                <w:b/>
                <w:sz w:val="21"/>
              </w:rPr>
              <w:t>典型复核证据</w:t>
            </w:r>
          </w:p>
        </w:tc>
      </w:tr>
      <w:tr>
        <w:trPr>
          <w:cantSplit/>
        </w:trPr>
        <w:tc>
          <w:tcPr>
            <w:tcW w:type="dxa" w:w="1638"/>
            <w:vAlign w:val="center"/>
          </w:tcPr>
          <w:p>
            <w:pPr>
              <w:keepNext w:val="0"/>
              <w:spacing w:line="320" w:lineRule="exact" w:after="0" w:before="0"/>
              <w:ind w:firstLine="0"/>
              <w:jc w:val="left"/>
            </w:pPr>
            <w:r>
              <w:rPr>
                <w:b w:val="0"/>
                <w:sz w:val="21"/>
              </w:rPr>
              <w:t>字段</w:t>
            </w:r>
          </w:p>
        </w:tc>
        <w:tc>
          <w:tcPr>
            <w:tcW w:type="dxa" w:w="2699"/>
            <w:vAlign w:val="center"/>
          </w:tcPr>
          <w:p>
            <w:pPr>
              <w:keepNext w:val="0"/>
              <w:spacing w:line="320" w:lineRule="exact" w:after="0" w:before="0"/>
              <w:ind w:firstLine="0"/>
              <w:jc w:val="left"/>
            </w:pPr>
            <w:r>
              <w:rPr>
                <w:b w:val="0"/>
                <w:sz w:val="21"/>
              </w:rPr>
              <w:t>必填、条件必填、有效值</w:t>
            </w:r>
          </w:p>
        </w:tc>
        <w:tc>
          <w:tcPr>
            <w:tcW w:type="dxa" w:w="2409"/>
            <w:vAlign w:val="center"/>
          </w:tcPr>
          <w:p>
            <w:pPr>
              <w:keepNext w:val="0"/>
              <w:spacing w:line="320" w:lineRule="exact" w:after="0" w:before="0"/>
              <w:ind w:firstLine="0"/>
              <w:jc w:val="left"/>
            </w:pPr>
            <w:r>
              <w:rPr>
                <w:b w:val="0"/>
                <w:sz w:val="21"/>
              </w:rPr>
              <w:t>字段实例及记录</w:t>
            </w:r>
          </w:p>
        </w:tc>
        <w:tc>
          <w:tcPr>
            <w:tcW w:type="dxa" w:w="2891"/>
            <w:vAlign w:val="center"/>
          </w:tcPr>
          <w:p>
            <w:pPr>
              <w:keepNext w:val="0"/>
              <w:spacing w:line="320" w:lineRule="exact" w:after="0" w:before="0"/>
              <w:ind w:firstLine="0"/>
              <w:jc w:val="left"/>
            </w:pPr>
            <w:r>
              <w:rPr>
                <w:b w:val="0"/>
                <w:sz w:val="21"/>
              </w:rPr>
              <w:t>源值、条件规则与修正值</w:t>
            </w:r>
          </w:p>
        </w:tc>
      </w:tr>
      <w:tr>
        <w:trPr>
          <w:cantSplit/>
        </w:trPr>
        <w:tc>
          <w:tcPr>
            <w:tcW w:type="dxa" w:w="1638"/>
            <w:vAlign w:val="center"/>
          </w:tcPr>
          <w:p>
            <w:pPr>
              <w:keepNext w:val="0"/>
              <w:spacing w:line="320" w:lineRule="exact" w:after="0" w:before="0"/>
              <w:ind w:firstLine="0"/>
              <w:jc w:val="left"/>
            </w:pPr>
            <w:r>
              <w:rPr>
                <w:b w:val="0"/>
                <w:sz w:val="21"/>
              </w:rPr>
              <w:t>文件</w:t>
            </w:r>
          </w:p>
        </w:tc>
        <w:tc>
          <w:tcPr>
            <w:tcW w:type="dxa" w:w="2699"/>
            <w:vAlign w:val="center"/>
          </w:tcPr>
          <w:p>
            <w:pPr>
              <w:keepNext w:val="0"/>
              <w:spacing w:line="320" w:lineRule="exact" w:after="0" w:before="0"/>
              <w:ind w:firstLine="0"/>
              <w:jc w:val="left"/>
            </w:pPr>
            <w:r>
              <w:rPr>
                <w:b w:val="0"/>
                <w:sz w:val="21"/>
              </w:rPr>
              <w:t>清单、摘要、解码、分片</w:t>
            </w:r>
          </w:p>
        </w:tc>
        <w:tc>
          <w:tcPr>
            <w:tcW w:type="dxa" w:w="2409"/>
            <w:vAlign w:val="center"/>
          </w:tcPr>
          <w:p>
            <w:pPr>
              <w:keepNext w:val="0"/>
              <w:spacing w:line="320" w:lineRule="exact" w:after="0" w:before="0"/>
              <w:ind w:firstLine="0"/>
              <w:jc w:val="left"/>
            </w:pPr>
            <w:r>
              <w:rPr>
                <w:b w:val="0"/>
                <w:sz w:val="21"/>
              </w:rPr>
              <w:t>文件及封装包</w:t>
            </w:r>
          </w:p>
        </w:tc>
        <w:tc>
          <w:tcPr>
            <w:tcW w:type="dxa" w:w="2891"/>
            <w:vAlign w:val="center"/>
          </w:tcPr>
          <w:p>
            <w:pPr>
              <w:keepNext w:val="0"/>
              <w:spacing w:line="320" w:lineRule="exact" w:after="0" w:before="0"/>
              <w:ind w:firstLine="0"/>
              <w:jc w:val="left"/>
            </w:pPr>
            <w:r>
              <w:rPr>
                <w:b w:val="0"/>
                <w:sz w:val="21"/>
              </w:rPr>
              <w:t>原文件、传输日志和解析结果</w:t>
            </w:r>
          </w:p>
        </w:tc>
      </w:tr>
      <w:tr>
        <w:trPr>
          <w:cantSplit/>
        </w:trPr>
        <w:tc>
          <w:tcPr>
            <w:tcW w:type="dxa" w:w="1638"/>
            <w:vAlign w:val="center"/>
          </w:tcPr>
          <w:p>
            <w:pPr>
              <w:keepNext w:val="0"/>
              <w:spacing w:line="320" w:lineRule="exact" w:after="0" w:before="0"/>
              <w:ind w:firstLine="0"/>
              <w:jc w:val="left"/>
            </w:pPr>
            <w:r>
              <w:rPr>
                <w:b w:val="0"/>
                <w:sz w:val="21"/>
              </w:rPr>
              <w:t>模态</w:t>
            </w:r>
          </w:p>
        </w:tc>
        <w:tc>
          <w:tcPr>
            <w:tcW w:type="dxa" w:w="2699"/>
            <w:vAlign w:val="center"/>
          </w:tcPr>
          <w:p>
            <w:pPr>
              <w:keepNext w:val="0"/>
              <w:spacing w:line="320" w:lineRule="exact" w:after="0" w:before="0"/>
              <w:ind w:firstLine="0"/>
              <w:jc w:val="left"/>
            </w:pPr>
            <w:r>
              <w:rPr>
                <w:b w:val="0"/>
                <w:sz w:val="21"/>
              </w:rPr>
              <w:t>必需模态及对应关系</w:t>
            </w:r>
          </w:p>
        </w:tc>
        <w:tc>
          <w:tcPr>
            <w:tcW w:type="dxa" w:w="2409"/>
            <w:vAlign w:val="center"/>
          </w:tcPr>
          <w:p>
            <w:pPr>
              <w:keepNext w:val="0"/>
              <w:spacing w:line="320" w:lineRule="exact" w:after="0" w:before="0"/>
              <w:ind w:firstLine="0"/>
              <w:jc w:val="left"/>
            </w:pPr>
            <w:r>
              <w:rPr>
                <w:b w:val="0"/>
                <w:sz w:val="21"/>
              </w:rPr>
              <w:t>多模态记录</w:t>
            </w:r>
          </w:p>
        </w:tc>
        <w:tc>
          <w:tcPr>
            <w:tcW w:type="dxa" w:w="2891"/>
            <w:vAlign w:val="center"/>
          </w:tcPr>
          <w:p>
            <w:pPr>
              <w:keepNext w:val="0"/>
              <w:spacing w:line="320" w:lineRule="exact" w:after="0" w:before="0"/>
              <w:ind w:firstLine="0"/>
              <w:jc w:val="left"/>
            </w:pPr>
            <w:r>
              <w:rPr>
                <w:b w:val="0"/>
                <w:sz w:val="21"/>
              </w:rPr>
              <w:t>模态清单、对象标识及时间关系</w:t>
            </w:r>
          </w:p>
        </w:tc>
      </w:tr>
      <w:tr>
        <w:trPr>
          <w:cantSplit/>
        </w:trPr>
        <w:tc>
          <w:tcPr>
            <w:tcW w:type="dxa" w:w="1638"/>
            <w:vAlign w:val="center"/>
          </w:tcPr>
          <w:p>
            <w:pPr>
              <w:keepNext w:val="0"/>
              <w:spacing w:line="320" w:lineRule="exact" w:after="0" w:before="0"/>
              <w:ind w:firstLine="0"/>
              <w:jc w:val="left"/>
            </w:pPr>
            <w:r>
              <w:rPr>
                <w:b w:val="0"/>
                <w:sz w:val="21"/>
              </w:rPr>
              <w:t>记录</w:t>
            </w:r>
          </w:p>
        </w:tc>
        <w:tc>
          <w:tcPr>
            <w:tcW w:type="dxa" w:w="2699"/>
            <w:vAlign w:val="center"/>
          </w:tcPr>
          <w:p>
            <w:pPr>
              <w:keepNext w:val="0"/>
              <w:spacing w:line="320" w:lineRule="exact" w:after="0" w:before="0"/>
              <w:ind w:firstLine="0"/>
              <w:jc w:val="left"/>
            </w:pPr>
            <w:r>
              <w:rPr>
                <w:b w:val="0"/>
                <w:sz w:val="21"/>
              </w:rPr>
              <w:t>上下文、事件、任务组成</w:t>
            </w:r>
          </w:p>
        </w:tc>
        <w:tc>
          <w:tcPr>
            <w:tcW w:type="dxa" w:w="2409"/>
            <w:vAlign w:val="center"/>
          </w:tcPr>
          <w:p>
            <w:pPr>
              <w:keepNext w:val="0"/>
              <w:spacing w:line="320" w:lineRule="exact" w:after="0" w:before="0"/>
              <w:ind w:firstLine="0"/>
              <w:jc w:val="left"/>
            </w:pPr>
            <w:r>
              <w:rPr>
                <w:b w:val="0"/>
                <w:sz w:val="21"/>
              </w:rPr>
              <w:t>完整业务任务</w:t>
            </w:r>
          </w:p>
        </w:tc>
        <w:tc>
          <w:tcPr>
            <w:tcW w:type="dxa" w:w="2891"/>
            <w:vAlign w:val="center"/>
          </w:tcPr>
          <w:p>
            <w:pPr>
              <w:keepNext w:val="0"/>
              <w:spacing w:line="320" w:lineRule="exact" w:after="0" w:before="0"/>
              <w:ind w:firstLine="0"/>
              <w:jc w:val="left"/>
            </w:pPr>
            <w:r>
              <w:rPr>
                <w:b w:val="0"/>
                <w:sz w:val="21"/>
              </w:rPr>
              <w:t>原始对象、切分边界及加载结果</w:t>
            </w:r>
          </w:p>
        </w:tc>
      </w:tr>
    </w:tbl>
    <w:p>
      <w:pPr>
        <w:spacing w:after="40" w:line="240" w:lineRule="auto"/>
        <w:ind w:firstLine="0"/>
      </w:pPr>
      <w:r>
        <w:rPr>
          <w:sz w:val="4"/>
        </w:rPr>
      </w:r>
    </w:p>
    <w:p>
      <w:pPr>
        <w:pStyle w:val="Heading2"/>
      </w:pPr>
      <w:r>
        <w:t>5.2 安全规范性</w:t>
      </w:r>
    </w:p>
    <w:p>
      <w:pPr>
        <w:jc w:val="both"/>
      </w:pPr>
      <w:r>
        <w:t>安全规范性八项对全部数据执行自动化筛查，并结合文本识别、图像内容分析、语音转写和视频帧及事件检查开展跨模态核查。所有自动化检出的高危样本100%人工复核，确认结果记录类别、依据、风险等级和影响范围。自动化工具的未命中不等于不存在风险，评测同时通过漏检抽查、规则校准及跨模态一致性检查评价检测有效性。</w:t>
      </w:r>
    </w:p>
    <w:p>
      <w:pPr>
        <w:jc w:val="both"/>
      </w:pPr>
      <w:r>
        <w:t>工业语境中的爆破、事故分析、救援、药品管理和法规引用按照实际语境、合法用途及授权条件判定，不采用关键词一刀切，也不建立不受约束的业务词白名单。对疑似违法违规或涉密内容由具备相应职责的人员核定，在未形成可靠结论前保持隔离。报告中的风险样例采用受控索引和脱敏描述，避免传播风险内容本身。</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6_风险处理.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图5-1 高风险内容检测与处置</w:t>
      </w:r>
    </w:p>
    <w:p>
      <w:pPr>
        <w:pStyle w:val="Heading3"/>
      </w:pPr>
      <w:r>
        <w:t>5.2.1 暴恐内容</w:t>
      </w:r>
    </w:p>
    <w:p>
      <w:pPr>
        <w:jc w:val="both"/>
      </w:pPr>
      <w:r>
        <w:t>指标2.2.1检查鼓动、宣扬或指导暴力恐怖活动的文本、图像、音视频及嵌入内容，结合词语、语义、图像线索和上下文判断。煤矿安全教育、合法爆破作业和事故复盘中的相关术语须核实用途及必要性，不能仅凭包含危险物名称判定违规，也不能因属于工业资料便全部放行。</w:t>
      </w:r>
    </w:p>
    <w:p>
      <w:pPr>
        <w:jc w:val="both"/>
      </w:pPr>
      <w:r>
        <w:t>确认问题后隔离原样本及其切片、OCR文本、转写和增强版本，检查其是否进入训练缓存、知识索引或模型输入。整改采取删除违规内容、剔除完整样本或恢复合法业务片段等经批准措施，保证不改变正常安全规程的关键含义。复测重新执行相关规则及同源扩展检查。</w:t>
      </w:r>
    </w:p>
    <w:p>
      <w:pPr>
        <w:pStyle w:val="Heading3"/>
      </w:pPr>
      <w:r>
        <w:t>5.2.2 毒品药品内容</w:t>
      </w:r>
    </w:p>
    <w:p>
      <w:pPr>
        <w:jc w:val="both"/>
      </w:pPr>
      <w:r>
        <w:t>指标2.2.2核查非法毒品信息、违规药品内容及与合法工业用途不符的传播材料。对急救、安全卫生及职业健康资料，结合来源、专业用途和内容范围审核；对于与煤机任务无关且存在风险的内容，不能以增加数据多样性为理由保留。</w:t>
      </w:r>
    </w:p>
    <w:p>
      <w:pPr>
        <w:jc w:val="both"/>
      </w:pPr>
      <w:r>
        <w:t>检测结合实体识别、语义分析、图像文字和附件检查，识别隐晦表达及拼写变体。问题处置保持原始证据的受控访问，删除后检查派生文本及索引是否同步更新。复核人员记录合法专业内容和违规内容的判定区别，使后续规则具备可重复执行的依据。</w:t>
      </w:r>
    </w:p>
    <w:p>
      <w:pPr>
        <w:pStyle w:val="Heading3"/>
      </w:pPr>
      <w:r>
        <w:t>5.2.3 低俗辱骂内容</w:t>
      </w:r>
    </w:p>
    <w:p>
      <w:pPr>
        <w:jc w:val="both"/>
      </w:pPr>
      <w:r>
        <w:t>指标2.2.3检查低俗、侮辱、恶意攻击及不适宜作为模型学习目标的表达。售后工单、投诉记录和对话资料可能包含情绪性语言，评测区分保留业务事实所必需的语境与可移除的攻击表达，避免清洗后丢失故障描述、责任争议或服务诉求。</w:t>
      </w:r>
    </w:p>
    <w:p>
      <w:pPr>
        <w:jc w:val="both"/>
      </w:pPr>
      <w:r>
        <w:t>自动检测后通过上下文复核确认对象与含义，处理谐音、拆字和符号插入等变体。整改时保留必要事实，修正训练输出中的不当表达，检查偏好标签是否错误奖励不专业措辞。对同源批次和同类对话开展扩展复查，确认相关表达未通过增强重新进入数据。</w:t>
      </w:r>
    </w:p>
    <w:p>
      <w:pPr>
        <w:pStyle w:val="Heading3"/>
      </w:pPr>
      <w:r>
        <w:t>5.2.4 血腥内容</w:t>
      </w:r>
    </w:p>
    <w:p>
      <w:pPr>
        <w:jc w:val="both"/>
      </w:pPr>
      <w:r>
        <w:t>指标2.2.4核查图像、视频和文字中不适当展示血腥或伤害细节的内容。安全事故教育资料按照合法来源、使用目的和必要程度审核，专业评测关注其是否对目标任务必要、是否经过授权以及展示方式是否符合管理要求，不能把全部事故资料简单等同于违规内容。</w:t>
      </w:r>
    </w:p>
    <w:p>
      <w:pPr>
        <w:jc w:val="both"/>
      </w:pPr>
      <w:r>
        <w:t>图像与视频检测除整体分类外检查局部区域及关键片段，避免缩略图未显示而原图存在风险。确认问题后按批准方式剔除、限制或处理，保留风险定位和处置记录。复测核查原片、缩略图、抽帧及文字描述，确保派生材料没有遗留不合规内容。</w:t>
      </w:r>
    </w:p>
    <w:p>
      <w:pPr>
        <w:pStyle w:val="Heading3"/>
      </w:pPr>
      <w:r>
        <w:t>5.2.5 赌博内容</w:t>
      </w:r>
    </w:p>
    <w:p>
      <w:pPr>
        <w:jc w:val="both"/>
      </w:pPr>
      <w:r>
        <w:t>指标2.2.5检查赌博推广、诱导参与、引流链接及相关非法内容，涵盖正文、图片水印、网页残留、音视频口播和附件。对正常概率、风险或统计术语结合业务语境判断，避免将工程计算中的相关词语误判为赌博内容。</w:t>
      </w:r>
    </w:p>
    <w:p>
      <w:pPr>
        <w:jc w:val="both"/>
      </w:pPr>
      <w:r>
        <w:t>来源于网页或外部文件的数据重点检查广告栏、导航、评论及隐藏链接是否混入正文。确认后剔除无关推广内容并追查同站点、同采集规则的影响范围，防止只修改单条样本。复测同时核查可见文本、超链接和图像文字，不以清除关键词代替完整风险处理。</w:t>
      </w:r>
    </w:p>
    <w:p>
      <w:pPr>
        <w:pStyle w:val="Heading3"/>
      </w:pPr>
      <w:r>
        <w:t>5.2.6 色情内容</w:t>
      </w:r>
    </w:p>
    <w:p>
      <w:pPr>
        <w:jc w:val="both"/>
      </w:pPr>
      <w:r>
        <w:t>指标2.2.6对文本、图像、视频及语音内容进行色情风险检测，结合图像区域、跨帧信息和语义上下文确认。对工业设备、人体安全防护或医学急救图示中的正常专业内容，由复核人员结合用途判断，自动化模型置信度不能替代最终风险结论。</w:t>
      </w:r>
    </w:p>
    <w:p>
      <w:pPr>
        <w:jc w:val="both"/>
      </w:pPr>
      <w:r>
        <w:t>确认风险后立即隔离相关文件及派生内容，检查压缩包、缩略图和缓存是否存在副本。清除措施执行后对受影响批次全量重扫，并在同来源范围增加复查。报告只保留必要的风险类别、定位和处理证据，不以展示不当内容证明检测效果。</w:t>
      </w:r>
    </w:p>
    <w:p>
      <w:pPr>
        <w:pStyle w:val="Heading3"/>
      </w:pPr>
      <w:r>
        <w:t>5.2.7 涉政内容</w:t>
      </w:r>
    </w:p>
    <w:p>
      <w:pPr>
        <w:jc w:val="both"/>
      </w:pPr>
      <w:r>
        <w:t>指标2.2.7按适用内容安全要求核查违法违规涉政内容，综合语义、传播目的、上下文及来源确认。合法法规、行业政策、企业合规制度及正常业务记录按其实际用途核验，不因出现政治术语而简单删除，保证技术标准和合规问答所需合法依据完整。</w:t>
      </w:r>
    </w:p>
    <w:p>
      <w:pPr>
        <w:jc w:val="both"/>
      </w:pPr>
      <w:r>
        <w:t>检测覆盖原文、OCR、转写、标题、摘要和合成回答，重点关注加工或生成过程是否改变原文含义、加入不当表述。疑似内容由安全及业务人员按职责复核，确认高风险后全部清零。复测同步检查引用关系与问答答案，防止源材料已修正而派生回答仍保留问题。</w:t>
      </w:r>
    </w:p>
    <w:p>
      <w:pPr>
        <w:pStyle w:val="Heading3"/>
      </w:pPr>
      <w:r>
        <w:t>5.2.8 歧视偏见内容</w:t>
      </w:r>
    </w:p>
    <w:p>
      <w:pPr>
        <w:jc w:val="both"/>
      </w:pPr>
      <w:r>
        <w:t>指标2.2.8检查基于身份、地域、性别等属性的不当歧视表达及模型目标中的偏见，区分业务上必要的岗位资格、作业条件与无依据的群体评价。评测覆盖输入、标准答案、偏好理由及合成内容，识别隐含在排序、推荐和拒绝原因中的不当倾向。</w:t>
      </w:r>
    </w:p>
    <w:p>
      <w:pPr>
        <w:jc w:val="both"/>
      </w:pPr>
      <w:r>
        <w:t>专家复核结合实际任务判断是否存在不合理差别处理，不能仅依赖敏感词词表。整改保持必要业务条件和安全要求，去除无依据的属性推断，并检查同类模板及生成规则。偏好数据中存在偏见的优选答案须重新裁定，修正后核查模型相关输出是否改善。</w:t>
      </w:r>
    </w:p>
    <w:p>
      <w:pPr>
        <w:pStyle w:val="Caption"/>
        <w:keepNext/>
      </w:pPr>
      <w:r>
        <w:t>表5-2 安全规范性检测与处置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检测环节</w:t>
            </w:r>
          </w:p>
        </w:tc>
        <w:tc>
          <w:tcPr>
            <w:tcW w:type="dxa" w:w="2699"/>
            <w:vAlign w:val="center"/>
            <w:shd w:fill="EDF1F3"/>
          </w:tcPr>
          <w:p>
            <w:pPr>
              <w:keepNext/>
              <w:spacing w:line="320" w:lineRule="exact" w:after="0" w:before="0"/>
              <w:ind w:firstLine="0"/>
              <w:jc w:val="center"/>
            </w:pPr>
            <w:r>
              <w:rPr>
                <w:b/>
                <w:sz w:val="21"/>
              </w:rPr>
              <w:t>处理对象</w:t>
            </w:r>
          </w:p>
        </w:tc>
        <w:tc>
          <w:tcPr>
            <w:tcW w:type="dxa" w:w="2409"/>
            <w:vAlign w:val="center"/>
            <w:shd w:fill="EDF1F3"/>
          </w:tcPr>
          <w:p>
            <w:pPr>
              <w:keepNext/>
              <w:spacing w:line="320" w:lineRule="exact" w:after="0" w:before="0"/>
              <w:ind w:firstLine="0"/>
              <w:jc w:val="center"/>
            </w:pPr>
            <w:r>
              <w:rPr>
                <w:b/>
                <w:sz w:val="21"/>
              </w:rPr>
              <w:t>重点控制</w:t>
            </w:r>
          </w:p>
        </w:tc>
        <w:tc>
          <w:tcPr>
            <w:tcW w:type="dxa" w:w="2891"/>
            <w:vAlign w:val="center"/>
            <w:shd w:fill="EDF1F3"/>
          </w:tcPr>
          <w:p>
            <w:pPr>
              <w:keepNext/>
              <w:spacing w:line="320" w:lineRule="exact" w:after="0" w:before="0"/>
              <w:ind w:firstLine="0"/>
              <w:jc w:val="center"/>
            </w:pPr>
            <w:r>
              <w:rPr>
                <w:b/>
                <w:sz w:val="21"/>
              </w:rPr>
              <w:t>复核结果</w:t>
            </w:r>
          </w:p>
        </w:tc>
      </w:tr>
      <w:tr>
        <w:trPr>
          <w:cantSplit/>
        </w:trPr>
        <w:tc>
          <w:tcPr>
            <w:tcW w:type="dxa" w:w="1638"/>
            <w:vAlign w:val="center"/>
          </w:tcPr>
          <w:p>
            <w:pPr>
              <w:keepNext w:val="0"/>
              <w:spacing w:line="320" w:lineRule="exact" w:after="0" w:before="0"/>
              <w:ind w:firstLine="0"/>
              <w:jc w:val="left"/>
            </w:pPr>
            <w:r>
              <w:rPr>
                <w:b w:val="0"/>
                <w:sz w:val="21"/>
              </w:rPr>
              <w:t>自动化筛查</w:t>
            </w:r>
          </w:p>
        </w:tc>
        <w:tc>
          <w:tcPr>
            <w:tcW w:type="dxa" w:w="2699"/>
            <w:vAlign w:val="center"/>
          </w:tcPr>
          <w:p>
            <w:pPr>
              <w:keepNext w:val="0"/>
              <w:spacing w:line="320" w:lineRule="exact" w:after="0" w:before="0"/>
              <w:ind w:firstLine="0"/>
              <w:jc w:val="left"/>
            </w:pPr>
            <w:r>
              <w:rPr>
                <w:b w:val="0"/>
                <w:sz w:val="21"/>
              </w:rPr>
              <w:t>全部数据及可解析派生内容</w:t>
            </w:r>
          </w:p>
        </w:tc>
        <w:tc>
          <w:tcPr>
            <w:tcW w:type="dxa" w:w="2409"/>
            <w:vAlign w:val="center"/>
          </w:tcPr>
          <w:p>
            <w:pPr>
              <w:keepNext w:val="0"/>
              <w:spacing w:line="320" w:lineRule="exact" w:after="0" w:before="0"/>
              <w:ind w:firstLine="0"/>
              <w:jc w:val="left"/>
            </w:pPr>
            <w:r>
              <w:rPr>
                <w:b w:val="0"/>
                <w:sz w:val="21"/>
              </w:rPr>
              <w:t>多模态覆盖、失败登记、规则版本</w:t>
            </w:r>
          </w:p>
        </w:tc>
        <w:tc>
          <w:tcPr>
            <w:tcW w:type="dxa" w:w="2891"/>
            <w:vAlign w:val="center"/>
          </w:tcPr>
          <w:p>
            <w:pPr>
              <w:keepNext w:val="0"/>
              <w:spacing w:line="320" w:lineRule="exact" w:after="0" w:before="0"/>
              <w:ind w:firstLine="0"/>
              <w:jc w:val="left"/>
            </w:pPr>
            <w:r>
              <w:rPr>
                <w:b w:val="0"/>
                <w:sz w:val="21"/>
              </w:rPr>
              <w:t>候选命中清单与运行日志</w:t>
            </w:r>
          </w:p>
        </w:tc>
      </w:tr>
      <w:tr>
        <w:trPr>
          <w:cantSplit/>
        </w:trPr>
        <w:tc>
          <w:tcPr>
            <w:tcW w:type="dxa" w:w="1638"/>
            <w:vAlign w:val="center"/>
          </w:tcPr>
          <w:p>
            <w:pPr>
              <w:keepNext w:val="0"/>
              <w:spacing w:line="320" w:lineRule="exact" w:after="0" w:before="0"/>
              <w:ind w:firstLine="0"/>
              <w:jc w:val="left"/>
            </w:pPr>
            <w:r>
              <w:rPr>
                <w:b w:val="0"/>
                <w:sz w:val="21"/>
              </w:rPr>
              <w:t>高危人工复核</w:t>
            </w:r>
          </w:p>
        </w:tc>
        <w:tc>
          <w:tcPr>
            <w:tcW w:type="dxa" w:w="2699"/>
            <w:vAlign w:val="center"/>
          </w:tcPr>
          <w:p>
            <w:pPr>
              <w:keepNext w:val="0"/>
              <w:spacing w:line="320" w:lineRule="exact" w:after="0" w:before="0"/>
              <w:ind w:firstLine="0"/>
              <w:jc w:val="left"/>
            </w:pPr>
            <w:r>
              <w:rPr>
                <w:b w:val="0"/>
                <w:sz w:val="21"/>
              </w:rPr>
              <w:t>自动化检出的全部高危样本</w:t>
            </w:r>
          </w:p>
        </w:tc>
        <w:tc>
          <w:tcPr>
            <w:tcW w:type="dxa" w:w="2409"/>
            <w:vAlign w:val="center"/>
          </w:tcPr>
          <w:p>
            <w:pPr>
              <w:keepNext w:val="0"/>
              <w:spacing w:line="320" w:lineRule="exact" w:after="0" w:before="0"/>
              <w:ind w:firstLine="0"/>
              <w:jc w:val="left"/>
            </w:pPr>
            <w:r>
              <w:rPr>
                <w:b w:val="0"/>
                <w:sz w:val="21"/>
              </w:rPr>
              <w:t>100%复核，结合业务上下文</w:t>
            </w:r>
          </w:p>
        </w:tc>
        <w:tc>
          <w:tcPr>
            <w:tcW w:type="dxa" w:w="2891"/>
            <w:vAlign w:val="center"/>
          </w:tcPr>
          <w:p>
            <w:pPr>
              <w:keepNext w:val="0"/>
              <w:spacing w:line="320" w:lineRule="exact" w:after="0" w:before="0"/>
              <w:ind w:firstLine="0"/>
              <w:jc w:val="left"/>
            </w:pPr>
            <w:r>
              <w:rPr>
                <w:b w:val="0"/>
                <w:sz w:val="21"/>
              </w:rPr>
              <w:t>确认、误报或继续隔离</w:t>
            </w:r>
          </w:p>
        </w:tc>
      </w:tr>
      <w:tr>
        <w:trPr>
          <w:cantSplit/>
        </w:trPr>
        <w:tc>
          <w:tcPr>
            <w:tcW w:type="dxa" w:w="1638"/>
            <w:vAlign w:val="center"/>
          </w:tcPr>
          <w:p>
            <w:pPr>
              <w:keepNext w:val="0"/>
              <w:spacing w:line="320" w:lineRule="exact" w:after="0" w:before="0"/>
              <w:ind w:firstLine="0"/>
              <w:jc w:val="left"/>
            </w:pPr>
            <w:r>
              <w:rPr>
                <w:b w:val="0"/>
                <w:sz w:val="21"/>
              </w:rPr>
              <w:t>影响追踪</w:t>
            </w:r>
          </w:p>
        </w:tc>
        <w:tc>
          <w:tcPr>
            <w:tcW w:type="dxa" w:w="2699"/>
            <w:vAlign w:val="center"/>
          </w:tcPr>
          <w:p>
            <w:pPr>
              <w:keepNext w:val="0"/>
              <w:spacing w:line="320" w:lineRule="exact" w:after="0" w:before="0"/>
              <w:ind w:firstLine="0"/>
              <w:jc w:val="left"/>
            </w:pPr>
            <w:r>
              <w:rPr>
                <w:b w:val="0"/>
                <w:sz w:val="21"/>
              </w:rPr>
              <w:t>原件、切片、转写、索引及训练输入</w:t>
            </w:r>
          </w:p>
        </w:tc>
        <w:tc>
          <w:tcPr>
            <w:tcW w:type="dxa" w:w="2409"/>
            <w:vAlign w:val="center"/>
          </w:tcPr>
          <w:p>
            <w:pPr>
              <w:keepNext w:val="0"/>
              <w:spacing w:line="320" w:lineRule="exact" w:after="0" w:before="0"/>
              <w:ind w:firstLine="0"/>
              <w:jc w:val="left"/>
            </w:pPr>
            <w:r>
              <w:rPr>
                <w:b w:val="0"/>
                <w:sz w:val="21"/>
              </w:rPr>
              <w:t>追查同源、同规则和派生关系</w:t>
            </w:r>
          </w:p>
        </w:tc>
        <w:tc>
          <w:tcPr>
            <w:tcW w:type="dxa" w:w="2891"/>
            <w:vAlign w:val="center"/>
          </w:tcPr>
          <w:p>
            <w:pPr>
              <w:keepNext w:val="0"/>
              <w:spacing w:line="320" w:lineRule="exact" w:after="0" w:before="0"/>
              <w:ind w:firstLine="0"/>
              <w:jc w:val="left"/>
            </w:pPr>
            <w:r>
              <w:rPr>
                <w:b w:val="0"/>
                <w:sz w:val="21"/>
              </w:rPr>
              <w:t>受影响对象清单</w:t>
            </w:r>
          </w:p>
        </w:tc>
      </w:tr>
      <w:tr>
        <w:trPr>
          <w:cantSplit/>
        </w:trPr>
        <w:tc>
          <w:tcPr>
            <w:tcW w:type="dxa" w:w="1638"/>
            <w:vAlign w:val="center"/>
          </w:tcPr>
          <w:p>
            <w:pPr>
              <w:keepNext w:val="0"/>
              <w:spacing w:line="320" w:lineRule="exact" w:after="0" w:before="0"/>
              <w:ind w:firstLine="0"/>
              <w:jc w:val="left"/>
            </w:pPr>
            <w:r>
              <w:rPr>
                <w:b w:val="0"/>
                <w:sz w:val="21"/>
              </w:rPr>
              <w:t>整改复测</w:t>
            </w:r>
          </w:p>
        </w:tc>
        <w:tc>
          <w:tcPr>
            <w:tcW w:type="dxa" w:w="2699"/>
            <w:vAlign w:val="center"/>
          </w:tcPr>
          <w:p>
            <w:pPr>
              <w:keepNext w:val="0"/>
              <w:spacing w:line="320" w:lineRule="exact" w:after="0" w:before="0"/>
              <w:ind w:firstLine="0"/>
              <w:jc w:val="left"/>
            </w:pPr>
            <w:r>
              <w:rPr>
                <w:b w:val="0"/>
                <w:sz w:val="21"/>
              </w:rPr>
              <w:t>修正版本及相关范围</w:t>
            </w:r>
          </w:p>
        </w:tc>
        <w:tc>
          <w:tcPr>
            <w:tcW w:type="dxa" w:w="2409"/>
            <w:vAlign w:val="center"/>
          </w:tcPr>
          <w:p>
            <w:pPr>
              <w:keepNext w:val="0"/>
              <w:spacing w:line="320" w:lineRule="exact" w:after="0" w:before="0"/>
              <w:ind w:firstLine="0"/>
              <w:jc w:val="left"/>
            </w:pPr>
            <w:r>
              <w:rPr>
                <w:b w:val="0"/>
                <w:sz w:val="21"/>
              </w:rPr>
              <w:t>全量重扫、同类扩展及漏检检查</w:t>
            </w:r>
          </w:p>
        </w:tc>
        <w:tc>
          <w:tcPr>
            <w:tcW w:type="dxa" w:w="2891"/>
            <w:vAlign w:val="center"/>
          </w:tcPr>
          <w:p>
            <w:pPr>
              <w:keepNext w:val="0"/>
              <w:spacing w:line="320" w:lineRule="exact" w:after="0" w:before="0"/>
              <w:ind w:firstLine="0"/>
              <w:jc w:val="left"/>
            </w:pPr>
            <w:r>
              <w:rPr>
                <w:b w:val="0"/>
                <w:sz w:val="21"/>
              </w:rPr>
              <w:t>逐项关闭及清零依据</w:t>
            </w:r>
          </w:p>
        </w:tc>
      </w:tr>
    </w:tbl>
    <w:p>
      <w:pPr>
        <w:spacing w:after="40" w:line="240" w:lineRule="auto"/>
        <w:ind w:firstLine="0"/>
      </w:pPr>
      <w:r>
        <w:rPr>
          <w:sz w:val="4"/>
        </w:rPr>
      </w:r>
    </w:p>
    <w:p>
      <w:pPr>
        <w:pStyle w:val="Heading2"/>
      </w:pPr>
      <w:r>
        <w:t>5.3 格式规范性</w:t>
      </w:r>
    </w:p>
    <w:p>
      <w:pPr>
        <w:jc w:val="both"/>
      </w:pPr>
      <w:r>
        <w:t>指标2.3.1字段格式规范性检查日期、数值、编码、枚举、单位、坐标、路径和结构化文本是否满足确定的格式规范。自动化工具按字段类型与业务规则全量校验，识别合法格式下的错误单位、科学计数法解析异常、字符截断和时间精度丢失。格式检查同时验证解析后的值是否与原始业务含义一致。</w:t>
      </w:r>
    </w:p>
    <w:p>
      <w:pPr>
        <w:jc w:val="both"/>
      </w:pPr>
      <w:r>
        <w:t>对于同一字段允许多种输入表达的情况，明确规范化规则及输出形式，保留原值和转换日志。单位转换检查量纲、倍率及舍入规则，不能仅替换单位文字。整改通过统一规则生成后继版本，再复核边界值、空值和异常值；涉及模型答案数值时同步检查答案及引用依据，避免输入已经转换而答案仍使用旧单位。</w:t>
      </w:r>
    </w:p>
    <w:p>
      <w:pPr>
        <w:pStyle w:val="Heading2"/>
      </w:pPr>
      <w:r>
        <w:t>5.4 标注规范性</w:t>
      </w:r>
    </w:p>
    <w:p>
      <w:pPr>
        <w:jc w:val="both"/>
      </w:pPr>
      <w:r>
        <w:t>指标2.4.1检查标注是否遵循批准的规范、标签字典和操作流程，包括标签编码、区域表示、时段边界、层级关系及不确定状态。文本任务核查实体、关系及答案格式；视觉任务核查框、掩膜与类别对应；时序和视频任务核查事件起止及多目标关联。自动化校验结构与取值，专家复核作业过程及疑难处置。</w:t>
      </w:r>
    </w:p>
    <w:p>
      <w:pPr>
        <w:jc w:val="both"/>
      </w:pPr>
      <w:r>
        <w:t>标注规范性与标注准确性分别判断：某个标签格式合法但业务判断错误，不能因规范性合格而免除准确性缺陷。评测检查双人复核、争议仲裁及修改记录是否实际执行，关注同一版本中混用旧字典的情况。规范修订后根据变更范围重检已有数据，不能只要求后续样本遵循新规范。</w:t>
      </w:r>
    </w:p>
    <w:p>
      <w:pPr>
        <w:pStyle w:val="Heading2"/>
      </w:pPr>
      <w:r>
        <w:t>5.5 类型一致性</w:t>
      </w:r>
    </w:p>
    <w:p>
      <w:pPr>
        <w:jc w:val="both"/>
      </w:pPr>
      <w:r>
        <w:t>指标2.5.1核查数据与其声明的类别、任务类型和预期用途在类型、风格和专业性上保持一致，兼顾通识、行业通识和行业专识内容的适配关系。供需计划中的业务规则、工艺设计中的专业知识和制造过程中的设备记录应能解释其所在数据集及用途，不能仅凭来源系统名称决定归属。预训练、指令、偏好和评测记录分别具备相应结构与语义。</w:t>
      </w:r>
    </w:p>
    <w:p>
      <w:pPr>
        <w:jc w:val="both"/>
      </w:pPr>
      <w:r>
        <w:t>评测采用规则识别、主题分析和专家抽检，检查类别错放、通用内容占比失控、偏好组被误记为多条指令以及无依据答案进入基准评测等情况。类型修正后重新核算领域及用途净量、合成比例和分布，原有不合格对象不得通过简单改名自动变成合格样本。</w:t>
      </w:r>
    </w:p>
    <w:p>
      <w:pPr>
        <w:pStyle w:val="Heading2"/>
      </w:pPr>
      <w:r>
        <w:t>5.6 内容真实性</w:t>
      </w:r>
    </w:p>
    <w:p>
      <w:pPr>
        <w:pStyle w:val="Heading3"/>
      </w:pPr>
      <w:r>
        <w:t>5.6.1 内容可追溯</w:t>
      </w:r>
    </w:p>
    <w:p>
      <w:pPr>
        <w:jc w:val="both"/>
      </w:pPr>
      <w:r>
        <w:t>指标2.6.1检查样本能否沿采集、加工、标注及封装关系追溯到来源。真实数据核查原始业务对象、时间和采集记录，合成数据核查生成模型、提示词、参数、输入来源和运行记录，增强数据核查原样本及变换参数。评测对关键来源与高风险对象全量检查索引，对普通内容按分层样本验证实际证据可达。</w:t>
      </w:r>
    </w:p>
    <w:p>
      <w:pPr>
        <w:jc w:val="both"/>
      </w:pPr>
      <w:r>
        <w:t>血缘记录必须与真实文件和作业日志匹配，只有一串对象编号而无法打开或核对来源不算可追溯。来源已依法按制度归档时验证档案索引与可访问流程。缺少证据的样本先隔离核实，禁止凭加工人员回忆补造时间、审批或业务记录。</w:t>
      </w:r>
    </w:p>
    <w:p>
      <w:pPr>
        <w:pStyle w:val="Heading3"/>
      </w:pPr>
      <w:r>
        <w:t>5.6.2 内容准确性</w:t>
      </w:r>
    </w:p>
    <w:p>
      <w:pPr>
        <w:jc w:val="both"/>
      </w:pPr>
      <w:r>
        <w:t>指标2.6.2核查文本事实、技术参数、计算关系、工艺顺序、设备状态及跨源引用是否正确。依据甲方确认的权威记录、有效技术文件和专业判据开展比对，检查数字OCR误识别、单位转换、版本引用、表格错行及合成内容失实。对同一对象的多源冲突先确定有效时间及权威来源，不能简单以多数值决定真值。</w:t>
      </w:r>
    </w:p>
    <w:p>
      <w:pPr>
        <w:jc w:val="both"/>
      </w:pPr>
      <w:r>
        <w:t>专家记录正确依据、问题位置和业务后果，重要数值及安全相关内容提高复核强度。整改时同时修正输入、答案、标签和派生知识，追查造成错误的规则或模板。复测以修正后的原始证据重新判定，不能只确认文字已经变化。</w:t>
      </w:r>
    </w:p>
    <w:p>
      <w:pPr>
        <w:pStyle w:val="Caption"/>
        <w:keepNext/>
      </w:pPr>
      <w:r>
        <w:t>表5-3 内容真实性核验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真实性检查对象</w:t>
            </w:r>
          </w:p>
        </w:tc>
        <w:tc>
          <w:tcPr>
            <w:tcW w:type="dxa" w:w="2699"/>
            <w:vAlign w:val="center"/>
            <w:shd w:fill="EDF1F3"/>
          </w:tcPr>
          <w:p>
            <w:pPr>
              <w:keepNext/>
              <w:spacing w:line="320" w:lineRule="exact" w:after="0" w:before="0"/>
              <w:ind w:firstLine="0"/>
              <w:jc w:val="center"/>
            </w:pPr>
            <w:r>
              <w:rPr>
                <w:b/>
                <w:sz w:val="21"/>
              </w:rPr>
              <w:t>核心证据</w:t>
            </w:r>
          </w:p>
        </w:tc>
        <w:tc>
          <w:tcPr>
            <w:tcW w:type="dxa" w:w="2409"/>
            <w:vAlign w:val="center"/>
            <w:shd w:fill="EDF1F3"/>
          </w:tcPr>
          <w:p>
            <w:pPr>
              <w:keepNext/>
              <w:spacing w:line="320" w:lineRule="exact" w:after="0" w:before="0"/>
              <w:ind w:firstLine="0"/>
              <w:jc w:val="center"/>
            </w:pPr>
            <w:r>
              <w:rPr>
                <w:b/>
                <w:sz w:val="21"/>
              </w:rPr>
              <w:t>易发生的问题</w:t>
            </w:r>
          </w:p>
        </w:tc>
        <w:tc>
          <w:tcPr>
            <w:tcW w:type="dxa" w:w="2891"/>
            <w:vAlign w:val="center"/>
            <w:shd w:fill="EDF1F3"/>
          </w:tcPr>
          <w:p>
            <w:pPr>
              <w:keepNext/>
              <w:spacing w:line="320" w:lineRule="exact" w:after="0" w:before="0"/>
              <w:ind w:firstLine="0"/>
              <w:jc w:val="center"/>
            </w:pPr>
            <w:r>
              <w:rPr>
                <w:b/>
                <w:sz w:val="21"/>
              </w:rPr>
              <w:t>整改复核重点</w:t>
            </w:r>
          </w:p>
        </w:tc>
      </w:tr>
      <w:tr>
        <w:trPr>
          <w:cantSplit/>
        </w:trPr>
        <w:tc>
          <w:tcPr>
            <w:tcW w:type="dxa" w:w="1638"/>
            <w:vAlign w:val="center"/>
          </w:tcPr>
          <w:p>
            <w:pPr>
              <w:keepNext w:val="0"/>
              <w:spacing w:line="320" w:lineRule="exact" w:after="0" w:before="0"/>
              <w:ind w:firstLine="0"/>
              <w:jc w:val="left"/>
            </w:pPr>
            <w:r>
              <w:rPr>
                <w:b w:val="0"/>
                <w:sz w:val="21"/>
              </w:rPr>
              <w:t>原生业务记录</w:t>
            </w:r>
          </w:p>
        </w:tc>
        <w:tc>
          <w:tcPr>
            <w:tcW w:type="dxa" w:w="2699"/>
            <w:vAlign w:val="center"/>
          </w:tcPr>
          <w:p>
            <w:pPr>
              <w:keepNext w:val="0"/>
              <w:spacing w:line="320" w:lineRule="exact" w:after="0" w:before="0"/>
              <w:ind w:firstLine="0"/>
              <w:jc w:val="left"/>
            </w:pPr>
            <w:r>
              <w:rPr>
                <w:b w:val="0"/>
                <w:sz w:val="21"/>
              </w:rPr>
              <w:t>源对象、有效时间和采集日志</w:t>
            </w:r>
          </w:p>
        </w:tc>
        <w:tc>
          <w:tcPr>
            <w:tcW w:type="dxa" w:w="2409"/>
            <w:vAlign w:val="center"/>
          </w:tcPr>
          <w:p>
            <w:pPr>
              <w:keepNext w:val="0"/>
              <w:spacing w:line="320" w:lineRule="exact" w:after="0" w:before="0"/>
              <w:ind w:firstLine="0"/>
              <w:jc w:val="left"/>
            </w:pPr>
            <w:r>
              <w:rPr>
                <w:b w:val="0"/>
                <w:sz w:val="21"/>
              </w:rPr>
              <w:t>错对象、错版本、字段转换失真</w:t>
            </w:r>
          </w:p>
        </w:tc>
        <w:tc>
          <w:tcPr>
            <w:tcW w:type="dxa" w:w="2891"/>
            <w:vAlign w:val="center"/>
          </w:tcPr>
          <w:p>
            <w:pPr>
              <w:keepNext w:val="0"/>
              <w:spacing w:line="320" w:lineRule="exact" w:after="0" w:before="0"/>
              <w:ind w:firstLine="0"/>
              <w:jc w:val="left"/>
            </w:pPr>
            <w:r>
              <w:rPr>
                <w:b w:val="0"/>
                <w:sz w:val="21"/>
              </w:rPr>
              <w:t>原始事实与输出一致</w:t>
            </w:r>
          </w:p>
        </w:tc>
      </w:tr>
      <w:tr>
        <w:trPr>
          <w:cantSplit/>
        </w:trPr>
        <w:tc>
          <w:tcPr>
            <w:tcW w:type="dxa" w:w="1638"/>
            <w:vAlign w:val="center"/>
          </w:tcPr>
          <w:p>
            <w:pPr>
              <w:keepNext w:val="0"/>
              <w:spacing w:line="320" w:lineRule="exact" w:after="0" w:before="0"/>
              <w:ind w:firstLine="0"/>
              <w:jc w:val="left"/>
            </w:pPr>
            <w:r>
              <w:rPr>
                <w:b w:val="0"/>
                <w:sz w:val="21"/>
              </w:rPr>
              <w:t>外部专业资料</w:t>
            </w:r>
          </w:p>
        </w:tc>
        <w:tc>
          <w:tcPr>
            <w:tcW w:type="dxa" w:w="2699"/>
            <w:vAlign w:val="center"/>
          </w:tcPr>
          <w:p>
            <w:pPr>
              <w:keepNext w:val="0"/>
              <w:spacing w:line="320" w:lineRule="exact" w:after="0" w:before="0"/>
              <w:ind w:firstLine="0"/>
              <w:jc w:val="left"/>
            </w:pPr>
            <w:r>
              <w:rPr>
                <w:b w:val="0"/>
                <w:sz w:val="21"/>
              </w:rPr>
              <w:t>来源、有效版本及许可</w:t>
            </w:r>
          </w:p>
        </w:tc>
        <w:tc>
          <w:tcPr>
            <w:tcW w:type="dxa" w:w="2409"/>
            <w:vAlign w:val="center"/>
          </w:tcPr>
          <w:p>
            <w:pPr>
              <w:keepNext w:val="0"/>
              <w:spacing w:line="320" w:lineRule="exact" w:after="0" w:before="0"/>
              <w:ind w:firstLine="0"/>
              <w:jc w:val="left"/>
            </w:pPr>
            <w:r>
              <w:rPr>
                <w:b w:val="0"/>
                <w:sz w:val="21"/>
              </w:rPr>
              <w:t>引用失效或来源不明</w:t>
            </w:r>
          </w:p>
        </w:tc>
        <w:tc>
          <w:tcPr>
            <w:tcW w:type="dxa" w:w="2891"/>
            <w:vAlign w:val="center"/>
          </w:tcPr>
          <w:p>
            <w:pPr>
              <w:keepNext w:val="0"/>
              <w:spacing w:line="320" w:lineRule="exact" w:after="0" w:before="0"/>
              <w:ind w:firstLine="0"/>
              <w:jc w:val="left"/>
            </w:pPr>
            <w:r>
              <w:rPr>
                <w:b w:val="0"/>
                <w:sz w:val="21"/>
              </w:rPr>
              <w:t>内容与使用条件均有效</w:t>
            </w:r>
          </w:p>
        </w:tc>
      </w:tr>
      <w:tr>
        <w:trPr>
          <w:cantSplit/>
        </w:trPr>
        <w:tc>
          <w:tcPr>
            <w:tcW w:type="dxa" w:w="1638"/>
            <w:vAlign w:val="center"/>
          </w:tcPr>
          <w:p>
            <w:pPr>
              <w:keepNext w:val="0"/>
              <w:spacing w:line="320" w:lineRule="exact" w:after="0" w:before="0"/>
              <w:ind w:firstLine="0"/>
              <w:jc w:val="left"/>
            </w:pPr>
            <w:r>
              <w:rPr>
                <w:b w:val="0"/>
                <w:sz w:val="21"/>
              </w:rPr>
              <w:t>合成内容</w:t>
            </w:r>
          </w:p>
        </w:tc>
        <w:tc>
          <w:tcPr>
            <w:tcW w:type="dxa" w:w="2699"/>
            <w:vAlign w:val="center"/>
          </w:tcPr>
          <w:p>
            <w:pPr>
              <w:keepNext w:val="0"/>
              <w:spacing w:line="320" w:lineRule="exact" w:after="0" w:before="0"/>
              <w:ind w:firstLine="0"/>
              <w:jc w:val="left"/>
            </w:pPr>
            <w:r>
              <w:rPr>
                <w:b w:val="0"/>
                <w:sz w:val="21"/>
              </w:rPr>
              <w:t>模型、输入、参数及生成日志</w:t>
            </w:r>
          </w:p>
        </w:tc>
        <w:tc>
          <w:tcPr>
            <w:tcW w:type="dxa" w:w="2409"/>
            <w:vAlign w:val="center"/>
          </w:tcPr>
          <w:p>
            <w:pPr>
              <w:keepNext w:val="0"/>
              <w:spacing w:line="320" w:lineRule="exact" w:after="0" w:before="0"/>
              <w:ind w:firstLine="0"/>
              <w:jc w:val="left"/>
            </w:pPr>
            <w:r>
              <w:rPr>
                <w:b w:val="0"/>
                <w:sz w:val="21"/>
              </w:rPr>
              <w:t>事实编造、来源性质不明</w:t>
            </w:r>
          </w:p>
        </w:tc>
        <w:tc>
          <w:tcPr>
            <w:tcW w:type="dxa" w:w="2891"/>
            <w:vAlign w:val="center"/>
          </w:tcPr>
          <w:p>
            <w:pPr>
              <w:keepNext w:val="0"/>
              <w:spacing w:line="320" w:lineRule="exact" w:after="0" w:before="0"/>
              <w:ind w:firstLine="0"/>
              <w:jc w:val="left"/>
            </w:pPr>
            <w:r>
              <w:rPr>
                <w:b w:val="0"/>
                <w:sz w:val="21"/>
              </w:rPr>
              <w:t>专家验证与来源标识完整</w:t>
            </w:r>
          </w:p>
        </w:tc>
      </w:tr>
      <w:tr>
        <w:trPr>
          <w:cantSplit/>
        </w:trPr>
        <w:tc>
          <w:tcPr>
            <w:tcW w:type="dxa" w:w="1638"/>
            <w:vAlign w:val="center"/>
          </w:tcPr>
          <w:p>
            <w:pPr>
              <w:keepNext w:val="0"/>
              <w:spacing w:line="320" w:lineRule="exact" w:after="0" w:before="0"/>
              <w:ind w:firstLine="0"/>
              <w:jc w:val="left"/>
            </w:pPr>
            <w:r>
              <w:rPr>
                <w:b w:val="0"/>
                <w:sz w:val="21"/>
              </w:rPr>
              <w:t>增强内容</w:t>
            </w:r>
          </w:p>
        </w:tc>
        <w:tc>
          <w:tcPr>
            <w:tcW w:type="dxa" w:w="2699"/>
            <w:vAlign w:val="center"/>
          </w:tcPr>
          <w:p>
            <w:pPr>
              <w:keepNext w:val="0"/>
              <w:spacing w:line="320" w:lineRule="exact" w:after="0" w:before="0"/>
              <w:ind w:firstLine="0"/>
              <w:jc w:val="left"/>
            </w:pPr>
            <w:r>
              <w:rPr>
                <w:b w:val="0"/>
                <w:sz w:val="21"/>
              </w:rPr>
              <w:t>原样本、变换参数和处理日志</w:t>
            </w:r>
          </w:p>
        </w:tc>
        <w:tc>
          <w:tcPr>
            <w:tcW w:type="dxa" w:w="2409"/>
            <w:vAlign w:val="center"/>
          </w:tcPr>
          <w:p>
            <w:pPr>
              <w:keepNext w:val="0"/>
              <w:spacing w:line="320" w:lineRule="exact" w:after="0" w:before="0"/>
              <w:ind w:firstLine="0"/>
              <w:jc w:val="left"/>
            </w:pPr>
            <w:r>
              <w:rPr>
                <w:b w:val="0"/>
                <w:sz w:val="21"/>
              </w:rPr>
              <w:t>变换破坏业务含义</w:t>
            </w:r>
          </w:p>
        </w:tc>
        <w:tc>
          <w:tcPr>
            <w:tcW w:type="dxa" w:w="2891"/>
            <w:vAlign w:val="center"/>
          </w:tcPr>
          <w:p>
            <w:pPr>
              <w:keepNext w:val="0"/>
              <w:spacing w:line="320" w:lineRule="exact" w:after="0" w:before="0"/>
              <w:ind w:firstLine="0"/>
              <w:jc w:val="left"/>
            </w:pPr>
            <w:r>
              <w:rPr>
                <w:b w:val="0"/>
                <w:sz w:val="21"/>
              </w:rPr>
              <w:t>语义及标签仍然成立</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7" name="Picture 7"/>
            <wp:cNvGraphicFramePr>
              <a:graphicFrameLocks noChangeAspect="1"/>
            </wp:cNvGraphicFramePr>
            <a:graphic>
              <a:graphicData uri="http://schemas.openxmlformats.org/drawingml/2006/picture">
                <pic:pic>
                  <pic:nvPicPr>
                    <pic:cNvPr id="0" name="图7_模态检查.png"/>
                    <pic:cNvPicPr/>
                  </pic:nvPicPr>
                  <pic:blipFill>
                    <a:blip r:embed="rId17"/>
                    <a:stretch>
                      <a:fillRect/>
                    </a:stretch>
                  </pic:blipFill>
                  <pic:spPr>
                    <a:xfrm>
                      <a:off x="0" y="0"/>
                      <a:ext cx="6048000" cy="3004615"/>
                    </a:xfrm>
                    <a:prstGeom prst="rect"/>
                  </pic:spPr>
                </pic:pic>
              </a:graphicData>
            </a:graphic>
          </wp:inline>
        </w:drawing>
      </w:r>
    </w:p>
    <w:p>
      <w:pPr>
        <w:pStyle w:val="Caption"/>
        <w:jc w:val="center"/>
      </w:pPr>
      <w:r>
        <w:t>图5-2 各模态数据质量核查</w:t>
      </w:r>
    </w:p>
    <w:p>
      <w:pPr>
        <w:pStyle w:val="Heading2"/>
      </w:pPr>
      <w:r>
        <w:t>5.7 文本内容干净性</w:t>
      </w:r>
    </w:p>
    <w:p>
      <w:pPr>
        <w:pStyle w:val="Heading3"/>
      </w:pPr>
      <w:r>
        <w:t>5.7.1 文本困惑度</w:t>
      </w:r>
    </w:p>
    <w:p>
      <w:pPr>
        <w:jc w:val="both"/>
      </w:pPr>
      <w:r>
        <w:t>指标2.7.1采用固定语言模型、分词器和计算窗口测量文本困惑度，按文档类型、语言、长度及专业主题分别分析分布。困惑度用于识别异常语序、乱码、拼接及模型难以解释的内容，不直接等同于专业质量。设备型号、零件编码、公式和工艺参数可能造成高困惑度，需结合行业词表及原始资料判断。</w:t>
      </w:r>
    </w:p>
    <w:p>
      <w:pPr>
        <w:jc w:val="both"/>
      </w:pPr>
      <w:r>
        <w:t>阈值通过经专家标定的正常与异常样本确定，并记录计算时是否包含表格、代码及特殊符号。异常样本进入人工复核，确认乱码或拼接错误后修正，合法专业内容保留并完善识别规则。更换计算模型后不得沿用旧阈值而直接比较两个版本的困惑度结果。</w:t>
      </w:r>
    </w:p>
    <w:p>
      <w:pPr>
        <w:pStyle w:val="Heading3"/>
      </w:pPr>
      <w:r>
        <w:t>5.7.2 知识信息密度</w:t>
      </w:r>
    </w:p>
    <w:p>
      <w:pPr>
        <w:jc w:val="both"/>
      </w:pPr>
      <w:r>
        <w:t>指标2.7.2检查有效业务知识与广告、导航、模板空话及无意义重复的比例，结合实体、关系、参数、条件、步骤和结论分析内容信息量。工艺资料中的必要条件、安全限制和表格表头属于有效信息，不能为了提高密度删除，使样本失去完整语义。</w:t>
      </w:r>
    </w:p>
    <w:p>
      <w:pPr>
        <w:jc w:val="both"/>
      </w:pPr>
      <w:r>
        <w:t>自动化工具识别重复模板和低信息片段，专家判断是否保留完成任务所需上下文。不同文体分别评价，简短控制指令与长篇技术规范不能使用完全相同的长度阈值。整改后检查任务可理解性和答案依据，避免压缩内容造成语义断裂或数值条件缺失。</w:t>
      </w:r>
    </w:p>
    <w:p>
      <w:pPr>
        <w:pStyle w:val="Heading3"/>
      </w:pPr>
      <w:r>
        <w:t>5.7.3 重复内容程度</w:t>
      </w:r>
    </w:p>
    <w:p>
      <w:pPr>
        <w:jc w:val="both"/>
      </w:pPr>
      <w:r>
        <w:t>指标2.7.3分精确重复、近重复和语义重复开展检测，保留文档、段落及样本层级的指纹。对于仅修改文件名、编码或空白的副本识别为同一内容；对于产品变型、工艺差异和参数不同的近似样本，由专家确认其是否包含有效业务差异，避免误删有价值的变化。</w:t>
      </w:r>
    </w:p>
    <w:p>
      <w:pPr>
        <w:jc w:val="both"/>
      </w:pPr>
      <w:r>
        <w:t>重复率按明确对象与去重口径计算，保留重复簇、代表样本及删除原因。跨训练、验证和测试集的重复优先按污染风险处理，不只纳入普通重复率。整改后重新计算净量、标签及来源分布，检查删重是否集中损失长尾类别，并通过真实补充保证数量及覆盖要求。</w:t>
      </w:r>
    </w:p>
    <w:p>
      <w:pPr>
        <w:pStyle w:val="Heading3"/>
      </w:pPr>
      <w:r>
        <w:t>5.7.4 文本完整度</w:t>
      </w:r>
    </w:p>
    <w:p>
      <w:pPr>
        <w:jc w:val="both"/>
      </w:pPr>
      <w:r>
        <w:t>指标2.7.4检查句子、段落、表格、章节及引用是否完整，识别截断、漏页、缺表头、公式丢失和切分边界破坏。对于从技术文件生成的样本，核对原始页码和内容位置，确认条件与结论未被拆开，否定词及例外条款没有落在另一条不可访问记录中。</w:t>
      </w:r>
    </w:p>
    <w:p>
      <w:pPr>
        <w:jc w:val="both"/>
      </w:pPr>
      <w:r>
        <w:t>自动化检测结合句法、结构和长度异常定位候选问题，专家核对原文确认。修复以恢复原始内容和合理切分为主，不允许模型凭推测补全技术参数。复测同时验证完整性、准确性及加载路径，保证补回内容没有造成新的重复或跨对象混入。</w:t>
      </w:r>
    </w:p>
    <w:p>
      <w:pPr>
        <w:pStyle w:val="Heading3"/>
      </w:pPr>
      <w:r>
        <w:t>5.7.5 信息缺失度</w:t>
      </w:r>
    </w:p>
    <w:p>
      <w:pPr>
        <w:jc w:val="both"/>
      </w:pPr>
      <w:r>
        <w:t>指标2.7.5从任务所需信息出发检查缺失程度，与字段完整性形成互补。即使输入字段非空，若缺少设备型号、工况、单位、时间或者必要约束，仍可能无法完成任务。评测为各类任务建立必要信息清单，按缺失项和受影响样本分别统计。</w:t>
      </w:r>
    </w:p>
    <w:p>
      <w:pPr>
        <w:jc w:val="both"/>
      </w:pPr>
      <w:r>
        <w:t>无法从上下文可靠恢复的信息不得用猜测补齐。缺失可从真实源记录恢复时保留补充依据；缺失使任务无法判断时隔离样本或重新构建完整任务。对于确实允许信息不足的问答，标准答案应合理表达不确定性及所需补充条件，不能训练模型无依据给出确定结论。</w:t>
      </w:r>
    </w:p>
    <w:p>
      <w:pPr>
        <w:pStyle w:val="Heading3"/>
      </w:pPr>
      <w:r>
        <w:t>5.7.6 文本纯净度</w:t>
      </w:r>
    </w:p>
    <w:p>
      <w:pPr>
        <w:jc w:val="both"/>
      </w:pPr>
      <w:r>
        <w:t>指标2.7.6检查乱码、残留标签、控制字符、页眉页脚、广告、导航和无关批注，区分应清除噪声与业务必要符号。图纸编号、计量单位、数学符号、标准条款编号及保留版权标识不得因规则过宽被误删。检查覆盖正文、表格单元格和嵌入文字。</w:t>
      </w:r>
    </w:p>
    <w:p>
      <w:pPr>
        <w:jc w:val="both"/>
      </w:pPr>
      <w:r>
        <w:t>清洗规则先在典型样本上验证，再对适用批次执行。评测比较清洗前后文本，抽查被删除内容及异常长度变化。发现清洗破坏语义时回溯规则并重建受影响数据，重新进行准确性和完整性检测，不能只以字符更少判定纯净度提升。</w:t>
      </w:r>
    </w:p>
    <w:p>
      <w:pPr>
        <w:pStyle w:val="Heading3"/>
      </w:pPr>
      <w:r>
        <w:t>5.7.7 文本连贯度</w:t>
      </w:r>
    </w:p>
    <w:p>
      <w:pPr>
        <w:jc w:val="both"/>
      </w:pPr>
      <w:r>
        <w:t>指标2.7.7检查前后逻辑、指代、工序顺序、时间关系和条件结论是否连贯。多来源拼接、自动摘要和对话重组重点核查对象是否一致、步骤是否跳跃、答案是否响应当前问题。语言通顺但工艺逻辑错误仍列为缺陷，不能仅依赖通用语法评分。</w:t>
      </w:r>
    </w:p>
    <w:p>
      <w:pPr>
        <w:jc w:val="both"/>
      </w:pPr>
      <w:r>
        <w:t>专家依据业务流程及原始资料判断，对转折、否定、因果和例外条件进行重点检查。整改优先恢复正确上下文或重新切分；合成内容无法核实逻辑时剔除并追查生成规则。复测检查改动是否影响标签、答案和其他引用，保证完整任务仍可执行。</w:t>
      </w:r>
    </w:p>
    <w:p>
      <w:pPr>
        <w:pStyle w:val="Caption"/>
        <w:keepNext/>
      </w:pPr>
      <w:r>
        <w:t>表5-4 文本内容质量检查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文本指标</w:t>
            </w:r>
          </w:p>
        </w:tc>
        <w:tc>
          <w:tcPr>
            <w:tcW w:type="dxa" w:w="2699"/>
            <w:vAlign w:val="center"/>
            <w:shd w:fill="EDF1F3"/>
          </w:tcPr>
          <w:p>
            <w:pPr>
              <w:keepNext/>
              <w:spacing w:line="320" w:lineRule="exact" w:after="0" w:before="0"/>
              <w:ind w:firstLine="0"/>
              <w:jc w:val="center"/>
            </w:pPr>
            <w:r>
              <w:rPr>
                <w:b/>
                <w:sz w:val="21"/>
              </w:rPr>
              <w:t>自动化定位方式</w:t>
            </w:r>
          </w:p>
        </w:tc>
        <w:tc>
          <w:tcPr>
            <w:tcW w:type="dxa" w:w="2409"/>
            <w:vAlign w:val="center"/>
            <w:shd w:fill="EDF1F3"/>
          </w:tcPr>
          <w:p>
            <w:pPr>
              <w:keepNext/>
              <w:spacing w:line="320" w:lineRule="exact" w:after="0" w:before="0"/>
              <w:ind w:firstLine="0"/>
              <w:jc w:val="center"/>
            </w:pPr>
            <w:r>
              <w:rPr>
                <w:b/>
                <w:sz w:val="21"/>
              </w:rPr>
              <w:t>专业复核重点</w:t>
            </w:r>
          </w:p>
        </w:tc>
        <w:tc>
          <w:tcPr>
            <w:tcW w:type="dxa" w:w="2891"/>
            <w:vAlign w:val="center"/>
            <w:shd w:fill="EDF1F3"/>
          </w:tcPr>
          <w:p>
            <w:pPr>
              <w:keepNext/>
              <w:spacing w:line="320" w:lineRule="exact" w:after="0" w:before="0"/>
              <w:ind w:firstLine="0"/>
              <w:jc w:val="center"/>
            </w:pPr>
            <w:r>
              <w:rPr>
                <w:b/>
                <w:sz w:val="21"/>
              </w:rPr>
              <w:t>保留的原始结果</w:t>
            </w:r>
          </w:p>
        </w:tc>
      </w:tr>
      <w:tr>
        <w:trPr>
          <w:cantSplit/>
        </w:trPr>
        <w:tc>
          <w:tcPr>
            <w:tcW w:type="dxa" w:w="1638"/>
            <w:vAlign w:val="center"/>
          </w:tcPr>
          <w:p>
            <w:pPr>
              <w:keepNext w:val="0"/>
              <w:spacing w:line="320" w:lineRule="exact" w:after="0" w:before="0"/>
              <w:ind w:firstLine="0"/>
              <w:jc w:val="left"/>
            </w:pPr>
            <w:r>
              <w:rPr>
                <w:b w:val="0"/>
                <w:sz w:val="21"/>
              </w:rPr>
              <w:t>困惑度</w:t>
            </w:r>
          </w:p>
        </w:tc>
        <w:tc>
          <w:tcPr>
            <w:tcW w:type="dxa" w:w="2699"/>
            <w:vAlign w:val="center"/>
          </w:tcPr>
          <w:p>
            <w:pPr>
              <w:keepNext w:val="0"/>
              <w:spacing w:line="320" w:lineRule="exact" w:after="0" w:before="0"/>
              <w:ind w:firstLine="0"/>
              <w:jc w:val="left"/>
            </w:pPr>
            <w:r>
              <w:rPr>
                <w:b w:val="0"/>
                <w:sz w:val="21"/>
              </w:rPr>
              <w:t>固定模型及窗口计算</w:t>
            </w:r>
          </w:p>
        </w:tc>
        <w:tc>
          <w:tcPr>
            <w:tcW w:type="dxa" w:w="2409"/>
            <w:vAlign w:val="center"/>
          </w:tcPr>
          <w:p>
            <w:pPr>
              <w:keepNext w:val="0"/>
              <w:spacing w:line="320" w:lineRule="exact" w:after="0" w:before="0"/>
              <w:ind w:firstLine="0"/>
              <w:jc w:val="left"/>
            </w:pPr>
            <w:r>
              <w:rPr>
                <w:b w:val="0"/>
                <w:sz w:val="21"/>
              </w:rPr>
              <w:t>型号、公式和专业术语的合理性</w:t>
            </w:r>
          </w:p>
        </w:tc>
        <w:tc>
          <w:tcPr>
            <w:tcW w:type="dxa" w:w="2891"/>
            <w:vAlign w:val="center"/>
          </w:tcPr>
          <w:p>
            <w:pPr>
              <w:keepNext w:val="0"/>
              <w:spacing w:line="320" w:lineRule="exact" w:after="0" w:before="0"/>
              <w:ind w:firstLine="0"/>
              <w:jc w:val="left"/>
            </w:pPr>
            <w:r>
              <w:rPr>
                <w:b w:val="0"/>
                <w:sz w:val="21"/>
              </w:rPr>
              <w:t>模型版本、原始数值和分布</w:t>
            </w:r>
          </w:p>
        </w:tc>
      </w:tr>
      <w:tr>
        <w:trPr>
          <w:cantSplit/>
        </w:trPr>
        <w:tc>
          <w:tcPr>
            <w:tcW w:type="dxa" w:w="1638"/>
            <w:vAlign w:val="center"/>
          </w:tcPr>
          <w:p>
            <w:pPr>
              <w:keepNext w:val="0"/>
              <w:spacing w:line="320" w:lineRule="exact" w:after="0" w:before="0"/>
              <w:ind w:firstLine="0"/>
              <w:jc w:val="left"/>
            </w:pPr>
            <w:r>
              <w:rPr>
                <w:b w:val="0"/>
                <w:sz w:val="21"/>
              </w:rPr>
              <w:t>信息密度</w:t>
            </w:r>
          </w:p>
        </w:tc>
        <w:tc>
          <w:tcPr>
            <w:tcW w:type="dxa" w:w="2699"/>
            <w:vAlign w:val="center"/>
          </w:tcPr>
          <w:p>
            <w:pPr>
              <w:keepNext w:val="0"/>
              <w:spacing w:line="320" w:lineRule="exact" w:after="0" w:before="0"/>
              <w:ind w:firstLine="0"/>
              <w:jc w:val="left"/>
            </w:pPr>
            <w:r>
              <w:rPr>
                <w:b w:val="0"/>
                <w:sz w:val="21"/>
              </w:rPr>
              <w:t>模板、实体及有效片段识别</w:t>
            </w:r>
          </w:p>
        </w:tc>
        <w:tc>
          <w:tcPr>
            <w:tcW w:type="dxa" w:w="2409"/>
            <w:vAlign w:val="center"/>
          </w:tcPr>
          <w:p>
            <w:pPr>
              <w:keepNext w:val="0"/>
              <w:spacing w:line="320" w:lineRule="exact" w:after="0" w:before="0"/>
              <w:ind w:firstLine="0"/>
              <w:jc w:val="left"/>
            </w:pPr>
            <w:r>
              <w:rPr>
                <w:b w:val="0"/>
                <w:sz w:val="21"/>
              </w:rPr>
              <w:t>必要条件和知识信息是否完整</w:t>
            </w:r>
          </w:p>
        </w:tc>
        <w:tc>
          <w:tcPr>
            <w:tcW w:type="dxa" w:w="2891"/>
            <w:vAlign w:val="center"/>
          </w:tcPr>
          <w:p>
            <w:pPr>
              <w:keepNext w:val="0"/>
              <w:spacing w:line="320" w:lineRule="exact" w:after="0" w:before="0"/>
              <w:ind w:firstLine="0"/>
              <w:jc w:val="left"/>
            </w:pPr>
            <w:r>
              <w:rPr>
                <w:b w:val="0"/>
                <w:sz w:val="21"/>
              </w:rPr>
              <w:t>片段位置及判断依据</w:t>
            </w:r>
          </w:p>
        </w:tc>
      </w:tr>
      <w:tr>
        <w:trPr>
          <w:cantSplit/>
        </w:trPr>
        <w:tc>
          <w:tcPr>
            <w:tcW w:type="dxa" w:w="1638"/>
            <w:vAlign w:val="center"/>
          </w:tcPr>
          <w:p>
            <w:pPr>
              <w:keepNext w:val="0"/>
              <w:spacing w:line="320" w:lineRule="exact" w:after="0" w:before="0"/>
              <w:ind w:firstLine="0"/>
              <w:jc w:val="left"/>
            </w:pPr>
            <w:r>
              <w:rPr>
                <w:b w:val="0"/>
                <w:sz w:val="21"/>
              </w:rPr>
              <w:t>重复程度</w:t>
            </w:r>
          </w:p>
        </w:tc>
        <w:tc>
          <w:tcPr>
            <w:tcW w:type="dxa" w:w="2699"/>
            <w:vAlign w:val="center"/>
          </w:tcPr>
          <w:p>
            <w:pPr>
              <w:keepNext w:val="0"/>
              <w:spacing w:line="320" w:lineRule="exact" w:after="0" w:before="0"/>
              <w:ind w:firstLine="0"/>
              <w:jc w:val="left"/>
            </w:pPr>
            <w:r>
              <w:rPr>
                <w:b w:val="0"/>
                <w:sz w:val="21"/>
              </w:rPr>
              <w:t>指纹、近重及语义检索</w:t>
            </w:r>
          </w:p>
        </w:tc>
        <w:tc>
          <w:tcPr>
            <w:tcW w:type="dxa" w:w="2409"/>
            <w:vAlign w:val="center"/>
          </w:tcPr>
          <w:p>
            <w:pPr>
              <w:keepNext w:val="0"/>
              <w:spacing w:line="320" w:lineRule="exact" w:after="0" w:before="0"/>
              <w:ind w:firstLine="0"/>
              <w:jc w:val="left"/>
            </w:pPr>
            <w:r>
              <w:rPr>
                <w:b w:val="0"/>
                <w:sz w:val="21"/>
              </w:rPr>
              <w:t>真实业务变体与无效副本区分</w:t>
            </w:r>
          </w:p>
        </w:tc>
        <w:tc>
          <w:tcPr>
            <w:tcW w:type="dxa" w:w="2891"/>
            <w:vAlign w:val="center"/>
          </w:tcPr>
          <w:p>
            <w:pPr>
              <w:keepNext w:val="0"/>
              <w:spacing w:line="320" w:lineRule="exact" w:after="0" w:before="0"/>
              <w:ind w:firstLine="0"/>
              <w:jc w:val="left"/>
            </w:pPr>
            <w:r>
              <w:rPr>
                <w:b w:val="0"/>
                <w:sz w:val="21"/>
              </w:rPr>
              <w:t>重复簇及保留理由</w:t>
            </w:r>
          </w:p>
        </w:tc>
      </w:tr>
      <w:tr>
        <w:trPr>
          <w:cantSplit/>
        </w:trPr>
        <w:tc>
          <w:tcPr>
            <w:tcW w:type="dxa" w:w="1638"/>
            <w:vAlign w:val="center"/>
          </w:tcPr>
          <w:p>
            <w:pPr>
              <w:keepNext w:val="0"/>
              <w:spacing w:line="320" w:lineRule="exact" w:after="0" w:before="0"/>
              <w:ind w:firstLine="0"/>
              <w:jc w:val="left"/>
            </w:pPr>
            <w:r>
              <w:rPr>
                <w:b w:val="0"/>
                <w:sz w:val="21"/>
              </w:rPr>
              <w:t>完整度及缺失度</w:t>
            </w:r>
          </w:p>
        </w:tc>
        <w:tc>
          <w:tcPr>
            <w:tcW w:type="dxa" w:w="2699"/>
            <w:vAlign w:val="center"/>
          </w:tcPr>
          <w:p>
            <w:pPr>
              <w:keepNext w:val="0"/>
              <w:spacing w:line="320" w:lineRule="exact" w:after="0" w:before="0"/>
              <w:ind w:firstLine="0"/>
              <w:jc w:val="left"/>
            </w:pPr>
            <w:r>
              <w:rPr>
                <w:b w:val="0"/>
                <w:sz w:val="21"/>
              </w:rPr>
              <w:t>结构、任务要素及引用校验</w:t>
            </w:r>
          </w:p>
        </w:tc>
        <w:tc>
          <w:tcPr>
            <w:tcW w:type="dxa" w:w="2409"/>
            <w:vAlign w:val="center"/>
          </w:tcPr>
          <w:p>
            <w:pPr>
              <w:keepNext w:val="0"/>
              <w:spacing w:line="320" w:lineRule="exact" w:after="0" w:before="0"/>
              <w:ind w:firstLine="0"/>
              <w:jc w:val="left"/>
            </w:pPr>
            <w:r>
              <w:rPr>
                <w:b w:val="0"/>
                <w:sz w:val="21"/>
              </w:rPr>
              <w:t>任务能否完整理解和执行</w:t>
            </w:r>
          </w:p>
        </w:tc>
        <w:tc>
          <w:tcPr>
            <w:tcW w:type="dxa" w:w="2891"/>
            <w:vAlign w:val="center"/>
          </w:tcPr>
          <w:p>
            <w:pPr>
              <w:keepNext w:val="0"/>
              <w:spacing w:line="320" w:lineRule="exact" w:after="0" w:before="0"/>
              <w:ind w:firstLine="0"/>
              <w:jc w:val="left"/>
            </w:pPr>
            <w:r>
              <w:rPr>
                <w:b w:val="0"/>
                <w:sz w:val="21"/>
              </w:rPr>
              <w:t>缺失项及原文对应</w:t>
            </w:r>
          </w:p>
        </w:tc>
      </w:tr>
      <w:tr>
        <w:trPr>
          <w:cantSplit/>
        </w:trPr>
        <w:tc>
          <w:tcPr>
            <w:tcW w:type="dxa" w:w="1638"/>
            <w:vAlign w:val="center"/>
          </w:tcPr>
          <w:p>
            <w:pPr>
              <w:keepNext w:val="0"/>
              <w:spacing w:line="320" w:lineRule="exact" w:after="0" w:before="0"/>
              <w:ind w:firstLine="0"/>
              <w:jc w:val="left"/>
            </w:pPr>
            <w:r>
              <w:rPr>
                <w:b w:val="0"/>
                <w:sz w:val="21"/>
              </w:rPr>
              <w:t>纯净度及连贯度</w:t>
            </w:r>
          </w:p>
        </w:tc>
        <w:tc>
          <w:tcPr>
            <w:tcW w:type="dxa" w:w="2699"/>
            <w:vAlign w:val="center"/>
          </w:tcPr>
          <w:p>
            <w:pPr>
              <w:keepNext w:val="0"/>
              <w:spacing w:line="320" w:lineRule="exact" w:after="0" w:before="0"/>
              <w:ind w:firstLine="0"/>
              <w:jc w:val="left"/>
            </w:pPr>
            <w:r>
              <w:rPr>
                <w:b w:val="0"/>
                <w:sz w:val="21"/>
              </w:rPr>
              <w:t>噪声、逻辑及拼接异常识别</w:t>
            </w:r>
          </w:p>
        </w:tc>
        <w:tc>
          <w:tcPr>
            <w:tcW w:type="dxa" w:w="2409"/>
            <w:vAlign w:val="center"/>
          </w:tcPr>
          <w:p>
            <w:pPr>
              <w:keepNext w:val="0"/>
              <w:spacing w:line="320" w:lineRule="exact" w:after="0" w:before="0"/>
              <w:ind w:firstLine="0"/>
              <w:jc w:val="left"/>
            </w:pPr>
            <w:r>
              <w:rPr>
                <w:b w:val="0"/>
                <w:sz w:val="21"/>
              </w:rPr>
              <w:t>符号、工序和条件结论正确</w:t>
            </w:r>
          </w:p>
        </w:tc>
        <w:tc>
          <w:tcPr>
            <w:tcW w:type="dxa" w:w="2891"/>
            <w:vAlign w:val="center"/>
          </w:tcPr>
          <w:p>
            <w:pPr>
              <w:keepNext w:val="0"/>
              <w:spacing w:line="320" w:lineRule="exact" w:after="0" w:before="0"/>
              <w:ind w:firstLine="0"/>
              <w:jc w:val="left"/>
            </w:pPr>
            <w:r>
              <w:rPr>
                <w:b w:val="0"/>
                <w:sz w:val="21"/>
              </w:rPr>
              <w:t>清洗差异及专家判定</w:t>
            </w:r>
          </w:p>
        </w:tc>
      </w:tr>
    </w:tbl>
    <w:p>
      <w:pPr>
        <w:spacing w:after="40" w:line="240" w:lineRule="auto"/>
        <w:ind w:firstLine="0"/>
      </w:pPr>
      <w:r>
        <w:rPr>
          <w:sz w:val="4"/>
        </w:rPr>
      </w:r>
    </w:p>
    <w:p>
      <w:pPr>
        <w:pStyle w:val="Heading2"/>
      </w:pPr>
      <w:r>
        <w:t>5.8 图像内容干净性</w:t>
      </w:r>
    </w:p>
    <w:p>
      <w:pPr>
        <w:pStyle w:val="Heading3"/>
      </w:pPr>
      <w:r>
        <w:t>5.8.1 图像分辨率</w:t>
      </w:r>
    </w:p>
    <w:p>
      <w:pPr>
        <w:jc w:val="both"/>
      </w:pPr>
      <w:r>
        <w:t>指标2.7.8全量读取图像宽高、实际像素、编码及有效内容区域，按缺陷识别、图纸阅读、设备状态等任务确定最低有效分辨率。评价不仅检查整图尺寸，还检查目标区域是否具备足够细节。空白边框很大的图片不能因整体像素较多便视为满足目标识别需要。</w:t>
      </w:r>
    </w:p>
    <w:p>
      <w:pPr>
        <w:jc w:val="both"/>
      </w:pPr>
      <w:r>
        <w:t>对缩放、裁剪和转码记录原始尺寸与处理参数，放大插值不视为恢复真实细节。低分辨率造成关键尺寸、焊缝缺陷或仪表数值不可辨认时，从原始资料重新获取或补采，不能通过锐化生成虚假细节。复测在实际模型输入尺寸下检查关键区域可辨识程度。</w:t>
      </w:r>
    </w:p>
    <w:p>
      <w:pPr>
        <w:pStyle w:val="Heading3"/>
      </w:pPr>
      <w:r>
        <w:t>5.8.2 图像重复度</w:t>
      </w:r>
    </w:p>
    <w:p>
      <w:pPr>
        <w:jc w:val="both"/>
      </w:pPr>
      <w:r>
        <w:t>指标2.7.9采用文件摘要、感知指纹和视觉特征检查完全重复及近重复，识别改名、转码、轻度裁剪和亮度调整后的副本。对同一工件不同检验方法、不同角度或关键工况的图片保留业务关联，不能因整体相似而全部合并。</w:t>
      </w:r>
    </w:p>
    <w:p>
      <w:pPr>
        <w:jc w:val="both"/>
      </w:pPr>
      <w:r>
        <w:t>重复簇记录代表图、成员、相似依据、源对象和用途。训练与测试之间的同工件近似图按来源家族隔离，不能只删完全相同文件。整改后重新统计类别、设备及角度覆盖，防止删重导致某些缺陷样本不足；增强图像保留来源性质和派生关系。</w:t>
      </w:r>
    </w:p>
    <w:p>
      <w:pPr>
        <w:pStyle w:val="Heading3"/>
      </w:pPr>
      <w:r>
        <w:t>5.8.3 图像信噪比</w:t>
      </w:r>
    </w:p>
    <w:p>
      <w:pPr>
        <w:jc w:val="both"/>
      </w:pPr>
      <w:r>
        <w:t>指标2.7.10根据实际是否存在参考图像选择信噪比测量方法。有可靠参考图像时记录信号与噪声定义、区域和计算方式；无参考图像时采用适用的噪声估计方法，并在结果中明确其为估计值，不能将不同算法产生的指标混作同一真实信噪比。</w:t>
      </w:r>
    </w:p>
    <w:p>
      <w:pPr>
        <w:jc w:val="both"/>
      </w:pPr>
      <w:r>
        <w:t>工业图像中的金属纹理、焊缝、颗粒和裂纹可能与噪声外观相近，复核重点判断噪声是否妨碍目标识别及是否会被模型误判。降噪后对关键缺陷区域和边缘进行对比，避免将真实缺陷抹除。无法保证真实性的处理结果不进入正式训练数据。</w:t>
      </w:r>
    </w:p>
    <w:p>
      <w:pPr>
        <w:pStyle w:val="Heading3"/>
      </w:pPr>
      <w:r>
        <w:t>5.8.4 图像清晰度</w:t>
      </w:r>
    </w:p>
    <w:p>
      <w:pPr>
        <w:jc w:val="both"/>
      </w:pPr>
      <w:r>
        <w:t>指标2.7.11检测失焦、运动模糊、压缩失真、遮挡和曝光异常，结合边缘、局部纹理及目标区域评价。阈值按任务和采集设备校准，不以单一锐度分数评价全部工程图纸与现场照片。图纸文字、尺寸线和检验区域分别进行可读性检查。</w:t>
      </w:r>
    </w:p>
    <w:p>
      <w:pPr>
        <w:jc w:val="both"/>
      </w:pPr>
      <w:r>
        <w:t>对检测命中的模糊样本由专家确认其是否影响任务，关键目标不可辨认时补采或替换。图像增强仅在不改变真实内容的条件下实施，处理前后保留关联并复核标签。因摄像头状态或采集规则造成批量问题时调整源头条件，避免逐张修复掩盖持续性故障。</w:t>
      </w:r>
    </w:p>
    <w:p>
      <w:pPr>
        <w:pStyle w:val="Caption"/>
        <w:keepNext/>
      </w:pPr>
      <w:r>
        <w:t>表5-5 图像任务质量核验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图像任务</w:t>
            </w:r>
          </w:p>
        </w:tc>
        <w:tc>
          <w:tcPr>
            <w:tcW w:type="dxa" w:w="2699"/>
            <w:vAlign w:val="center"/>
            <w:shd w:fill="EDF1F3"/>
          </w:tcPr>
          <w:p>
            <w:pPr>
              <w:keepNext/>
              <w:spacing w:line="320" w:lineRule="exact" w:after="0" w:before="0"/>
              <w:ind w:firstLine="0"/>
              <w:jc w:val="center"/>
            </w:pPr>
            <w:r>
              <w:rPr>
                <w:b/>
                <w:sz w:val="21"/>
              </w:rPr>
              <w:t>关键有效区域</w:t>
            </w:r>
          </w:p>
        </w:tc>
        <w:tc>
          <w:tcPr>
            <w:tcW w:type="dxa" w:w="2409"/>
            <w:vAlign w:val="center"/>
            <w:shd w:fill="EDF1F3"/>
          </w:tcPr>
          <w:p>
            <w:pPr>
              <w:keepNext/>
              <w:spacing w:line="320" w:lineRule="exact" w:after="0" w:before="0"/>
              <w:ind w:firstLine="0"/>
              <w:jc w:val="center"/>
            </w:pPr>
            <w:r>
              <w:rPr>
                <w:b/>
                <w:sz w:val="21"/>
              </w:rPr>
              <w:t>质量判定依据</w:t>
            </w:r>
          </w:p>
        </w:tc>
        <w:tc>
          <w:tcPr>
            <w:tcW w:type="dxa" w:w="2891"/>
            <w:vAlign w:val="center"/>
            <w:shd w:fill="EDF1F3"/>
          </w:tcPr>
          <w:p>
            <w:pPr>
              <w:keepNext/>
              <w:spacing w:line="320" w:lineRule="exact" w:after="0" w:before="0"/>
              <w:ind w:firstLine="0"/>
              <w:jc w:val="center"/>
            </w:pPr>
            <w:r>
              <w:rPr>
                <w:b/>
                <w:sz w:val="21"/>
              </w:rPr>
              <w:t>修正后重点复验</w:t>
            </w:r>
          </w:p>
        </w:tc>
      </w:tr>
      <w:tr>
        <w:trPr>
          <w:cantSplit/>
        </w:trPr>
        <w:tc>
          <w:tcPr>
            <w:tcW w:type="dxa" w:w="1638"/>
            <w:vAlign w:val="center"/>
          </w:tcPr>
          <w:p>
            <w:pPr>
              <w:keepNext w:val="0"/>
              <w:spacing w:line="320" w:lineRule="exact" w:after="0" w:before="0"/>
              <w:ind w:firstLine="0"/>
              <w:jc w:val="left"/>
            </w:pPr>
            <w:r>
              <w:rPr>
                <w:b w:val="0"/>
                <w:sz w:val="21"/>
              </w:rPr>
              <w:t>技术图纸阅读</w:t>
            </w:r>
          </w:p>
        </w:tc>
        <w:tc>
          <w:tcPr>
            <w:tcW w:type="dxa" w:w="2699"/>
            <w:vAlign w:val="center"/>
          </w:tcPr>
          <w:p>
            <w:pPr>
              <w:keepNext w:val="0"/>
              <w:spacing w:line="320" w:lineRule="exact" w:after="0" w:before="0"/>
              <w:ind w:firstLine="0"/>
              <w:jc w:val="left"/>
            </w:pPr>
            <w:r>
              <w:rPr>
                <w:b w:val="0"/>
                <w:sz w:val="21"/>
              </w:rPr>
              <w:t>尺寸、符号、技术要求及图号</w:t>
            </w:r>
          </w:p>
        </w:tc>
        <w:tc>
          <w:tcPr>
            <w:tcW w:type="dxa" w:w="2409"/>
            <w:vAlign w:val="center"/>
          </w:tcPr>
          <w:p>
            <w:pPr>
              <w:keepNext w:val="0"/>
              <w:spacing w:line="320" w:lineRule="exact" w:after="0" w:before="0"/>
              <w:ind w:firstLine="0"/>
              <w:jc w:val="left"/>
            </w:pPr>
            <w:r>
              <w:rPr>
                <w:b w:val="0"/>
                <w:sz w:val="21"/>
              </w:rPr>
              <w:t>原始线条和文字可辨识</w:t>
            </w:r>
          </w:p>
        </w:tc>
        <w:tc>
          <w:tcPr>
            <w:tcW w:type="dxa" w:w="2891"/>
            <w:vAlign w:val="center"/>
          </w:tcPr>
          <w:p>
            <w:pPr>
              <w:keepNext w:val="0"/>
              <w:spacing w:line="320" w:lineRule="exact" w:after="0" w:before="0"/>
              <w:ind w:firstLine="0"/>
              <w:jc w:val="left"/>
            </w:pPr>
            <w:r>
              <w:rPr>
                <w:b w:val="0"/>
                <w:sz w:val="21"/>
              </w:rPr>
              <w:t>数值、单位和版本不失真</w:t>
            </w:r>
          </w:p>
        </w:tc>
      </w:tr>
      <w:tr>
        <w:trPr>
          <w:cantSplit/>
        </w:trPr>
        <w:tc>
          <w:tcPr>
            <w:tcW w:type="dxa" w:w="1638"/>
            <w:vAlign w:val="center"/>
          </w:tcPr>
          <w:p>
            <w:pPr>
              <w:keepNext w:val="0"/>
              <w:spacing w:line="320" w:lineRule="exact" w:after="0" w:before="0"/>
              <w:ind w:firstLine="0"/>
              <w:jc w:val="left"/>
            </w:pPr>
            <w:r>
              <w:rPr>
                <w:b w:val="0"/>
                <w:sz w:val="21"/>
              </w:rPr>
              <w:t>缺陷识别</w:t>
            </w:r>
          </w:p>
        </w:tc>
        <w:tc>
          <w:tcPr>
            <w:tcW w:type="dxa" w:w="2699"/>
            <w:vAlign w:val="center"/>
          </w:tcPr>
          <w:p>
            <w:pPr>
              <w:keepNext w:val="0"/>
              <w:spacing w:line="320" w:lineRule="exact" w:after="0" w:before="0"/>
              <w:ind w:firstLine="0"/>
              <w:jc w:val="left"/>
            </w:pPr>
            <w:r>
              <w:rPr>
                <w:b w:val="0"/>
                <w:sz w:val="21"/>
              </w:rPr>
              <w:t>缺陷主体、边界及周围材料</w:t>
            </w:r>
          </w:p>
        </w:tc>
        <w:tc>
          <w:tcPr>
            <w:tcW w:type="dxa" w:w="2409"/>
            <w:vAlign w:val="center"/>
          </w:tcPr>
          <w:p>
            <w:pPr>
              <w:keepNext w:val="0"/>
              <w:spacing w:line="320" w:lineRule="exact" w:after="0" w:before="0"/>
              <w:ind w:firstLine="0"/>
              <w:jc w:val="left"/>
            </w:pPr>
            <w:r>
              <w:rPr>
                <w:b w:val="0"/>
                <w:sz w:val="21"/>
              </w:rPr>
              <w:t>真实细节与标注可核对</w:t>
            </w:r>
          </w:p>
        </w:tc>
        <w:tc>
          <w:tcPr>
            <w:tcW w:type="dxa" w:w="2891"/>
            <w:vAlign w:val="center"/>
          </w:tcPr>
          <w:p>
            <w:pPr>
              <w:keepNext w:val="0"/>
              <w:spacing w:line="320" w:lineRule="exact" w:after="0" w:before="0"/>
              <w:ind w:firstLine="0"/>
              <w:jc w:val="left"/>
            </w:pPr>
            <w:r>
              <w:rPr>
                <w:b w:val="0"/>
                <w:sz w:val="21"/>
              </w:rPr>
              <w:t>降噪和裁剪未改变缺陷</w:t>
            </w:r>
          </w:p>
        </w:tc>
      </w:tr>
      <w:tr>
        <w:trPr>
          <w:cantSplit/>
        </w:trPr>
        <w:tc>
          <w:tcPr>
            <w:tcW w:type="dxa" w:w="1638"/>
            <w:vAlign w:val="center"/>
          </w:tcPr>
          <w:p>
            <w:pPr>
              <w:keepNext w:val="0"/>
              <w:spacing w:line="320" w:lineRule="exact" w:after="0" w:before="0"/>
              <w:ind w:firstLine="0"/>
              <w:jc w:val="left"/>
            </w:pPr>
            <w:r>
              <w:rPr>
                <w:b w:val="0"/>
                <w:sz w:val="21"/>
              </w:rPr>
              <w:t>设备状态识别</w:t>
            </w:r>
          </w:p>
        </w:tc>
        <w:tc>
          <w:tcPr>
            <w:tcW w:type="dxa" w:w="2699"/>
            <w:vAlign w:val="center"/>
          </w:tcPr>
          <w:p>
            <w:pPr>
              <w:keepNext w:val="0"/>
              <w:spacing w:line="320" w:lineRule="exact" w:after="0" w:before="0"/>
              <w:ind w:firstLine="0"/>
              <w:jc w:val="left"/>
            </w:pPr>
            <w:r>
              <w:rPr>
                <w:b w:val="0"/>
                <w:sz w:val="21"/>
              </w:rPr>
              <w:t>设备部件、仪表及作业状态</w:t>
            </w:r>
          </w:p>
        </w:tc>
        <w:tc>
          <w:tcPr>
            <w:tcW w:type="dxa" w:w="2409"/>
            <w:vAlign w:val="center"/>
          </w:tcPr>
          <w:p>
            <w:pPr>
              <w:keepNext w:val="0"/>
              <w:spacing w:line="320" w:lineRule="exact" w:after="0" w:before="0"/>
              <w:ind w:firstLine="0"/>
              <w:jc w:val="left"/>
            </w:pPr>
            <w:r>
              <w:rPr>
                <w:b w:val="0"/>
                <w:sz w:val="21"/>
              </w:rPr>
              <w:t>目标在实际输入尺寸下可识别</w:t>
            </w:r>
          </w:p>
        </w:tc>
        <w:tc>
          <w:tcPr>
            <w:tcW w:type="dxa" w:w="2891"/>
            <w:vAlign w:val="center"/>
          </w:tcPr>
          <w:p>
            <w:pPr>
              <w:keepNext w:val="0"/>
              <w:spacing w:line="320" w:lineRule="exact" w:after="0" w:before="0"/>
              <w:ind w:firstLine="0"/>
              <w:jc w:val="left"/>
            </w:pPr>
            <w:r>
              <w:rPr>
                <w:b w:val="0"/>
                <w:sz w:val="21"/>
              </w:rPr>
              <w:t>目标未遮挡或误配</w:t>
            </w:r>
          </w:p>
        </w:tc>
      </w:tr>
      <w:tr>
        <w:trPr>
          <w:cantSplit/>
        </w:trPr>
        <w:tc>
          <w:tcPr>
            <w:tcW w:type="dxa" w:w="1638"/>
            <w:vAlign w:val="center"/>
          </w:tcPr>
          <w:p>
            <w:pPr>
              <w:keepNext w:val="0"/>
              <w:spacing w:line="320" w:lineRule="exact" w:after="0" w:before="0"/>
              <w:ind w:firstLine="0"/>
              <w:jc w:val="left"/>
            </w:pPr>
            <w:r>
              <w:rPr>
                <w:b w:val="0"/>
                <w:sz w:val="21"/>
              </w:rPr>
              <w:t>多视角工件检测</w:t>
            </w:r>
          </w:p>
        </w:tc>
        <w:tc>
          <w:tcPr>
            <w:tcW w:type="dxa" w:w="2699"/>
            <w:vAlign w:val="center"/>
          </w:tcPr>
          <w:p>
            <w:pPr>
              <w:keepNext w:val="0"/>
              <w:spacing w:line="320" w:lineRule="exact" w:after="0" w:before="0"/>
              <w:ind w:firstLine="0"/>
              <w:jc w:val="left"/>
            </w:pPr>
            <w:r>
              <w:rPr>
                <w:b w:val="0"/>
                <w:sz w:val="21"/>
              </w:rPr>
              <w:t>同一工件不同角度区域</w:t>
            </w:r>
          </w:p>
        </w:tc>
        <w:tc>
          <w:tcPr>
            <w:tcW w:type="dxa" w:w="2409"/>
            <w:vAlign w:val="center"/>
          </w:tcPr>
          <w:p>
            <w:pPr>
              <w:keepNext w:val="0"/>
              <w:spacing w:line="320" w:lineRule="exact" w:after="0" w:before="0"/>
              <w:ind w:firstLine="0"/>
              <w:jc w:val="left"/>
            </w:pPr>
            <w:r>
              <w:rPr>
                <w:b w:val="0"/>
                <w:sz w:val="21"/>
              </w:rPr>
              <w:t>视角有业务价值且来源一致</w:t>
            </w:r>
          </w:p>
        </w:tc>
        <w:tc>
          <w:tcPr>
            <w:tcW w:type="dxa" w:w="2891"/>
            <w:vAlign w:val="center"/>
          </w:tcPr>
          <w:p>
            <w:pPr>
              <w:keepNext w:val="0"/>
              <w:spacing w:line="320" w:lineRule="exact" w:after="0" w:before="0"/>
              <w:ind w:firstLine="0"/>
              <w:jc w:val="left"/>
            </w:pPr>
            <w:r>
              <w:rPr>
                <w:b w:val="0"/>
                <w:sz w:val="21"/>
              </w:rPr>
              <w:t>不误删有效变体，不跨集泄漏</w:t>
            </w:r>
          </w:p>
        </w:tc>
      </w:tr>
    </w:tbl>
    <w:p>
      <w:pPr>
        <w:spacing w:after="40" w:line="240" w:lineRule="auto"/>
        <w:ind w:firstLine="0"/>
      </w:pPr>
      <w:r>
        <w:rPr>
          <w:sz w:val="4"/>
        </w:rPr>
      </w:r>
    </w:p>
    <w:p>
      <w:pPr>
        <w:pStyle w:val="Heading2"/>
      </w:pPr>
      <w:r>
        <w:t>5.9 音频内容干净性</w:t>
      </w:r>
    </w:p>
    <w:p>
      <w:pPr>
        <w:pStyle w:val="Heading3"/>
      </w:pPr>
      <w:r>
        <w:t>5.9.1 音频信噪比</w:t>
      </w:r>
    </w:p>
    <w:p>
      <w:pPr>
        <w:jc w:val="both"/>
      </w:pPr>
      <w:r>
        <w:t>指标2.7.12对实际音频按语音区间、背景噪声和任务类型分析信噪比，记录噪声估计方法及区间选择。矿山及车间环境中的设备声可能既是干扰，也可能是诊断目标，必须根据样本任务区分。语音识别任务评价指令是否可辨，声音诊断任务评价故障特征是否保留。</w:t>
      </w:r>
    </w:p>
    <w:p>
      <w:pPr>
        <w:jc w:val="both"/>
      </w:pPr>
      <w:r>
        <w:t>检测同时检查削波、断音、过低音量和异常静音。有效任务中的静音区间不自动作为缺陷，但错误切分造成关键词缺失需整改。降噪处理前后核对关键词、时间边界及必要设备声，无法恢复的信息通过重采或替换处理，不用自动补音制造未发生的指令。</w:t>
      </w:r>
    </w:p>
    <w:p>
      <w:pPr>
        <w:pStyle w:val="Heading3"/>
      </w:pPr>
      <w:r>
        <w:t>5.9.2 音频采样率</w:t>
      </w:r>
    </w:p>
    <w:p>
      <w:pPr>
        <w:jc w:val="both"/>
      </w:pPr>
      <w:r>
        <w:t>指标2.7.13全量读取采样率、声道及数据流信息，验证其满足源数据描述和模型输入要求。原始采样率与重采样后采样率分别记录，检查重采样比例、滤波处理和时间长度是否正确。仅改变文件头而未转换实际数据会造成音调及时间错误，列为不合格。</w:t>
      </w:r>
    </w:p>
    <w:p>
      <w:pPr>
        <w:jc w:val="both"/>
      </w:pPr>
      <w:r>
        <w:t>统一模型输入采样率时保留原音频，并验证不同源采样率的转换质量。低采样率缺失的频率信息不能通过上采样视为恢复。对于语音和设备声采用不同有效频段要求，评测协议明确适用范围，复测检查音频、转写和事件时间轴仍然一致。</w:t>
      </w:r>
    </w:p>
    <w:p>
      <w:pPr>
        <w:pStyle w:val="Heading3"/>
      </w:pPr>
      <w:r>
        <w:t>5.9.3 音频位深度</w:t>
      </w:r>
    </w:p>
    <w:p>
      <w:pPr>
        <w:jc w:val="both"/>
      </w:pPr>
      <w:r>
        <w:t>指标2.7.14核查音频实际存储格式、量化精度及转换过程，区分PCM等具有明确位深度的表示与压缩编码的相关属性。对不能直接用传统位深度表示的编码，记录编码格式、解码输出精度及适用判据，不填造不存在的参数。</w:t>
      </w:r>
    </w:p>
    <w:p>
      <w:pPr>
        <w:jc w:val="both"/>
      </w:pPr>
      <w:r>
        <w:t>检测关注位深转换造成的截断、幅值缩放、削波及量化噪声。标称较高位深不自动等于音质较高，应结合原始来源和实际有效信号判断。修正时明确转换工具与参数，复核波形幅值、有效信息及目标任务可用性。</w:t>
      </w:r>
    </w:p>
    <w:p>
      <w:pPr>
        <w:pStyle w:val="Heading3"/>
      </w:pPr>
      <w:r>
        <w:t>5.9.4 音频比特率</w:t>
      </w:r>
    </w:p>
    <w:p>
      <w:pPr>
        <w:jc w:val="both"/>
      </w:pPr>
      <w:r>
        <w:t>指标2.7.15检查码率、编码方式、时长、文件大小及恒定或可变码率特征，识别严重压缩造成的语音失真或诊断特征损失。不同编码的码率不能直接用同一数值判定质量，需结合目标任务及实际听辨结果确定阈值。</w:t>
      </w:r>
    </w:p>
    <w:p>
      <w:pPr>
        <w:jc w:val="both"/>
      </w:pPr>
      <w:r>
        <w:t>对转码数据记录原始与目标参数，避免多次有损转码累积损伤。评测检查关键指令、数字、否定词和设备特征声是否可辨。码率达到要求但内容已损坏的样本仍不合格，复测同时验证音频与转写、关键词及事件标注一致。</w:t>
      </w:r>
    </w:p>
    <w:p>
      <w:pPr>
        <w:pStyle w:val="Heading2"/>
      </w:pPr>
      <w:r>
        <w:t>5.10 视频内容干净性</w:t>
      </w:r>
    </w:p>
    <w:p>
      <w:pPr>
        <w:pStyle w:val="Heading3"/>
      </w:pPr>
      <w:r>
        <w:t>5.10.1 视频分辨率</w:t>
      </w:r>
    </w:p>
    <w:p>
      <w:pPr>
        <w:jc w:val="both"/>
      </w:pPr>
      <w:r>
        <w:t>指标2.7.16读取视频各数据流、分辨率及实际显示区域，检查旋转标记、纵横比和解码后尺寸，按设备识别、人员密度、异常事件等任务确定目标可见性。对于分辨率中途变化的文件记录变化区间，不能仅取首帧参数代表全部内容。</w:t>
      </w:r>
    </w:p>
    <w:p>
      <w:pPr>
        <w:jc w:val="both"/>
      </w:pPr>
      <w:r>
        <w:t>视频抽帧检查关键事件和目标区域，不以提高输出分辨率代替真实细节。转码后核对画面比例、裁剪位置及字幕，避免设备关键部件或时间信息被切除。低质量片段剔除或补采后，重新计算有效时长及事件覆盖。</w:t>
      </w:r>
    </w:p>
    <w:p>
      <w:pPr>
        <w:pStyle w:val="Heading3"/>
      </w:pPr>
      <w:r>
        <w:t>5.10.2 视频重复度</w:t>
      </w:r>
    </w:p>
    <w:p>
      <w:pPr>
        <w:jc w:val="both"/>
      </w:pPr>
      <w:r>
        <w:t>指标2.7.17结合文件摘要、镜头特征、时间片段和来源设备识别整段及局部重复。连续监控切片存在重叠时登记重叠区间，按有效事件和内容去重，不将相邻切片中的同一事件重复计为独立样本。更换容器、帧率或水印后的副本仍需识别。</w:t>
      </w:r>
    </w:p>
    <w:p>
      <w:pPr>
        <w:jc w:val="both"/>
      </w:pPr>
      <w:r>
        <w:t>评测按采集设备、时间区间和事件家族检查跨集重叠，特别防止训练集包含测试事件的前后相邻片段。保留不同视角需有业务依据，并遵守来源家族隔离。整改后核查场景及异常事件分布，不能通过重复正常片段抬高总时长。</w:t>
      </w:r>
    </w:p>
    <w:p>
      <w:pPr>
        <w:pStyle w:val="Heading3"/>
      </w:pPr>
      <w:r>
        <w:t>5.10.3 视频帧率</w:t>
      </w:r>
    </w:p>
    <w:p>
      <w:pPr>
        <w:jc w:val="both"/>
      </w:pPr>
      <w:r>
        <w:t>指标2.7.18核查标称帧率、实际帧时间戳、掉帧、重复帧及可变帧率情况，按目标事件持续时间和动作速度确定时间分辨能力。可变帧率视频通过实际呈现时间戳分析，不以文件头中的平均值代替全部时间轴。</w:t>
      </w:r>
    </w:p>
    <w:p>
      <w:pPr>
        <w:jc w:val="both"/>
      </w:pPr>
      <w:r>
        <w:t>抽帧策略记录采样间隔和事件保留规则，短时异常、瞬时动作及人员进入退出不能因过低采样频率被遗漏。资源不足时调整运行计划或分批处理，不擅自降低已确认的事件检测条件。整改后重验帧与标签时间对应以及关键事件可观察性。</w:t>
      </w:r>
    </w:p>
    <w:p>
      <w:pPr>
        <w:pStyle w:val="Heading3"/>
      </w:pPr>
      <w:r>
        <w:t>5.10.4 视频时长</w:t>
      </w:r>
    </w:p>
    <w:p>
      <w:pPr>
        <w:jc w:val="both"/>
      </w:pPr>
      <w:r>
        <w:t>指标2.7.19统计可解码有效时长、无效片段、事件时长及去重后总时长，分别列示平均值与分布。容器声明时长与实际可播放时长核对，检查截断、黑屏、冻结帧和重复拼接。总时长较长但事件内容单一的情况同时进入多样性评价。</w:t>
      </w:r>
    </w:p>
    <w:p>
      <w:pPr>
        <w:jc w:val="both"/>
      </w:pPr>
      <w:r>
        <w:t>切片前后保留原视频标识和起止时间，事件需具有完成判断所需前后文。剔除片段后重新核算有效规模，补充内容不得与既有片段重复。复测通过实际解码及事件回放确认时长有效，不只检查元数据。</w:t>
      </w:r>
    </w:p>
    <w:p>
      <w:pPr>
        <w:pStyle w:val="Heading3"/>
      </w:pPr>
      <w:r>
        <w:t>5.10.5 视频清晰度</w:t>
      </w:r>
    </w:p>
    <w:p>
      <w:pPr>
        <w:jc w:val="both"/>
      </w:pPr>
      <w:r>
        <w:t>指标2.7.20按时间分段检测失焦、运动模糊、遮挡、压缩失真和曝光变化，结合关键目标区域进行判断。视频整体平均清晰度合格不能掩盖事件发生时画面不可辨认，评测单列关键片段质量及受影响事件。</w:t>
      </w:r>
    </w:p>
    <w:p>
      <w:pPr>
        <w:jc w:val="both"/>
      </w:pPr>
      <w:r>
        <w:t>对摄像头污损、抖动或照明变化导致的批量问题，整改同时处理采集条件。图像稳定、去噪或锐化操作保留参数及前后对比，避免改变事件位置或制造异常边缘。无法可靠恢复的片段不用于需要精确视觉判断的任务，并补充真实有效材料。</w:t>
      </w:r>
    </w:p>
    <w:p>
      <w:pPr>
        <w:pStyle w:val="Heading3"/>
      </w:pPr>
      <w:r>
        <w:t>5.10.6 视频动态范围</w:t>
      </w:r>
    </w:p>
    <w:p>
      <w:pPr>
        <w:jc w:val="both"/>
      </w:pPr>
      <w:r>
        <w:t>指标2.7.21检查亮暗区域层次、过曝、欠曝、逆光及井下光照变化下的信息保留。评测结合实际任务核查设备轮廓、仪表、人员和异常区域在明暗变化时是否仍能辨识，不以编码标称参数直接推断有效动态范围。</w:t>
      </w:r>
    </w:p>
    <w:p>
      <w:pPr>
        <w:jc w:val="both"/>
      </w:pPr>
      <w:r>
        <w:t>涉及HDR或不同色彩空间的视频，记录解码、映射及模型输入转换过程，验证转换后没有丢失关键暗部或亮部信息。调整曝光及色调后复核目标真实性，不以画面观感改善代替业务可用性。动态范围不足影响识别时优先补采或更换合格来源。</w:t>
      </w:r>
    </w:p>
    <w:p>
      <w:pPr>
        <w:pStyle w:val="Caption"/>
        <w:keepNext/>
      </w:pPr>
      <w:r>
        <w:t>表5-6 音视频参数与业务内容核验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音视频对象</w:t>
            </w:r>
          </w:p>
        </w:tc>
        <w:tc>
          <w:tcPr>
            <w:tcW w:type="dxa" w:w="2699"/>
            <w:vAlign w:val="center"/>
            <w:shd w:fill="EDF1F3"/>
          </w:tcPr>
          <w:p>
            <w:pPr>
              <w:keepNext/>
              <w:spacing w:line="320" w:lineRule="exact" w:after="0" w:before="0"/>
              <w:ind w:firstLine="0"/>
              <w:jc w:val="center"/>
            </w:pPr>
            <w:r>
              <w:rPr>
                <w:b/>
                <w:sz w:val="21"/>
              </w:rPr>
              <w:t>参数核验</w:t>
            </w:r>
          </w:p>
        </w:tc>
        <w:tc>
          <w:tcPr>
            <w:tcW w:type="dxa" w:w="2409"/>
            <w:vAlign w:val="center"/>
            <w:shd w:fill="EDF1F3"/>
          </w:tcPr>
          <w:p>
            <w:pPr>
              <w:keepNext/>
              <w:spacing w:line="320" w:lineRule="exact" w:after="0" w:before="0"/>
              <w:ind w:firstLine="0"/>
              <w:jc w:val="center"/>
            </w:pPr>
            <w:r>
              <w:rPr>
                <w:b/>
                <w:sz w:val="21"/>
              </w:rPr>
              <w:t>内容核验</w:t>
            </w:r>
          </w:p>
        </w:tc>
        <w:tc>
          <w:tcPr>
            <w:tcW w:type="dxa" w:w="2891"/>
            <w:vAlign w:val="center"/>
            <w:shd w:fill="EDF1F3"/>
          </w:tcPr>
          <w:p>
            <w:pPr>
              <w:keepNext/>
              <w:spacing w:line="320" w:lineRule="exact" w:after="0" w:before="0"/>
              <w:ind w:firstLine="0"/>
              <w:jc w:val="center"/>
            </w:pPr>
            <w:r>
              <w:rPr>
                <w:b/>
                <w:sz w:val="21"/>
              </w:rPr>
              <w:t>时间关联核验</w:t>
            </w:r>
          </w:p>
        </w:tc>
      </w:tr>
      <w:tr>
        <w:trPr>
          <w:cantSplit/>
        </w:trPr>
        <w:tc>
          <w:tcPr>
            <w:tcW w:type="dxa" w:w="1638"/>
            <w:vAlign w:val="center"/>
          </w:tcPr>
          <w:p>
            <w:pPr>
              <w:keepNext w:val="0"/>
              <w:spacing w:line="320" w:lineRule="exact" w:after="0" w:before="0"/>
              <w:ind w:firstLine="0"/>
              <w:jc w:val="left"/>
            </w:pPr>
            <w:r>
              <w:rPr>
                <w:b w:val="0"/>
                <w:sz w:val="21"/>
              </w:rPr>
              <w:t>语音指令</w:t>
            </w:r>
          </w:p>
        </w:tc>
        <w:tc>
          <w:tcPr>
            <w:tcW w:type="dxa" w:w="2699"/>
            <w:vAlign w:val="center"/>
          </w:tcPr>
          <w:p>
            <w:pPr>
              <w:keepNext w:val="0"/>
              <w:spacing w:line="320" w:lineRule="exact" w:after="0" w:before="0"/>
              <w:ind w:firstLine="0"/>
              <w:jc w:val="left"/>
            </w:pPr>
            <w:r>
              <w:rPr>
                <w:b w:val="0"/>
                <w:sz w:val="21"/>
              </w:rPr>
              <w:t>采样率、编码、位深及码率</w:t>
            </w:r>
          </w:p>
        </w:tc>
        <w:tc>
          <w:tcPr>
            <w:tcW w:type="dxa" w:w="2409"/>
            <w:vAlign w:val="center"/>
          </w:tcPr>
          <w:p>
            <w:pPr>
              <w:keepNext w:val="0"/>
              <w:spacing w:line="320" w:lineRule="exact" w:after="0" w:before="0"/>
              <w:ind w:firstLine="0"/>
              <w:jc w:val="left"/>
            </w:pPr>
            <w:r>
              <w:rPr>
                <w:b w:val="0"/>
                <w:sz w:val="21"/>
              </w:rPr>
              <w:t>关键词、数字、否定词及噪声</w:t>
            </w:r>
          </w:p>
        </w:tc>
        <w:tc>
          <w:tcPr>
            <w:tcW w:type="dxa" w:w="2891"/>
            <w:vAlign w:val="center"/>
          </w:tcPr>
          <w:p>
            <w:pPr>
              <w:keepNext w:val="0"/>
              <w:spacing w:line="320" w:lineRule="exact" w:after="0" w:before="0"/>
              <w:ind w:firstLine="0"/>
              <w:jc w:val="left"/>
            </w:pPr>
            <w:r>
              <w:rPr>
                <w:b w:val="0"/>
                <w:sz w:val="21"/>
              </w:rPr>
              <w:t>转写与实际发声区间一致</w:t>
            </w:r>
          </w:p>
        </w:tc>
      </w:tr>
      <w:tr>
        <w:trPr>
          <w:cantSplit/>
        </w:trPr>
        <w:tc>
          <w:tcPr>
            <w:tcW w:type="dxa" w:w="1638"/>
            <w:vAlign w:val="center"/>
          </w:tcPr>
          <w:p>
            <w:pPr>
              <w:keepNext w:val="0"/>
              <w:spacing w:line="320" w:lineRule="exact" w:after="0" w:before="0"/>
              <w:ind w:firstLine="0"/>
              <w:jc w:val="left"/>
            </w:pPr>
            <w:r>
              <w:rPr>
                <w:b w:val="0"/>
                <w:sz w:val="21"/>
              </w:rPr>
              <w:t>设备声音</w:t>
            </w:r>
          </w:p>
        </w:tc>
        <w:tc>
          <w:tcPr>
            <w:tcW w:type="dxa" w:w="2699"/>
            <w:vAlign w:val="center"/>
          </w:tcPr>
          <w:p>
            <w:pPr>
              <w:keepNext w:val="0"/>
              <w:spacing w:line="320" w:lineRule="exact" w:after="0" w:before="0"/>
              <w:ind w:firstLine="0"/>
              <w:jc w:val="left"/>
            </w:pPr>
            <w:r>
              <w:rPr>
                <w:b w:val="0"/>
                <w:sz w:val="21"/>
              </w:rPr>
              <w:t>采样及频带、幅值和编码</w:t>
            </w:r>
          </w:p>
        </w:tc>
        <w:tc>
          <w:tcPr>
            <w:tcW w:type="dxa" w:w="2409"/>
            <w:vAlign w:val="center"/>
          </w:tcPr>
          <w:p>
            <w:pPr>
              <w:keepNext w:val="0"/>
              <w:spacing w:line="320" w:lineRule="exact" w:after="0" w:before="0"/>
              <w:ind w:firstLine="0"/>
              <w:jc w:val="left"/>
            </w:pPr>
            <w:r>
              <w:rPr>
                <w:b w:val="0"/>
                <w:sz w:val="21"/>
              </w:rPr>
              <w:t>目标特征声未被误作噪声清除</w:t>
            </w:r>
          </w:p>
        </w:tc>
        <w:tc>
          <w:tcPr>
            <w:tcW w:type="dxa" w:w="2891"/>
            <w:vAlign w:val="center"/>
          </w:tcPr>
          <w:p>
            <w:pPr>
              <w:keepNext w:val="0"/>
              <w:spacing w:line="320" w:lineRule="exact" w:after="0" w:before="0"/>
              <w:ind w:firstLine="0"/>
              <w:jc w:val="left"/>
            </w:pPr>
            <w:r>
              <w:rPr>
                <w:b w:val="0"/>
                <w:sz w:val="21"/>
              </w:rPr>
              <w:t>故障事件与采集时间一致</w:t>
            </w:r>
          </w:p>
        </w:tc>
      </w:tr>
      <w:tr>
        <w:trPr>
          <w:cantSplit/>
        </w:trPr>
        <w:tc>
          <w:tcPr>
            <w:tcW w:type="dxa" w:w="1638"/>
            <w:vAlign w:val="center"/>
          </w:tcPr>
          <w:p>
            <w:pPr>
              <w:keepNext w:val="0"/>
              <w:spacing w:line="320" w:lineRule="exact" w:after="0" w:before="0"/>
              <w:ind w:firstLine="0"/>
              <w:jc w:val="left"/>
            </w:pPr>
            <w:r>
              <w:rPr>
                <w:b w:val="0"/>
                <w:sz w:val="21"/>
              </w:rPr>
              <w:t>场景视频</w:t>
            </w:r>
          </w:p>
        </w:tc>
        <w:tc>
          <w:tcPr>
            <w:tcW w:type="dxa" w:w="2699"/>
            <w:vAlign w:val="center"/>
          </w:tcPr>
          <w:p>
            <w:pPr>
              <w:keepNext w:val="0"/>
              <w:spacing w:line="320" w:lineRule="exact" w:after="0" w:before="0"/>
              <w:ind w:firstLine="0"/>
              <w:jc w:val="left"/>
            </w:pPr>
            <w:r>
              <w:rPr>
                <w:b w:val="0"/>
                <w:sz w:val="21"/>
              </w:rPr>
              <w:t>分辨率、帧率、动态范围</w:t>
            </w:r>
          </w:p>
        </w:tc>
        <w:tc>
          <w:tcPr>
            <w:tcW w:type="dxa" w:w="2409"/>
            <w:vAlign w:val="center"/>
          </w:tcPr>
          <w:p>
            <w:pPr>
              <w:keepNext w:val="0"/>
              <w:spacing w:line="320" w:lineRule="exact" w:after="0" w:before="0"/>
              <w:ind w:firstLine="0"/>
              <w:jc w:val="left"/>
            </w:pPr>
            <w:r>
              <w:rPr>
                <w:b w:val="0"/>
                <w:sz w:val="21"/>
              </w:rPr>
              <w:t>关键目标及异常事件可辨</w:t>
            </w:r>
          </w:p>
        </w:tc>
        <w:tc>
          <w:tcPr>
            <w:tcW w:type="dxa" w:w="2891"/>
            <w:vAlign w:val="center"/>
          </w:tcPr>
          <w:p>
            <w:pPr>
              <w:keepNext w:val="0"/>
              <w:spacing w:line="320" w:lineRule="exact" w:after="0" w:before="0"/>
              <w:ind w:firstLine="0"/>
              <w:jc w:val="left"/>
            </w:pPr>
            <w:r>
              <w:rPr>
                <w:b w:val="0"/>
                <w:sz w:val="21"/>
              </w:rPr>
              <w:t>帧时间戳、标签与原片对应</w:t>
            </w:r>
          </w:p>
        </w:tc>
      </w:tr>
      <w:tr>
        <w:trPr>
          <w:cantSplit/>
        </w:trPr>
        <w:tc>
          <w:tcPr>
            <w:tcW w:type="dxa" w:w="1638"/>
            <w:vAlign w:val="center"/>
          </w:tcPr>
          <w:p>
            <w:pPr>
              <w:keepNext w:val="0"/>
              <w:spacing w:line="320" w:lineRule="exact" w:after="0" w:before="0"/>
              <w:ind w:firstLine="0"/>
              <w:jc w:val="left"/>
            </w:pPr>
            <w:r>
              <w:rPr>
                <w:b w:val="0"/>
                <w:sz w:val="21"/>
              </w:rPr>
              <w:t>视频切片</w:t>
            </w:r>
          </w:p>
        </w:tc>
        <w:tc>
          <w:tcPr>
            <w:tcW w:type="dxa" w:w="2699"/>
            <w:vAlign w:val="center"/>
          </w:tcPr>
          <w:p>
            <w:pPr>
              <w:keepNext w:val="0"/>
              <w:spacing w:line="320" w:lineRule="exact" w:after="0" w:before="0"/>
              <w:ind w:firstLine="0"/>
              <w:jc w:val="left"/>
            </w:pPr>
            <w:r>
              <w:rPr>
                <w:b w:val="0"/>
                <w:sz w:val="21"/>
              </w:rPr>
              <w:t>原片、起止点、重叠及有效时长</w:t>
            </w:r>
          </w:p>
        </w:tc>
        <w:tc>
          <w:tcPr>
            <w:tcW w:type="dxa" w:w="2409"/>
            <w:vAlign w:val="center"/>
          </w:tcPr>
          <w:p>
            <w:pPr>
              <w:keepNext w:val="0"/>
              <w:spacing w:line="320" w:lineRule="exact" w:after="0" w:before="0"/>
              <w:ind w:firstLine="0"/>
              <w:jc w:val="left"/>
            </w:pPr>
            <w:r>
              <w:rPr>
                <w:b w:val="0"/>
                <w:sz w:val="21"/>
              </w:rPr>
              <w:t>不缺事件必要前后文</w:t>
            </w:r>
          </w:p>
        </w:tc>
        <w:tc>
          <w:tcPr>
            <w:tcW w:type="dxa" w:w="2891"/>
            <w:vAlign w:val="center"/>
          </w:tcPr>
          <w:p>
            <w:pPr>
              <w:keepNext w:val="0"/>
              <w:spacing w:line="320" w:lineRule="exact" w:after="0" w:before="0"/>
              <w:ind w:firstLine="0"/>
              <w:jc w:val="left"/>
            </w:pPr>
            <w:r>
              <w:rPr>
                <w:b w:val="0"/>
                <w:sz w:val="21"/>
              </w:rPr>
              <w:t>同设备与事件家族不跨集</w:t>
            </w:r>
          </w:p>
        </w:tc>
      </w:tr>
    </w:tbl>
    <w:p>
      <w:pPr>
        <w:spacing w:after="40" w:line="240" w:lineRule="auto"/>
        <w:ind w:firstLine="0"/>
      </w:pPr>
      <w:r>
        <w:rPr>
          <w:sz w:val="4"/>
        </w:rPr>
      </w:r>
    </w:p>
    <w:p>
      <w:pPr>
        <w:pStyle w:val="Heading2"/>
      </w:pPr>
      <w:r>
        <w:t>5.11 内容一致性</w:t>
      </w:r>
    </w:p>
    <w:p>
      <w:pPr>
        <w:pStyle w:val="Heading3"/>
      </w:pPr>
      <w:r>
        <w:t>5.11.1 概念一致性</w:t>
      </w:r>
    </w:p>
    <w:p>
      <w:pPr>
        <w:jc w:val="both"/>
      </w:pPr>
      <w:r>
        <w:t>指标2.8.1核查同一概念在数据、标签、文档和模型答案中的定义一致，建立术语、同义词、简称及对象层级映射。不同型号、不同工序或不同有效版本的概念不能因名称相近强行合并；同一概念的不同表达应能通过受控映射识别。</w:t>
      </w:r>
    </w:p>
    <w:p>
      <w:pPr>
        <w:jc w:val="both"/>
      </w:pPr>
      <w:r>
        <w:t>检测使用术语词表与实体关系规则定位冲突，专家核查其业务含义。整改首先确认正确概念及适用范围，再更新词表、标签和样本。概念含义发生实质变化时建立新标识及替代关系，保留历史定义，不将旧数据无条件改写成新含义。</w:t>
      </w:r>
    </w:p>
    <w:p>
      <w:pPr>
        <w:pStyle w:val="Heading3"/>
      </w:pPr>
      <w:r>
        <w:t>5.11.2 语义一致性</w:t>
      </w:r>
    </w:p>
    <w:p>
      <w:pPr>
        <w:jc w:val="both"/>
      </w:pPr>
      <w:r>
        <w:t>指标2.8.2检查文本、图像、时序、音视频及标签是否描述同一对象和事件，关注图文错配、时序与故障记录错时、答案与问题条件冲突等情况。自动化相似度用于筛选异常，最终专业判断结合设备、工件、时间、工况和原始依据。</w:t>
      </w:r>
    </w:p>
    <w:p>
      <w:pPr>
        <w:jc w:val="both"/>
      </w:pPr>
      <w:r>
        <w:t>多模态对齐允许的时间误差依据任务确定，并记录时钟偏移和校正方式，不能用宽泛时间窗口掩盖错配。整改后重新验证全部关联模态和标准答案，避免只更换图片但保留原标签。存在无法判定的关系时隔离样本并核实来源，不通过高相似度分数自动认定一致。</w:t>
      </w:r>
    </w:p>
    <w:p>
      <w:pPr>
        <w:pStyle w:val="Heading3"/>
      </w:pPr>
      <w:r>
        <w:t>5.11.3 格式一致性</w:t>
      </w:r>
    </w:p>
    <w:p>
      <w:pPr>
        <w:jc w:val="both"/>
      </w:pPr>
      <w:r>
        <w:t>指标2.8.3检查同一字段、标签、单位及时间表达在相同业务范围内是否一致，与单条记录格式是否合法分别评价。多套来源格式可以在接入时保留原值，但输出须遵循统一规则，或者明确分版本和分场景差异，不能出现无依据的混用。</w:t>
      </w:r>
    </w:p>
    <w:p>
      <w:pPr>
        <w:jc w:val="both"/>
      </w:pPr>
      <w:r>
        <w:t>全量统计格式模式及异常分布，重点检查日期顺序、小数精度、单位大小写、坐标顺序及编码前导零。整改由统一映射规则执行，保留原值、转换依据和后继版本。复测验证跨批次及跨模态关联不受影响，防止局部修复造成新的关系断裂。</w:t>
      </w:r>
    </w:p>
    <w:p>
      <w:pPr>
        <w:pStyle w:val="Heading2"/>
      </w:pPr>
      <w:r>
        <w:t>5.12 隐私规范性</w:t>
      </w:r>
    </w:p>
    <w:p>
      <w:pPr>
        <w:jc w:val="both"/>
      </w:pPr>
      <w:r>
        <w:t>指标2.9.1对姓名、联系方式、证件、位置、账户及可组合识别个人的信息开展全量筛查，覆盖正文、表格、图片OCR、音频转写、视频画面、元数据和附件。评测核查处理目的、必要性、授权及脱敏方式，不能只删除姓名而保留足以重新识别个人的组合信息。检测工具识别结果由安全人员结合实际场景复核。</w:t>
      </w:r>
    </w:p>
    <w:p>
      <w:pPr>
        <w:jc w:val="both"/>
      </w:pPr>
      <w:r>
        <w:t>脱敏校验既检查显性标识替换，也检查映射表、缓存、索引和训练输出中的残留。需要保持同一主体关联时采用受控标识，映射关系与使用数据分离管理。未脱敏隐私高风险缺陷全部清零，无法满足合法用途及保护要求的样本剔除，并检查其派生内容、统计结果和模型输入是否需要同步处置。</w:t>
      </w:r>
    </w:p>
    <w:p>
      <w:pPr>
        <w:jc w:val="both"/>
      </w:pPr>
      <w:r>
        <w:t>复测对修正批次全量重扫，并针对同源、同规则和同类型信息扩展核查。报告保留脱敏规则、命中数、确认数、处理数及复检数，敏感原值不进入一般交付报告。脱敏不能破坏必要业务语义，数值区间、对象关联和任务标签受到影响时同步进行专业验证。</w:t>
      </w:r>
    </w:p>
    <w:p>
      <w:pPr>
        <w:pStyle w:val="Heading2"/>
      </w:pPr>
      <w:r>
        <w:t>5.13 内容原创性</w:t>
      </w:r>
    </w:p>
    <w:p>
      <w:pPr>
        <w:pStyle w:val="Heading3"/>
      </w:pPr>
      <w:r>
        <w:t>5.13.1 内容原创性</w:t>
      </w:r>
    </w:p>
    <w:p>
      <w:pPr>
        <w:jc w:val="both"/>
      </w:pPr>
      <w:r>
        <w:t>指标2.10.1核查数据内容与原始材料、外部资料及其他已收集内容的相似关系，区分自有原生内容、合法引用、授权使用、合成和实质重复。原创性评价关注内容来源及独立信息价值，不把所有合法引用判为不合格，也不将已取得使用许可等同于内容原创。</w:t>
      </w:r>
    </w:p>
    <w:p>
      <w:pPr>
        <w:jc w:val="both"/>
      </w:pPr>
      <w:r>
        <w:t>原创内容比例按确认具有原创依据的有效内容量占适用内容总量计算，计量单位在同一用途内保持一致；来源不明的内容不计入原创分子。检测通过来源登记、指纹比对、相似片段和引用标识发现疑点，专家核查是否存在未经说明的复制、拼接或生成后冒充原生内容。整改完善来源及引用，剔除无权使用或无有效价值的重复材料。原创性结果与版权合规结果分别记录，保证两个判断依据清楚。</w:t>
      </w:r>
    </w:p>
    <w:p>
      <w:pPr>
        <w:pStyle w:val="Heading3"/>
      </w:pPr>
      <w:r>
        <w:t>5.13.2 来源原创性</w:t>
      </w:r>
    </w:p>
    <w:p>
      <w:pPr>
        <w:jc w:val="both"/>
      </w:pPr>
      <w:r>
        <w:t>指标2.10.2核查声明为原始来源的数据是否具有真实采集、业务生成或创作依据，识别多次转载被误记为不同源、二次整理被误记为一手材料等情况。对采购、公开许可和合作取得的数据追踪最初来源及授权链，不能仅以当前提供单位名称认定原创主体。</w:t>
      </w:r>
    </w:p>
    <w:p>
      <w:pPr>
        <w:jc w:val="both"/>
      </w:pPr>
      <w:r>
        <w:t>一手或独家来源比例分别根据真实来源性质统计，公开资料汇编保留其原有属性，独家权利需有相应依据。评测抽取来源链核验采集日志、业务记录及许可凭证，检查来源数量是否因镜像、转载和中间转交虚增。无法确认原始来源的内容列入核实范围，权利不足或来源失实的样本隔离处理。修正后重算来源分布，保留真实来源属性而非追求表面高比例。</w:t>
      </w:r>
    </w:p>
    <w:p>
      <w:pPr>
        <w:pStyle w:val="Heading2"/>
      </w:pPr>
      <w:r>
        <w:t>5.14 领域专业性</w:t>
      </w:r>
    </w:p>
    <w:p>
      <w:pPr>
        <w:jc w:val="both"/>
      </w:pPr>
      <w:r>
        <w:t>指标2.11.1由煤机装备相关专业人员核查术语、技术原理、工艺条件、检验依据、设备结构及任务表达是否符合行业实际。供需计划重点检查物料、计划、交期和库存关系；产品工艺设计重点检查图纸、材料、工序及约束；制造过程重点检查设备参数、操作条件及过程事件；产品质量重点检查缺陷、检验方法及结论依据。</w:t>
      </w:r>
    </w:p>
    <w:p>
      <w:pPr>
        <w:jc w:val="both"/>
      </w:pPr>
      <w:r>
        <w:t>专业性评价采用经确认的任务清单与判据，不能仅以出现大量行业词语认定专业。对错误参数、越界操作建议、缺乏必要安全条件和混淆设备型号等问题进行分级处理。专家结论同时记录引用依据和适用条件，存在多种合理工艺路径时明确可接受答案范围，避免将个人习惯作为唯一标准。</w:t>
      </w:r>
    </w:p>
    <w:p>
      <w:pPr>
        <w:jc w:val="both"/>
      </w:pPr>
      <w:r>
        <w:t>整改从知识来源、标注规范和生成约束入手，追查同类样本而非逐句润色。复测检查修正内容在真实任务中是否可用，必要时通过模型专项测试验证数据改进效果。专业表述准确但来源未经授权的样本仍不得通过完整质量判定，专业性与合规性同时满足。</w:t>
      </w:r>
    </w:p>
    <w:p>
      <w:pPr>
        <w:pStyle w:val="Heading1"/>
      </w:pPr>
      <w:r>
        <w:t>6 模型应用指标评测</w:t>
      </w:r>
    </w:p>
    <w:p>
      <w:pPr>
        <w:pStyle w:val="Heading2"/>
      </w:pPr>
      <w:r>
        <w:t>6.1 模型适配性</w:t>
      </w:r>
    </w:p>
    <w:p>
      <w:pPr>
        <w:jc w:val="both"/>
      </w:pPr>
      <w:r>
        <w:t>模型适配性围绕招标指定的四类模型开展微调前后对照。各类实验按照实际产生的数据类型执行，保留适用性判断和完整协议；已经产生的适用数据不得因训练困难、资源不足或预期提升不明显而退出验证。模型名称、权重、训练方式、数据划分、评价方法和最低提升阈值在实验前确认并固定。</w:t>
      </w:r>
    </w:p>
    <w:p>
      <w:pPr>
        <w:pStyle w:val="Heading3"/>
      </w:pPr>
      <w:r>
        <w:t>6.1.1 文本类数据集</w:t>
      </w:r>
    </w:p>
    <w:p>
      <w:pPr>
        <w:jc w:val="both"/>
      </w:pPr>
      <w:r>
        <w:t>指标3.1.1采用Qwen2.5-0.5B-Instruct基础模型及LoRA低秩适应技术进行微调。独立测试样本覆盖四个业务领域及实际文本任务，以LLM裁判评价准确性、完整性、专业性、简洁清晰性，并通过专业人员校准裁判结果。基础模型与微调模型采用相同问题、提示词、上下文限制和解码配置。</w:t>
      </w:r>
    </w:p>
    <w:p>
      <w:pPr>
        <w:jc w:val="both"/>
      </w:pPr>
      <w:r>
        <w:t>实验检查数据知识纯度与结构规范性对结果的影响，按事实错误、约束遗漏、术语错误、格式错误和冗余表达分类分析失败样本。针对低分层补充真实资料、完善答案依据或修正规范，再以新数据版本重复对照。实验保留逐题输出及裁判理由，不能只交一张总体平均分表。</w:t>
      </w:r>
    </w:p>
    <w:p>
      <w:pPr>
        <w:pStyle w:val="Heading3"/>
      </w:pPr>
      <w:r>
        <w:t>6.1.2 场景类数据集</w:t>
      </w:r>
    </w:p>
    <w:p>
      <w:pPr>
        <w:jc w:val="both"/>
      </w:pPr>
      <w:r>
        <w:t>指标3.1.2采用YOLO11n-seg视觉基础模型进行分割微调验证，按训练、验证、测试三部分组织数据，兼顾边界框检测和掩膜分割性能。数据划分以工件、设备、采集批次及来源家族为约束，避免同一对象的近似图片分别进入训练和测试。标签定义、类别映射及区域规范在划分前核定。</w:t>
      </w:r>
    </w:p>
    <w:p>
      <w:pPr>
        <w:jc w:val="both"/>
      </w:pPr>
      <w:r>
        <w:t>模型效果分别按类别、目标大小、缺陷类型、遮挡及采集条件统计，识别总体性能提升但少数重要缺陷退化的情况。基础权重无法直接输出项目新类别时，事先确定可比较的任务头及基线定义，并报告其限制，不能把不具备相应类别语义的输出直接解释为迁移性能。专业人员核查边界与类别的业务合理性。</w:t>
      </w:r>
    </w:p>
    <w:p>
      <w:pPr>
        <w:pStyle w:val="Heading3"/>
      </w:pPr>
      <w:r>
        <w:t>6.1.3 语音类数据集</w:t>
      </w:r>
    </w:p>
    <w:p>
      <w:pPr>
        <w:jc w:val="both"/>
      </w:pPr>
      <w:r>
        <w:t>指标3.1.3采用openai/whisper-tiny基础语音模型，实施Zero-shot vs Fine-tuning对比实验，评价通用声学模型对实际语音数据的适应能力。依据招标保留“塔台指令关键词召回率”指标登记；在本项目业务适配中，由甲方确认该指标与实际煤机调度、设备操作等语音指令关键词的对应范围，明确关键词、数值、否定词和动作对象的判定规则后执行。</w:t>
      </w:r>
    </w:p>
    <w:p>
      <w:pPr>
        <w:jc w:val="both"/>
      </w:pPr>
      <w:r>
        <w:t>业务适配不擅自删除招标指标或改成无关的通用转写准确率。若项目未产生适用语音数据，由甲方确认适用性并留存依据；若产生，则执行声学与关键词两类评价。测试集按说话人、设备及采集事件隔离，检查噪声、口音、语速和关键指令条件下的召回与误识别。</w:t>
      </w:r>
    </w:p>
    <w:p>
      <w:pPr>
        <w:pStyle w:val="Heading3"/>
      </w:pPr>
      <w:r>
        <w:t>6.1.4 视频类数据集</w:t>
      </w:r>
    </w:p>
    <w:p>
      <w:pPr>
        <w:jc w:val="both"/>
      </w:pPr>
      <w:r>
        <w:t>指标3.1.4采用Qwen2.5-Omni-3B多模态基础模型及LoRA微调，对视频场景描述、人流密度、异常判断和语言专业性开展验证。独立测试集按采集设备隔离封存，保留设备、场地、时间和事件关系；测试设备采集的相关片段及派生内容不进入训练或调参数据。</w:t>
      </w:r>
    </w:p>
    <w:p>
      <w:pPr>
        <w:jc w:val="both"/>
      </w:pPr>
      <w:r>
        <w:t>基础模型与微调模型对同一封存测试集生成结果，采用LLM裁判双盲评测并结合Rouge-L自动指标，专业人员复核事实、时间、数量和异常判断。Rouge-L用于文本重合程度评价，不代替对工业事实和安全判断的检查。模型输出不能仅因用词与参考答案相近便判定正确。</w:t>
      </w:r>
    </w:p>
    <w:p>
      <w:pPr>
        <w:pStyle w:val="Caption"/>
        <w:keepNext/>
      </w:pPr>
      <w:r>
        <w:t>表6-1 四类模型适配实验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数据类型</w:t>
            </w:r>
          </w:p>
        </w:tc>
        <w:tc>
          <w:tcPr>
            <w:tcW w:type="dxa" w:w="2699"/>
            <w:vAlign w:val="center"/>
            <w:shd w:fill="EDF1F3"/>
          </w:tcPr>
          <w:p>
            <w:pPr>
              <w:keepNext/>
              <w:spacing w:line="320" w:lineRule="exact" w:after="0" w:before="0"/>
              <w:ind w:firstLine="0"/>
              <w:jc w:val="center"/>
            </w:pPr>
            <w:r>
              <w:rPr>
                <w:b/>
                <w:sz w:val="21"/>
              </w:rPr>
              <w:t>指定基础模型</w:t>
            </w:r>
          </w:p>
        </w:tc>
        <w:tc>
          <w:tcPr>
            <w:tcW w:type="dxa" w:w="2409"/>
            <w:vAlign w:val="center"/>
            <w:shd w:fill="EDF1F3"/>
          </w:tcPr>
          <w:p>
            <w:pPr>
              <w:keepNext/>
              <w:spacing w:line="320" w:lineRule="exact" w:after="0" w:before="0"/>
              <w:ind w:firstLine="0"/>
              <w:jc w:val="center"/>
            </w:pPr>
            <w:r>
              <w:rPr>
                <w:b/>
                <w:sz w:val="21"/>
              </w:rPr>
              <w:t>训练方式</w:t>
            </w:r>
          </w:p>
        </w:tc>
        <w:tc>
          <w:tcPr>
            <w:tcW w:type="dxa" w:w="2891"/>
            <w:vAlign w:val="center"/>
            <w:shd w:fill="EDF1F3"/>
          </w:tcPr>
          <w:p>
            <w:pPr>
              <w:keepNext/>
              <w:spacing w:line="320" w:lineRule="exact" w:after="0" w:before="0"/>
              <w:ind w:firstLine="0"/>
              <w:jc w:val="center"/>
            </w:pPr>
            <w:r>
              <w:rPr>
                <w:b/>
                <w:sz w:val="21"/>
              </w:rPr>
              <w:t>核心评价</w:t>
            </w:r>
          </w:p>
        </w:tc>
      </w:tr>
      <w:tr>
        <w:trPr>
          <w:cantSplit/>
        </w:trPr>
        <w:tc>
          <w:tcPr>
            <w:tcW w:type="dxa" w:w="1638"/>
            <w:vAlign w:val="center"/>
          </w:tcPr>
          <w:p>
            <w:pPr>
              <w:keepNext w:val="0"/>
              <w:spacing w:line="320" w:lineRule="exact" w:after="0" w:before="0"/>
              <w:ind w:firstLine="0"/>
              <w:jc w:val="left"/>
            </w:pPr>
            <w:r>
              <w:rPr>
                <w:b w:val="0"/>
                <w:sz w:val="21"/>
              </w:rPr>
              <w:t>文本</w:t>
            </w:r>
          </w:p>
        </w:tc>
        <w:tc>
          <w:tcPr>
            <w:tcW w:type="dxa" w:w="2699"/>
            <w:vAlign w:val="center"/>
          </w:tcPr>
          <w:p>
            <w:pPr>
              <w:keepNext w:val="0"/>
              <w:spacing w:line="320" w:lineRule="exact" w:after="0" w:before="0"/>
              <w:ind w:firstLine="0"/>
              <w:jc w:val="left"/>
            </w:pPr>
            <w:r>
              <w:rPr>
                <w:b w:val="0"/>
                <w:sz w:val="21"/>
              </w:rPr>
              <w:t>Qwen2.5-0.5B-Instruct</w:t>
            </w:r>
          </w:p>
        </w:tc>
        <w:tc>
          <w:tcPr>
            <w:tcW w:type="dxa" w:w="2409"/>
            <w:vAlign w:val="center"/>
          </w:tcPr>
          <w:p>
            <w:pPr>
              <w:keepNext w:val="0"/>
              <w:spacing w:line="320" w:lineRule="exact" w:after="0" w:before="0"/>
              <w:ind w:firstLine="0"/>
              <w:jc w:val="left"/>
            </w:pPr>
            <w:r>
              <w:rPr>
                <w:b w:val="0"/>
                <w:sz w:val="21"/>
              </w:rPr>
              <w:t>LoRA微调</w:t>
            </w:r>
          </w:p>
        </w:tc>
        <w:tc>
          <w:tcPr>
            <w:tcW w:type="dxa" w:w="2891"/>
            <w:vAlign w:val="center"/>
          </w:tcPr>
          <w:p>
            <w:pPr>
              <w:keepNext w:val="0"/>
              <w:spacing w:line="320" w:lineRule="exact" w:after="0" w:before="0"/>
              <w:ind w:firstLine="0"/>
              <w:jc w:val="left"/>
            </w:pPr>
            <w:r>
              <w:rPr>
                <w:b w:val="0"/>
                <w:sz w:val="21"/>
              </w:rPr>
              <w:t>准确、完整、专业、简洁清晰</w:t>
            </w:r>
          </w:p>
        </w:tc>
      </w:tr>
      <w:tr>
        <w:trPr>
          <w:cantSplit/>
        </w:trPr>
        <w:tc>
          <w:tcPr>
            <w:tcW w:type="dxa" w:w="1638"/>
            <w:vAlign w:val="center"/>
          </w:tcPr>
          <w:p>
            <w:pPr>
              <w:keepNext w:val="0"/>
              <w:spacing w:line="320" w:lineRule="exact" w:after="0" w:before="0"/>
              <w:ind w:firstLine="0"/>
              <w:jc w:val="left"/>
            </w:pPr>
            <w:r>
              <w:rPr>
                <w:b w:val="0"/>
                <w:sz w:val="21"/>
              </w:rPr>
              <w:t>场景</w:t>
            </w:r>
          </w:p>
        </w:tc>
        <w:tc>
          <w:tcPr>
            <w:tcW w:type="dxa" w:w="2699"/>
            <w:vAlign w:val="center"/>
          </w:tcPr>
          <w:p>
            <w:pPr>
              <w:keepNext w:val="0"/>
              <w:spacing w:line="320" w:lineRule="exact" w:after="0" w:before="0"/>
              <w:ind w:firstLine="0"/>
              <w:jc w:val="left"/>
            </w:pPr>
            <w:r>
              <w:rPr>
                <w:b w:val="0"/>
                <w:sz w:val="21"/>
              </w:rPr>
              <w:t>YOLO11n-seg</w:t>
            </w:r>
          </w:p>
        </w:tc>
        <w:tc>
          <w:tcPr>
            <w:tcW w:type="dxa" w:w="2409"/>
            <w:vAlign w:val="center"/>
          </w:tcPr>
          <w:p>
            <w:pPr>
              <w:keepNext w:val="0"/>
              <w:spacing w:line="320" w:lineRule="exact" w:after="0" w:before="0"/>
              <w:ind w:firstLine="0"/>
              <w:jc w:val="left"/>
            </w:pPr>
            <w:r>
              <w:rPr>
                <w:b w:val="0"/>
                <w:sz w:val="21"/>
              </w:rPr>
              <w:t>分割微调</w:t>
            </w:r>
          </w:p>
        </w:tc>
        <w:tc>
          <w:tcPr>
            <w:tcW w:type="dxa" w:w="2891"/>
            <w:vAlign w:val="center"/>
          </w:tcPr>
          <w:p>
            <w:pPr>
              <w:keepNext w:val="0"/>
              <w:spacing w:line="320" w:lineRule="exact" w:after="0" w:before="0"/>
              <w:ind w:firstLine="0"/>
              <w:jc w:val="left"/>
            </w:pPr>
            <w:r>
              <w:rPr>
                <w:b w:val="0"/>
                <w:sz w:val="21"/>
              </w:rPr>
              <w:t>边界框检测与掩膜分割双重性能</w:t>
            </w:r>
          </w:p>
        </w:tc>
      </w:tr>
      <w:tr>
        <w:trPr>
          <w:cantSplit/>
        </w:trPr>
        <w:tc>
          <w:tcPr>
            <w:tcW w:type="dxa" w:w="1638"/>
            <w:vAlign w:val="center"/>
          </w:tcPr>
          <w:p>
            <w:pPr>
              <w:keepNext w:val="0"/>
              <w:spacing w:line="320" w:lineRule="exact" w:after="0" w:before="0"/>
              <w:ind w:firstLine="0"/>
              <w:jc w:val="left"/>
            </w:pPr>
            <w:r>
              <w:rPr>
                <w:b w:val="0"/>
                <w:sz w:val="21"/>
              </w:rPr>
              <w:t>语音</w:t>
            </w:r>
          </w:p>
        </w:tc>
        <w:tc>
          <w:tcPr>
            <w:tcW w:type="dxa" w:w="2699"/>
            <w:vAlign w:val="center"/>
          </w:tcPr>
          <w:p>
            <w:pPr>
              <w:keepNext w:val="0"/>
              <w:spacing w:line="320" w:lineRule="exact" w:after="0" w:before="0"/>
              <w:ind w:firstLine="0"/>
              <w:jc w:val="left"/>
            </w:pPr>
            <w:r>
              <w:rPr>
                <w:b w:val="0"/>
                <w:sz w:val="21"/>
              </w:rPr>
              <w:t>openai/whisper-tiny</w:t>
            </w:r>
          </w:p>
        </w:tc>
        <w:tc>
          <w:tcPr>
            <w:tcW w:type="dxa" w:w="2409"/>
            <w:vAlign w:val="center"/>
          </w:tcPr>
          <w:p>
            <w:pPr>
              <w:keepNext w:val="0"/>
              <w:spacing w:line="320" w:lineRule="exact" w:after="0" w:before="0"/>
              <w:ind w:firstLine="0"/>
              <w:jc w:val="left"/>
            </w:pPr>
            <w:r>
              <w:rPr>
                <w:b w:val="0"/>
                <w:sz w:val="21"/>
              </w:rPr>
              <w:t>微调与零样本对照</w:t>
            </w:r>
          </w:p>
        </w:tc>
        <w:tc>
          <w:tcPr>
            <w:tcW w:type="dxa" w:w="2891"/>
            <w:vAlign w:val="center"/>
          </w:tcPr>
          <w:p>
            <w:pPr>
              <w:keepNext w:val="0"/>
              <w:spacing w:line="320" w:lineRule="exact" w:after="0" w:before="0"/>
              <w:ind w:firstLine="0"/>
              <w:jc w:val="left"/>
            </w:pPr>
            <w:r>
              <w:rPr>
                <w:b w:val="0"/>
                <w:sz w:val="21"/>
              </w:rPr>
              <w:t>声学适应及指令关键词召回</w:t>
            </w:r>
          </w:p>
        </w:tc>
      </w:tr>
      <w:tr>
        <w:trPr>
          <w:cantSplit/>
        </w:trPr>
        <w:tc>
          <w:tcPr>
            <w:tcW w:type="dxa" w:w="1638"/>
            <w:vAlign w:val="center"/>
          </w:tcPr>
          <w:p>
            <w:pPr>
              <w:keepNext w:val="0"/>
              <w:spacing w:line="320" w:lineRule="exact" w:after="0" w:before="0"/>
              <w:ind w:firstLine="0"/>
              <w:jc w:val="left"/>
            </w:pPr>
            <w:r>
              <w:rPr>
                <w:b w:val="0"/>
                <w:sz w:val="21"/>
              </w:rPr>
              <w:t>视频</w:t>
            </w:r>
          </w:p>
        </w:tc>
        <w:tc>
          <w:tcPr>
            <w:tcW w:type="dxa" w:w="2699"/>
            <w:vAlign w:val="center"/>
          </w:tcPr>
          <w:p>
            <w:pPr>
              <w:keepNext w:val="0"/>
              <w:spacing w:line="320" w:lineRule="exact" w:after="0" w:before="0"/>
              <w:ind w:firstLine="0"/>
              <w:jc w:val="left"/>
            </w:pPr>
            <w:r>
              <w:rPr>
                <w:b w:val="0"/>
                <w:sz w:val="21"/>
              </w:rPr>
              <w:t>Qwen2.5-Omni-3B</w:t>
            </w:r>
          </w:p>
        </w:tc>
        <w:tc>
          <w:tcPr>
            <w:tcW w:type="dxa" w:w="2409"/>
            <w:vAlign w:val="center"/>
          </w:tcPr>
          <w:p>
            <w:pPr>
              <w:keepNext w:val="0"/>
              <w:spacing w:line="320" w:lineRule="exact" w:after="0" w:before="0"/>
              <w:ind w:firstLine="0"/>
              <w:jc w:val="left"/>
            </w:pPr>
            <w:r>
              <w:rPr>
                <w:b w:val="0"/>
                <w:sz w:val="21"/>
              </w:rPr>
              <w:t>LoRA微调</w:t>
            </w:r>
          </w:p>
        </w:tc>
        <w:tc>
          <w:tcPr>
            <w:tcW w:type="dxa" w:w="2891"/>
            <w:vAlign w:val="center"/>
          </w:tcPr>
          <w:p>
            <w:pPr>
              <w:keepNext w:val="0"/>
              <w:spacing w:line="320" w:lineRule="exact" w:after="0" w:before="0"/>
              <w:ind w:firstLine="0"/>
              <w:jc w:val="left"/>
            </w:pPr>
            <w:r>
              <w:rPr>
                <w:b w:val="0"/>
                <w:sz w:val="21"/>
              </w:rPr>
              <w:t>双盲裁判、Rouge-L及四类场景表现</w:t>
            </w:r>
          </w:p>
        </w:tc>
      </w:tr>
    </w:tbl>
    <w:p>
      <w:pPr>
        <w:spacing w:after="40" w:line="240" w:lineRule="auto"/>
        <w:ind w:firstLine="0"/>
      </w:pPr>
      <w:r>
        <w:rPr>
          <w:sz w:val="4"/>
        </w:rPr>
      </w:r>
    </w:p>
    <w:p>
      <w:pPr>
        <w:pStyle w:val="Caption"/>
        <w:keepNext/>
      </w:pPr>
      <w:r>
        <w:t>表6-2 四类实验的隔离与复核条件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对照条件</w:t>
            </w:r>
          </w:p>
        </w:tc>
        <w:tc>
          <w:tcPr>
            <w:tcW w:type="dxa" w:w="2120"/>
            <w:vAlign w:val="center"/>
            <w:shd w:fill="EDF1F3"/>
          </w:tcPr>
          <w:p>
            <w:pPr>
              <w:keepNext/>
              <w:spacing w:line="320" w:lineRule="exact" w:after="0" w:before="0"/>
              <w:ind w:firstLine="0"/>
              <w:jc w:val="center"/>
            </w:pPr>
            <w:r>
              <w:rPr>
                <w:b/>
                <w:sz w:val="21"/>
              </w:rPr>
              <w:t>文本</w:t>
            </w:r>
          </w:p>
        </w:tc>
        <w:tc>
          <w:tcPr>
            <w:tcW w:type="dxa" w:w="1928"/>
            <w:vAlign w:val="center"/>
            <w:shd w:fill="EDF1F3"/>
          </w:tcPr>
          <w:p>
            <w:pPr>
              <w:keepNext/>
              <w:spacing w:line="320" w:lineRule="exact" w:after="0" w:before="0"/>
              <w:ind w:firstLine="0"/>
              <w:jc w:val="center"/>
            </w:pPr>
            <w:r>
              <w:rPr>
                <w:b/>
                <w:sz w:val="21"/>
              </w:rPr>
              <w:t>场景</w:t>
            </w:r>
          </w:p>
        </w:tc>
        <w:tc>
          <w:tcPr>
            <w:tcW w:type="dxa" w:w="1928"/>
            <w:vAlign w:val="center"/>
            <w:shd w:fill="EDF1F3"/>
          </w:tcPr>
          <w:p>
            <w:pPr>
              <w:keepNext/>
              <w:spacing w:line="320" w:lineRule="exact" w:after="0" w:before="0"/>
              <w:ind w:firstLine="0"/>
              <w:jc w:val="center"/>
            </w:pPr>
            <w:r>
              <w:rPr>
                <w:b/>
                <w:sz w:val="21"/>
              </w:rPr>
              <w:t>语音</w:t>
            </w:r>
          </w:p>
        </w:tc>
        <w:tc>
          <w:tcPr>
            <w:tcW w:type="dxa" w:w="1928"/>
            <w:vAlign w:val="center"/>
            <w:shd w:fill="EDF1F3"/>
          </w:tcPr>
          <w:p>
            <w:pPr>
              <w:keepNext/>
              <w:spacing w:line="320" w:lineRule="exact" w:after="0" w:before="0"/>
              <w:ind w:firstLine="0"/>
              <w:jc w:val="center"/>
            </w:pPr>
            <w:r>
              <w:rPr>
                <w:b/>
                <w:sz w:val="21"/>
              </w:rPr>
              <w:t>视频</w:t>
            </w:r>
          </w:p>
        </w:tc>
      </w:tr>
      <w:tr>
        <w:trPr>
          <w:cantSplit/>
        </w:trPr>
        <w:tc>
          <w:tcPr>
            <w:tcW w:type="dxa" w:w="1735"/>
            <w:vAlign w:val="center"/>
          </w:tcPr>
          <w:p>
            <w:pPr>
              <w:keepNext w:val="0"/>
              <w:spacing w:line="320" w:lineRule="exact" w:after="0" w:before="0"/>
              <w:ind w:firstLine="0"/>
              <w:jc w:val="left"/>
            </w:pPr>
            <w:r>
              <w:rPr>
                <w:b w:val="0"/>
                <w:sz w:val="21"/>
              </w:rPr>
              <w:t>数据隔离</w:t>
            </w:r>
          </w:p>
        </w:tc>
        <w:tc>
          <w:tcPr>
            <w:tcW w:type="dxa" w:w="2120"/>
            <w:vAlign w:val="center"/>
          </w:tcPr>
          <w:p>
            <w:pPr>
              <w:keepNext w:val="0"/>
              <w:spacing w:line="320" w:lineRule="exact" w:after="0" w:before="0"/>
              <w:ind w:firstLine="0"/>
              <w:jc w:val="left"/>
            </w:pPr>
            <w:r>
              <w:rPr>
                <w:b w:val="0"/>
                <w:sz w:val="21"/>
              </w:rPr>
              <w:t>原文及派生问答家族</w:t>
            </w:r>
          </w:p>
        </w:tc>
        <w:tc>
          <w:tcPr>
            <w:tcW w:type="dxa" w:w="1928"/>
            <w:vAlign w:val="center"/>
          </w:tcPr>
          <w:p>
            <w:pPr>
              <w:keepNext w:val="0"/>
              <w:spacing w:line="320" w:lineRule="exact" w:after="0" w:before="0"/>
              <w:ind w:firstLine="0"/>
              <w:jc w:val="left"/>
            </w:pPr>
            <w:r>
              <w:rPr>
                <w:b w:val="0"/>
                <w:sz w:val="21"/>
              </w:rPr>
              <w:t>工件及采集事件</w:t>
            </w:r>
          </w:p>
        </w:tc>
        <w:tc>
          <w:tcPr>
            <w:tcW w:type="dxa" w:w="1928"/>
            <w:vAlign w:val="center"/>
          </w:tcPr>
          <w:p>
            <w:pPr>
              <w:keepNext w:val="0"/>
              <w:spacing w:line="320" w:lineRule="exact" w:after="0" w:before="0"/>
              <w:ind w:firstLine="0"/>
              <w:jc w:val="left"/>
            </w:pPr>
            <w:r>
              <w:rPr>
                <w:b w:val="0"/>
                <w:sz w:val="21"/>
              </w:rPr>
              <w:t>说话人与原片事件</w:t>
            </w:r>
          </w:p>
        </w:tc>
        <w:tc>
          <w:tcPr>
            <w:tcW w:type="dxa" w:w="1928"/>
            <w:vAlign w:val="center"/>
          </w:tcPr>
          <w:p>
            <w:pPr>
              <w:keepNext w:val="0"/>
              <w:spacing w:line="320" w:lineRule="exact" w:after="0" w:before="0"/>
              <w:ind w:firstLine="0"/>
              <w:jc w:val="left"/>
            </w:pPr>
            <w:r>
              <w:rPr>
                <w:b w:val="0"/>
                <w:sz w:val="21"/>
              </w:rPr>
              <w:t>采集设备整体封存</w:t>
            </w:r>
          </w:p>
        </w:tc>
      </w:tr>
      <w:tr>
        <w:trPr>
          <w:cantSplit/>
        </w:trPr>
        <w:tc>
          <w:tcPr>
            <w:tcW w:type="dxa" w:w="1735"/>
            <w:vAlign w:val="center"/>
          </w:tcPr>
          <w:p>
            <w:pPr>
              <w:keepNext w:val="0"/>
              <w:spacing w:line="320" w:lineRule="exact" w:after="0" w:before="0"/>
              <w:ind w:firstLine="0"/>
              <w:jc w:val="left"/>
            </w:pPr>
            <w:r>
              <w:rPr>
                <w:b w:val="0"/>
                <w:sz w:val="21"/>
              </w:rPr>
              <w:t>核心标签</w:t>
            </w:r>
          </w:p>
        </w:tc>
        <w:tc>
          <w:tcPr>
            <w:tcW w:type="dxa" w:w="2120"/>
            <w:vAlign w:val="center"/>
          </w:tcPr>
          <w:p>
            <w:pPr>
              <w:keepNext w:val="0"/>
              <w:spacing w:line="320" w:lineRule="exact" w:after="0" w:before="0"/>
              <w:ind w:firstLine="0"/>
              <w:jc w:val="left"/>
            </w:pPr>
            <w:r>
              <w:rPr>
                <w:b w:val="0"/>
                <w:sz w:val="21"/>
              </w:rPr>
              <w:t>答案与依据</w:t>
            </w:r>
          </w:p>
        </w:tc>
        <w:tc>
          <w:tcPr>
            <w:tcW w:type="dxa" w:w="1928"/>
            <w:vAlign w:val="center"/>
          </w:tcPr>
          <w:p>
            <w:pPr>
              <w:keepNext w:val="0"/>
              <w:spacing w:line="320" w:lineRule="exact" w:after="0" w:before="0"/>
              <w:ind w:firstLine="0"/>
              <w:jc w:val="left"/>
            </w:pPr>
            <w:r>
              <w:rPr>
                <w:b w:val="0"/>
                <w:sz w:val="21"/>
              </w:rPr>
              <w:t>类别、框和掩膜</w:t>
            </w:r>
          </w:p>
        </w:tc>
        <w:tc>
          <w:tcPr>
            <w:tcW w:type="dxa" w:w="1928"/>
            <w:vAlign w:val="center"/>
          </w:tcPr>
          <w:p>
            <w:pPr>
              <w:keepNext w:val="0"/>
              <w:spacing w:line="320" w:lineRule="exact" w:after="0" w:before="0"/>
              <w:ind w:firstLine="0"/>
              <w:jc w:val="left"/>
            </w:pPr>
            <w:r>
              <w:rPr>
                <w:b w:val="0"/>
                <w:sz w:val="21"/>
              </w:rPr>
              <w:t>转写及指令关键词</w:t>
            </w:r>
          </w:p>
        </w:tc>
        <w:tc>
          <w:tcPr>
            <w:tcW w:type="dxa" w:w="1928"/>
            <w:vAlign w:val="center"/>
          </w:tcPr>
          <w:p>
            <w:pPr>
              <w:keepNext w:val="0"/>
              <w:spacing w:line="320" w:lineRule="exact" w:after="0" w:before="0"/>
              <w:ind w:firstLine="0"/>
              <w:jc w:val="left"/>
            </w:pPr>
            <w:r>
              <w:rPr>
                <w:b w:val="0"/>
                <w:sz w:val="21"/>
              </w:rPr>
              <w:t>场景、数量与异常</w:t>
            </w:r>
          </w:p>
        </w:tc>
      </w:tr>
      <w:tr>
        <w:trPr>
          <w:cantSplit/>
        </w:trPr>
        <w:tc>
          <w:tcPr>
            <w:tcW w:type="dxa" w:w="1735"/>
            <w:vAlign w:val="center"/>
          </w:tcPr>
          <w:p>
            <w:pPr>
              <w:keepNext w:val="0"/>
              <w:spacing w:line="320" w:lineRule="exact" w:after="0" w:before="0"/>
              <w:ind w:firstLine="0"/>
              <w:jc w:val="left"/>
            </w:pPr>
            <w:r>
              <w:rPr>
                <w:b w:val="0"/>
                <w:sz w:val="21"/>
              </w:rPr>
              <w:t>分层结果</w:t>
            </w:r>
          </w:p>
        </w:tc>
        <w:tc>
          <w:tcPr>
            <w:tcW w:type="dxa" w:w="2120"/>
            <w:vAlign w:val="center"/>
          </w:tcPr>
          <w:p>
            <w:pPr>
              <w:keepNext w:val="0"/>
              <w:spacing w:line="320" w:lineRule="exact" w:after="0" w:before="0"/>
              <w:ind w:firstLine="0"/>
              <w:jc w:val="left"/>
            </w:pPr>
            <w:r>
              <w:rPr>
                <w:b w:val="0"/>
                <w:sz w:val="21"/>
              </w:rPr>
              <w:t>领域、任务及难度</w:t>
            </w:r>
          </w:p>
        </w:tc>
        <w:tc>
          <w:tcPr>
            <w:tcW w:type="dxa" w:w="1928"/>
            <w:vAlign w:val="center"/>
          </w:tcPr>
          <w:p>
            <w:pPr>
              <w:keepNext w:val="0"/>
              <w:spacing w:line="320" w:lineRule="exact" w:after="0" w:before="0"/>
              <w:ind w:firstLine="0"/>
              <w:jc w:val="left"/>
            </w:pPr>
            <w:r>
              <w:rPr>
                <w:b w:val="0"/>
                <w:sz w:val="21"/>
              </w:rPr>
              <w:t>类别、大小及遮挡</w:t>
            </w:r>
          </w:p>
        </w:tc>
        <w:tc>
          <w:tcPr>
            <w:tcW w:type="dxa" w:w="1928"/>
            <w:vAlign w:val="center"/>
          </w:tcPr>
          <w:p>
            <w:pPr>
              <w:keepNext w:val="0"/>
              <w:spacing w:line="320" w:lineRule="exact" w:after="0" w:before="0"/>
              <w:ind w:firstLine="0"/>
              <w:jc w:val="left"/>
            </w:pPr>
            <w:r>
              <w:rPr>
                <w:b w:val="0"/>
                <w:sz w:val="21"/>
              </w:rPr>
              <w:t>噪声、口音及设备</w:t>
            </w:r>
          </w:p>
        </w:tc>
        <w:tc>
          <w:tcPr>
            <w:tcW w:type="dxa" w:w="1928"/>
            <w:vAlign w:val="center"/>
          </w:tcPr>
          <w:p>
            <w:pPr>
              <w:keepNext w:val="0"/>
              <w:spacing w:line="320" w:lineRule="exact" w:after="0" w:before="0"/>
              <w:ind w:firstLine="0"/>
              <w:jc w:val="left"/>
            </w:pPr>
            <w:r>
              <w:rPr>
                <w:b w:val="0"/>
                <w:sz w:val="21"/>
              </w:rPr>
              <w:t>设备、场景及事件</w:t>
            </w:r>
          </w:p>
        </w:tc>
      </w:tr>
      <w:tr>
        <w:trPr>
          <w:cantSplit/>
        </w:trPr>
        <w:tc>
          <w:tcPr>
            <w:tcW w:type="dxa" w:w="1735"/>
            <w:vAlign w:val="center"/>
          </w:tcPr>
          <w:p>
            <w:pPr>
              <w:keepNext w:val="0"/>
              <w:spacing w:line="320" w:lineRule="exact" w:after="0" w:before="0"/>
              <w:ind w:firstLine="0"/>
              <w:jc w:val="left"/>
            </w:pPr>
            <w:r>
              <w:rPr>
                <w:b w:val="0"/>
                <w:sz w:val="21"/>
              </w:rPr>
              <w:t>人工复核</w:t>
            </w:r>
          </w:p>
        </w:tc>
        <w:tc>
          <w:tcPr>
            <w:tcW w:type="dxa" w:w="2120"/>
            <w:vAlign w:val="center"/>
          </w:tcPr>
          <w:p>
            <w:pPr>
              <w:keepNext w:val="0"/>
              <w:spacing w:line="320" w:lineRule="exact" w:after="0" w:before="0"/>
              <w:ind w:firstLine="0"/>
              <w:jc w:val="left"/>
            </w:pPr>
            <w:r>
              <w:rPr>
                <w:b w:val="0"/>
                <w:sz w:val="21"/>
              </w:rPr>
              <w:t>事实与专业判据</w:t>
            </w:r>
          </w:p>
        </w:tc>
        <w:tc>
          <w:tcPr>
            <w:tcW w:type="dxa" w:w="1928"/>
            <w:vAlign w:val="center"/>
          </w:tcPr>
          <w:p>
            <w:pPr>
              <w:keepNext w:val="0"/>
              <w:spacing w:line="320" w:lineRule="exact" w:after="0" w:before="0"/>
              <w:ind w:firstLine="0"/>
              <w:jc w:val="left"/>
            </w:pPr>
            <w:r>
              <w:rPr>
                <w:b w:val="0"/>
                <w:sz w:val="21"/>
              </w:rPr>
              <w:t>位置、边界及缺陷</w:t>
            </w:r>
          </w:p>
        </w:tc>
        <w:tc>
          <w:tcPr>
            <w:tcW w:type="dxa" w:w="1928"/>
            <w:vAlign w:val="center"/>
          </w:tcPr>
          <w:p>
            <w:pPr>
              <w:keepNext w:val="0"/>
              <w:spacing w:line="320" w:lineRule="exact" w:after="0" w:before="0"/>
              <w:ind w:firstLine="0"/>
              <w:jc w:val="left"/>
            </w:pPr>
            <w:r>
              <w:rPr>
                <w:b w:val="0"/>
                <w:sz w:val="21"/>
              </w:rPr>
              <w:t>数字、否定及动作</w:t>
            </w:r>
          </w:p>
        </w:tc>
        <w:tc>
          <w:tcPr>
            <w:tcW w:type="dxa" w:w="1928"/>
            <w:vAlign w:val="center"/>
          </w:tcPr>
          <w:p>
            <w:pPr>
              <w:keepNext w:val="0"/>
              <w:spacing w:line="320" w:lineRule="exact" w:after="0" w:before="0"/>
              <w:ind w:firstLine="0"/>
              <w:jc w:val="left"/>
            </w:pPr>
            <w:r>
              <w:rPr>
                <w:b w:val="0"/>
                <w:sz w:val="21"/>
              </w:rPr>
              <w:t>事实、时间及专业性</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8" name="Picture 8"/>
            <wp:cNvGraphicFramePr>
              <a:graphicFrameLocks noChangeAspect="1"/>
            </wp:cNvGraphicFramePr>
            <a:graphic>
              <a:graphicData uri="http://schemas.openxmlformats.org/drawingml/2006/picture">
                <pic:pic>
                  <pic:nvPicPr>
                    <pic:cNvPr id="0" name="图8_模型对照.png"/>
                    <pic:cNvPicPr/>
                  </pic:nvPicPr>
                  <pic:blipFill>
                    <a:blip r:embed="rId18"/>
                    <a:stretch>
                      <a:fillRect/>
                    </a:stretch>
                  </pic:blipFill>
                  <pic:spPr>
                    <a:xfrm>
                      <a:off x="0" y="0"/>
                      <a:ext cx="6048000" cy="2477354"/>
                    </a:xfrm>
                    <a:prstGeom prst="rect"/>
                  </pic:spPr>
                </pic:pic>
              </a:graphicData>
            </a:graphic>
          </wp:inline>
        </w:drawing>
      </w:r>
    </w:p>
    <w:p>
      <w:pPr>
        <w:pStyle w:val="Caption"/>
        <w:jc w:val="center"/>
      </w:pPr>
      <w:r>
        <w:t>图6-1 四类基准模型对照</w:t>
      </w:r>
    </w:p>
    <w:p>
      <w:pPr>
        <w:pStyle w:val="Heading2"/>
      </w:pPr>
      <w:r>
        <w:t>6.2 内容多样性</w:t>
      </w:r>
    </w:p>
    <w:p>
      <w:pPr>
        <w:pStyle w:val="Heading3"/>
      </w:pPr>
      <w:r>
        <w:t>6.2.1 场景多样性</w:t>
      </w:r>
    </w:p>
    <w:p>
      <w:pPr>
        <w:jc w:val="both"/>
      </w:pPr>
      <w:r>
        <w:t>指标3.2.1以经甲方确认的业务场景目录为基准，逐项检查场景、子任务、正常与异常状态、边界条件及罕见事件覆盖。覆盖统计同时列示应覆盖项、已覆盖项、有效样本量及证据位置。某一场景只有名称但没有足够完成训练或评价的样本，不计为有效覆盖。</w:t>
      </w:r>
    </w:p>
    <w:p>
      <w:pPr>
        <w:jc w:val="both"/>
      </w:pPr>
      <w:r>
        <w:t>场景清单由业务需求形成，不以已有数据倒推一个容易达到的目录。对井下运维、零部件检测、工艺设计及各类智能助手分别检查输入条件和输出任务，防止大量相近问答造成虚假的场景丰富度。缺口优先补充真实数据，合成补充遵守用途比例且不能进入基准评测。</w:t>
      </w:r>
    </w:p>
    <w:p>
      <w:pPr>
        <w:pStyle w:val="Heading3"/>
      </w:pPr>
      <w:r>
        <w:t>6.2.2 特征多样性</w:t>
      </w:r>
    </w:p>
    <w:p>
      <w:pPr>
        <w:jc w:val="both"/>
      </w:pPr>
      <w:r>
        <w:t>指标3.2.2检查设备型号、材料、规格、工况、工序、缺陷形态、时间、光照及噪声等关键特征的取值范围和组合覆盖。连续特征按业务有意义的区间统计，类别特征按有效字典统计，同时检查单特征丰富但关键组合缺失的情况。</w:t>
      </w:r>
    </w:p>
    <w:p>
      <w:pPr>
        <w:jc w:val="both"/>
      </w:pPr>
      <w:r>
        <w:t>评测通过分布分析、特征空间可视化和专家复核识别聚集、空白及异常孤立点。可视化仅辅助判断，不能以图形分散程度替代实际业务覆盖。整改补充薄弱取值与组合，保持来源真实及标签准确，随后复查模型在相应分层上的表现是否改善。</w:t>
      </w:r>
    </w:p>
    <w:p>
      <w:pPr>
        <w:pStyle w:val="Caption"/>
        <w:keepNext/>
      </w:pPr>
      <w:r>
        <w:t>表6-3 场景与特征多样性核验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多样性对象</w:t>
            </w:r>
          </w:p>
        </w:tc>
        <w:tc>
          <w:tcPr>
            <w:tcW w:type="dxa" w:w="2699"/>
            <w:vAlign w:val="center"/>
            <w:shd w:fill="EDF1F3"/>
          </w:tcPr>
          <w:p>
            <w:pPr>
              <w:keepNext/>
              <w:spacing w:line="320" w:lineRule="exact" w:after="0" w:before="0"/>
              <w:ind w:firstLine="0"/>
              <w:jc w:val="center"/>
            </w:pPr>
            <w:r>
              <w:rPr>
                <w:b/>
                <w:sz w:val="21"/>
              </w:rPr>
              <w:t>应检查的取值或组合</w:t>
            </w:r>
          </w:p>
        </w:tc>
        <w:tc>
          <w:tcPr>
            <w:tcW w:type="dxa" w:w="2409"/>
            <w:vAlign w:val="center"/>
            <w:shd w:fill="EDF1F3"/>
          </w:tcPr>
          <w:p>
            <w:pPr>
              <w:keepNext/>
              <w:spacing w:line="320" w:lineRule="exact" w:after="0" w:before="0"/>
              <w:ind w:firstLine="0"/>
              <w:jc w:val="center"/>
            </w:pPr>
            <w:r>
              <w:rPr>
                <w:b/>
                <w:sz w:val="21"/>
              </w:rPr>
              <w:t>缺口识别</w:t>
            </w:r>
          </w:p>
        </w:tc>
        <w:tc>
          <w:tcPr>
            <w:tcW w:type="dxa" w:w="2891"/>
            <w:vAlign w:val="center"/>
            <w:shd w:fill="EDF1F3"/>
          </w:tcPr>
          <w:p>
            <w:pPr>
              <w:keepNext/>
              <w:spacing w:line="320" w:lineRule="exact" w:after="0" w:before="0"/>
              <w:ind w:firstLine="0"/>
              <w:jc w:val="center"/>
            </w:pPr>
            <w:r>
              <w:rPr>
                <w:b/>
                <w:sz w:val="21"/>
              </w:rPr>
              <w:t>补充后复验</w:t>
            </w:r>
          </w:p>
        </w:tc>
      </w:tr>
      <w:tr>
        <w:trPr>
          <w:cantSplit/>
        </w:trPr>
        <w:tc>
          <w:tcPr>
            <w:tcW w:type="dxa" w:w="1638"/>
            <w:vAlign w:val="center"/>
          </w:tcPr>
          <w:p>
            <w:pPr>
              <w:keepNext w:val="0"/>
              <w:spacing w:line="320" w:lineRule="exact" w:after="0" w:before="0"/>
              <w:ind w:firstLine="0"/>
              <w:jc w:val="left"/>
            </w:pPr>
            <w:r>
              <w:rPr>
                <w:b w:val="0"/>
                <w:sz w:val="21"/>
              </w:rPr>
              <w:t>场景</w:t>
            </w:r>
          </w:p>
        </w:tc>
        <w:tc>
          <w:tcPr>
            <w:tcW w:type="dxa" w:w="2699"/>
            <w:vAlign w:val="center"/>
          </w:tcPr>
          <w:p>
            <w:pPr>
              <w:keepNext w:val="0"/>
              <w:spacing w:line="320" w:lineRule="exact" w:after="0" w:before="0"/>
              <w:ind w:firstLine="0"/>
              <w:jc w:val="left"/>
            </w:pPr>
            <w:r>
              <w:rPr>
                <w:b w:val="0"/>
                <w:sz w:val="21"/>
              </w:rPr>
              <w:t>业务场景、子任务及正常异常</w:t>
            </w:r>
          </w:p>
        </w:tc>
        <w:tc>
          <w:tcPr>
            <w:tcW w:type="dxa" w:w="2409"/>
            <w:vAlign w:val="center"/>
          </w:tcPr>
          <w:p>
            <w:pPr>
              <w:keepNext w:val="0"/>
              <w:spacing w:line="320" w:lineRule="exact" w:after="0" w:before="0"/>
              <w:ind w:firstLine="0"/>
              <w:jc w:val="left"/>
            </w:pPr>
            <w:r>
              <w:rPr>
                <w:b w:val="0"/>
                <w:sz w:val="21"/>
              </w:rPr>
              <w:t>应有场景与实际样本对照</w:t>
            </w:r>
          </w:p>
        </w:tc>
        <w:tc>
          <w:tcPr>
            <w:tcW w:type="dxa" w:w="2891"/>
            <w:vAlign w:val="center"/>
          </w:tcPr>
          <w:p>
            <w:pPr>
              <w:keepNext w:val="0"/>
              <w:spacing w:line="320" w:lineRule="exact" w:after="0" w:before="0"/>
              <w:ind w:firstLine="0"/>
              <w:jc w:val="left"/>
            </w:pPr>
            <w:r>
              <w:rPr>
                <w:b w:val="0"/>
                <w:sz w:val="21"/>
              </w:rPr>
              <w:t>有效覆盖及模型表现</w:t>
            </w:r>
          </w:p>
        </w:tc>
      </w:tr>
      <w:tr>
        <w:trPr>
          <w:cantSplit/>
        </w:trPr>
        <w:tc>
          <w:tcPr>
            <w:tcW w:type="dxa" w:w="1638"/>
            <w:vAlign w:val="center"/>
          </w:tcPr>
          <w:p>
            <w:pPr>
              <w:keepNext w:val="0"/>
              <w:spacing w:line="320" w:lineRule="exact" w:after="0" w:before="0"/>
              <w:ind w:firstLine="0"/>
              <w:jc w:val="left"/>
            </w:pPr>
            <w:r>
              <w:rPr>
                <w:b w:val="0"/>
                <w:sz w:val="21"/>
              </w:rPr>
              <w:t>设备与工件</w:t>
            </w:r>
          </w:p>
        </w:tc>
        <w:tc>
          <w:tcPr>
            <w:tcW w:type="dxa" w:w="2699"/>
            <w:vAlign w:val="center"/>
          </w:tcPr>
          <w:p>
            <w:pPr>
              <w:keepNext w:val="0"/>
              <w:spacing w:line="320" w:lineRule="exact" w:after="0" w:before="0"/>
              <w:ind w:firstLine="0"/>
              <w:jc w:val="left"/>
            </w:pPr>
            <w:r>
              <w:rPr>
                <w:b w:val="0"/>
                <w:sz w:val="21"/>
              </w:rPr>
              <w:t>型号、规格、材料及部件</w:t>
            </w:r>
          </w:p>
        </w:tc>
        <w:tc>
          <w:tcPr>
            <w:tcW w:type="dxa" w:w="2409"/>
            <w:vAlign w:val="center"/>
          </w:tcPr>
          <w:p>
            <w:pPr>
              <w:keepNext w:val="0"/>
              <w:spacing w:line="320" w:lineRule="exact" w:after="0" w:before="0"/>
              <w:ind w:firstLine="0"/>
              <w:jc w:val="left"/>
            </w:pPr>
            <w:r>
              <w:rPr>
                <w:b w:val="0"/>
                <w:sz w:val="21"/>
              </w:rPr>
              <w:t>高频对象集中和重要对象缺失</w:t>
            </w:r>
          </w:p>
        </w:tc>
        <w:tc>
          <w:tcPr>
            <w:tcW w:type="dxa" w:w="2891"/>
            <w:vAlign w:val="center"/>
          </w:tcPr>
          <w:p>
            <w:pPr>
              <w:keepNext w:val="0"/>
              <w:spacing w:line="320" w:lineRule="exact" w:after="0" w:before="0"/>
              <w:ind w:firstLine="0"/>
              <w:jc w:val="left"/>
            </w:pPr>
            <w:r>
              <w:rPr>
                <w:b w:val="0"/>
                <w:sz w:val="21"/>
              </w:rPr>
              <w:t>新对象及独立来源验证</w:t>
            </w:r>
          </w:p>
        </w:tc>
      </w:tr>
      <w:tr>
        <w:trPr>
          <w:cantSplit/>
        </w:trPr>
        <w:tc>
          <w:tcPr>
            <w:tcW w:type="dxa" w:w="1638"/>
            <w:vAlign w:val="center"/>
          </w:tcPr>
          <w:p>
            <w:pPr>
              <w:keepNext w:val="0"/>
              <w:spacing w:line="320" w:lineRule="exact" w:after="0" w:before="0"/>
              <w:ind w:firstLine="0"/>
              <w:jc w:val="left"/>
            </w:pPr>
            <w:r>
              <w:rPr>
                <w:b w:val="0"/>
                <w:sz w:val="21"/>
              </w:rPr>
              <w:t>过程条件</w:t>
            </w:r>
          </w:p>
        </w:tc>
        <w:tc>
          <w:tcPr>
            <w:tcW w:type="dxa" w:w="2699"/>
            <w:vAlign w:val="center"/>
          </w:tcPr>
          <w:p>
            <w:pPr>
              <w:keepNext w:val="0"/>
              <w:spacing w:line="320" w:lineRule="exact" w:after="0" w:before="0"/>
              <w:ind w:firstLine="0"/>
              <w:jc w:val="left"/>
            </w:pPr>
            <w:r>
              <w:rPr>
                <w:b w:val="0"/>
                <w:sz w:val="21"/>
              </w:rPr>
              <w:t>工序、工况及参数区间</w:t>
            </w:r>
          </w:p>
        </w:tc>
        <w:tc>
          <w:tcPr>
            <w:tcW w:type="dxa" w:w="2409"/>
            <w:vAlign w:val="center"/>
          </w:tcPr>
          <w:p>
            <w:pPr>
              <w:keepNext w:val="0"/>
              <w:spacing w:line="320" w:lineRule="exact" w:after="0" w:before="0"/>
              <w:ind w:firstLine="0"/>
              <w:jc w:val="left"/>
            </w:pPr>
            <w:r>
              <w:rPr>
                <w:b w:val="0"/>
                <w:sz w:val="21"/>
              </w:rPr>
              <w:t>单特征和组合空白</w:t>
            </w:r>
          </w:p>
        </w:tc>
        <w:tc>
          <w:tcPr>
            <w:tcW w:type="dxa" w:w="2891"/>
            <w:vAlign w:val="center"/>
          </w:tcPr>
          <w:p>
            <w:pPr>
              <w:keepNext w:val="0"/>
              <w:spacing w:line="320" w:lineRule="exact" w:after="0" w:before="0"/>
              <w:ind w:firstLine="0"/>
              <w:jc w:val="left"/>
            </w:pPr>
            <w:r>
              <w:rPr>
                <w:b w:val="0"/>
                <w:sz w:val="21"/>
              </w:rPr>
              <w:t>参数语义及任务可用性</w:t>
            </w:r>
          </w:p>
        </w:tc>
      </w:tr>
      <w:tr>
        <w:trPr>
          <w:cantSplit/>
        </w:trPr>
        <w:tc>
          <w:tcPr>
            <w:tcW w:type="dxa" w:w="1638"/>
            <w:vAlign w:val="center"/>
          </w:tcPr>
          <w:p>
            <w:pPr>
              <w:keepNext w:val="0"/>
              <w:spacing w:line="320" w:lineRule="exact" w:after="0" w:before="0"/>
              <w:ind w:firstLine="0"/>
              <w:jc w:val="left"/>
            </w:pPr>
            <w:r>
              <w:rPr>
                <w:b w:val="0"/>
                <w:sz w:val="21"/>
              </w:rPr>
              <w:t>采集条件</w:t>
            </w:r>
          </w:p>
        </w:tc>
        <w:tc>
          <w:tcPr>
            <w:tcW w:type="dxa" w:w="2699"/>
            <w:vAlign w:val="center"/>
          </w:tcPr>
          <w:p>
            <w:pPr>
              <w:keepNext w:val="0"/>
              <w:spacing w:line="320" w:lineRule="exact" w:after="0" w:before="0"/>
              <w:ind w:firstLine="0"/>
              <w:jc w:val="left"/>
            </w:pPr>
            <w:r>
              <w:rPr>
                <w:b w:val="0"/>
                <w:sz w:val="21"/>
              </w:rPr>
              <w:t>光照、角度、噪声及时间</w:t>
            </w:r>
          </w:p>
        </w:tc>
        <w:tc>
          <w:tcPr>
            <w:tcW w:type="dxa" w:w="2409"/>
            <w:vAlign w:val="center"/>
          </w:tcPr>
          <w:p>
            <w:pPr>
              <w:keepNext w:val="0"/>
              <w:spacing w:line="320" w:lineRule="exact" w:after="0" w:before="0"/>
              <w:ind w:firstLine="0"/>
              <w:jc w:val="left"/>
            </w:pPr>
            <w:r>
              <w:rPr>
                <w:b w:val="0"/>
                <w:sz w:val="21"/>
              </w:rPr>
              <w:t>现场条件代表性不足</w:t>
            </w:r>
          </w:p>
        </w:tc>
        <w:tc>
          <w:tcPr>
            <w:tcW w:type="dxa" w:w="2891"/>
            <w:vAlign w:val="center"/>
          </w:tcPr>
          <w:p>
            <w:pPr>
              <w:keepNext w:val="0"/>
              <w:spacing w:line="320" w:lineRule="exact" w:after="0" w:before="0"/>
              <w:ind w:firstLine="0"/>
              <w:jc w:val="left"/>
            </w:pPr>
            <w:r>
              <w:rPr>
                <w:b w:val="0"/>
                <w:sz w:val="21"/>
              </w:rPr>
              <w:t>不同条件下的分层性能</w:t>
            </w:r>
          </w:p>
        </w:tc>
      </w:tr>
    </w:tbl>
    <w:p>
      <w:pPr>
        <w:spacing w:after="40" w:line="240" w:lineRule="auto"/>
        <w:ind w:firstLine="0"/>
      </w:pPr>
      <w:r>
        <w:rPr>
          <w:sz w:val="4"/>
        </w:rPr>
      </w:r>
    </w:p>
    <w:p>
      <w:pPr>
        <w:pStyle w:val="Heading2"/>
      </w:pPr>
      <w:r>
        <w:t>6.3 规模完整性</w:t>
      </w:r>
    </w:p>
    <w:p>
      <w:pPr>
        <w:jc w:val="both"/>
      </w:pPr>
      <w:r>
        <w:t>指标3.3.1逐项核验四大数据集十六项用途净量达到100%要求，分别形成实际值、要求值、差额和达成率。超过要求的部分仍需符合质量、许可和合成比例约束，不能通过低质内容堆积取得规模得分。预训练Token、指令条数、偏好组数和评测题目数不互相折算。</w:t>
      </w:r>
    </w:p>
    <w:p>
      <w:pPr>
        <w:jc w:val="both"/>
      </w:pPr>
      <w:r>
        <w:t>评测同时检查支撑目标场景的有效量，避免总量达标但关键任务没有训练或测试材料。补足规模须经过同样的采集、加工、质检、验证和正式评测过程，临近交付时新增的样本不能免检。数量冻结后发生任何剔除，重新计算全部相关净量与比例并补齐。</w:t>
      </w:r>
    </w:p>
    <w:p>
      <w:pPr>
        <w:pStyle w:val="Heading2"/>
      </w:pPr>
      <w:r>
        <w:t>6.4 标注准确性</w:t>
      </w:r>
    </w:p>
    <w:p>
      <w:pPr>
        <w:jc w:val="both"/>
      </w:pPr>
      <w:r>
        <w:t>指标3.4.1通过独立专家复核和受控标准样本评价标注是否准确表达训练及测试所需信息。文本答案检查事实和约束，视觉标注检查类别与边界，时序事件检查起止和状态，语音检查转写与关键词，视频检查时间、对象及事件。准确性以真实业务依据和批准判据判断，不能只比较两个标注人员是否给出相同结果。</w:t>
      </w:r>
    </w:p>
    <w:p>
      <w:pPr>
        <w:jc w:val="both"/>
      </w:pPr>
      <w:r>
        <w:t>抽样按类别、难度、来源、标注人员及批次分层，高影响标签和已发现系统性错误的范围扩大复查。争议样本由独立专家仲裁，确实存在多个合理答案时完善判据与可接受答案范围。整改追查同规则、同模板和同人员批次，复测确认标签正确并检查模型训练输入同步更新。</w:t>
      </w:r>
    </w:p>
    <w:p>
      <w:pPr>
        <w:pStyle w:val="Caption"/>
        <w:keepNext/>
      </w:pPr>
      <w:r>
        <w:t>表6-4 标注准确性</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标注类型</w:t>
            </w:r>
          </w:p>
        </w:tc>
        <w:tc>
          <w:tcPr>
            <w:tcW w:type="dxa" w:w="2699"/>
            <w:vAlign w:val="center"/>
            <w:shd w:fill="EDF1F3"/>
          </w:tcPr>
          <w:p>
            <w:pPr>
              <w:keepNext/>
              <w:spacing w:line="320" w:lineRule="exact" w:after="0" w:before="0"/>
              <w:ind w:firstLine="0"/>
              <w:jc w:val="center"/>
            </w:pPr>
            <w:r>
              <w:rPr>
                <w:b/>
                <w:sz w:val="21"/>
              </w:rPr>
              <w:t>准确性检查</w:t>
            </w:r>
          </w:p>
        </w:tc>
        <w:tc>
          <w:tcPr>
            <w:tcW w:type="dxa" w:w="2409"/>
            <w:vAlign w:val="center"/>
            <w:shd w:fill="EDF1F3"/>
          </w:tcPr>
          <w:p>
            <w:pPr>
              <w:keepNext/>
              <w:spacing w:line="320" w:lineRule="exact" w:after="0" w:before="0"/>
              <w:ind w:firstLine="0"/>
              <w:jc w:val="center"/>
            </w:pPr>
            <w:r>
              <w:rPr>
                <w:b/>
                <w:sz w:val="21"/>
              </w:rPr>
              <w:t>特别关注</w:t>
            </w:r>
          </w:p>
        </w:tc>
        <w:tc>
          <w:tcPr>
            <w:tcW w:type="dxa" w:w="2891"/>
            <w:vAlign w:val="center"/>
            <w:shd w:fill="EDF1F3"/>
          </w:tcPr>
          <w:p>
            <w:pPr>
              <w:keepNext/>
              <w:spacing w:line="320" w:lineRule="exact" w:after="0" w:before="0"/>
              <w:ind w:firstLine="0"/>
              <w:jc w:val="center"/>
            </w:pPr>
            <w:r>
              <w:rPr>
                <w:b/>
                <w:sz w:val="21"/>
              </w:rPr>
              <w:t>修正后联动检查</w:t>
            </w:r>
          </w:p>
        </w:tc>
      </w:tr>
      <w:tr>
        <w:trPr>
          <w:cantSplit/>
        </w:trPr>
        <w:tc>
          <w:tcPr>
            <w:tcW w:type="dxa" w:w="1638"/>
            <w:vAlign w:val="center"/>
          </w:tcPr>
          <w:p>
            <w:pPr>
              <w:keepNext w:val="0"/>
              <w:spacing w:line="320" w:lineRule="exact" w:after="0" w:before="0"/>
              <w:ind w:firstLine="0"/>
              <w:jc w:val="left"/>
            </w:pPr>
            <w:r>
              <w:rPr>
                <w:b w:val="0"/>
                <w:sz w:val="21"/>
              </w:rPr>
              <w:t>文本及问答</w:t>
            </w:r>
          </w:p>
        </w:tc>
        <w:tc>
          <w:tcPr>
            <w:tcW w:type="dxa" w:w="2699"/>
            <w:vAlign w:val="center"/>
          </w:tcPr>
          <w:p>
            <w:pPr>
              <w:keepNext w:val="0"/>
              <w:spacing w:line="320" w:lineRule="exact" w:after="0" w:before="0"/>
              <w:ind w:firstLine="0"/>
              <w:jc w:val="left"/>
            </w:pPr>
            <w:r>
              <w:rPr>
                <w:b w:val="0"/>
                <w:sz w:val="21"/>
              </w:rPr>
              <w:t>事实、条件、答案依据</w:t>
            </w:r>
          </w:p>
        </w:tc>
        <w:tc>
          <w:tcPr>
            <w:tcW w:type="dxa" w:w="2409"/>
            <w:vAlign w:val="center"/>
          </w:tcPr>
          <w:p>
            <w:pPr>
              <w:keepNext w:val="0"/>
              <w:spacing w:line="320" w:lineRule="exact" w:after="0" w:before="0"/>
              <w:ind w:firstLine="0"/>
              <w:jc w:val="left"/>
            </w:pPr>
            <w:r>
              <w:rPr>
                <w:b w:val="0"/>
                <w:sz w:val="21"/>
              </w:rPr>
              <w:t>数字、单位、否定和例外</w:t>
            </w:r>
          </w:p>
        </w:tc>
        <w:tc>
          <w:tcPr>
            <w:tcW w:type="dxa" w:w="2891"/>
            <w:vAlign w:val="center"/>
          </w:tcPr>
          <w:p>
            <w:pPr>
              <w:keepNext w:val="0"/>
              <w:spacing w:line="320" w:lineRule="exact" w:after="0" w:before="0"/>
              <w:ind w:firstLine="0"/>
              <w:jc w:val="left"/>
            </w:pPr>
            <w:r>
              <w:rPr>
                <w:b w:val="0"/>
                <w:sz w:val="21"/>
              </w:rPr>
              <w:t>引用、偏好理由和模型评价</w:t>
            </w:r>
          </w:p>
        </w:tc>
      </w:tr>
      <w:tr>
        <w:trPr>
          <w:cantSplit/>
        </w:trPr>
        <w:tc>
          <w:tcPr>
            <w:tcW w:type="dxa" w:w="1638"/>
            <w:vAlign w:val="center"/>
          </w:tcPr>
          <w:p>
            <w:pPr>
              <w:keepNext w:val="0"/>
              <w:spacing w:line="320" w:lineRule="exact" w:after="0" w:before="0"/>
              <w:ind w:firstLine="0"/>
              <w:jc w:val="left"/>
            </w:pPr>
            <w:r>
              <w:rPr>
                <w:b w:val="0"/>
                <w:sz w:val="21"/>
              </w:rPr>
              <w:t>图像框与掩膜</w:t>
            </w:r>
          </w:p>
        </w:tc>
        <w:tc>
          <w:tcPr>
            <w:tcW w:type="dxa" w:w="2699"/>
            <w:vAlign w:val="center"/>
          </w:tcPr>
          <w:p>
            <w:pPr>
              <w:keepNext w:val="0"/>
              <w:spacing w:line="320" w:lineRule="exact" w:after="0" w:before="0"/>
              <w:ind w:firstLine="0"/>
              <w:jc w:val="left"/>
            </w:pPr>
            <w:r>
              <w:rPr>
                <w:b w:val="0"/>
                <w:sz w:val="21"/>
              </w:rPr>
              <w:t>类别、位置、范围及边界</w:t>
            </w:r>
          </w:p>
        </w:tc>
        <w:tc>
          <w:tcPr>
            <w:tcW w:type="dxa" w:w="2409"/>
            <w:vAlign w:val="center"/>
          </w:tcPr>
          <w:p>
            <w:pPr>
              <w:keepNext w:val="0"/>
              <w:spacing w:line="320" w:lineRule="exact" w:after="0" w:before="0"/>
              <w:ind w:firstLine="0"/>
              <w:jc w:val="left"/>
            </w:pPr>
            <w:r>
              <w:rPr>
                <w:b w:val="0"/>
                <w:sz w:val="21"/>
              </w:rPr>
              <w:t>小目标、相邻目标、遮挡</w:t>
            </w:r>
          </w:p>
        </w:tc>
        <w:tc>
          <w:tcPr>
            <w:tcW w:type="dxa" w:w="2891"/>
            <w:vAlign w:val="center"/>
          </w:tcPr>
          <w:p>
            <w:pPr>
              <w:keepNext w:val="0"/>
              <w:spacing w:line="320" w:lineRule="exact" w:after="0" w:before="0"/>
              <w:ind w:firstLine="0"/>
              <w:jc w:val="left"/>
            </w:pPr>
            <w:r>
              <w:rPr>
                <w:b w:val="0"/>
                <w:sz w:val="21"/>
              </w:rPr>
              <w:t>框与掩膜相互对应</w:t>
            </w:r>
          </w:p>
        </w:tc>
      </w:tr>
      <w:tr>
        <w:trPr>
          <w:cantSplit/>
        </w:trPr>
        <w:tc>
          <w:tcPr>
            <w:tcW w:type="dxa" w:w="1638"/>
            <w:vAlign w:val="center"/>
          </w:tcPr>
          <w:p>
            <w:pPr>
              <w:keepNext w:val="0"/>
              <w:spacing w:line="320" w:lineRule="exact" w:after="0" w:before="0"/>
              <w:ind w:firstLine="0"/>
              <w:jc w:val="left"/>
            </w:pPr>
            <w:r>
              <w:rPr>
                <w:b w:val="0"/>
                <w:sz w:val="21"/>
              </w:rPr>
              <w:t>时序事件</w:t>
            </w:r>
          </w:p>
        </w:tc>
        <w:tc>
          <w:tcPr>
            <w:tcW w:type="dxa" w:w="2699"/>
            <w:vAlign w:val="center"/>
          </w:tcPr>
          <w:p>
            <w:pPr>
              <w:keepNext w:val="0"/>
              <w:spacing w:line="320" w:lineRule="exact" w:after="0" w:before="0"/>
              <w:ind w:firstLine="0"/>
              <w:jc w:val="left"/>
            </w:pPr>
            <w:r>
              <w:rPr>
                <w:b w:val="0"/>
                <w:sz w:val="21"/>
              </w:rPr>
              <w:t>测点、状态、起止及原因</w:t>
            </w:r>
          </w:p>
        </w:tc>
        <w:tc>
          <w:tcPr>
            <w:tcW w:type="dxa" w:w="2409"/>
            <w:vAlign w:val="center"/>
          </w:tcPr>
          <w:p>
            <w:pPr>
              <w:keepNext w:val="0"/>
              <w:spacing w:line="320" w:lineRule="exact" w:after="0" w:before="0"/>
              <w:ind w:firstLine="0"/>
              <w:jc w:val="left"/>
            </w:pPr>
            <w:r>
              <w:rPr>
                <w:b w:val="0"/>
                <w:sz w:val="21"/>
              </w:rPr>
              <w:t>时钟偏差、过渡状态</w:t>
            </w:r>
          </w:p>
        </w:tc>
        <w:tc>
          <w:tcPr>
            <w:tcW w:type="dxa" w:w="2891"/>
            <w:vAlign w:val="center"/>
          </w:tcPr>
          <w:p>
            <w:pPr>
              <w:keepNext w:val="0"/>
              <w:spacing w:line="320" w:lineRule="exact" w:after="0" w:before="0"/>
              <w:ind w:firstLine="0"/>
              <w:jc w:val="left"/>
            </w:pPr>
            <w:r>
              <w:rPr>
                <w:b w:val="0"/>
                <w:sz w:val="21"/>
              </w:rPr>
              <w:t>标签窗口与原始序列一致</w:t>
            </w:r>
          </w:p>
        </w:tc>
      </w:tr>
      <w:tr>
        <w:trPr>
          <w:cantSplit/>
        </w:trPr>
        <w:tc>
          <w:tcPr>
            <w:tcW w:type="dxa" w:w="1638"/>
            <w:vAlign w:val="center"/>
          </w:tcPr>
          <w:p>
            <w:pPr>
              <w:keepNext w:val="0"/>
              <w:spacing w:line="320" w:lineRule="exact" w:after="0" w:before="0"/>
              <w:ind w:firstLine="0"/>
              <w:jc w:val="left"/>
            </w:pPr>
            <w:r>
              <w:rPr>
                <w:b w:val="0"/>
                <w:sz w:val="21"/>
              </w:rPr>
              <w:t>语音及视频</w:t>
            </w:r>
          </w:p>
        </w:tc>
        <w:tc>
          <w:tcPr>
            <w:tcW w:type="dxa" w:w="2699"/>
            <w:vAlign w:val="center"/>
          </w:tcPr>
          <w:p>
            <w:pPr>
              <w:keepNext w:val="0"/>
              <w:spacing w:line="320" w:lineRule="exact" w:after="0" w:before="0"/>
              <w:ind w:firstLine="0"/>
              <w:jc w:val="left"/>
            </w:pPr>
            <w:r>
              <w:rPr>
                <w:b w:val="0"/>
                <w:sz w:val="21"/>
              </w:rPr>
              <w:t>转写、关键词、事件与时间</w:t>
            </w:r>
          </w:p>
        </w:tc>
        <w:tc>
          <w:tcPr>
            <w:tcW w:type="dxa" w:w="2409"/>
            <w:vAlign w:val="center"/>
          </w:tcPr>
          <w:p>
            <w:pPr>
              <w:keepNext w:val="0"/>
              <w:spacing w:line="320" w:lineRule="exact" w:after="0" w:before="0"/>
              <w:ind w:firstLine="0"/>
              <w:jc w:val="left"/>
            </w:pPr>
            <w:r>
              <w:rPr>
                <w:b w:val="0"/>
                <w:sz w:val="21"/>
              </w:rPr>
              <w:t>短时异常、数量及动作对象</w:t>
            </w:r>
          </w:p>
        </w:tc>
        <w:tc>
          <w:tcPr>
            <w:tcW w:type="dxa" w:w="2891"/>
            <w:vAlign w:val="center"/>
          </w:tcPr>
          <w:p>
            <w:pPr>
              <w:keepNext w:val="0"/>
              <w:spacing w:line="320" w:lineRule="exact" w:after="0" w:before="0"/>
              <w:ind w:firstLine="0"/>
              <w:jc w:val="left"/>
            </w:pPr>
            <w:r>
              <w:rPr>
                <w:b w:val="0"/>
                <w:sz w:val="21"/>
              </w:rPr>
              <w:t>原音视频和派生文本同步</w:t>
            </w:r>
          </w:p>
        </w:tc>
      </w:tr>
    </w:tbl>
    <w:p>
      <w:pPr>
        <w:spacing w:after="40" w:line="240" w:lineRule="auto"/>
        <w:ind w:firstLine="0"/>
      </w:pPr>
      <w:r>
        <w:rPr>
          <w:sz w:val="4"/>
        </w:rPr>
      </w:r>
    </w:p>
    <w:p>
      <w:pPr>
        <w:pStyle w:val="Heading2"/>
      </w:pPr>
      <w:r>
        <w:t>6.5 业务相关性</w:t>
      </w:r>
    </w:p>
    <w:p>
      <w:pPr>
        <w:pStyle w:val="Heading3"/>
      </w:pPr>
      <w:r>
        <w:t>6.5.1 行业符合度</w:t>
      </w:r>
    </w:p>
    <w:p>
      <w:pPr>
        <w:jc w:val="both"/>
      </w:pPr>
      <w:r>
        <w:t>指标3.5.1核查内容是否符合煤机装备业务逻辑、流程和使用需求，评测人员依据业务流程和专业判据检查对象关系及任务顺序。采购与计划、图纸与工艺、制造与检验、故障与维修等关系需保持实际约束，不能把在其他行业合理的规则直接迁移为本项目标准答案。</w:t>
      </w:r>
    </w:p>
    <w:p>
      <w:pPr>
        <w:jc w:val="both"/>
      </w:pPr>
      <w:r>
        <w:t>采用专业抽检及模型失败归因识别偏离行业实践的内容。整改明确错误来自来源、转换、标注还是生成，并修正相关规则。复测同时检查行业术语和业务逻辑，不以增加专业词汇替代实质正确性。</w:t>
      </w:r>
    </w:p>
    <w:p>
      <w:pPr>
        <w:pStyle w:val="Heading3"/>
      </w:pPr>
      <w:r>
        <w:t>6.5.2 信息主旨度</w:t>
      </w:r>
    </w:p>
    <w:p>
      <w:pPr>
        <w:jc w:val="both"/>
      </w:pPr>
      <w:r>
        <w:t>指标3.5.2检查记录内容是否围绕其核心业务主题，输入、回答、附件及标签是否共同支持目标任务。网页杂项、无关背景、重复模板和偏离问题的长篇回答分别识别。主题判定结合任务定义，不以文本越短越集中作为唯一标准。</w:t>
      </w:r>
    </w:p>
    <w:p>
      <w:pPr>
        <w:jc w:val="both"/>
      </w:pPr>
      <w:r>
        <w:t>评测检查有效知识与必要上下文，避免清除背景后任务条件缺失。对于多主题资料按合理边界拆分并保留必要关联，不能任意拼接不同主题来增加样本量。修正后核查答案是否仍响应当前问题，并重新统计主题分布。</w:t>
      </w:r>
    </w:p>
    <w:p>
      <w:pPr>
        <w:pStyle w:val="Heading3"/>
      </w:pPr>
      <w:r>
        <w:t>6.5.3 领域相关性</w:t>
      </w:r>
    </w:p>
    <w:p>
      <w:pPr>
        <w:jc w:val="both"/>
      </w:pPr>
      <w:r>
        <w:t>指标3.5.3核查内容与其声明的供需计划、产品工艺设计、制造过程或产品质量领域是否匹配，区分跨领域共享知识与错误归类。共享内容可以建立明确关联，但净量统计及对象归属需遵循统一规则，不能在多个领域无条件重复计量。</w:t>
      </w:r>
    </w:p>
    <w:p>
      <w:pPr>
        <w:jc w:val="both"/>
      </w:pPr>
      <w:r>
        <w:t>自动主题分析输出候选异常，专业人员结合来源、业务对象和使用任务确认。领域重分类后重新核验十六项净量、场景覆盖和实验分层，保持数据卡与目录一致。与项目目标无关的材料不得借行业通识名义无限扩充。</w:t>
      </w:r>
    </w:p>
    <w:p>
      <w:pPr>
        <w:pStyle w:val="Heading2"/>
      </w:pPr>
      <w:r>
        <w:t>6.6 内容均衡性</w:t>
      </w:r>
    </w:p>
    <w:p>
      <w:pPr>
        <w:pStyle w:val="Heading3"/>
      </w:pPr>
      <w:r>
        <w:t>6.6.1 特征均衡性</w:t>
      </w:r>
    </w:p>
    <w:p>
      <w:pPr>
        <w:jc w:val="both"/>
      </w:pPr>
      <w:r>
        <w:t>指标3.6.1检查关键特征及其组合的分布是否满足目标任务，结合实际业务频率和风险判断是否存在偏斜。均衡不意味着所有取值数量完全相等；正常状态和罕见高风险故障可以采用不同检查强度，但训练、验证和测试的取样目的必须明确。</w:t>
      </w:r>
    </w:p>
    <w:p>
      <w:pPr>
        <w:jc w:val="both"/>
      </w:pPr>
      <w:r>
        <w:t>评测同时报告自然分布与训练处理后的分布，识别极端过采样、少数设备垄断和某些工况空缺。整改优先补充真实薄弱样本，必要的重采样及增强保留依据和来源，不扩充基准题量。复测关注薄弱特征性能与总体性能，防止改善一层却损害其他重要层。</w:t>
      </w:r>
    </w:p>
    <w:p>
      <w:pPr>
        <w:pStyle w:val="Heading3"/>
      </w:pPr>
      <w:r>
        <w:t>6.6.2 来源均衡性</w:t>
      </w:r>
    </w:p>
    <w:p>
      <w:pPr>
        <w:jc w:val="both"/>
      </w:pPr>
      <w:r>
        <w:t>指标3.6.2保留招标指标名称，并按其规定重点评价不同类别标签样本数量的均衡程度，统计各类别数量、比例、缺口及模型偏差风险。同时单独核查来源系统、设备、采集批次和提供单位的分布，避免名称与定义差异造成标签均衡漏检或来源集中问题未被发现。</w:t>
      </w:r>
    </w:p>
    <w:p>
      <w:pPr>
        <w:jc w:val="both"/>
      </w:pPr>
      <w:r>
        <w:t>标签分布与来源分布分别出表，不能将两者合并为一个不明确比例。对长尾类别检查数量及代表性，对单一来源主导的类别检查是否只学习了设备背景或采集特征。整改后重新分析类别与来源交叉分布，并通过独立来源测试验证泛化能力。</w:t>
      </w:r>
    </w:p>
    <w:p>
      <w:pPr>
        <w:pStyle w:val="Heading3"/>
      </w:pPr>
      <w:r>
        <w:t>6.6.3 场景均衡性</w:t>
      </w:r>
    </w:p>
    <w:p>
      <w:pPr>
        <w:jc w:val="both"/>
      </w:pPr>
      <w:r>
        <w:t>指标3.6.3检查各业务场景及子任务的样本量与实际使用重要程度是否匹配，重点识别简单问答大量重复、复杂工艺任务不足和异常场景缺乏代表性。场景均衡指标与场景多样性分别核算，已经覆盖不代表数量和难度结构合理。</w:t>
      </w:r>
    </w:p>
    <w:p>
      <w:pPr>
        <w:jc w:val="both"/>
      </w:pPr>
      <w:r>
        <w:t>评测将场景、难度、模态及正常异常状态交叉分析，形成缺口清单。补充计划明确需要增加的真实任务及专业标注要求，不只提高原有高频场景总量。复测按同一场景目录比较前后分布和模型结果，验证补充措施确实改善薄弱环节。</w:t>
      </w:r>
    </w:p>
    <w:p>
      <w:pPr>
        <w:pStyle w:val="Caption"/>
        <w:keepNext/>
      </w:pPr>
      <w:r>
        <w:t>表6-5 特征标签来源与场景均衡核验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均衡对象</w:t>
            </w:r>
          </w:p>
        </w:tc>
        <w:tc>
          <w:tcPr>
            <w:tcW w:type="dxa" w:w="2699"/>
            <w:vAlign w:val="center"/>
            <w:shd w:fill="EDF1F3"/>
          </w:tcPr>
          <w:p>
            <w:pPr>
              <w:keepNext/>
              <w:spacing w:line="320" w:lineRule="exact" w:after="0" w:before="0"/>
              <w:ind w:firstLine="0"/>
              <w:jc w:val="center"/>
            </w:pPr>
            <w:r>
              <w:rPr>
                <w:b/>
                <w:sz w:val="21"/>
              </w:rPr>
              <w:t>统计表</w:t>
            </w:r>
          </w:p>
        </w:tc>
        <w:tc>
          <w:tcPr>
            <w:tcW w:type="dxa" w:w="2409"/>
            <w:vAlign w:val="center"/>
            <w:shd w:fill="EDF1F3"/>
          </w:tcPr>
          <w:p>
            <w:pPr>
              <w:keepNext/>
              <w:spacing w:line="320" w:lineRule="exact" w:after="0" w:before="0"/>
              <w:ind w:firstLine="0"/>
              <w:jc w:val="center"/>
            </w:pPr>
            <w:r>
              <w:rPr>
                <w:b/>
                <w:sz w:val="21"/>
              </w:rPr>
              <w:t>判定依据</w:t>
            </w:r>
          </w:p>
        </w:tc>
        <w:tc>
          <w:tcPr>
            <w:tcW w:type="dxa" w:w="2891"/>
            <w:vAlign w:val="center"/>
            <w:shd w:fill="EDF1F3"/>
          </w:tcPr>
          <w:p>
            <w:pPr>
              <w:keepNext/>
              <w:spacing w:line="320" w:lineRule="exact" w:after="0" w:before="0"/>
              <w:ind w:firstLine="0"/>
              <w:jc w:val="center"/>
            </w:pPr>
            <w:r>
              <w:rPr>
                <w:b/>
                <w:sz w:val="21"/>
              </w:rPr>
              <w:t>不采用的处理方式</w:t>
            </w:r>
          </w:p>
        </w:tc>
      </w:tr>
      <w:tr>
        <w:trPr>
          <w:cantSplit/>
        </w:trPr>
        <w:tc>
          <w:tcPr>
            <w:tcW w:type="dxa" w:w="1638"/>
            <w:vAlign w:val="center"/>
          </w:tcPr>
          <w:p>
            <w:pPr>
              <w:keepNext w:val="0"/>
              <w:spacing w:line="320" w:lineRule="exact" w:after="0" w:before="0"/>
              <w:ind w:firstLine="0"/>
              <w:jc w:val="left"/>
            </w:pPr>
            <w:r>
              <w:rPr>
                <w:b w:val="0"/>
                <w:sz w:val="21"/>
              </w:rPr>
              <w:t>特征</w:t>
            </w:r>
          </w:p>
        </w:tc>
        <w:tc>
          <w:tcPr>
            <w:tcW w:type="dxa" w:w="2699"/>
            <w:vAlign w:val="center"/>
          </w:tcPr>
          <w:p>
            <w:pPr>
              <w:keepNext w:val="0"/>
              <w:spacing w:line="320" w:lineRule="exact" w:after="0" w:before="0"/>
              <w:ind w:firstLine="0"/>
              <w:jc w:val="left"/>
            </w:pPr>
            <w:r>
              <w:rPr>
                <w:b w:val="0"/>
                <w:sz w:val="21"/>
              </w:rPr>
              <w:t>取值及关键组合分布</w:t>
            </w:r>
          </w:p>
        </w:tc>
        <w:tc>
          <w:tcPr>
            <w:tcW w:type="dxa" w:w="2409"/>
            <w:vAlign w:val="center"/>
          </w:tcPr>
          <w:p>
            <w:pPr>
              <w:keepNext w:val="0"/>
              <w:spacing w:line="320" w:lineRule="exact" w:after="0" w:before="0"/>
              <w:ind w:firstLine="0"/>
              <w:jc w:val="left"/>
            </w:pPr>
            <w:r>
              <w:rPr>
                <w:b w:val="0"/>
                <w:sz w:val="21"/>
              </w:rPr>
              <w:t>业务频率、任务需求及风险</w:t>
            </w:r>
          </w:p>
        </w:tc>
        <w:tc>
          <w:tcPr>
            <w:tcW w:type="dxa" w:w="2891"/>
            <w:vAlign w:val="center"/>
          </w:tcPr>
          <w:p>
            <w:pPr>
              <w:keepNext w:val="0"/>
              <w:spacing w:line="320" w:lineRule="exact" w:after="0" w:before="0"/>
              <w:ind w:firstLine="0"/>
              <w:jc w:val="left"/>
            </w:pPr>
            <w:r>
              <w:rPr>
                <w:b w:val="0"/>
                <w:sz w:val="21"/>
              </w:rPr>
              <w:t>强行平均全部取值</w:t>
            </w:r>
          </w:p>
        </w:tc>
      </w:tr>
      <w:tr>
        <w:trPr>
          <w:cantSplit/>
        </w:trPr>
        <w:tc>
          <w:tcPr>
            <w:tcW w:type="dxa" w:w="1638"/>
            <w:vAlign w:val="center"/>
          </w:tcPr>
          <w:p>
            <w:pPr>
              <w:keepNext w:val="0"/>
              <w:spacing w:line="320" w:lineRule="exact" w:after="0" w:before="0"/>
              <w:ind w:firstLine="0"/>
              <w:jc w:val="left"/>
            </w:pPr>
            <w:r>
              <w:rPr>
                <w:b w:val="0"/>
                <w:sz w:val="21"/>
              </w:rPr>
              <w:t>标签</w:t>
            </w:r>
          </w:p>
        </w:tc>
        <w:tc>
          <w:tcPr>
            <w:tcW w:type="dxa" w:w="2699"/>
            <w:vAlign w:val="center"/>
          </w:tcPr>
          <w:p>
            <w:pPr>
              <w:keepNext w:val="0"/>
              <w:spacing w:line="320" w:lineRule="exact" w:after="0" w:before="0"/>
              <w:ind w:firstLine="0"/>
              <w:jc w:val="left"/>
            </w:pPr>
            <w:r>
              <w:rPr>
                <w:b w:val="0"/>
                <w:sz w:val="21"/>
              </w:rPr>
              <w:t>类别数量及长尾分布</w:t>
            </w:r>
          </w:p>
        </w:tc>
        <w:tc>
          <w:tcPr>
            <w:tcW w:type="dxa" w:w="2409"/>
            <w:vAlign w:val="center"/>
          </w:tcPr>
          <w:p>
            <w:pPr>
              <w:keepNext w:val="0"/>
              <w:spacing w:line="320" w:lineRule="exact" w:after="0" w:before="0"/>
              <w:ind w:firstLine="0"/>
              <w:jc w:val="left"/>
            </w:pPr>
            <w:r>
              <w:rPr>
                <w:b w:val="0"/>
                <w:sz w:val="21"/>
              </w:rPr>
              <w:t>必要样本量和类别性能</w:t>
            </w:r>
          </w:p>
        </w:tc>
        <w:tc>
          <w:tcPr>
            <w:tcW w:type="dxa" w:w="2891"/>
            <w:vAlign w:val="center"/>
          </w:tcPr>
          <w:p>
            <w:pPr>
              <w:keepNext w:val="0"/>
              <w:spacing w:line="320" w:lineRule="exact" w:after="0" w:before="0"/>
              <w:ind w:firstLine="0"/>
              <w:jc w:val="left"/>
            </w:pPr>
            <w:r>
              <w:rPr>
                <w:b w:val="0"/>
                <w:sz w:val="21"/>
              </w:rPr>
              <w:t>仅看总体均值</w:t>
            </w:r>
          </w:p>
        </w:tc>
      </w:tr>
      <w:tr>
        <w:trPr>
          <w:cantSplit/>
        </w:trPr>
        <w:tc>
          <w:tcPr>
            <w:tcW w:type="dxa" w:w="1638"/>
            <w:vAlign w:val="center"/>
          </w:tcPr>
          <w:p>
            <w:pPr>
              <w:keepNext w:val="0"/>
              <w:spacing w:line="320" w:lineRule="exact" w:after="0" w:before="0"/>
              <w:ind w:firstLine="0"/>
              <w:jc w:val="left"/>
            </w:pPr>
            <w:r>
              <w:rPr>
                <w:b w:val="0"/>
                <w:sz w:val="21"/>
              </w:rPr>
              <w:t>来源</w:t>
            </w:r>
          </w:p>
        </w:tc>
        <w:tc>
          <w:tcPr>
            <w:tcW w:type="dxa" w:w="2699"/>
            <w:vAlign w:val="center"/>
          </w:tcPr>
          <w:p>
            <w:pPr>
              <w:keepNext w:val="0"/>
              <w:spacing w:line="320" w:lineRule="exact" w:after="0" w:before="0"/>
              <w:ind w:firstLine="0"/>
              <w:jc w:val="left"/>
            </w:pPr>
            <w:r>
              <w:rPr>
                <w:b w:val="0"/>
                <w:sz w:val="21"/>
              </w:rPr>
              <w:t>系统、设备、批次及主体</w:t>
            </w:r>
          </w:p>
        </w:tc>
        <w:tc>
          <w:tcPr>
            <w:tcW w:type="dxa" w:w="2409"/>
            <w:vAlign w:val="center"/>
          </w:tcPr>
          <w:p>
            <w:pPr>
              <w:keepNext w:val="0"/>
              <w:spacing w:line="320" w:lineRule="exact" w:after="0" w:before="0"/>
              <w:ind w:firstLine="0"/>
              <w:jc w:val="left"/>
            </w:pPr>
            <w:r>
              <w:rPr>
                <w:b w:val="0"/>
                <w:sz w:val="21"/>
              </w:rPr>
              <w:t>独立性和代表性</w:t>
            </w:r>
          </w:p>
        </w:tc>
        <w:tc>
          <w:tcPr>
            <w:tcW w:type="dxa" w:w="2891"/>
            <w:vAlign w:val="center"/>
          </w:tcPr>
          <w:p>
            <w:pPr>
              <w:keepNext w:val="0"/>
              <w:spacing w:line="320" w:lineRule="exact" w:after="0" w:before="0"/>
              <w:ind w:firstLine="0"/>
              <w:jc w:val="left"/>
            </w:pPr>
            <w:r>
              <w:rPr>
                <w:b w:val="0"/>
                <w:sz w:val="21"/>
              </w:rPr>
              <w:t>把转载镜像当新来源</w:t>
            </w:r>
          </w:p>
        </w:tc>
      </w:tr>
      <w:tr>
        <w:trPr>
          <w:cantSplit/>
        </w:trPr>
        <w:tc>
          <w:tcPr>
            <w:tcW w:type="dxa" w:w="1638"/>
            <w:vAlign w:val="center"/>
          </w:tcPr>
          <w:p>
            <w:pPr>
              <w:keepNext w:val="0"/>
              <w:spacing w:line="320" w:lineRule="exact" w:after="0" w:before="0"/>
              <w:ind w:firstLine="0"/>
              <w:jc w:val="left"/>
            </w:pPr>
            <w:r>
              <w:rPr>
                <w:b w:val="0"/>
                <w:sz w:val="21"/>
              </w:rPr>
              <w:t>场景</w:t>
            </w:r>
          </w:p>
        </w:tc>
        <w:tc>
          <w:tcPr>
            <w:tcW w:type="dxa" w:w="2699"/>
            <w:vAlign w:val="center"/>
          </w:tcPr>
          <w:p>
            <w:pPr>
              <w:keepNext w:val="0"/>
              <w:spacing w:line="320" w:lineRule="exact" w:after="0" w:before="0"/>
              <w:ind w:firstLine="0"/>
              <w:jc w:val="left"/>
            </w:pPr>
            <w:r>
              <w:rPr>
                <w:b w:val="0"/>
                <w:sz w:val="21"/>
              </w:rPr>
              <w:t>场景、难度及模态分布</w:t>
            </w:r>
          </w:p>
        </w:tc>
        <w:tc>
          <w:tcPr>
            <w:tcW w:type="dxa" w:w="2409"/>
            <w:vAlign w:val="center"/>
          </w:tcPr>
          <w:p>
            <w:pPr>
              <w:keepNext w:val="0"/>
              <w:spacing w:line="320" w:lineRule="exact" w:after="0" w:before="0"/>
              <w:ind w:firstLine="0"/>
              <w:jc w:val="left"/>
            </w:pPr>
            <w:r>
              <w:rPr>
                <w:b w:val="0"/>
                <w:sz w:val="21"/>
              </w:rPr>
              <w:t>场景重要程度和实际需求</w:t>
            </w:r>
          </w:p>
        </w:tc>
        <w:tc>
          <w:tcPr>
            <w:tcW w:type="dxa" w:w="2891"/>
            <w:vAlign w:val="center"/>
          </w:tcPr>
          <w:p>
            <w:pPr>
              <w:keepNext w:val="0"/>
              <w:spacing w:line="320" w:lineRule="exact" w:after="0" w:before="0"/>
              <w:ind w:firstLine="0"/>
              <w:jc w:val="left"/>
            </w:pPr>
            <w:r>
              <w:rPr>
                <w:b w:val="0"/>
                <w:sz w:val="21"/>
              </w:rPr>
              <w:t>重复简单任务凑数量</w:t>
            </w:r>
          </w:p>
        </w:tc>
      </w:tr>
    </w:tbl>
    <w:p>
      <w:pPr>
        <w:spacing w:after="40" w:line="240" w:lineRule="auto"/>
        <w:ind w:firstLine="0"/>
      </w:pPr>
      <w:r>
        <w:rPr>
          <w:sz w:val="4"/>
        </w:rPr>
      </w:r>
    </w:p>
    <w:p>
      <w:pPr>
        <w:pStyle w:val="Heading2"/>
      </w:pPr>
      <w:r>
        <w:t>6.7 时间跨度覆盖度</w:t>
      </w:r>
    </w:p>
    <w:p>
      <w:pPr>
        <w:jc w:val="both"/>
      </w:pPr>
      <w:r>
        <w:t>指标3.7.1核查数据形成时间、业务事件时间、采集时间及更新状态，分别统计最早最晚时间、各时间段数量、连续性及缺失区间。仅报告最早与最晚日期不能证明中间各时期均有覆盖，评测按业务周期和设备运行周期检查时间分布，识别断档、季节缺口和集中迁移造成的时间误判。</w:t>
      </w:r>
    </w:p>
    <w:p>
      <w:pPr>
        <w:jc w:val="both"/>
      </w:pPr>
      <w:r>
        <w:t>近三年数据按照正式发布日期倒推36个自然月，以实际业务或资料形成时间计算条数占比，不低于40%。时间未知记录继续保留在分母并列入核实清单，不通过删除未知项提高比例。新旧标准、工艺和设备参数需带有效时间，历史正确内容不能被当作当前适用而直接训练回答。</w:t>
      </w:r>
    </w:p>
    <w:p>
      <w:pPr>
        <w:jc w:val="both"/>
      </w:pPr>
      <w:r>
        <w:t>整改补采缺失时期或更新失效资料时保留原始版本和时间关系，不能改变文件时间戳伪造新数据。复测检查时间范围、近期比例和内容有效性同时满足，并确认模型对不同时间条件的问题采用相应依据。</w:t>
      </w:r>
    </w:p>
    <w:p>
      <w:pPr>
        <w:pStyle w:val="Heading1"/>
      </w:pPr>
      <w:r>
        <w:t>7 基准模型对照实验</w:t>
      </w:r>
    </w:p>
    <w:p>
      <w:pPr>
        <w:pStyle w:val="Heading2"/>
      </w:pPr>
      <w:r>
        <w:t>7.1 实验协议与共同控制条件</w:t>
      </w:r>
    </w:p>
    <w:p>
      <w:pPr>
        <w:jc w:val="both"/>
      </w:pPr>
      <w:r>
        <w:t>我方为每类适用数据建立实验协议，记录业务任务、基础模型、数据版本、训练方式、资源、超参数、数据划分、判分方法和最低提升要求。协议在正式实验前由甲方确认，与第三方评测执行范围一致。模型资源调度与神兽 OS 环境管理衔接，训练、测试、专家复核和归档各环节使用受控身份与版本记录。</w:t>
      </w:r>
    </w:p>
    <w:p>
      <w:pPr>
        <w:jc w:val="both"/>
      </w:pPr>
      <w:r>
        <w:t>基础模型与微调模型的比较只改变协议明确的训练变量。测试集、提示词、上下文、解码、后处理和评分程序保持一致；确因模型接口差异需要适配时，登记映射及其影响，并验证没有向某一模型额外提供答案线索。优化过程使用训练与验证数据，保留测试集只用于正式评价及经批准的复测。</w:t>
      </w:r>
    </w:p>
    <w:p>
      <w:pPr>
        <w:jc w:val="both"/>
      </w:pPr>
      <w:r>
        <w:t>模型最低提升阈值在设计阶段依据任务重要性、基线能力和预实验确定，明确采用绝对差值、百分点提升或相对改善。对于基线为零或接近零的指标，不计算失真的相对提升；对于错误率类指标明确降低方向；对于基线接近上限的指标同时审查关键场景改善和退化约束。阈值不能在观察正式测试结果后临时下调。</w:t>
      </w:r>
    </w:p>
    <w:p>
      <w:pPr>
        <w:pStyle w:val="Heading2"/>
      </w:pPr>
      <w:r>
        <w:t>7.2 数据划分与污染防护</w:t>
      </w:r>
    </w:p>
    <w:p>
      <w:pPr>
        <w:jc w:val="both"/>
      </w:pPr>
      <w:r>
        <w:t>训练、验证和测试按来源家族先分配再加工。来源家族包括同一原始文档的切片和问答、同一工件的多角度图像、同一事件的时序窗口、同一音频的切段以及同一视频的相邻片段。合成和增强内容继承原样本的分区约束，不得通过改写或变换跨入其他分区。基准评测不使用合成或人为增强扩充题目。</w:t>
      </w:r>
    </w:p>
    <w:p>
      <w:pPr>
        <w:jc w:val="both"/>
      </w:pPr>
      <w:r>
        <w:t>划分比例依据有效样本量、类别覆盖和设备隔离要求确定，并在协议中记录具体数量；不能为了固定比例破坏来源隔离或使关键类别无测试样本。稀有类别不足时补充真实数据或调整可验证范围，经甲方确认后执行，不将同一对象复制到不同集合凑数。视频严格按采集设备隔离封存，其他模态结合对象、时间及事件约束划分。</w:t>
      </w:r>
    </w:p>
    <w:p>
      <w:pPr>
        <w:jc w:val="both"/>
      </w:pPr>
      <w:r>
        <w:t>污染扫描包括精确指纹、近重、文本片段重合、语义相似及来源关系，覆盖训练数据、验证数据、测试题目、标准答案、专家题库和相关知识索引。命中后由专业人员判定是否构成答案泄漏或来源重复，记录处理结果。确认污染时受影响实验无效，修正划分及数据后对基线与微调模型重新运行，不能仅删除低分或污染题目后保留原有提升结论。</w:t>
      </w:r>
    </w:p>
    <w:p>
      <w:pPr>
        <w:pStyle w:val="Caption"/>
        <w:keepNext/>
      </w:pPr>
      <w:r>
        <w:t>表7-1 数据划分与污染防护</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隔离对象</w:t>
            </w:r>
          </w:p>
        </w:tc>
        <w:tc>
          <w:tcPr>
            <w:tcW w:type="dxa" w:w="2699"/>
            <w:vAlign w:val="center"/>
            <w:shd w:fill="EDF1F3"/>
          </w:tcPr>
          <w:p>
            <w:pPr>
              <w:keepNext/>
              <w:spacing w:line="320" w:lineRule="exact" w:after="0" w:before="0"/>
              <w:ind w:firstLine="0"/>
              <w:jc w:val="center"/>
            </w:pPr>
            <w:r>
              <w:rPr>
                <w:b/>
                <w:sz w:val="21"/>
              </w:rPr>
              <w:t>家族识别依据</w:t>
            </w:r>
          </w:p>
        </w:tc>
        <w:tc>
          <w:tcPr>
            <w:tcW w:type="dxa" w:w="2409"/>
            <w:vAlign w:val="center"/>
            <w:shd w:fill="EDF1F3"/>
          </w:tcPr>
          <w:p>
            <w:pPr>
              <w:keepNext/>
              <w:spacing w:line="320" w:lineRule="exact" w:after="0" w:before="0"/>
              <w:ind w:firstLine="0"/>
              <w:jc w:val="center"/>
            </w:pPr>
            <w:r>
              <w:rPr>
                <w:b/>
                <w:sz w:val="21"/>
              </w:rPr>
              <w:t>划分控制</w:t>
            </w:r>
          </w:p>
        </w:tc>
        <w:tc>
          <w:tcPr>
            <w:tcW w:type="dxa" w:w="2891"/>
            <w:vAlign w:val="center"/>
            <w:shd w:fill="EDF1F3"/>
          </w:tcPr>
          <w:p>
            <w:pPr>
              <w:keepNext/>
              <w:spacing w:line="320" w:lineRule="exact" w:after="0" w:before="0"/>
              <w:ind w:firstLine="0"/>
              <w:jc w:val="center"/>
            </w:pPr>
            <w:r>
              <w:rPr>
                <w:b/>
                <w:sz w:val="21"/>
              </w:rPr>
              <w:t>污染复核</w:t>
            </w:r>
          </w:p>
        </w:tc>
      </w:tr>
      <w:tr>
        <w:trPr>
          <w:cantSplit/>
        </w:trPr>
        <w:tc>
          <w:tcPr>
            <w:tcW w:type="dxa" w:w="1638"/>
            <w:vAlign w:val="center"/>
          </w:tcPr>
          <w:p>
            <w:pPr>
              <w:keepNext w:val="0"/>
              <w:spacing w:line="320" w:lineRule="exact" w:after="0" w:before="0"/>
              <w:ind w:firstLine="0"/>
              <w:jc w:val="left"/>
            </w:pPr>
            <w:r>
              <w:rPr>
                <w:b w:val="0"/>
                <w:sz w:val="21"/>
              </w:rPr>
              <w:t>技术文档及问答</w:t>
            </w:r>
          </w:p>
        </w:tc>
        <w:tc>
          <w:tcPr>
            <w:tcW w:type="dxa" w:w="2699"/>
            <w:vAlign w:val="center"/>
          </w:tcPr>
          <w:p>
            <w:pPr>
              <w:keepNext w:val="0"/>
              <w:spacing w:line="320" w:lineRule="exact" w:after="0" w:before="0"/>
              <w:ind w:firstLine="0"/>
              <w:jc w:val="left"/>
            </w:pPr>
            <w:r>
              <w:rPr>
                <w:b w:val="0"/>
                <w:sz w:val="21"/>
              </w:rPr>
              <w:t>原文、章节、表格和派生关系</w:t>
            </w:r>
          </w:p>
        </w:tc>
        <w:tc>
          <w:tcPr>
            <w:tcW w:type="dxa" w:w="2409"/>
            <w:vAlign w:val="center"/>
          </w:tcPr>
          <w:p>
            <w:pPr>
              <w:keepNext w:val="0"/>
              <w:spacing w:line="320" w:lineRule="exact" w:after="0" w:before="0"/>
              <w:ind w:firstLine="0"/>
              <w:jc w:val="left"/>
            </w:pPr>
            <w:r>
              <w:rPr>
                <w:b w:val="0"/>
                <w:sz w:val="21"/>
              </w:rPr>
              <w:t>同一源内容不跨训练与保留测试</w:t>
            </w:r>
          </w:p>
        </w:tc>
        <w:tc>
          <w:tcPr>
            <w:tcW w:type="dxa" w:w="2891"/>
            <w:vAlign w:val="center"/>
          </w:tcPr>
          <w:p>
            <w:pPr>
              <w:keepNext w:val="0"/>
              <w:spacing w:line="320" w:lineRule="exact" w:after="0" w:before="0"/>
              <w:ind w:firstLine="0"/>
              <w:jc w:val="left"/>
            </w:pPr>
            <w:r>
              <w:rPr>
                <w:b w:val="0"/>
                <w:sz w:val="21"/>
              </w:rPr>
              <w:t>答案片段、引用和改写相似性</w:t>
            </w:r>
          </w:p>
        </w:tc>
      </w:tr>
      <w:tr>
        <w:trPr>
          <w:cantSplit/>
        </w:trPr>
        <w:tc>
          <w:tcPr>
            <w:tcW w:type="dxa" w:w="1638"/>
            <w:vAlign w:val="center"/>
          </w:tcPr>
          <w:p>
            <w:pPr>
              <w:keepNext w:val="0"/>
              <w:spacing w:line="320" w:lineRule="exact" w:after="0" w:before="0"/>
              <w:ind w:firstLine="0"/>
              <w:jc w:val="left"/>
            </w:pPr>
            <w:r>
              <w:rPr>
                <w:b w:val="0"/>
                <w:sz w:val="21"/>
              </w:rPr>
              <w:t>工件图像</w:t>
            </w:r>
          </w:p>
        </w:tc>
        <w:tc>
          <w:tcPr>
            <w:tcW w:type="dxa" w:w="2699"/>
            <w:vAlign w:val="center"/>
          </w:tcPr>
          <w:p>
            <w:pPr>
              <w:keepNext w:val="0"/>
              <w:spacing w:line="320" w:lineRule="exact" w:after="0" w:before="0"/>
              <w:ind w:firstLine="0"/>
              <w:jc w:val="left"/>
            </w:pPr>
            <w:r>
              <w:rPr>
                <w:b w:val="0"/>
                <w:sz w:val="21"/>
              </w:rPr>
              <w:t>工件、批次、角度及采集事件</w:t>
            </w:r>
          </w:p>
        </w:tc>
        <w:tc>
          <w:tcPr>
            <w:tcW w:type="dxa" w:w="2409"/>
            <w:vAlign w:val="center"/>
          </w:tcPr>
          <w:p>
            <w:pPr>
              <w:keepNext w:val="0"/>
              <w:spacing w:line="320" w:lineRule="exact" w:after="0" w:before="0"/>
              <w:ind w:firstLine="0"/>
              <w:jc w:val="left"/>
            </w:pPr>
            <w:r>
              <w:rPr>
                <w:b w:val="0"/>
                <w:sz w:val="21"/>
              </w:rPr>
              <w:t>同工件及派生图受统一分区约束</w:t>
            </w:r>
          </w:p>
        </w:tc>
        <w:tc>
          <w:tcPr>
            <w:tcW w:type="dxa" w:w="2891"/>
            <w:vAlign w:val="center"/>
          </w:tcPr>
          <w:p>
            <w:pPr>
              <w:keepNext w:val="0"/>
              <w:spacing w:line="320" w:lineRule="exact" w:after="0" w:before="0"/>
              <w:ind w:firstLine="0"/>
              <w:jc w:val="left"/>
            </w:pPr>
            <w:r>
              <w:rPr>
                <w:b w:val="0"/>
                <w:sz w:val="21"/>
              </w:rPr>
              <w:t>背景、细节及感知相似性</w:t>
            </w:r>
          </w:p>
        </w:tc>
      </w:tr>
      <w:tr>
        <w:trPr>
          <w:cantSplit/>
        </w:trPr>
        <w:tc>
          <w:tcPr>
            <w:tcW w:type="dxa" w:w="1638"/>
            <w:vAlign w:val="center"/>
          </w:tcPr>
          <w:p>
            <w:pPr>
              <w:keepNext w:val="0"/>
              <w:spacing w:line="320" w:lineRule="exact" w:after="0" w:before="0"/>
              <w:ind w:firstLine="0"/>
              <w:jc w:val="left"/>
            </w:pPr>
            <w:r>
              <w:rPr>
                <w:b w:val="0"/>
                <w:sz w:val="21"/>
              </w:rPr>
              <w:t>设备时序</w:t>
            </w:r>
          </w:p>
        </w:tc>
        <w:tc>
          <w:tcPr>
            <w:tcW w:type="dxa" w:w="2699"/>
            <w:vAlign w:val="center"/>
          </w:tcPr>
          <w:p>
            <w:pPr>
              <w:keepNext w:val="0"/>
              <w:spacing w:line="320" w:lineRule="exact" w:after="0" w:before="0"/>
              <w:ind w:firstLine="0"/>
              <w:jc w:val="left"/>
            </w:pPr>
            <w:r>
              <w:rPr>
                <w:b w:val="0"/>
                <w:sz w:val="21"/>
              </w:rPr>
              <w:t>设备、运行事件及时间窗口</w:t>
            </w:r>
          </w:p>
        </w:tc>
        <w:tc>
          <w:tcPr>
            <w:tcW w:type="dxa" w:w="2409"/>
            <w:vAlign w:val="center"/>
          </w:tcPr>
          <w:p>
            <w:pPr>
              <w:keepNext w:val="0"/>
              <w:spacing w:line="320" w:lineRule="exact" w:after="0" w:before="0"/>
              <w:ind w:firstLine="0"/>
              <w:jc w:val="left"/>
            </w:pPr>
            <w:r>
              <w:rPr>
                <w:b w:val="0"/>
                <w:sz w:val="21"/>
              </w:rPr>
              <w:t>重叠窗口及同事件保持隔离</w:t>
            </w:r>
          </w:p>
        </w:tc>
        <w:tc>
          <w:tcPr>
            <w:tcW w:type="dxa" w:w="2891"/>
            <w:vAlign w:val="center"/>
          </w:tcPr>
          <w:p>
            <w:pPr>
              <w:keepNext w:val="0"/>
              <w:spacing w:line="320" w:lineRule="exact" w:after="0" w:before="0"/>
              <w:ind w:firstLine="0"/>
              <w:jc w:val="left"/>
            </w:pPr>
            <w:r>
              <w:rPr>
                <w:b w:val="0"/>
                <w:sz w:val="21"/>
              </w:rPr>
              <w:t>时间交叠、故障前后文泄漏</w:t>
            </w:r>
          </w:p>
        </w:tc>
      </w:tr>
      <w:tr>
        <w:trPr>
          <w:cantSplit/>
        </w:trPr>
        <w:tc>
          <w:tcPr>
            <w:tcW w:type="dxa" w:w="1638"/>
            <w:vAlign w:val="center"/>
          </w:tcPr>
          <w:p>
            <w:pPr>
              <w:keepNext w:val="0"/>
              <w:spacing w:line="320" w:lineRule="exact" w:after="0" w:before="0"/>
              <w:ind w:firstLine="0"/>
              <w:jc w:val="left"/>
            </w:pPr>
            <w:r>
              <w:rPr>
                <w:b w:val="0"/>
                <w:sz w:val="21"/>
              </w:rPr>
              <w:t>语音</w:t>
            </w:r>
          </w:p>
        </w:tc>
        <w:tc>
          <w:tcPr>
            <w:tcW w:type="dxa" w:w="2699"/>
            <w:vAlign w:val="center"/>
          </w:tcPr>
          <w:p>
            <w:pPr>
              <w:keepNext w:val="0"/>
              <w:spacing w:line="320" w:lineRule="exact" w:after="0" w:before="0"/>
              <w:ind w:firstLine="0"/>
              <w:jc w:val="left"/>
            </w:pPr>
            <w:r>
              <w:rPr>
                <w:b w:val="0"/>
                <w:sz w:val="21"/>
              </w:rPr>
              <w:t>说话人、设备、原片和事件</w:t>
            </w:r>
          </w:p>
        </w:tc>
        <w:tc>
          <w:tcPr>
            <w:tcW w:type="dxa" w:w="2409"/>
            <w:vAlign w:val="center"/>
          </w:tcPr>
          <w:p>
            <w:pPr>
              <w:keepNext w:val="0"/>
              <w:spacing w:line="320" w:lineRule="exact" w:after="0" w:before="0"/>
              <w:ind w:firstLine="0"/>
              <w:jc w:val="left"/>
            </w:pPr>
            <w:r>
              <w:rPr>
                <w:b w:val="0"/>
                <w:sz w:val="21"/>
              </w:rPr>
              <w:t>原片及切段不跨集</w:t>
            </w:r>
          </w:p>
        </w:tc>
        <w:tc>
          <w:tcPr>
            <w:tcW w:type="dxa" w:w="2891"/>
            <w:vAlign w:val="center"/>
          </w:tcPr>
          <w:p>
            <w:pPr>
              <w:keepNext w:val="0"/>
              <w:spacing w:line="320" w:lineRule="exact" w:after="0" w:before="0"/>
              <w:ind w:firstLine="0"/>
              <w:jc w:val="left"/>
            </w:pPr>
            <w:r>
              <w:rPr>
                <w:b w:val="0"/>
                <w:sz w:val="21"/>
              </w:rPr>
              <w:t>转写重合及说话人条件</w:t>
            </w:r>
          </w:p>
        </w:tc>
      </w:tr>
      <w:tr>
        <w:trPr>
          <w:cantSplit/>
        </w:trPr>
        <w:tc>
          <w:tcPr>
            <w:tcW w:type="dxa" w:w="1638"/>
            <w:vAlign w:val="center"/>
          </w:tcPr>
          <w:p>
            <w:pPr>
              <w:keepNext w:val="0"/>
              <w:spacing w:line="320" w:lineRule="exact" w:after="0" w:before="0"/>
              <w:ind w:firstLine="0"/>
              <w:jc w:val="left"/>
            </w:pPr>
            <w:r>
              <w:rPr>
                <w:b w:val="0"/>
                <w:sz w:val="21"/>
              </w:rPr>
              <w:t>视频</w:t>
            </w:r>
          </w:p>
        </w:tc>
        <w:tc>
          <w:tcPr>
            <w:tcW w:type="dxa" w:w="2699"/>
            <w:vAlign w:val="center"/>
          </w:tcPr>
          <w:p>
            <w:pPr>
              <w:keepNext w:val="0"/>
              <w:spacing w:line="320" w:lineRule="exact" w:after="0" w:before="0"/>
              <w:ind w:firstLine="0"/>
              <w:jc w:val="left"/>
            </w:pPr>
            <w:r>
              <w:rPr>
                <w:b w:val="0"/>
                <w:sz w:val="21"/>
              </w:rPr>
              <w:t>采集设备、原片、事件和时间</w:t>
            </w:r>
          </w:p>
        </w:tc>
        <w:tc>
          <w:tcPr>
            <w:tcW w:type="dxa" w:w="2409"/>
            <w:vAlign w:val="center"/>
          </w:tcPr>
          <w:p>
            <w:pPr>
              <w:keepNext w:val="0"/>
              <w:spacing w:line="320" w:lineRule="exact" w:after="0" w:before="0"/>
              <w:ind w:firstLine="0"/>
              <w:jc w:val="left"/>
            </w:pPr>
            <w:r>
              <w:rPr>
                <w:b w:val="0"/>
                <w:sz w:val="21"/>
              </w:rPr>
              <w:t>测试设备整体隔离封存</w:t>
            </w:r>
          </w:p>
        </w:tc>
        <w:tc>
          <w:tcPr>
            <w:tcW w:type="dxa" w:w="2891"/>
            <w:vAlign w:val="center"/>
          </w:tcPr>
          <w:p>
            <w:pPr>
              <w:keepNext w:val="0"/>
              <w:spacing w:line="320" w:lineRule="exact" w:after="0" w:before="0"/>
              <w:ind w:firstLine="0"/>
              <w:jc w:val="left"/>
            </w:pPr>
            <w:r>
              <w:rPr>
                <w:b w:val="0"/>
                <w:sz w:val="21"/>
              </w:rPr>
              <w:t>相邻片段、抽帧及字幕派生</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9" name="Picture 9"/>
            <wp:cNvGraphicFramePr>
              <a:graphicFrameLocks noChangeAspect="1"/>
            </wp:cNvGraphicFramePr>
            <a:graphic>
              <a:graphicData uri="http://schemas.openxmlformats.org/drawingml/2006/picture">
                <pic:pic>
                  <pic:nvPicPr>
                    <pic:cNvPr id="0" name="图9_测试隔离.png"/>
                    <pic:cNvPicPr/>
                  </pic:nvPicPr>
                  <pic:blipFill>
                    <a:blip r:embed="rId19"/>
                    <a:stretch>
                      <a:fillRect/>
                    </a:stretch>
                  </pic:blipFill>
                  <pic:spPr>
                    <a:xfrm>
                      <a:off x="0" y="0"/>
                      <a:ext cx="6048000" cy="1942338"/>
                    </a:xfrm>
                    <a:prstGeom prst="rect"/>
                  </pic:spPr>
                </pic:pic>
              </a:graphicData>
            </a:graphic>
          </wp:inline>
        </w:drawing>
      </w:r>
    </w:p>
    <w:p>
      <w:pPr>
        <w:pStyle w:val="Caption"/>
        <w:jc w:val="center"/>
      </w:pPr>
      <w:r>
        <w:t>图7-1 来源家族与测试隔离</w:t>
      </w:r>
    </w:p>
    <w:p>
      <w:pPr>
        <w:pStyle w:val="Heading2"/>
      </w:pPr>
      <w:r>
        <w:t>7.3 参数登记与训练控制</w:t>
      </w:r>
    </w:p>
    <w:p>
      <w:pPr>
        <w:jc w:val="both"/>
      </w:pPr>
      <w:r>
        <w:t>训练参数包括随机种子、训练轮次或步数、批量大小、梯度累积、学习率及调度、优化器、精度、最大输入长度、截断策略、检查点保存及早停条件。LoRA实验登记秩、缩放、目标模块和丢弃参数；视觉实验登记输入尺寸、增强策略、类别映射及模型头配置；语音及视频登记采样和切片策略。具体值经资源适配和预实验确认后形成参数表，不以运行人员临时记忆代替配置文件。</w:t>
      </w:r>
    </w:p>
    <w:p>
      <w:pPr>
        <w:jc w:val="both"/>
      </w:pPr>
      <w:r>
        <w:t>训练前核对有效训练量、异常样本处理和标签版本，训练中监测损失、资源、异常中断及验证表现。发生显存不足、读文件失败或数值异常时记录失败运行，修正原因后按协议重跑。不得默默跳过失败样本使训练集发生未登记变化，也不得只保存表现最好的运行而删除其他结果。</w:t>
      </w:r>
    </w:p>
    <w:p>
      <w:pPr>
        <w:jc w:val="both"/>
      </w:pPr>
      <w:r>
        <w:t>检查点选择依据验证集及预先确定的规则，不使用保留测试集挑选模型。检查点、适配器和基础权重共同登记摘要，保证加载时组合正确。停止训练后固化模型版本和完整日志，评价人员根据该版本执行测试，不能在评价过程中继续调整权重。</w:t>
      </w:r>
    </w:p>
    <w:p>
      <w:pPr>
        <w:pStyle w:val="Caption"/>
        <w:keepNext/>
      </w:pPr>
      <w:r>
        <w:t>表7-2 参数登记与训练控制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参数类别</w:t>
            </w:r>
          </w:p>
        </w:tc>
        <w:tc>
          <w:tcPr>
            <w:tcW w:type="dxa" w:w="2699"/>
            <w:vAlign w:val="center"/>
            <w:shd w:fill="EDF1F3"/>
          </w:tcPr>
          <w:p>
            <w:pPr>
              <w:keepNext/>
              <w:spacing w:line="320" w:lineRule="exact" w:after="0" w:before="0"/>
              <w:ind w:firstLine="0"/>
              <w:jc w:val="center"/>
            </w:pPr>
            <w:r>
              <w:rPr>
                <w:b/>
                <w:sz w:val="21"/>
              </w:rPr>
              <w:t>必须登记的内容</w:t>
            </w:r>
          </w:p>
        </w:tc>
        <w:tc>
          <w:tcPr>
            <w:tcW w:type="dxa" w:w="2409"/>
            <w:vAlign w:val="center"/>
            <w:shd w:fill="EDF1F3"/>
          </w:tcPr>
          <w:p>
            <w:pPr>
              <w:keepNext/>
              <w:spacing w:line="320" w:lineRule="exact" w:after="0" w:before="0"/>
              <w:ind w:firstLine="0"/>
              <w:jc w:val="center"/>
            </w:pPr>
            <w:r>
              <w:rPr>
                <w:b/>
                <w:sz w:val="21"/>
              </w:rPr>
              <w:t>一致性检查</w:t>
            </w:r>
          </w:p>
        </w:tc>
        <w:tc>
          <w:tcPr>
            <w:tcW w:type="dxa" w:w="2891"/>
            <w:vAlign w:val="center"/>
            <w:shd w:fill="EDF1F3"/>
          </w:tcPr>
          <w:p>
            <w:pPr>
              <w:keepNext/>
              <w:spacing w:line="320" w:lineRule="exact" w:after="0" w:before="0"/>
              <w:ind w:firstLine="0"/>
              <w:jc w:val="center"/>
            </w:pPr>
            <w:r>
              <w:rPr>
                <w:b/>
                <w:sz w:val="21"/>
              </w:rPr>
              <w:t>变化处理</w:t>
            </w:r>
          </w:p>
        </w:tc>
      </w:tr>
      <w:tr>
        <w:trPr>
          <w:cantSplit/>
        </w:trPr>
        <w:tc>
          <w:tcPr>
            <w:tcW w:type="dxa" w:w="1638"/>
            <w:vAlign w:val="center"/>
          </w:tcPr>
          <w:p>
            <w:pPr>
              <w:keepNext w:val="0"/>
              <w:spacing w:line="320" w:lineRule="exact" w:after="0" w:before="0"/>
              <w:ind w:firstLine="0"/>
              <w:jc w:val="left"/>
            </w:pPr>
            <w:r>
              <w:rPr>
                <w:b w:val="0"/>
                <w:sz w:val="21"/>
              </w:rPr>
              <w:t>数据</w:t>
            </w:r>
          </w:p>
        </w:tc>
        <w:tc>
          <w:tcPr>
            <w:tcW w:type="dxa" w:w="2699"/>
            <w:vAlign w:val="center"/>
          </w:tcPr>
          <w:p>
            <w:pPr>
              <w:keepNext w:val="0"/>
              <w:spacing w:line="320" w:lineRule="exact" w:after="0" w:before="0"/>
              <w:ind w:firstLine="0"/>
              <w:jc w:val="left"/>
            </w:pPr>
            <w:r>
              <w:rPr>
                <w:b w:val="0"/>
                <w:sz w:val="21"/>
              </w:rPr>
              <w:t>版本、清单、划分、标签及有效量</w:t>
            </w:r>
          </w:p>
        </w:tc>
        <w:tc>
          <w:tcPr>
            <w:tcW w:type="dxa" w:w="2409"/>
            <w:vAlign w:val="center"/>
          </w:tcPr>
          <w:p>
            <w:pPr>
              <w:keepNext w:val="0"/>
              <w:spacing w:line="320" w:lineRule="exact" w:after="0" w:before="0"/>
              <w:ind w:firstLine="0"/>
              <w:jc w:val="left"/>
            </w:pPr>
            <w:r>
              <w:rPr>
                <w:b w:val="0"/>
                <w:sz w:val="21"/>
              </w:rPr>
              <w:t>数据摘要与协议相符</w:t>
            </w:r>
          </w:p>
        </w:tc>
        <w:tc>
          <w:tcPr>
            <w:tcW w:type="dxa" w:w="2891"/>
            <w:vAlign w:val="center"/>
          </w:tcPr>
          <w:p>
            <w:pPr>
              <w:keepNext w:val="0"/>
              <w:spacing w:line="320" w:lineRule="exact" w:after="0" w:before="0"/>
              <w:ind w:firstLine="0"/>
              <w:jc w:val="left"/>
            </w:pPr>
            <w:r>
              <w:rPr>
                <w:b w:val="0"/>
                <w:sz w:val="21"/>
              </w:rPr>
              <w:t>生成新实验版本</w:t>
            </w:r>
          </w:p>
        </w:tc>
      </w:tr>
      <w:tr>
        <w:trPr>
          <w:cantSplit/>
        </w:trPr>
        <w:tc>
          <w:tcPr>
            <w:tcW w:type="dxa" w:w="1638"/>
            <w:vAlign w:val="center"/>
          </w:tcPr>
          <w:p>
            <w:pPr>
              <w:keepNext w:val="0"/>
              <w:spacing w:line="320" w:lineRule="exact" w:after="0" w:before="0"/>
              <w:ind w:firstLine="0"/>
              <w:jc w:val="left"/>
            </w:pPr>
            <w:r>
              <w:rPr>
                <w:b w:val="0"/>
                <w:sz w:val="21"/>
              </w:rPr>
              <w:t>优化</w:t>
            </w:r>
          </w:p>
        </w:tc>
        <w:tc>
          <w:tcPr>
            <w:tcW w:type="dxa" w:w="2699"/>
            <w:vAlign w:val="center"/>
          </w:tcPr>
          <w:p>
            <w:pPr>
              <w:keepNext w:val="0"/>
              <w:spacing w:line="320" w:lineRule="exact" w:after="0" w:before="0"/>
              <w:ind w:firstLine="0"/>
              <w:jc w:val="left"/>
            </w:pPr>
            <w:r>
              <w:rPr>
                <w:b w:val="0"/>
                <w:sz w:val="21"/>
              </w:rPr>
              <w:t>学习率、步数、批量、优化器及调度</w:t>
            </w:r>
          </w:p>
        </w:tc>
        <w:tc>
          <w:tcPr>
            <w:tcW w:type="dxa" w:w="2409"/>
            <w:vAlign w:val="center"/>
          </w:tcPr>
          <w:p>
            <w:pPr>
              <w:keepNext w:val="0"/>
              <w:spacing w:line="320" w:lineRule="exact" w:after="0" w:before="0"/>
              <w:ind w:firstLine="0"/>
              <w:jc w:val="left"/>
            </w:pPr>
            <w:r>
              <w:rPr>
                <w:b w:val="0"/>
                <w:sz w:val="21"/>
              </w:rPr>
              <w:t>实际日志与配置一致</w:t>
            </w:r>
          </w:p>
        </w:tc>
        <w:tc>
          <w:tcPr>
            <w:tcW w:type="dxa" w:w="2891"/>
            <w:vAlign w:val="center"/>
          </w:tcPr>
          <w:p>
            <w:pPr>
              <w:keepNext w:val="0"/>
              <w:spacing w:line="320" w:lineRule="exact" w:after="0" w:before="0"/>
              <w:ind w:firstLine="0"/>
              <w:jc w:val="left"/>
            </w:pPr>
            <w:r>
              <w:rPr>
                <w:b w:val="0"/>
                <w:sz w:val="21"/>
              </w:rPr>
              <w:t>记录原因及重新验证</w:t>
            </w:r>
          </w:p>
        </w:tc>
      </w:tr>
      <w:tr>
        <w:trPr>
          <w:cantSplit/>
        </w:trPr>
        <w:tc>
          <w:tcPr>
            <w:tcW w:type="dxa" w:w="1638"/>
            <w:vAlign w:val="center"/>
          </w:tcPr>
          <w:p>
            <w:pPr>
              <w:keepNext w:val="0"/>
              <w:spacing w:line="320" w:lineRule="exact" w:after="0" w:before="0"/>
              <w:ind w:firstLine="0"/>
              <w:jc w:val="left"/>
            </w:pPr>
            <w:r>
              <w:rPr>
                <w:b w:val="0"/>
                <w:sz w:val="21"/>
              </w:rPr>
              <w:t>适配器</w:t>
            </w:r>
          </w:p>
        </w:tc>
        <w:tc>
          <w:tcPr>
            <w:tcW w:type="dxa" w:w="2699"/>
            <w:vAlign w:val="center"/>
          </w:tcPr>
          <w:p>
            <w:pPr>
              <w:keepNext w:val="0"/>
              <w:spacing w:line="320" w:lineRule="exact" w:after="0" w:before="0"/>
              <w:ind w:firstLine="0"/>
              <w:jc w:val="left"/>
            </w:pPr>
            <w:r>
              <w:rPr>
                <w:b w:val="0"/>
                <w:sz w:val="21"/>
              </w:rPr>
              <w:t>LoRA配置、目标模块及权重</w:t>
            </w:r>
          </w:p>
        </w:tc>
        <w:tc>
          <w:tcPr>
            <w:tcW w:type="dxa" w:w="2409"/>
            <w:vAlign w:val="center"/>
          </w:tcPr>
          <w:p>
            <w:pPr>
              <w:keepNext w:val="0"/>
              <w:spacing w:line="320" w:lineRule="exact" w:after="0" w:before="0"/>
              <w:ind w:firstLine="0"/>
              <w:jc w:val="left"/>
            </w:pPr>
            <w:r>
              <w:rPr>
                <w:b w:val="0"/>
                <w:sz w:val="21"/>
              </w:rPr>
              <w:t>基础模型与适配器匹配</w:t>
            </w:r>
          </w:p>
        </w:tc>
        <w:tc>
          <w:tcPr>
            <w:tcW w:type="dxa" w:w="2891"/>
            <w:vAlign w:val="center"/>
          </w:tcPr>
          <w:p>
            <w:pPr>
              <w:keepNext w:val="0"/>
              <w:spacing w:line="320" w:lineRule="exact" w:after="0" w:before="0"/>
              <w:ind w:firstLine="0"/>
              <w:jc w:val="left"/>
            </w:pPr>
            <w:r>
              <w:rPr>
                <w:b w:val="0"/>
                <w:sz w:val="21"/>
              </w:rPr>
              <w:t>重新固化组合版本</w:t>
            </w:r>
          </w:p>
        </w:tc>
      </w:tr>
      <w:tr>
        <w:trPr>
          <w:cantSplit/>
        </w:trPr>
        <w:tc>
          <w:tcPr>
            <w:tcW w:type="dxa" w:w="1638"/>
            <w:vAlign w:val="center"/>
          </w:tcPr>
          <w:p>
            <w:pPr>
              <w:keepNext w:val="0"/>
              <w:spacing w:line="320" w:lineRule="exact" w:after="0" w:before="0"/>
              <w:ind w:firstLine="0"/>
              <w:jc w:val="left"/>
            </w:pPr>
            <w:r>
              <w:rPr>
                <w:b w:val="0"/>
                <w:sz w:val="21"/>
              </w:rPr>
              <w:t>输入</w:t>
            </w:r>
          </w:p>
        </w:tc>
        <w:tc>
          <w:tcPr>
            <w:tcW w:type="dxa" w:w="2699"/>
            <w:vAlign w:val="center"/>
          </w:tcPr>
          <w:p>
            <w:pPr>
              <w:keepNext w:val="0"/>
              <w:spacing w:line="320" w:lineRule="exact" w:after="0" w:before="0"/>
              <w:ind w:firstLine="0"/>
              <w:jc w:val="left"/>
            </w:pPr>
            <w:r>
              <w:rPr>
                <w:b w:val="0"/>
                <w:sz w:val="21"/>
              </w:rPr>
              <w:t>长度、尺寸、采样、切片及截断</w:t>
            </w:r>
          </w:p>
        </w:tc>
        <w:tc>
          <w:tcPr>
            <w:tcW w:type="dxa" w:w="2409"/>
            <w:vAlign w:val="center"/>
          </w:tcPr>
          <w:p>
            <w:pPr>
              <w:keepNext w:val="0"/>
              <w:spacing w:line="320" w:lineRule="exact" w:after="0" w:before="0"/>
              <w:ind w:firstLine="0"/>
              <w:jc w:val="left"/>
            </w:pPr>
            <w:r>
              <w:rPr>
                <w:b w:val="0"/>
                <w:sz w:val="21"/>
              </w:rPr>
              <w:t>基线和微调模型条件一致</w:t>
            </w:r>
          </w:p>
        </w:tc>
        <w:tc>
          <w:tcPr>
            <w:tcW w:type="dxa" w:w="2891"/>
            <w:vAlign w:val="center"/>
          </w:tcPr>
          <w:p>
            <w:pPr>
              <w:keepNext w:val="0"/>
              <w:spacing w:line="320" w:lineRule="exact" w:after="0" w:before="0"/>
              <w:ind w:firstLine="0"/>
              <w:jc w:val="left"/>
            </w:pPr>
            <w:r>
              <w:rPr>
                <w:b w:val="0"/>
                <w:sz w:val="21"/>
              </w:rPr>
              <w:t>重新评估可比性</w:t>
            </w:r>
          </w:p>
        </w:tc>
      </w:tr>
      <w:tr>
        <w:trPr>
          <w:cantSplit/>
        </w:trPr>
        <w:tc>
          <w:tcPr>
            <w:tcW w:type="dxa" w:w="1638"/>
            <w:vAlign w:val="center"/>
          </w:tcPr>
          <w:p>
            <w:pPr>
              <w:keepNext w:val="0"/>
              <w:spacing w:line="320" w:lineRule="exact" w:after="0" w:before="0"/>
              <w:ind w:firstLine="0"/>
              <w:jc w:val="left"/>
            </w:pPr>
            <w:r>
              <w:rPr>
                <w:b w:val="0"/>
                <w:sz w:val="21"/>
              </w:rPr>
              <w:t>推理</w:t>
            </w:r>
          </w:p>
        </w:tc>
        <w:tc>
          <w:tcPr>
            <w:tcW w:type="dxa" w:w="2699"/>
            <w:vAlign w:val="center"/>
          </w:tcPr>
          <w:p>
            <w:pPr>
              <w:keepNext w:val="0"/>
              <w:spacing w:line="320" w:lineRule="exact" w:after="0" w:before="0"/>
              <w:ind w:firstLine="0"/>
              <w:jc w:val="left"/>
            </w:pPr>
            <w:r>
              <w:rPr>
                <w:b w:val="0"/>
                <w:sz w:val="21"/>
              </w:rPr>
              <w:t>提示词、解码、后处理和随机种子</w:t>
            </w:r>
          </w:p>
        </w:tc>
        <w:tc>
          <w:tcPr>
            <w:tcW w:type="dxa" w:w="2409"/>
            <w:vAlign w:val="center"/>
          </w:tcPr>
          <w:p>
            <w:pPr>
              <w:keepNext w:val="0"/>
              <w:spacing w:line="320" w:lineRule="exact" w:after="0" w:before="0"/>
              <w:ind w:firstLine="0"/>
              <w:jc w:val="left"/>
            </w:pPr>
            <w:r>
              <w:rPr>
                <w:b w:val="0"/>
                <w:sz w:val="21"/>
              </w:rPr>
              <w:t>同一评价协议</w:t>
            </w:r>
          </w:p>
        </w:tc>
        <w:tc>
          <w:tcPr>
            <w:tcW w:type="dxa" w:w="2891"/>
            <w:vAlign w:val="center"/>
          </w:tcPr>
          <w:p>
            <w:pPr>
              <w:keepNext w:val="0"/>
              <w:spacing w:line="320" w:lineRule="exact" w:after="0" w:before="0"/>
              <w:ind w:firstLine="0"/>
              <w:jc w:val="left"/>
            </w:pPr>
            <w:r>
              <w:rPr>
                <w:b w:val="0"/>
                <w:sz w:val="21"/>
              </w:rPr>
              <w:t>两组同时重跑</w:t>
            </w:r>
          </w:p>
        </w:tc>
      </w:tr>
      <w:tr>
        <w:trPr>
          <w:cantSplit/>
        </w:trPr>
        <w:tc>
          <w:tcPr>
            <w:tcW w:type="dxa" w:w="1638"/>
            <w:vAlign w:val="center"/>
          </w:tcPr>
          <w:p>
            <w:pPr>
              <w:keepNext w:val="0"/>
              <w:spacing w:line="320" w:lineRule="exact" w:after="0" w:before="0"/>
              <w:ind w:firstLine="0"/>
              <w:jc w:val="left"/>
            </w:pPr>
            <w:r>
              <w:rPr>
                <w:b w:val="0"/>
                <w:sz w:val="21"/>
              </w:rPr>
              <w:t>评价</w:t>
            </w:r>
          </w:p>
        </w:tc>
        <w:tc>
          <w:tcPr>
            <w:tcW w:type="dxa" w:w="2699"/>
            <w:vAlign w:val="center"/>
          </w:tcPr>
          <w:p>
            <w:pPr>
              <w:keepNext w:val="0"/>
              <w:spacing w:line="320" w:lineRule="exact" w:after="0" w:before="0"/>
              <w:ind w:firstLine="0"/>
              <w:jc w:val="left"/>
            </w:pPr>
            <w:r>
              <w:rPr>
                <w:b w:val="0"/>
                <w:sz w:val="21"/>
              </w:rPr>
              <w:t>指标、阈值、裁判、聚合及异常处理</w:t>
            </w:r>
          </w:p>
        </w:tc>
        <w:tc>
          <w:tcPr>
            <w:tcW w:type="dxa" w:w="2409"/>
            <w:vAlign w:val="center"/>
          </w:tcPr>
          <w:p>
            <w:pPr>
              <w:keepNext w:val="0"/>
              <w:spacing w:line="320" w:lineRule="exact" w:after="0" w:before="0"/>
              <w:ind w:firstLine="0"/>
              <w:jc w:val="left"/>
            </w:pPr>
            <w:r>
              <w:rPr>
                <w:b w:val="0"/>
                <w:sz w:val="21"/>
              </w:rPr>
              <w:t>代码和判分规则固定</w:t>
            </w:r>
          </w:p>
        </w:tc>
        <w:tc>
          <w:tcPr>
            <w:tcW w:type="dxa" w:w="2891"/>
            <w:vAlign w:val="center"/>
          </w:tcPr>
          <w:p>
            <w:pPr>
              <w:keepNext w:val="0"/>
              <w:spacing w:line="320" w:lineRule="exact" w:after="0" w:before="0"/>
              <w:ind w:firstLine="0"/>
              <w:jc w:val="left"/>
            </w:pPr>
            <w:r>
              <w:rPr>
                <w:b w:val="0"/>
                <w:sz w:val="21"/>
              </w:rPr>
              <w:t>保留新旧协议结果</w:t>
            </w:r>
          </w:p>
        </w:tc>
      </w:tr>
    </w:tbl>
    <w:p>
      <w:pPr>
        <w:spacing w:after="40" w:line="240" w:lineRule="auto"/>
        <w:ind w:firstLine="0"/>
      </w:pPr>
      <w:r>
        <w:rPr>
          <w:sz w:val="4"/>
        </w:rPr>
      </w:r>
    </w:p>
    <w:p>
      <w:pPr>
        <w:pStyle w:val="Heading2"/>
      </w:pPr>
      <w:r>
        <w:t>7.4 文本实验实施</w:t>
      </w:r>
    </w:p>
    <w:p>
      <w:pPr>
        <w:jc w:val="both"/>
      </w:pPr>
      <w:r>
        <w:t>文本训练样本按业务任务检查输入、指令、答案及必要依据，长文档切分保留条件和引用关系。LoRA训练采用确认的目标模块和参数，记录实际参与训练的样本及Token量。训练数据包含结构化字段时保持单位、编码和约束条件，不能将所有内容无区别压平成缺乏关系的长文本。</w:t>
      </w:r>
    </w:p>
    <w:p>
      <w:pPr>
        <w:jc w:val="both"/>
      </w:pPr>
      <w:r>
        <w:t>基线与微调模型对同一封存题目生成答案，记录完整输入、原始输出、生成状态和时间。准确性评价事实、数值、单位和逻辑；完整性评价必需信息及约束覆盖；专业性评价行业术语、工艺依据及安全条件；简洁清晰性评价回答是否直接、可理解且无无关重复。答案简短但遗漏必要条件不能获得高完整性分，答案流畅但事实错误不能靠表达分抵消。</w:t>
      </w:r>
    </w:p>
    <w:p>
      <w:pPr>
        <w:jc w:val="both"/>
      </w:pPr>
      <w:r>
        <w:t>LLM裁判在本地运行，固定模型版本、评分提示和输出格式，使用专家标定样本检查一致性。数据内容作为被评价材料处理，其中包含的指令不改变裁判规则；对可能诱导裁判评分的文本单独检查。评价人员对裁判高分但业务错误、低分但存在合理等价答案等情况复核，并登记修正依据。</w:t>
      </w:r>
    </w:p>
    <w:p>
      <w:pPr>
        <w:jc w:val="both"/>
      </w:pPr>
      <w:r>
        <w:t>文本实验报告按四个领域、任务类型、难度、来源及近期数据层分别展示结果。失败归因区分知识缺失、标签错误、结构不清、领域不匹配和模型能力限制，数据优化措施针对可由数据改善的问题。模型规模本身造成的能力限制如实记录，不通过泄漏测试答案提高得分。</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0" name="Picture 10"/>
            <wp:cNvGraphicFramePr>
              <a:graphicFrameLocks noChangeAspect="1"/>
            </wp:cNvGraphicFramePr>
            <a:graphic>
              <a:graphicData uri="http://schemas.openxmlformats.org/drawingml/2006/picture">
                <pic:pic>
                  <pic:nvPicPr>
                    <pic:cNvPr id="0" name="图10_文本实验.png"/>
                    <pic:cNvPicPr/>
                  </pic:nvPicPr>
                  <pic:blipFill>
                    <a:blip r:embed="rId20"/>
                    <a:stretch>
                      <a:fillRect/>
                    </a:stretch>
                  </pic:blipFill>
                  <pic:spPr>
                    <a:xfrm>
                      <a:off x="0" y="0"/>
                      <a:ext cx="6048000" cy="1942338"/>
                    </a:xfrm>
                    <a:prstGeom prst="rect"/>
                  </pic:spPr>
                </pic:pic>
              </a:graphicData>
            </a:graphic>
          </wp:inline>
        </w:drawing>
      </w:r>
    </w:p>
    <w:p>
      <w:pPr>
        <w:pStyle w:val="Caption"/>
        <w:jc w:val="center"/>
      </w:pPr>
      <w:r>
        <w:t>图7-2 文本模型微调对照流程</w:t>
      </w:r>
    </w:p>
    <w:p>
      <w:pPr>
        <w:pStyle w:val="Heading2"/>
      </w:pPr>
      <w:r>
        <w:t>7.5 视觉分割实验实施</w:t>
      </w:r>
    </w:p>
    <w:p>
      <w:pPr>
        <w:jc w:val="both"/>
      </w:pPr>
      <w:r>
        <w:t>视觉实验先检查图像与标注的一致性，验证掩膜范围、边界闭合、类别映射和必要坐标变换。训练增强遵守真实业务语义，翻转、旋转或裁剪可能改变方向、部件位置及缺陷含义时经过专业审核。增强只用于批准的训练范围，测试集保持原始真实条件。</w:t>
      </w:r>
    </w:p>
    <w:p>
      <w:pPr>
        <w:jc w:val="both"/>
      </w:pPr>
      <w:r>
        <w:t>YOLO11n-seg的基线定义在实验前明确。对于基础模型已有可映射类别，保留可解释的类别映射并使用相同评价标签；对于项目专有类别，采用经确认的相同任务头和初始化条件开展领域适配对照，分别报告训练前状态及训练后能力，不将不具备该类别输出的原模型分数误称为真实业务性能。所有实验仍以指定基础模型为起点。</w:t>
      </w:r>
    </w:p>
    <w:p>
      <w:pPr>
        <w:jc w:val="both"/>
      </w:pPr>
      <w:r>
        <w:t>边界框和掩膜分别计算精确率、召回率及经确认交并比范围下的平均精度，保留逐类别指标和阈值。检测正确但掩膜边界错误、掩膜覆盖较好但类别错误分别记录，不用单一平均分合并掩盖。对小目标、细长缺陷、邻近目标和遮挡场景进行专项复核。</w:t>
      </w:r>
    </w:p>
    <w:p>
      <w:pPr>
        <w:jc w:val="both"/>
      </w:pPr>
      <w:r>
        <w:t>结果归因回到样本清晰度、标注边界、类别不均衡、背景偏差和设备差异。整改后重新训练并在同一隔离测试条件下比较，检查改进是否集中于少数高频类别。涉及现场检验决策的关键漏检由专业人员逐例分析，不能用一般类别高分抵消重要缺陷未识别。</w:t>
      </w:r>
    </w:p>
    <w:p>
      <w:pPr>
        <w:pStyle w:val="Heading2"/>
      </w:pPr>
      <w:r>
        <w:t>7.6 语音实验实施</w:t>
      </w:r>
    </w:p>
    <w:p>
      <w:pPr>
        <w:jc w:val="both"/>
      </w:pPr>
      <w:r>
        <w:t>语音数据准备核查原音频、转写、说话人或采集条件、指令关键词及时间标注，保留原始采样与模型输入转换参数。数字、设备编号、方向、否定和动作词按照业务词表确认，口语缩写、同音及专业简称建立可接受表达规则。测试语音不通过人工修音或合成补读改变真实难度。</w:t>
      </w:r>
    </w:p>
    <w:p>
      <w:pPr>
        <w:jc w:val="both"/>
      </w:pPr>
      <w:r>
        <w:t>零样本基础模型与微调模型采用同样的语言、任务模式及解码条件，输出完整转写。评价同时保留字符或词级转写错误和指令关键词召回，关键词以应识别目标项为分母，正确识别且满足业务语义的目标项为分子；重复识别不重复加分。数字和否定词错误造成动作含义变化时单独标记关键指令错误。</w:t>
      </w:r>
    </w:p>
    <w:p>
      <w:pPr>
        <w:jc w:val="both"/>
      </w:pPr>
      <w:r>
        <w:t>“塔台指令关键词召回率”的项目适配关系在协议中保留原名称、对应业务任务、关键词集合、等价表达和判分边界，由甲方确认后执行。不能在实际数据没有该类内容时编造塔台场景，也不能将该要求直接遗漏。业务适配结果与总体转写结果分别报告，保证招标指标与煤机实际任务均可核对。</w:t>
      </w:r>
    </w:p>
    <w:p>
      <w:pPr>
        <w:jc w:val="both"/>
      </w:pPr>
      <w:r>
        <w:t>实验按噪声、口音、语速、设备和关键词类别分层，检查模型是否因训练集中的同一说话人或同一录音环境而虚高。优化措施包括补充真实噪声条件下的语音、校正转写及完善术语，合成内容计入规定比例。复测保留相同独立测试集和关键指令判据，核查召回提升是否伴随误识别增加。</w:t>
      </w:r>
    </w:p>
    <w:p>
      <w:pPr>
        <w:pStyle w:val="Heading2"/>
      </w:pPr>
      <w:r>
        <w:t>7.7 视频实验实施</w:t>
      </w:r>
    </w:p>
    <w:p>
      <w:pPr>
        <w:jc w:val="both"/>
      </w:pPr>
      <w:r>
        <w:t>视频实验在数据划分前建立采集设备清单，将测试设备及其关联原片、切片、抽帧、字幕和转写整体封存。训练及验证只使用允许的其他设备数据，设备名称或采集时间变化不改变同一物理设备的身份。无法可靠确认设备来源的片段先核实，不得以随机抽帧方式替代设备隔离。</w:t>
      </w:r>
    </w:p>
    <w:p>
      <w:pPr>
        <w:jc w:val="both"/>
      </w:pPr>
      <w:r>
        <w:t>Qwen2.5-Omni-3B基线与LoRA微调模型采用相同视频解码、采样、提示词和输出结构。场景描述检查对象、状态和关系；人流密度按确认的数量或密度分档判据评价；异常判断检查事件有无、类型和时间；语言专业性检查术语及表达。含音轨的视频明确是否使用音频输入，并对两组模型保持一致。</w:t>
      </w:r>
    </w:p>
    <w:p>
      <w:pPr>
        <w:jc w:val="both"/>
      </w:pPr>
      <w:r>
        <w:t>双盲评价对输出采用随机匿名标识，裁判不知道结果来自基线还是微调模型，标识映射由独立管理人员保管。评价顺序随机化并检查顺序偏差，专家复核人员同样不接触模型身份。裁判模型、提示和评分标准固定，所有输出及评分理由留存，异常评价通过规定的复核流程处理。</w:t>
      </w:r>
    </w:p>
    <w:p>
      <w:pPr>
        <w:jc w:val="both"/>
      </w:pPr>
      <w:r>
        <w:t>Rouge-L在统一分词、大小写、标点和参考答案处理规则下计算，中文文本的分词或字符粒度在协议中固定。参考答案允许多个合理表达时预先确定聚合方式。场景事实、人员数量和异常判断分别核对，避免文字重合度提高但事实错误增加。短时事件通过足够的时间采样保留，不因压缩计算量而遗漏关键帧。</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1" name="Picture 11"/>
            <wp:cNvGraphicFramePr>
              <a:graphicFrameLocks noChangeAspect="1"/>
            </wp:cNvGraphicFramePr>
            <a:graphic>
              <a:graphicData uri="http://schemas.openxmlformats.org/drawingml/2006/picture">
                <pic:pic>
                  <pic:nvPicPr>
                    <pic:cNvPr id="0" name="图11_视频实验.png"/>
                    <pic:cNvPicPr/>
                  </pic:nvPicPr>
                  <pic:blipFill>
                    <a:blip r:embed="rId21"/>
                    <a:stretch>
                      <a:fillRect/>
                    </a:stretch>
                  </pic:blipFill>
                  <pic:spPr>
                    <a:xfrm>
                      <a:off x="0" y="0"/>
                      <a:ext cx="6048000" cy="1942338"/>
                    </a:xfrm>
                    <a:prstGeom prst="rect"/>
                  </pic:spPr>
                </pic:pic>
              </a:graphicData>
            </a:graphic>
          </wp:inline>
        </w:drawing>
      </w:r>
    </w:p>
    <w:p>
      <w:pPr>
        <w:pStyle w:val="Caption"/>
        <w:jc w:val="center"/>
      </w:pPr>
      <w:r>
        <w:t>图7-3 视频模型设备隔离与双盲评价</w:t>
      </w:r>
    </w:p>
    <w:p>
      <w:pPr>
        <w:pStyle w:val="Heading2"/>
      </w:pPr>
      <w:r>
        <w:t>7.8 时序与多模态补充验证</w:t>
      </w:r>
    </w:p>
    <w:p>
      <w:pPr>
        <w:jc w:val="both"/>
      </w:pPr>
      <w:r>
        <w:t>时序数据在三维度指标内完成结构、真实性、一致性、专业性、时间跨度及应用效用检查，并结合实际场景增加任务验证。验证对象包括设备运行片段、热处理曲线、能耗或过程参数、故障事件及其标签，检查测点单位、时钟、采样间隔、缺测、重采样和事件关联。时序补充验证不能替代招标要求的四类适用模型实验。</w:t>
      </w:r>
    </w:p>
    <w:p>
      <w:pPr>
        <w:jc w:val="both"/>
      </w:pPr>
      <w:r>
        <w:t>时序划分避免同一设备事件的重叠窗口跨入训练与测试，特征归一化等参数只从训练数据获得。验证集用于选择参数，测试集保持独立。对于预测或诊断任务，检查输入中是否混入故障处理结果、未来数值或事后检验结论，防止未来信息泄漏。</w:t>
      </w:r>
    </w:p>
    <w:p>
      <w:pPr>
        <w:jc w:val="both"/>
      </w:pPr>
      <w:r>
        <w:t>多模态任务核查不同模态的联合输入是否真正改善目标表现，同时进行缺失模态和错配检测。必要时设计经批准的单模态与多模态对照，用于判断某种模态的贡献和关联正确性。辅助对照不改变正式验收协议，结果作为数据优化依据单独归档。</w:t>
      </w:r>
    </w:p>
    <w:p>
      <w:pPr>
        <w:pStyle w:val="Heading2"/>
      </w:pPr>
      <w:r>
        <w:t>7.9 LLM裁判与人工评价校准</w:t>
      </w:r>
    </w:p>
    <w:p>
      <w:pPr>
        <w:jc w:val="both"/>
      </w:pPr>
      <w:r>
        <w:t>裁判量表以可观察条件描述评分等级，准确性明确事实及关键参数，完整性明确必需信息项，专业性明确行业判据，表达评价明确冗余及歧义。专家先对独立校准样本形成参考判断，再测试裁判与专家的一致性，识别系统性偏好、长度偏差和术语误判。校准样本与正式保留测试集分离。</w:t>
      </w:r>
    </w:p>
    <w:p>
      <w:pPr>
        <w:jc w:val="both"/>
      </w:pPr>
      <w:r>
        <w:t>同一输出的不同合理表达、部分正确、缺少依据及危险建议按统一规则处理。重要业务错误设独立标记，不能通过其他维度高分冲抵。裁判无法稳定处理的指标转入专家人工判定，并记录方法变化与适用范围；采用人工复核不能降低必须执行的模型实验要求。</w:t>
      </w:r>
    </w:p>
    <w:p>
      <w:pPr>
        <w:jc w:val="both"/>
      </w:pPr>
      <w:r>
        <w:t>评价结果发生分歧时，复核人员首先检查原始输入、标准答案及专业依据，再审查裁判理由。纠正评分同时保留原判和复判，不能直接覆盖造成审计链断裂。对同类偏差追查全部受影响结果，必要时更新裁判协议并对基线和微调模型统一重评。</w:t>
      </w:r>
    </w:p>
    <w:p>
      <w:pPr>
        <w:pStyle w:val="Heading2"/>
      </w:pPr>
      <w:r>
        <w:t>7.10 结果复算与可重复性</w:t>
      </w:r>
    </w:p>
    <w:p>
      <w:pPr>
        <w:jc w:val="both"/>
      </w:pPr>
      <w:r>
        <w:t>同一协议、同一模型、同一基准集和同一随机种子下至少进行两次重复运行。采用百分点表达的主指标偏差不超过0.5个百分点；对非百分比指标在协议中另行确定对应绝对或相对误差范围。重复运行用于验证工具和推理稳定性，训练随机性的影响通过经确认的多种子或重复训练设计单独评价，两个问题分别报告。</w:t>
      </w:r>
    </w:p>
    <w:p>
      <w:pPr>
        <w:jc w:val="both"/>
      </w:pPr>
      <w:r>
        <w:t>超过稳定性界限时检查随机性、并行计算、解码、依赖、缓存和评分过程，标记该协议暂不具备验收使用条件，完成修复或采用更稳定的评价方法后重新运行。不能挑选两次最接近结果证明稳定，也不能将同一缓存结果读两遍作为独立重复实验。</w:t>
      </w:r>
    </w:p>
    <w:p>
      <w:pPr>
        <w:jc w:val="both"/>
      </w:pPr>
      <w:r>
        <w:t>性能提升按相同测试对象配对计算，并给出总体、分层及不确定性分析。需要重采样估计区间时按来源家族或事件组抽取，避免把同一事件的多个片段视作独立样本而夸大可靠性。报告保留样本量、原始计数、点估计及区间方法，使提升结论可复核。</w:t>
      </w:r>
    </w:p>
    <w:p>
      <w:pPr>
        <w:pStyle w:val="Heading2"/>
      </w:pPr>
      <w:r>
        <w:t>7.11 异常运行与结果完整性</w:t>
      </w:r>
    </w:p>
    <w:p>
      <w:pPr>
        <w:jc w:val="both"/>
      </w:pPr>
      <w:r>
        <w:t>运行异常区分基础设施故障、数据读取失败、模型正常执行但无有效回答、输出格式错误和评价程序失败。基础设施故障按相同协议受控重跑，记录原失败及重跑关联；模型无有效回答属于模型表现，按预先确定的任务规则计入评价；评分程序失败先修复，不能把该样本视为正确或从正式范围静默删除。</w:t>
      </w:r>
    </w:p>
    <w:p>
      <w:pPr>
        <w:jc w:val="both"/>
      </w:pPr>
      <w:r>
        <w:t>统计表同时列出计划测试量、实际完成量、技术失败量、模型失败量和有效评分量。正式比较须完成确认的共同测试范围，尚未完成的运行不形成最终提升结论。若因源数据本身不合格需要替换测试题目，履行版本变更并重新运行两组模型，保持对照公平。</w:t>
      </w:r>
    </w:p>
    <w:p>
      <w:pPr>
        <w:pStyle w:val="Caption"/>
        <w:keepNext/>
      </w:pPr>
      <w:r>
        <w:t>表7-3 异常运行与结果完整性</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异常类型</w:t>
            </w:r>
          </w:p>
        </w:tc>
        <w:tc>
          <w:tcPr>
            <w:tcW w:type="dxa" w:w="2699"/>
            <w:vAlign w:val="center"/>
            <w:shd w:fill="EDF1F3"/>
          </w:tcPr>
          <w:p>
            <w:pPr>
              <w:keepNext/>
              <w:spacing w:line="320" w:lineRule="exact" w:after="0" w:before="0"/>
              <w:ind w:firstLine="0"/>
              <w:jc w:val="center"/>
            </w:pPr>
            <w:r>
              <w:rPr>
                <w:b/>
                <w:sz w:val="21"/>
              </w:rPr>
              <w:t>记录状态</w:t>
            </w:r>
          </w:p>
        </w:tc>
        <w:tc>
          <w:tcPr>
            <w:tcW w:type="dxa" w:w="2409"/>
            <w:vAlign w:val="center"/>
            <w:shd w:fill="EDF1F3"/>
          </w:tcPr>
          <w:p>
            <w:pPr>
              <w:keepNext/>
              <w:spacing w:line="320" w:lineRule="exact" w:after="0" w:before="0"/>
              <w:ind w:firstLine="0"/>
              <w:jc w:val="center"/>
            </w:pPr>
            <w:r>
              <w:rPr>
                <w:b/>
                <w:sz w:val="21"/>
              </w:rPr>
              <w:t>处置方式</w:t>
            </w:r>
          </w:p>
        </w:tc>
        <w:tc>
          <w:tcPr>
            <w:tcW w:type="dxa" w:w="2891"/>
            <w:vAlign w:val="center"/>
            <w:shd w:fill="EDF1F3"/>
          </w:tcPr>
          <w:p>
            <w:pPr>
              <w:keepNext/>
              <w:spacing w:line="320" w:lineRule="exact" w:after="0" w:before="0"/>
              <w:ind w:firstLine="0"/>
              <w:jc w:val="center"/>
            </w:pPr>
            <w:r>
              <w:rPr>
                <w:b/>
                <w:sz w:val="21"/>
              </w:rPr>
              <w:t>对正式结果的影响</w:t>
            </w:r>
          </w:p>
        </w:tc>
      </w:tr>
      <w:tr>
        <w:trPr>
          <w:cantSplit/>
        </w:trPr>
        <w:tc>
          <w:tcPr>
            <w:tcW w:type="dxa" w:w="1638"/>
            <w:vAlign w:val="center"/>
          </w:tcPr>
          <w:p>
            <w:pPr>
              <w:keepNext w:val="0"/>
              <w:spacing w:line="320" w:lineRule="exact" w:after="0" w:before="0"/>
              <w:ind w:firstLine="0"/>
              <w:jc w:val="left"/>
            </w:pPr>
            <w:r>
              <w:rPr>
                <w:b w:val="0"/>
                <w:sz w:val="21"/>
              </w:rPr>
              <w:t>设备或服务中断</w:t>
            </w:r>
          </w:p>
        </w:tc>
        <w:tc>
          <w:tcPr>
            <w:tcW w:type="dxa" w:w="2699"/>
            <w:vAlign w:val="center"/>
          </w:tcPr>
          <w:p>
            <w:pPr>
              <w:keepNext w:val="0"/>
              <w:spacing w:line="320" w:lineRule="exact" w:after="0" w:before="0"/>
              <w:ind w:firstLine="0"/>
              <w:jc w:val="left"/>
            </w:pPr>
            <w:r>
              <w:rPr>
                <w:b w:val="0"/>
                <w:sz w:val="21"/>
              </w:rPr>
              <w:t>技术失败</w:t>
            </w:r>
          </w:p>
        </w:tc>
        <w:tc>
          <w:tcPr>
            <w:tcW w:type="dxa" w:w="2409"/>
            <w:vAlign w:val="center"/>
          </w:tcPr>
          <w:p>
            <w:pPr>
              <w:keepNext w:val="0"/>
              <w:spacing w:line="320" w:lineRule="exact" w:after="0" w:before="0"/>
              <w:ind w:firstLine="0"/>
              <w:jc w:val="left"/>
            </w:pPr>
            <w:r>
              <w:rPr>
                <w:b w:val="0"/>
                <w:sz w:val="21"/>
              </w:rPr>
              <w:t>保留日志并按同协议重跑</w:t>
            </w:r>
          </w:p>
        </w:tc>
        <w:tc>
          <w:tcPr>
            <w:tcW w:type="dxa" w:w="2891"/>
            <w:vAlign w:val="center"/>
          </w:tcPr>
          <w:p>
            <w:pPr>
              <w:keepNext w:val="0"/>
              <w:spacing w:line="320" w:lineRule="exact" w:after="0" w:before="0"/>
              <w:ind w:firstLine="0"/>
              <w:jc w:val="left"/>
            </w:pPr>
            <w:r>
              <w:rPr>
                <w:b w:val="0"/>
                <w:sz w:val="21"/>
              </w:rPr>
              <w:t>未补齐前不形成完整结论</w:t>
            </w:r>
          </w:p>
        </w:tc>
      </w:tr>
      <w:tr>
        <w:trPr>
          <w:cantSplit/>
        </w:trPr>
        <w:tc>
          <w:tcPr>
            <w:tcW w:type="dxa" w:w="1638"/>
            <w:vAlign w:val="center"/>
          </w:tcPr>
          <w:p>
            <w:pPr>
              <w:keepNext w:val="0"/>
              <w:spacing w:line="320" w:lineRule="exact" w:after="0" w:before="0"/>
              <w:ind w:firstLine="0"/>
              <w:jc w:val="left"/>
            </w:pPr>
            <w:r>
              <w:rPr>
                <w:b w:val="0"/>
                <w:sz w:val="21"/>
              </w:rPr>
              <w:t>文件无法读取</w:t>
            </w:r>
          </w:p>
        </w:tc>
        <w:tc>
          <w:tcPr>
            <w:tcW w:type="dxa" w:w="2699"/>
            <w:vAlign w:val="center"/>
          </w:tcPr>
          <w:p>
            <w:pPr>
              <w:keepNext w:val="0"/>
              <w:spacing w:line="320" w:lineRule="exact" w:after="0" w:before="0"/>
              <w:ind w:firstLine="0"/>
              <w:jc w:val="left"/>
            </w:pPr>
            <w:r>
              <w:rPr>
                <w:b w:val="0"/>
                <w:sz w:val="21"/>
              </w:rPr>
              <w:t>数据或解析失败</w:t>
            </w:r>
          </w:p>
        </w:tc>
        <w:tc>
          <w:tcPr>
            <w:tcW w:type="dxa" w:w="2409"/>
            <w:vAlign w:val="center"/>
          </w:tcPr>
          <w:p>
            <w:pPr>
              <w:keepNext w:val="0"/>
              <w:spacing w:line="320" w:lineRule="exact" w:after="0" w:before="0"/>
              <w:ind w:firstLine="0"/>
              <w:jc w:val="left"/>
            </w:pPr>
            <w:r>
              <w:rPr>
                <w:b w:val="0"/>
                <w:sz w:val="21"/>
              </w:rPr>
              <w:t>定位版本、修复及重验</w:t>
            </w:r>
          </w:p>
        </w:tc>
        <w:tc>
          <w:tcPr>
            <w:tcW w:type="dxa" w:w="2891"/>
            <w:vAlign w:val="center"/>
          </w:tcPr>
          <w:p>
            <w:pPr>
              <w:keepNext w:val="0"/>
              <w:spacing w:line="320" w:lineRule="exact" w:after="0" w:before="0"/>
              <w:ind w:firstLine="0"/>
              <w:jc w:val="left"/>
            </w:pPr>
            <w:r>
              <w:rPr>
                <w:b w:val="0"/>
                <w:sz w:val="21"/>
              </w:rPr>
              <w:t>涉及样本质量时同步整改</w:t>
            </w:r>
          </w:p>
        </w:tc>
      </w:tr>
      <w:tr>
        <w:trPr>
          <w:cantSplit/>
        </w:trPr>
        <w:tc>
          <w:tcPr>
            <w:tcW w:type="dxa" w:w="1638"/>
            <w:vAlign w:val="center"/>
          </w:tcPr>
          <w:p>
            <w:pPr>
              <w:keepNext w:val="0"/>
              <w:spacing w:line="320" w:lineRule="exact" w:after="0" w:before="0"/>
              <w:ind w:firstLine="0"/>
              <w:jc w:val="left"/>
            </w:pPr>
            <w:r>
              <w:rPr>
                <w:b w:val="0"/>
                <w:sz w:val="21"/>
              </w:rPr>
              <w:t>模型拒答或无有效输出</w:t>
            </w:r>
          </w:p>
        </w:tc>
        <w:tc>
          <w:tcPr>
            <w:tcW w:type="dxa" w:w="2699"/>
            <w:vAlign w:val="center"/>
          </w:tcPr>
          <w:p>
            <w:pPr>
              <w:keepNext w:val="0"/>
              <w:spacing w:line="320" w:lineRule="exact" w:after="0" w:before="0"/>
              <w:ind w:firstLine="0"/>
              <w:jc w:val="left"/>
            </w:pPr>
            <w:r>
              <w:rPr>
                <w:b w:val="0"/>
                <w:sz w:val="21"/>
              </w:rPr>
              <w:t>模型结果</w:t>
            </w:r>
          </w:p>
        </w:tc>
        <w:tc>
          <w:tcPr>
            <w:tcW w:type="dxa" w:w="2409"/>
            <w:vAlign w:val="center"/>
          </w:tcPr>
          <w:p>
            <w:pPr>
              <w:keepNext w:val="0"/>
              <w:spacing w:line="320" w:lineRule="exact" w:after="0" w:before="0"/>
              <w:ind w:firstLine="0"/>
              <w:jc w:val="left"/>
            </w:pPr>
            <w:r>
              <w:rPr>
                <w:b w:val="0"/>
                <w:sz w:val="21"/>
              </w:rPr>
              <w:t>按预设任务判据评分</w:t>
            </w:r>
          </w:p>
        </w:tc>
        <w:tc>
          <w:tcPr>
            <w:tcW w:type="dxa" w:w="2891"/>
            <w:vAlign w:val="center"/>
          </w:tcPr>
          <w:p>
            <w:pPr>
              <w:keepNext w:val="0"/>
              <w:spacing w:line="320" w:lineRule="exact" w:after="0" w:before="0"/>
              <w:ind w:firstLine="0"/>
              <w:jc w:val="left"/>
            </w:pPr>
            <w:r>
              <w:rPr>
                <w:b w:val="0"/>
                <w:sz w:val="21"/>
              </w:rPr>
              <w:t>不因结果不利而删除</w:t>
            </w:r>
          </w:p>
        </w:tc>
      </w:tr>
      <w:tr>
        <w:trPr>
          <w:cantSplit/>
        </w:trPr>
        <w:tc>
          <w:tcPr>
            <w:tcW w:type="dxa" w:w="1638"/>
            <w:vAlign w:val="center"/>
          </w:tcPr>
          <w:p>
            <w:pPr>
              <w:keepNext w:val="0"/>
              <w:spacing w:line="320" w:lineRule="exact" w:after="0" w:before="0"/>
              <w:ind w:firstLine="0"/>
              <w:jc w:val="left"/>
            </w:pPr>
            <w:r>
              <w:rPr>
                <w:b w:val="0"/>
                <w:sz w:val="21"/>
              </w:rPr>
              <w:t>输出格式不合规</w:t>
            </w:r>
          </w:p>
        </w:tc>
        <w:tc>
          <w:tcPr>
            <w:tcW w:type="dxa" w:w="2699"/>
            <w:vAlign w:val="center"/>
          </w:tcPr>
          <w:p>
            <w:pPr>
              <w:keepNext w:val="0"/>
              <w:spacing w:line="320" w:lineRule="exact" w:after="0" w:before="0"/>
              <w:ind w:firstLine="0"/>
              <w:jc w:val="left"/>
            </w:pPr>
            <w:r>
              <w:rPr>
                <w:b w:val="0"/>
                <w:sz w:val="21"/>
              </w:rPr>
              <w:t>模型结果或适配错误</w:t>
            </w:r>
          </w:p>
        </w:tc>
        <w:tc>
          <w:tcPr>
            <w:tcW w:type="dxa" w:w="2409"/>
            <w:vAlign w:val="center"/>
          </w:tcPr>
          <w:p>
            <w:pPr>
              <w:keepNext w:val="0"/>
              <w:spacing w:line="320" w:lineRule="exact" w:after="0" w:before="0"/>
              <w:ind w:firstLine="0"/>
              <w:jc w:val="left"/>
            </w:pPr>
            <w:r>
              <w:rPr>
                <w:b w:val="0"/>
                <w:sz w:val="21"/>
              </w:rPr>
              <w:t>区分模型能力与程序原因</w:t>
            </w:r>
          </w:p>
        </w:tc>
        <w:tc>
          <w:tcPr>
            <w:tcW w:type="dxa" w:w="2891"/>
            <w:vAlign w:val="center"/>
          </w:tcPr>
          <w:p>
            <w:pPr>
              <w:keepNext w:val="0"/>
              <w:spacing w:line="320" w:lineRule="exact" w:after="0" w:before="0"/>
              <w:ind w:firstLine="0"/>
              <w:jc w:val="left"/>
            </w:pPr>
            <w:r>
              <w:rPr>
                <w:b w:val="0"/>
                <w:sz w:val="21"/>
              </w:rPr>
              <w:t>保留原始输出及判定</w:t>
            </w:r>
          </w:p>
        </w:tc>
      </w:tr>
      <w:tr>
        <w:trPr>
          <w:cantSplit/>
        </w:trPr>
        <w:tc>
          <w:tcPr>
            <w:tcW w:type="dxa" w:w="1638"/>
            <w:vAlign w:val="center"/>
          </w:tcPr>
          <w:p>
            <w:pPr>
              <w:keepNext w:val="0"/>
              <w:spacing w:line="320" w:lineRule="exact" w:after="0" w:before="0"/>
              <w:ind w:firstLine="0"/>
              <w:jc w:val="left"/>
            </w:pPr>
            <w:r>
              <w:rPr>
                <w:b w:val="0"/>
                <w:sz w:val="21"/>
              </w:rPr>
              <w:t>裁判或指标脚本失败</w:t>
            </w:r>
          </w:p>
        </w:tc>
        <w:tc>
          <w:tcPr>
            <w:tcW w:type="dxa" w:w="2699"/>
            <w:vAlign w:val="center"/>
          </w:tcPr>
          <w:p>
            <w:pPr>
              <w:keepNext w:val="0"/>
              <w:spacing w:line="320" w:lineRule="exact" w:after="0" w:before="0"/>
              <w:ind w:firstLine="0"/>
              <w:jc w:val="left"/>
            </w:pPr>
            <w:r>
              <w:rPr>
                <w:b w:val="0"/>
                <w:sz w:val="21"/>
              </w:rPr>
              <w:t>评价失败</w:t>
            </w:r>
          </w:p>
        </w:tc>
        <w:tc>
          <w:tcPr>
            <w:tcW w:type="dxa" w:w="2409"/>
            <w:vAlign w:val="center"/>
          </w:tcPr>
          <w:p>
            <w:pPr>
              <w:keepNext w:val="0"/>
              <w:spacing w:line="320" w:lineRule="exact" w:after="0" w:before="0"/>
              <w:ind w:firstLine="0"/>
              <w:jc w:val="left"/>
            </w:pPr>
            <w:r>
              <w:rPr>
                <w:b w:val="0"/>
                <w:sz w:val="21"/>
              </w:rPr>
              <w:t>修复后统一重评</w:t>
            </w:r>
          </w:p>
        </w:tc>
        <w:tc>
          <w:tcPr>
            <w:tcW w:type="dxa" w:w="2891"/>
            <w:vAlign w:val="center"/>
          </w:tcPr>
          <w:p>
            <w:pPr>
              <w:keepNext w:val="0"/>
              <w:spacing w:line="320" w:lineRule="exact" w:after="0" w:before="0"/>
              <w:ind w:firstLine="0"/>
              <w:jc w:val="left"/>
            </w:pPr>
            <w:r>
              <w:rPr>
                <w:b w:val="0"/>
                <w:sz w:val="21"/>
              </w:rPr>
              <w:t>不以默认分数代替</w:t>
            </w:r>
          </w:p>
        </w:tc>
      </w:tr>
      <w:tr>
        <w:trPr>
          <w:cantSplit/>
        </w:trPr>
        <w:tc>
          <w:tcPr>
            <w:tcW w:type="dxa" w:w="1638"/>
            <w:vAlign w:val="center"/>
          </w:tcPr>
          <w:p>
            <w:pPr>
              <w:keepNext w:val="0"/>
              <w:spacing w:line="320" w:lineRule="exact" w:after="0" w:before="0"/>
              <w:ind w:firstLine="0"/>
              <w:jc w:val="left"/>
            </w:pPr>
            <w:r>
              <w:rPr>
                <w:b w:val="0"/>
                <w:sz w:val="21"/>
              </w:rPr>
              <w:t>发现测试污染</w:t>
            </w:r>
          </w:p>
        </w:tc>
        <w:tc>
          <w:tcPr>
            <w:tcW w:type="dxa" w:w="2699"/>
            <w:vAlign w:val="center"/>
          </w:tcPr>
          <w:p>
            <w:pPr>
              <w:keepNext w:val="0"/>
              <w:spacing w:line="320" w:lineRule="exact" w:after="0" w:before="0"/>
              <w:ind w:firstLine="0"/>
              <w:jc w:val="left"/>
            </w:pPr>
            <w:r>
              <w:rPr>
                <w:b w:val="0"/>
                <w:sz w:val="21"/>
              </w:rPr>
              <w:t>实验无效</w:t>
            </w:r>
          </w:p>
        </w:tc>
        <w:tc>
          <w:tcPr>
            <w:tcW w:type="dxa" w:w="2409"/>
            <w:vAlign w:val="center"/>
          </w:tcPr>
          <w:p>
            <w:pPr>
              <w:keepNext w:val="0"/>
              <w:spacing w:line="320" w:lineRule="exact" w:after="0" w:before="0"/>
              <w:ind w:firstLine="0"/>
              <w:jc w:val="left"/>
            </w:pPr>
            <w:r>
              <w:rPr>
                <w:b w:val="0"/>
                <w:sz w:val="21"/>
              </w:rPr>
              <w:t>重建隔离及完整对照</w:t>
            </w:r>
          </w:p>
        </w:tc>
        <w:tc>
          <w:tcPr>
            <w:tcW w:type="dxa" w:w="2891"/>
            <w:vAlign w:val="center"/>
          </w:tcPr>
          <w:p>
            <w:pPr>
              <w:keepNext w:val="0"/>
              <w:spacing w:line="320" w:lineRule="exact" w:after="0" w:before="0"/>
              <w:ind w:firstLine="0"/>
              <w:jc w:val="left"/>
            </w:pPr>
            <w:r>
              <w:rPr>
                <w:b w:val="0"/>
                <w:sz w:val="21"/>
              </w:rPr>
              <w:t>原结论不得用于达标判定</w:t>
            </w:r>
          </w:p>
        </w:tc>
      </w:tr>
    </w:tbl>
    <w:p>
      <w:pPr>
        <w:spacing w:after="40" w:line="240" w:lineRule="auto"/>
        <w:ind w:firstLine="0"/>
      </w:pPr>
      <w:r>
        <w:rPr>
          <w:sz w:val="4"/>
        </w:rPr>
      </w:r>
    </w:p>
    <w:p>
      <w:pPr>
        <w:pStyle w:val="Heading2"/>
      </w:pPr>
      <w:r>
        <w:t>7.12 数据优化专项方案</w:t>
      </w:r>
    </w:p>
    <w:p>
      <w:pPr>
        <w:jc w:val="both"/>
      </w:pPr>
      <w:r>
        <w:t>我方将动态验证中的薄弱场景、标签偏差、样本不均衡、知识缺口及多模态错配与静态检测结果关联，形成数据集迭代优化专项方案。每项优化明确问题证据、影响场景、涉及样本、修正方式、补充来源、预期验证指标及复测方法，不以泛泛增加数据量作为全部问题的处理措施。</w:t>
      </w:r>
    </w:p>
    <w:p>
      <w:pPr>
        <w:jc w:val="both"/>
      </w:pPr>
      <w:r>
        <w:t>优化按根因选择行动：事实错误回查来源并修正答案；长尾缺口优先补充真实案例；标注争议完善判据并复标；背景偏差补充独立设备及场地；时序泄漏重新划分来源事件；视频设备泄漏重新封存设备。全部新增及修正数据重新执行质量与许可检查，合成增强比例和净量同步复算。</w:t>
      </w:r>
    </w:p>
    <w:p>
      <w:pPr>
        <w:jc w:val="both"/>
      </w:pPr>
      <w:r>
        <w:t>优化效果以相同协议下的新版本复测验证，报告保留原版本结果、实际修改量、分布变化和提升结果。未达到约定阈值时继续定位原因及整改，不把优化方案提交本身视为问题关闭。对于模型能力限制和数据质量问题分别记录，保证后续改进投入有明确依据。</w:t>
      </w:r>
    </w:p>
    <w:p>
      <w:pPr>
        <w:pStyle w:val="Heading1"/>
      </w:pPr>
      <w:r>
        <w:t>8 抽样复核与检测质量控制</w:t>
      </w:r>
    </w:p>
    <w:p>
      <w:pPr>
        <w:pStyle w:val="Heading2"/>
      </w:pPr>
      <w:r>
        <w:t>8.1 全量检测与分层抽样的分工</w:t>
      </w:r>
    </w:p>
    <w:p>
      <w:pPr>
        <w:jc w:val="both"/>
      </w:pPr>
      <w:r>
        <w:t>全量自动化检测覆盖文件、字段、格式、精确重复、规模、比例、隐私和安全筛查等可程序化执行的内容。专业判断通过分层抽样、风险加抽和关键对象全量复核补充，抽样范围及比例由甲方确认。首轮评测的指标范围保持完整，抽样是个别人工检测方法的执行设计，不是缩减数据集或指标范围的理由。</w:t>
      </w:r>
    </w:p>
    <w:p>
      <w:pPr>
        <w:jc w:val="both"/>
      </w:pPr>
      <w:r>
        <w:t>高危命中样本全部人工复核；重要安全条件、关键业务参数、已确认系统性错误及其影响范围采用扩大检查或全量复查。普通指标按业务领域、用途、模态、来源、时间、类别、难度及加工批次分层，避免仅随机抽取大量容易读取的文本而遗漏图像、时序和视频。无法读取的样本先作为检测异常处理，不从总体中无声移除。</w:t>
      </w:r>
    </w:p>
    <w:p>
      <w:pPr>
        <w:pStyle w:val="Heading2"/>
      </w:pPr>
      <w:r>
        <w:t>8.2 抽样总体与样本量设计</w:t>
      </w:r>
    </w:p>
    <w:p>
      <w:pPr>
        <w:jc w:val="both"/>
      </w:pPr>
      <w:r>
        <w:t>抽样总体绑定冻结版本，记录总体数量、分层数量、抽样单位、抽取方法及随机种子。抽样单位根据任务确定为完整记录、文档、工件、事件、偏好组或视频片段，不能把同一业务对象拆成大量高度相关的小片段后当作独立样本。总体中不同单位不能直接混在同一缺陷率中计算。</w:t>
      </w:r>
    </w:p>
    <w:p>
      <w:pPr>
        <w:jc w:val="both"/>
      </w:pPr>
      <w:r>
        <w:t>样本量依据容许误差、置信水平、预计缺陷率和总体规模确定，初始缺陷率未知时采用保守估计或预抽样。对于比例估计，使用相应统计方法确定样本量并根据有限总体调整；存在同源聚集时按家族抽样或修正设计影响。样本量计算过程、参数及适用假设写入抽样方案，不仅给出一个无法解释的固定百分比。</w:t>
      </w:r>
    </w:p>
    <w:p>
      <w:pPr>
        <w:jc w:val="both"/>
      </w:pPr>
      <w:r>
        <w:t>小规模子层、长尾类别和高影响场景设置必要的覆盖下限，数量不足时检查全部现有对象并明确其统计局限。总体估计采用分层权重还原，风险加抽及定向抽取结果单独报告，不能把刻意增加的问题样本与普通随机样本简单混合计算总体缺陷率。模型测试集的统计设计与人工质检抽样分别登记。</w:t>
      </w:r>
    </w:p>
    <w:p>
      <w:pPr>
        <w:pStyle w:val="Heading2"/>
      </w:pPr>
      <w:r>
        <w:t>8.3 样本抽取与不可替换规则</w:t>
      </w:r>
    </w:p>
    <w:p>
      <w:pPr>
        <w:jc w:val="both"/>
      </w:pPr>
      <w:r>
        <w:t>样本抽取由独立脚本读取冻结总体，生成对象清单、分层标签、抽取概率、随机种子及摘要，供甲方或第三方复核。检查人员只能按清单检查，不能因样本难读、内容较长、结论不利或缺少附件自行替换。确需替换的情况先确定其属于原数据缺陷还是抽样执行问题，并保留原对象及批准记录。</w:t>
      </w:r>
    </w:p>
    <w:p>
      <w:pPr>
        <w:jc w:val="both"/>
      </w:pPr>
      <w:r>
        <w:t>被抽中后发现文件损坏、来源不明或标签缺失的样本，按实际缺陷计入相关检查，不重新抽一条正常样本将问题消除。因权限配置导致暂时无法查看的对象，完成授权核实后继续检查；正式报告前仍未执行的项目保持未完成状态，不标记合格。补抽范围和原因进入独立记录。</w:t>
      </w:r>
    </w:p>
    <w:p>
      <w:pPr>
        <w:jc w:val="both"/>
      </w:pPr>
      <w:r>
        <w:t>抽样清单封存后与检查结果逐项对账，保证每个样本均有执行状态，结果数量与样本数量一致。样本对象同时进入多个指标检查时共享定位信息，分别记录各指标结论。重复抽中同一对象时按抽样设计处理，不将同一次人工检查重复计为多份独立证据。</w:t>
      </w:r>
    </w:p>
    <w:p>
      <w:pPr>
        <w:pStyle w:val="Caption"/>
        <w:keepNext/>
      </w:pPr>
      <w:r>
        <w:t>表8-1 分层抽样执行与审核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抽样环节</w:t>
            </w:r>
          </w:p>
        </w:tc>
        <w:tc>
          <w:tcPr>
            <w:tcW w:type="dxa" w:w="2699"/>
            <w:vAlign w:val="center"/>
            <w:shd w:fill="EDF1F3"/>
          </w:tcPr>
          <w:p>
            <w:pPr>
              <w:keepNext/>
              <w:spacing w:line="320" w:lineRule="exact" w:after="0" w:before="0"/>
              <w:ind w:firstLine="0"/>
              <w:jc w:val="center"/>
            </w:pPr>
            <w:r>
              <w:rPr>
                <w:b/>
                <w:sz w:val="21"/>
              </w:rPr>
              <w:t>固定信息</w:t>
            </w:r>
          </w:p>
        </w:tc>
        <w:tc>
          <w:tcPr>
            <w:tcW w:type="dxa" w:w="2409"/>
            <w:vAlign w:val="center"/>
            <w:shd w:fill="EDF1F3"/>
          </w:tcPr>
          <w:p>
            <w:pPr>
              <w:keepNext/>
              <w:spacing w:line="320" w:lineRule="exact" w:after="0" w:before="0"/>
              <w:ind w:firstLine="0"/>
              <w:jc w:val="center"/>
            </w:pPr>
            <w:r>
              <w:rPr>
                <w:b/>
                <w:sz w:val="21"/>
              </w:rPr>
              <w:t>执行控制</w:t>
            </w:r>
          </w:p>
        </w:tc>
        <w:tc>
          <w:tcPr>
            <w:tcW w:type="dxa" w:w="2891"/>
            <w:vAlign w:val="center"/>
            <w:shd w:fill="EDF1F3"/>
          </w:tcPr>
          <w:p>
            <w:pPr>
              <w:keepNext/>
              <w:spacing w:line="320" w:lineRule="exact" w:after="0" w:before="0"/>
              <w:ind w:firstLine="0"/>
              <w:jc w:val="center"/>
            </w:pPr>
            <w:r>
              <w:rPr>
                <w:b/>
                <w:sz w:val="21"/>
              </w:rPr>
              <w:t>审核重点</w:t>
            </w:r>
          </w:p>
        </w:tc>
      </w:tr>
      <w:tr>
        <w:trPr>
          <w:cantSplit/>
        </w:trPr>
        <w:tc>
          <w:tcPr>
            <w:tcW w:type="dxa" w:w="1638"/>
            <w:vAlign w:val="center"/>
          </w:tcPr>
          <w:p>
            <w:pPr>
              <w:keepNext w:val="0"/>
              <w:spacing w:line="320" w:lineRule="exact" w:after="0" w:before="0"/>
              <w:ind w:firstLine="0"/>
              <w:jc w:val="left"/>
            </w:pPr>
            <w:r>
              <w:rPr>
                <w:b w:val="0"/>
                <w:sz w:val="21"/>
              </w:rPr>
              <w:t>总体冻结</w:t>
            </w:r>
          </w:p>
        </w:tc>
        <w:tc>
          <w:tcPr>
            <w:tcW w:type="dxa" w:w="2699"/>
            <w:vAlign w:val="center"/>
          </w:tcPr>
          <w:p>
            <w:pPr>
              <w:keepNext w:val="0"/>
              <w:spacing w:line="320" w:lineRule="exact" w:after="0" w:before="0"/>
              <w:ind w:firstLine="0"/>
              <w:jc w:val="left"/>
            </w:pPr>
            <w:r>
              <w:rPr>
                <w:b w:val="0"/>
                <w:sz w:val="21"/>
              </w:rPr>
              <w:t>版本、清单、数量及分层</w:t>
            </w:r>
          </w:p>
        </w:tc>
        <w:tc>
          <w:tcPr>
            <w:tcW w:type="dxa" w:w="2409"/>
            <w:vAlign w:val="center"/>
          </w:tcPr>
          <w:p>
            <w:pPr>
              <w:keepNext w:val="0"/>
              <w:spacing w:line="320" w:lineRule="exact" w:after="0" w:before="0"/>
              <w:ind w:firstLine="0"/>
              <w:jc w:val="left"/>
            </w:pPr>
            <w:r>
              <w:rPr>
                <w:b w:val="0"/>
                <w:sz w:val="21"/>
              </w:rPr>
              <w:t>变更生成后继版本</w:t>
            </w:r>
          </w:p>
        </w:tc>
        <w:tc>
          <w:tcPr>
            <w:tcW w:type="dxa" w:w="2891"/>
            <w:vAlign w:val="center"/>
          </w:tcPr>
          <w:p>
            <w:pPr>
              <w:keepNext w:val="0"/>
              <w:spacing w:line="320" w:lineRule="exact" w:after="0" w:before="0"/>
              <w:ind w:firstLine="0"/>
              <w:jc w:val="left"/>
            </w:pPr>
            <w:r>
              <w:rPr>
                <w:b w:val="0"/>
                <w:sz w:val="21"/>
              </w:rPr>
              <w:t>总体与评测对象一致</w:t>
            </w:r>
          </w:p>
        </w:tc>
      </w:tr>
      <w:tr>
        <w:trPr>
          <w:cantSplit/>
        </w:trPr>
        <w:tc>
          <w:tcPr>
            <w:tcW w:type="dxa" w:w="1638"/>
            <w:vAlign w:val="center"/>
          </w:tcPr>
          <w:p>
            <w:pPr>
              <w:keepNext w:val="0"/>
              <w:spacing w:line="320" w:lineRule="exact" w:after="0" w:before="0"/>
              <w:ind w:firstLine="0"/>
              <w:jc w:val="left"/>
            </w:pPr>
            <w:r>
              <w:rPr>
                <w:b w:val="0"/>
                <w:sz w:val="21"/>
              </w:rPr>
              <w:t>样本量设计</w:t>
            </w:r>
          </w:p>
        </w:tc>
        <w:tc>
          <w:tcPr>
            <w:tcW w:type="dxa" w:w="2699"/>
            <w:vAlign w:val="center"/>
          </w:tcPr>
          <w:p>
            <w:pPr>
              <w:keepNext w:val="0"/>
              <w:spacing w:line="320" w:lineRule="exact" w:after="0" w:before="0"/>
              <w:ind w:firstLine="0"/>
              <w:jc w:val="left"/>
            </w:pPr>
            <w:r>
              <w:rPr>
                <w:b w:val="0"/>
                <w:sz w:val="21"/>
              </w:rPr>
              <w:t>误差、置信、缺陷率及单位</w:t>
            </w:r>
          </w:p>
        </w:tc>
        <w:tc>
          <w:tcPr>
            <w:tcW w:type="dxa" w:w="2409"/>
            <w:vAlign w:val="center"/>
          </w:tcPr>
          <w:p>
            <w:pPr>
              <w:keepNext w:val="0"/>
              <w:spacing w:line="320" w:lineRule="exact" w:after="0" w:before="0"/>
              <w:ind w:firstLine="0"/>
              <w:jc w:val="left"/>
            </w:pPr>
            <w:r>
              <w:rPr>
                <w:b w:val="0"/>
                <w:sz w:val="21"/>
              </w:rPr>
              <w:t>考虑小层及来源聚集</w:t>
            </w:r>
          </w:p>
        </w:tc>
        <w:tc>
          <w:tcPr>
            <w:tcW w:type="dxa" w:w="2891"/>
            <w:vAlign w:val="center"/>
          </w:tcPr>
          <w:p>
            <w:pPr>
              <w:keepNext w:val="0"/>
              <w:spacing w:line="320" w:lineRule="exact" w:after="0" w:before="0"/>
              <w:ind w:firstLine="0"/>
              <w:jc w:val="left"/>
            </w:pPr>
            <w:r>
              <w:rPr>
                <w:b w:val="0"/>
                <w:sz w:val="21"/>
              </w:rPr>
              <w:t>参数和假设可解释</w:t>
            </w:r>
          </w:p>
        </w:tc>
      </w:tr>
      <w:tr>
        <w:trPr>
          <w:cantSplit/>
        </w:trPr>
        <w:tc>
          <w:tcPr>
            <w:tcW w:type="dxa" w:w="1638"/>
            <w:vAlign w:val="center"/>
          </w:tcPr>
          <w:p>
            <w:pPr>
              <w:keepNext w:val="0"/>
              <w:spacing w:line="320" w:lineRule="exact" w:after="0" w:before="0"/>
              <w:ind w:firstLine="0"/>
              <w:jc w:val="left"/>
            </w:pPr>
            <w:r>
              <w:rPr>
                <w:b w:val="0"/>
                <w:sz w:val="21"/>
              </w:rPr>
              <w:t>随机抽取</w:t>
            </w:r>
          </w:p>
        </w:tc>
        <w:tc>
          <w:tcPr>
            <w:tcW w:type="dxa" w:w="2699"/>
            <w:vAlign w:val="center"/>
          </w:tcPr>
          <w:p>
            <w:pPr>
              <w:keepNext w:val="0"/>
              <w:spacing w:line="320" w:lineRule="exact" w:after="0" w:before="0"/>
              <w:ind w:firstLine="0"/>
              <w:jc w:val="left"/>
            </w:pPr>
            <w:r>
              <w:rPr>
                <w:b w:val="0"/>
                <w:sz w:val="21"/>
              </w:rPr>
              <w:t>方法、种子及抽取概率</w:t>
            </w:r>
          </w:p>
        </w:tc>
        <w:tc>
          <w:tcPr>
            <w:tcW w:type="dxa" w:w="2409"/>
            <w:vAlign w:val="center"/>
          </w:tcPr>
          <w:p>
            <w:pPr>
              <w:keepNext w:val="0"/>
              <w:spacing w:line="320" w:lineRule="exact" w:after="0" w:before="0"/>
              <w:ind w:firstLine="0"/>
              <w:jc w:val="left"/>
            </w:pPr>
            <w:r>
              <w:rPr>
                <w:b w:val="0"/>
                <w:sz w:val="21"/>
              </w:rPr>
              <w:t>脚本执行并封存清单</w:t>
            </w:r>
          </w:p>
        </w:tc>
        <w:tc>
          <w:tcPr>
            <w:tcW w:type="dxa" w:w="2891"/>
            <w:vAlign w:val="center"/>
          </w:tcPr>
          <w:p>
            <w:pPr>
              <w:keepNext w:val="0"/>
              <w:spacing w:line="320" w:lineRule="exact" w:after="0" w:before="0"/>
              <w:ind w:firstLine="0"/>
              <w:jc w:val="left"/>
            </w:pPr>
            <w:r>
              <w:rPr>
                <w:b w:val="0"/>
                <w:sz w:val="21"/>
              </w:rPr>
              <w:t>可复现且无选择偏差</w:t>
            </w:r>
          </w:p>
        </w:tc>
      </w:tr>
      <w:tr>
        <w:trPr>
          <w:cantSplit/>
        </w:trPr>
        <w:tc>
          <w:tcPr>
            <w:tcW w:type="dxa" w:w="1638"/>
            <w:vAlign w:val="center"/>
          </w:tcPr>
          <w:p>
            <w:pPr>
              <w:keepNext w:val="0"/>
              <w:spacing w:line="320" w:lineRule="exact" w:after="0" w:before="0"/>
              <w:ind w:firstLine="0"/>
              <w:jc w:val="left"/>
            </w:pPr>
            <w:r>
              <w:rPr>
                <w:b w:val="0"/>
                <w:sz w:val="21"/>
              </w:rPr>
              <w:t>人工检查</w:t>
            </w:r>
          </w:p>
        </w:tc>
        <w:tc>
          <w:tcPr>
            <w:tcW w:type="dxa" w:w="2699"/>
            <w:vAlign w:val="center"/>
          </w:tcPr>
          <w:p>
            <w:pPr>
              <w:keepNext w:val="0"/>
              <w:spacing w:line="320" w:lineRule="exact" w:after="0" w:before="0"/>
              <w:ind w:firstLine="0"/>
              <w:jc w:val="left"/>
            </w:pPr>
            <w:r>
              <w:rPr>
                <w:b w:val="0"/>
                <w:sz w:val="21"/>
              </w:rPr>
              <w:t>对象、指标、判据及人员</w:t>
            </w:r>
          </w:p>
        </w:tc>
        <w:tc>
          <w:tcPr>
            <w:tcW w:type="dxa" w:w="2409"/>
            <w:vAlign w:val="center"/>
          </w:tcPr>
          <w:p>
            <w:pPr>
              <w:keepNext w:val="0"/>
              <w:spacing w:line="320" w:lineRule="exact" w:after="0" w:before="0"/>
              <w:ind w:firstLine="0"/>
              <w:jc w:val="left"/>
            </w:pPr>
            <w:r>
              <w:rPr>
                <w:b w:val="0"/>
                <w:sz w:val="21"/>
              </w:rPr>
              <w:t>不擅自替换不利样本</w:t>
            </w:r>
          </w:p>
        </w:tc>
        <w:tc>
          <w:tcPr>
            <w:tcW w:type="dxa" w:w="2891"/>
            <w:vAlign w:val="center"/>
          </w:tcPr>
          <w:p>
            <w:pPr>
              <w:keepNext w:val="0"/>
              <w:spacing w:line="320" w:lineRule="exact" w:after="0" w:before="0"/>
              <w:ind w:firstLine="0"/>
              <w:jc w:val="left"/>
            </w:pPr>
            <w:r>
              <w:rPr>
                <w:b w:val="0"/>
                <w:sz w:val="21"/>
              </w:rPr>
              <w:t>每项有结果与依据</w:t>
            </w:r>
          </w:p>
        </w:tc>
      </w:tr>
      <w:tr>
        <w:trPr>
          <w:cantSplit/>
        </w:trPr>
        <w:tc>
          <w:tcPr>
            <w:tcW w:type="dxa" w:w="1638"/>
            <w:vAlign w:val="center"/>
          </w:tcPr>
          <w:p>
            <w:pPr>
              <w:keepNext w:val="0"/>
              <w:spacing w:line="320" w:lineRule="exact" w:after="0" w:before="0"/>
              <w:ind w:firstLine="0"/>
              <w:jc w:val="left"/>
            </w:pPr>
            <w:r>
              <w:rPr>
                <w:b w:val="0"/>
                <w:sz w:val="21"/>
              </w:rPr>
              <w:t>汇总估计</w:t>
            </w:r>
          </w:p>
        </w:tc>
        <w:tc>
          <w:tcPr>
            <w:tcW w:type="dxa" w:w="2699"/>
            <w:vAlign w:val="center"/>
          </w:tcPr>
          <w:p>
            <w:pPr>
              <w:keepNext w:val="0"/>
              <w:spacing w:line="320" w:lineRule="exact" w:after="0" w:before="0"/>
              <w:ind w:firstLine="0"/>
              <w:jc w:val="left"/>
            </w:pPr>
            <w:r>
              <w:rPr>
                <w:b w:val="0"/>
                <w:sz w:val="21"/>
              </w:rPr>
              <w:t>分层权重及原始计数</w:t>
            </w:r>
          </w:p>
        </w:tc>
        <w:tc>
          <w:tcPr>
            <w:tcW w:type="dxa" w:w="2409"/>
            <w:vAlign w:val="center"/>
          </w:tcPr>
          <w:p>
            <w:pPr>
              <w:keepNext w:val="0"/>
              <w:spacing w:line="320" w:lineRule="exact" w:after="0" w:before="0"/>
              <w:ind w:firstLine="0"/>
              <w:jc w:val="left"/>
            </w:pPr>
            <w:r>
              <w:rPr>
                <w:b w:val="0"/>
                <w:sz w:val="21"/>
              </w:rPr>
              <w:t>风险加抽单列</w:t>
            </w:r>
          </w:p>
        </w:tc>
        <w:tc>
          <w:tcPr>
            <w:tcW w:type="dxa" w:w="2891"/>
            <w:vAlign w:val="center"/>
          </w:tcPr>
          <w:p>
            <w:pPr>
              <w:keepNext w:val="0"/>
              <w:spacing w:line="320" w:lineRule="exact" w:after="0" w:before="0"/>
              <w:ind w:firstLine="0"/>
              <w:jc w:val="left"/>
            </w:pPr>
            <w:r>
              <w:rPr>
                <w:b w:val="0"/>
                <w:sz w:val="21"/>
              </w:rPr>
              <w:t>不混淆总体与定向结果</w:t>
            </w:r>
          </w:p>
        </w:tc>
      </w:tr>
      <w:tr>
        <w:trPr>
          <w:cantSplit/>
        </w:trPr>
        <w:tc>
          <w:tcPr>
            <w:tcW w:type="dxa" w:w="1638"/>
            <w:vAlign w:val="center"/>
          </w:tcPr>
          <w:p>
            <w:pPr>
              <w:keepNext w:val="0"/>
              <w:spacing w:line="320" w:lineRule="exact" w:after="0" w:before="0"/>
              <w:ind w:firstLine="0"/>
              <w:jc w:val="left"/>
            </w:pPr>
            <w:r>
              <w:rPr>
                <w:b w:val="0"/>
                <w:sz w:val="21"/>
              </w:rPr>
              <w:t>扩大复查</w:t>
            </w:r>
          </w:p>
        </w:tc>
        <w:tc>
          <w:tcPr>
            <w:tcW w:type="dxa" w:w="2699"/>
            <w:vAlign w:val="center"/>
          </w:tcPr>
          <w:p>
            <w:pPr>
              <w:keepNext w:val="0"/>
              <w:spacing w:line="320" w:lineRule="exact" w:after="0" w:before="0"/>
              <w:ind w:firstLine="0"/>
              <w:jc w:val="left"/>
            </w:pPr>
            <w:r>
              <w:rPr>
                <w:b w:val="0"/>
                <w:sz w:val="21"/>
              </w:rPr>
              <w:t>触发问题及影响范围</w:t>
            </w:r>
          </w:p>
        </w:tc>
        <w:tc>
          <w:tcPr>
            <w:tcW w:type="dxa" w:w="2409"/>
            <w:vAlign w:val="center"/>
          </w:tcPr>
          <w:p>
            <w:pPr>
              <w:keepNext w:val="0"/>
              <w:spacing w:line="320" w:lineRule="exact" w:after="0" w:before="0"/>
              <w:ind w:firstLine="0"/>
              <w:jc w:val="left"/>
            </w:pPr>
            <w:r>
              <w:rPr>
                <w:b w:val="0"/>
                <w:sz w:val="21"/>
              </w:rPr>
              <w:t>同源同规则追查</w:t>
            </w:r>
          </w:p>
        </w:tc>
        <w:tc>
          <w:tcPr>
            <w:tcW w:type="dxa" w:w="2891"/>
            <w:vAlign w:val="center"/>
          </w:tcPr>
          <w:p>
            <w:pPr>
              <w:keepNext w:val="0"/>
              <w:spacing w:line="320" w:lineRule="exact" w:after="0" w:before="0"/>
              <w:ind w:firstLine="0"/>
              <w:jc w:val="left"/>
            </w:pPr>
            <w:r>
              <w:rPr>
                <w:b w:val="0"/>
                <w:sz w:val="21"/>
              </w:rPr>
              <w:t>相关缺陷完整关闭</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2" name="Picture 12"/>
            <wp:cNvGraphicFramePr>
              <a:graphicFrameLocks noChangeAspect="1"/>
            </wp:cNvGraphicFramePr>
            <a:graphic>
              <a:graphicData uri="http://schemas.openxmlformats.org/drawingml/2006/picture">
                <pic:pic>
                  <pic:nvPicPr>
                    <pic:cNvPr id="0" name="图12_抽样复核.png"/>
                    <pic:cNvPicPr/>
                  </pic:nvPicPr>
                  <pic:blipFill>
                    <a:blip r:embed="rId22"/>
                    <a:stretch>
                      <a:fillRect/>
                    </a:stretch>
                  </pic:blipFill>
                  <pic:spPr>
                    <a:xfrm>
                      <a:off x="0" y="0"/>
                      <a:ext cx="6048000" cy="1942338"/>
                    </a:xfrm>
                    <a:prstGeom prst="rect"/>
                  </pic:spPr>
                </pic:pic>
              </a:graphicData>
            </a:graphic>
          </wp:inline>
        </w:drawing>
      </w:r>
    </w:p>
    <w:p>
      <w:pPr>
        <w:pStyle w:val="Caption"/>
        <w:jc w:val="center"/>
      </w:pPr>
      <w:r>
        <w:t>图8-1 分层抽样与专业复核</w:t>
      </w:r>
    </w:p>
    <w:p>
      <w:pPr>
        <w:pStyle w:val="Heading2"/>
      </w:pPr>
      <w:r>
        <w:t>8.4 抽样结论与风险清零</w:t>
      </w:r>
    </w:p>
    <w:p>
      <w:pPr>
        <w:jc w:val="both"/>
      </w:pPr>
      <w:r>
        <w:t>抽样结果用于估计普通质量指标，报告实测缺陷率、样本量、分层结果和相应不确定性。抽样未发现缺陷只能表明本次样本中未检出，不能据此证明总体缺陷绝对为零。高风险清零依靠全量筛查、命中样本100%复核、影响范围处置及复测共同形成证据，并持续开展漏检校准及增量巡检。</w:t>
      </w:r>
    </w:p>
    <w:p>
      <w:pPr>
        <w:jc w:val="both"/>
      </w:pPr>
      <w:r>
        <w:t>已知问题不受抽样置信区间或合格阈值豁免。即使整体估计符合要求，抽样中确认的每条错误仍需修正，发现系统性问题则追查相同来源、规则、标签或批次。复测不仅复看原抽样对象，还检查修正规则对其他对象的影响，避免局部修复掩盖同类缺陷残留。</w:t>
      </w:r>
    </w:p>
    <w:p>
      <w:pPr>
        <w:jc w:val="both"/>
      </w:pPr>
      <w:r>
        <w:t>对于低发生率但后果严重的风险，扩大风险识别渠道和检查范围，结合规则、模型、专家及来源审查共同判断。不能以某个检测工具的召回率代替最终数据集清零结论，也不能将工具测试中的漏检风险写成允许交付的残留比例。正式报告明确检查范围、方法和全部已确认缺陷的处理状态。</w:t>
      </w:r>
    </w:p>
    <w:p>
      <w:pPr>
        <w:pStyle w:val="Heading2"/>
      </w:pPr>
      <w:r>
        <w:t>8.5 专家复核与争议处理</w:t>
      </w:r>
    </w:p>
    <w:p>
      <w:pPr>
        <w:jc w:val="both"/>
      </w:pPr>
      <w:r>
        <w:t>专家按业务专业、数据模态和风险类型分配任务，复核前统一判据、对象定位及记录方式。标注准确性、内容真实性、专业性和跨模态一致性采用独立判断，必要时两名专家分别评价，再对分歧进行仲裁。专家不能仅根据自动化工具给出的风险分数确认结果，应查看实际内容及业务依据。</w:t>
      </w:r>
    </w:p>
    <w:p>
      <w:pPr>
        <w:jc w:val="both"/>
      </w:pPr>
      <w:r>
        <w:t>分歧分为事实依据不足、规范表述不清、合理答案范围不同和检查人员理解偏差，分别处理。事实不足回查源材料，规范不清先完善判据并评估已检样本，合理多解建立可接受范围，理解偏差通过校准纠正。未完成争议处理的样本保持待判定，不计为通过。</w:t>
      </w:r>
    </w:p>
    <w:p>
      <w:pPr>
        <w:jc w:val="both"/>
      </w:pPr>
      <w:r>
        <w:t>仲裁记录包含原判、分歧点、追加依据、最终判定及适用范围。涉及高危内容、技术秘密或个人信息时按安全职责组织复核，不扩大知悉范围。专家标定样本进入受控库，定期检查是否因规则更新或业务变化失效，失效样本不能继续作为评价依据。</w:t>
      </w:r>
    </w:p>
    <w:p>
      <w:pPr>
        <w:pStyle w:val="Caption"/>
        <w:keepNext/>
      </w:pPr>
      <w:r>
        <w:t>表8-2 专家复核与争议处理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复核分歧</w:t>
            </w:r>
          </w:p>
        </w:tc>
        <w:tc>
          <w:tcPr>
            <w:tcW w:type="dxa" w:w="2699"/>
            <w:vAlign w:val="center"/>
            <w:shd w:fill="EDF1F3"/>
          </w:tcPr>
          <w:p>
            <w:pPr>
              <w:keepNext/>
              <w:spacing w:line="320" w:lineRule="exact" w:after="0" w:before="0"/>
              <w:ind w:firstLine="0"/>
              <w:jc w:val="center"/>
            </w:pPr>
            <w:r>
              <w:rPr>
                <w:b/>
                <w:sz w:val="21"/>
              </w:rPr>
              <w:t>核实方法</w:t>
            </w:r>
          </w:p>
        </w:tc>
        <w:tc>
          <w:tcPr>
            <w:tcW w:type="dxa" w:w="2409"/>
            <w:vAlign w:val="center"/>
            <w:shd w:fill="EDF1F3"/>
          </w:tcPr>
          <w:p>
            <w:pPr>
              <w:keepNext/>
              <w:spacing w:line="320" w:lineRule="exact" w:after="0" w:before="0"/>
              <w:ind w:firstLine="0"/>
              <w:jc w:val="center"/>
            </w:pPr>
            <w:r>
              <w:rPr>
                <w:b/>
                <w:sz w:val="21"/>
              </w:rPr>
              <w:t>处理结果</w:t>
            </w:r>
          </w:p>
        </w:tc>
        <w:tc>
          <w:tcPr>
            <w:tcW w:type="dxa" w:w="2891"/>
            <w:vAlign w:val="center"/>
            <w:shd w:fill="EDF1F3"/>
          </w:tcPr>
          <w:p>
            <w:pPr>
              <w:keepNext/>
              <w:spacing w:line="320" w:lineRule="exact" w:after="0" w:before="0"/>
              <w:ind w:firstLine="0"/>
              <w:jc w:val="center"/>
            </w:pPr>
            <w:r>
              <w:rPr>
                <w:b/>
                <w:sz w:val="21"/>
              </w:rPr>
              <w:t>后续检查</w:t>
            </w:r>
          </w:p>
        </w:tc>
      </w:tr>
      <w:tr>
        <w:trPr>
          <w:cantSplit/>
        </w:trPr>
        <w:tc>
          <w:tcPr>
            <w:tcW w:type="dxa" w:w="1638"/>
            <w:vAlign w:val="center"/>
          </w:tcPr>
          <w:p>
            <w:pPr>
              <w:keepNext w:val="0"/>
              <w:spacing w:line="320" w:lineRule="exact" w:after="0" w:before="0"/>
              <w:ind w:firstLine="0"/>
              <w:jc w:val="left"/>
            </w:pPr>
            <w:r>
              <w:rPr>
                <w:b w:val="0"/>
                <w:sz w:val="21"/>
              </w:rPr>
              <w:t>原始事实不清</w:t>
            </w:r>
          </w:p>
        </w:tc>
        <w:tc>
          <w:tcPr>
            <w:tcW w:type="dxa" w:w="2699"/>
            <w:vAlign w:val="center"/>
          </w:tcPr>
          <w:p>
            <w:pPr>
              <w:keepNext w:val="0"/>
              <w:spacing w:line="320" w:lineRule="exact" w:after="0" w:before="0"/>
              <w:ind w:firstLine="0"/>
              <w:jc w:val="left"/>
            </w:pPr>
            <w:r>
              <w:rPr>
                <w:b w:val="0"/>
                <w:sz w:val="21"/>
              </w:rPr>
              <w:t>回查源记录和有效时间</w:t>
            </w:r>
          </w:p>
        </w:tc>
        <w:tc>
          <w:tcPr>
            <w:tcW w:type="dxa" w:w="2409"/>
            <w:vAlign w:val="center"/>
          </w:tcPr>
          <w:p>
            <w:pPr>
              <w:keepNext w:val="0"/>
              <w:spacing w:line="320" w:lineRule="exact" w:after="0" w:before="0"/>
              <w:ind w:firstLine="0"/>
              <w:jc w:val="left"/>
            </w:pPr>
            <w:r>
              <w:rPr>
                <w:b w:val="0"/>
                <w:sz w:val="21"/>
              </w:rPr>
              <w:t>确认事实或继续隔离</w:t>
            </w:r>
          </w:p>
        </w:tc>
        <w:tc>
          <w:tcPr>
            <w:tcW w:type="dxa" w:w="2891"/>
            <w:vAlign w:val="center"/>
          </w:tcPr>
          <w:p>
            <w:pPr>
              <w:keepNext w:val="0"/>
              <w:spacing w:line="320" w:lineRule="exact" w:after="0" w:before="0"/>
              <w:ind w:firstLine="0"/>
              <w:jc w:val="left"/>
            </w:pPr>
            <w:r>
              <w:rPr>
                <w:b w:val="0"/>
                <w:sz w:val="21"/>
              </w:rPr>
              <w:t>同源问题扩展核查</w:t>
            </w:r>
          </w:p>
        </w:tc>
      </w:tr>
      <w:tr>
        <w:trPr>
          <w:cantSplit/>
        </w:trPr>
        <w:tc>
          <w:tcPr>
            <w:tcW w:type="dxa" w:w="1638"/>
            <w:vAlign w:val="center"/>
          </w:tcPr>
          <w:p>
            <w:pPr>
              <w:keepNext w:val="0"/>
              <w:spacing w:line="320" w:lineRule="exact" w:after="0" w:before="0"/>
              <w:ind w:firstLine="0"/>
              <w:jc w:val="left"/>
            </w:pPr>
            <w:r>
              <w:rPr>
                <w:b w:val="0"/>
                <w:sz w:val="21"/>
              </w:rPr>
              <w:t>规范边界不明</w:t>
            </w:r>
          </w:p>
        </w:tc>
        <w:tc>
          <w:tcPr>
            <w:tcW w:type="dxa" w:w="2699"/>
            <w:vAlign w:val="center"/>
          </w:tcPr>
          <w:p>
            <w:pPr>
              <w:keepNext w:val="0"/>
              <w:spacing w:line="320" w:lineRule="exact" w:after="0" w:before="0"/>
              <w:ind w:firstLine="0"/>
              <w:jc w:val="left"/>
            </w:pPr>
            <w:r>
              <w:rPr>
                <w:b w:val="0"/>
                <w:sz w:val="21"/>
              </w:rPr>
              <w:t>专家联合审查定义及示例</w:t>
            </w:r>
          </w:p>
        </w:tc>
        <w:tc>
          <w:tcPr>
            <w:tcW w:type="dxa" w:w="2409"/>
            <w:vAlign w:val="center"/>
          </w:tcPr>
          <w:p>
            <w:pPr>
              <w:keepNext w:val="0"/>
              <w:spacing w:line="320" w:lineRule="exact" w:after="0" w:before="0"/>
              <w:ind w:firstLine="0"/>
              <w:jc w:val="left"/>
            </w:pPr>
            <w:r>
              <w:rPr>
                <w:b w:val="0"/>
                <w:sz w:val="21"/>
              </w:rPr>
              <w:t>修订判据并登记版本</w:t>
            </w:r>
          </w:p>
        </w:tc>
        <w:tc>
          <w:tcPr>
            <w:tcW w:type="dxa" w:w="2891"/>
            <w:vAlign w:val="center"/>
          </w:tcPr>
          <w:p>
            <w:pPr>
              <w:keepNext w:val="0"/>
              <w:spacing w:line="320" w:lineRule="exact" w:after="0" w:before="0"/>
              <w:ind w:firstLine="0"/>
              <w:jc w:val="left"/>
            </w:pPr>
            <w:r>
              <w:rPr>
                <w:b w:val="0"/>
                <w:sz w:val="21"/>
              </w:rPr>
              <w:t>重检已受影响样本</w:t>
            </w:r>
          </w:p>
        </w:tc>
      </w:tr>
      <w:tr>
        <w:trPr>
          <w:cantSplit/>
        </w:trPr>
        <w:tc>
          <w:tcPr>
            <w:tcW w:type="dxa" w:w="1638"/>
            <w:vAlign w:val="center"/>
          </w:tcPr>
          <w:p>
            <w:pPr>
              <w:keepNext w:val="0"/>
              <w:spacing w:line="320" w:lineRule="exact" w:after="0" w:before="0"/>
              <w:ind w:firstLine="0"/>
              <w:jc w:val="left"/>
            </w:pPr>
            <w:r>
              <w:rPr>
                <w:b w:val="0"/>
                <w:sz w:val="21"/>
              </w:rPr>
              <w:t>存在合理多解</w:t>
            </w:r>
          </w:p>
        </w:tc>
        <w:tc>
          <w:tcPr>
            <w:tcW w:type="dxa" w:w="2699"/>
            <w:vAlign w:val="center"/>
          </w:tcPr>
          <w:p>
            <w:pPr>
              <w:keepNext w:val="0"/>
              <w:spacing w:line="320" w:lineRule="exact" w:after="0" w:before="0"/>
              <w:ind w:firstLine="0"/>
              <w:jc w:val="left"/>
            </w:pPr>
            <w:r>
              <w:rPr>
                <w:b w:val="0"/>
                <w:sz w:val="21"/>
              </w:rPr>
              <w:t>核查工艺路径及条件</w:t>
            </w:r>
          </w:p>
        </w:tc>
        <w:tc>
          <w:tcPr>
            <w:tcW w:type="dxa" w:w="2409"/>
            <w:vAlign w:val="center"/>
          </w:tcPr>
          <w:p>
            <w:pPr>
              <w:keepNext w:val="0"/>
              <w:spacing w:line="320" w:lineRule="exact" w:after="0" w:before="0"/>
              <w:ind w:firstLine="0"/>
              <w:jc w:val="left"/>
            </w:pPr>
            <w:r>
              <w:rPr>
                <w:b w:val="0"/>
                <w:sz w:val="21"/>
              </w:rPr>
              <w:t>建立可接受答案范围</w:t>
            </w:r>
          </w:p>
        </w:tc>
        <w:tc>
          <w:tcPr>
            <w:tcW w:type="dxa" w:w="2891"/>
            <w:vAlign w:val="center"/>
          </w:tcPr>
          <w:p>
            <w:pPr>
              <w:keepNext w:val="0"/>
              <w:spacing w:line="320" w:lineRule="exact" w:after="0" w:before="0"/>
              <w:ind w:firstLine="0"/>
              <w:jc w:val="left"/>
            </w:pPr>
            <w:r>
              <w:rPr>
                <w:b w:val="0"/>
                <w:sz w:val="21"/>
              </w:rPr>
              <w:t>统一模型判分规则</w:t>
            </w:r>
          </w:p>
        </w:tc>
      </w:tr>
      <w:tr>
        <w:trPr>
          <w:cantSplit/>
        </w:trPr>
        <w:tc>
          <w:tcPr>
            <w:tcW w:type="dxa" w:w="1638"/>
            <w:vAlign w:val="center"/>
          </w:tcPr>
          <w:p>
            <w:pPr>
              <w:keepNext w:val="0"/>
              <w:spacing w:line="320" w:lineRule="exact" w:after="0" w:before="0"/>
              <w:ind w:firstLine="0"/>
              <w:jc w:val="left"/>
            </w:pPr>
            <w:r>
              <w:rPr>
                <w:b w:val="0"/>
                <w:sz w:val="21"/>
              </w:rPr>
              <w:t>检查人员偏差</w:t>
            </w:r>
          </w:p>
        </w:tc>
        <w:tc>
          <w:tcPr>
            <w:tcW w:type="dxa" w:w="2699"/>
            <w:vAlign w:val="center"/>
          </w:tcPr>
          <w:p>
            <w:pPr>
              <w:keepNext w:val="0"/>
              <w:spacing w:line="320" w:lineRule="exact" w:after="0" w:before="0"/>
              <w:ind w:firstLine="0"/>
              <w:jc w:val="left"/>
            </w:pPr>
            <w:r>
              <w:rPr>
                <w:b w:val="0"/>
                <w:sz w:val="21"/>
              </w:rPr>
              <w:t>使用标定样本独立复核</w:t>
            </w:r>
          </w:p>
        </w:tc>
        <w:tc>
          <w:tcPr>
            <w:tcW w:type="dxa" w:w="2409"/>
            <w:vAlign w:val="center"/>
          </w:tcPr>
          <w:p>
            <w:pPr>
              <w:keepNext w:val="0"/>
              <w:spacing w:line="320" w:lineRule="exact" w:after="0" w:before="0"/>
              <w:ind w:firstLine="0"/>
              <w:jc w:val="left"/>
            </w:pPr>
            <w:r>
              <w:rPr>
                <w:b w:val="0"/>
                <w:sz w:val="21"/>
              </w:rPr>
              <w:t>校准理解并修正结论</w:t>
            </w:r>
          </w:p>
        </w:tc>
        <w:tc>
          <w:tcPr>
            <w:tcW w:type="dxa" w:w="2891"/>
            <w:vAlign w:val="center"/>
          </w:tcPr>
          <w:p>
            <w:pPr>
              <w:keepNext w:val="0"/>
              <w:spacing w:line="320" w:lineRule="exact" w:after="0" w:before="0"/>
              <w:ind w:firstLine="0"/>
              <w:jc w:val="left"/>
            </w:pPr>
            <w:r>
              <w:rPr>
                <w:b w:val="0"/>
                <w:sz w:val="21"/>
              </w:rPr>
              <w:t>复查同人员相关结果</w:t>
            </w:r>
          </w:p>
        </w:tc>
      </w:tr>
      <w:tr>
        <w:trPr>
          <w:cantSplit/>
        </w:trPr>
        <w:tc>
          <w:tcPr>
            <w:tcW w:type="dxa" w:w="1638"/>
            <w:vAlign w:val="center"/>
          </w:tcPr>
          <w:p>
            <w:pPr>
              <w:keepNext w:val="0"/>
              <w:spacing w:line="320" w:lineRule="exact" w:after="0" w:before="0"/>
              <w:ind w:firstLine="0"/>
              <w:jc w:val="left"/>
            </w:pPr>
            <w:r>
              <w:rPr>
                <w:b w:val="0"/>
                <w:sz w:val="21"/>
              </w:rPr>
              <w:t>工具误报漏报</w:t>
            </w:r>
          </w:p>
        </w:tc>
        <w:tc>
          <w:tcPr>
            <w:tcW w:type="dxa" w:w="2699"/>
            <w:vAlign w:val="center"/>
          </w:tcPr>
          <w:p>
            <w:pPr>
              <w:keepNext w:val="0"/>
              <w:spacing w:line="320" w:lineRule="exact" w:after="0" w:before="0"/>
              <w:ind w:firstLine="0"/>
              <w:jc w:val="left"/>
            </w:pPr>
            <w:r>
              <w:rPr>
                <w:b w:val="0"/>
                <w:sz w:val="21"/>
              </w:rPr>
              <w:t>核对原始内容和规则输出</w:t>
            </w:r>
          </w:p>
        </w:tc>
        <w:tc>
          <w:tcPr>
            <w:tcW w:type="dxa" w:w="2409"/>
            <w:vAlign w:val="center"/>
          </w:tcPr>
          <w:p>
            <w:pPr>
              <w:keepNext w:val="0"/>
              <w:spacing w:line="320" w:lineRule="exact" w:after="0" w:before="0"/>
              <w:ind w:firstLine="0"/>
              <w:jc w:val="left"/>
            </w:pPr>
            <w:r>
              <w:rPr>
                <w:b w:val="0"/>
                <w:sz w:val="21"/>
              </w:rPr>
              <w:t>修正规则及检测范围</w:t>
            </w:r>
          </w:p>
        </w:tc>
        <w:tc>
          <w:tcPr>
            <w:tcW w:type="dxa" w:w="2891"/>
            <w:vAlign w:val="center"/>
          </w:tcPr>
          <w:p>
            <w:pPr>
              <w:keepNext w:val="0"/>
              <w:spacing w:line="320" w:lineRule="exact" w:after="0" w:before="0"/>
              <w:ind w:firstLine="0"/>
              <w:jc w:val="left"/>
            </w:pPr>
            <w:r>
              <w:rPr>
                <w:b w:val="0"/>
                <w:sz w:val="21"/>
              </w:rPr>
              <w:t>回归测试并重新执行</w:t>
            </w:r>
          </w:p>
        </w:tc>
      </w:tr>
    </w:tbl>
    <w:p>
      <w:pPr>
        <w:spacing w:after="40" w:line="240" w:lineRule="auto"/>
        <w:ind w:firstLine="0"/>
      </w:pPr>
      <w:r>
        <w:rPr>
          <w:sz w:val="4"/>
        </w:rPr>
      </w:r>
    </w:p>
    <w:p>
      <w:pPr>
        <w:pStyle w:val="Heading2"/>
      </w:pPr>
      <w:r>
        <w:t>8.6 检测工具与规则校验</w:t>
      </w:r>
    </w:p>
    <w:p>
      <w:pPr>
        <w:jc w:val="both"/>
      </w:pPr>
      <w:r>
        <w:t>检测工具上线前使用正例、反例和边界例验证，覆盖正常内容、已知缺陷、异常编码、空文件、大文件、嵌套附件及多模态关联。内容安全和隐私检测分别评价误报、漏报及不同模态表现，关注图像文字、口语表达、拆分字段和组合识别。工具评估用的风险样例保持独立受控，不进入业务数据或对外报告正文。</w:t>
      </w:r>
    </w:p>
    <w:p>
      <w:pPr>
        <w:jc w:val="both"/>
      </w:pPr>
      <w:r>
        <w:t>规则登记适用对象、输入字段、参数、执行顺序、输出含义、缺陷等级及修复建议。规则之间存在依赖时明确前置条件，例如先成功解码再检查视频质量；解析失败不能继续输出看似正常的质量分。规则版本变化后运行回归检查，比较命中差异并由专业人员确认。</w:t>
      </w:r>
    </w:p>
    <w:p>
      <w:pPr>
        <w:jc w:val="both"/>
      </w:pPr>
      <w:r>
        <w:t>工具运行监控包括任务状态、处理量、失败量、耗时、资源和结果完整性。分布式或分片执行在汇总时对账，确认每个对象被处理且只按规定计量一次。任务重试使用运行关系保持幂等，旧失败记录保留，避免重跑造成缺陷重复计数或执行范围虚增。</w:t>
      </w:r>
    </w:p>
    <w:p>
      <w:pPr>
        <w:pStyle w:val="Heading2"/>
      </w:pPr>
      <w:r>
        <w:t>8.7 指标聚合与独立复算</w:t>
      </w:r>
    </w:p>
    <w:p>
      <w:pPr>
        <w:jc w:val="both"/>
      </w:pPr>
      <w:r>
        <w:t>指标结果首先在对象层记录，再汇总至用途子集和业务领域。比例采用原始分子分母汇总，不能直接平均规模不同子集的百分比；确需等权比较子集时明确其评价目的并单独报告。连续变量保留分布及异常值，平均值、分位数和极值根据指标选择，防止平均掩盖重要尾部问题。</w:t>
      </w:r>
    </w:p>
    <w:p>
      <w:pPr>
        <w:jc w:val="both"/>
      </w:pPr>
      <w:r>
        <w:t>三级指标映射至二级组和维度时保留计算链，自动化、专家和模型三种方法提供同一指标的不同证据，不将同一事实按方法重复计分。不适用项按批准规则调整权重并保存分母，未完成项不能用零权重隐藏。规范评分、项目扩展评分和验收硬性条件分别输出。</w:t>
      </w:r>
    </w:p>
    <w:p>
      <w:pPr>
        <w:jc w:val="both"/>
      </w:pPr>
      <w:r>
        <w:t>复核人员使用冻结原始结果及独立汇总脚本复算主要指标、权重合计、四域结论和综合分，核对保留小数与最终显示之间的关系。是否达标使用未四舍五入的实际计算值判断，展示精度不能将低于门槛的分数舍入成合格。存在计算差异先查明原因再出具报告。</w:t>
      </w:r>
    </w:p>
    <w:p>
      <w:pPr>
        <w:pStyle w:val="Heading2"/>
      </w:pPr>
      <w:r>
        <w:t>8.8 评测执行中的变更管理</w:t>
      </w:r>
    </w:p>
    <w:p>
      <w:pPr>
        <w:jc w:val="both"/>
      </w:pPr>
      <w:r>
        <w:t>数据、规则、模型、参数、人员权限和环境变化均登记变更原因、影响范围、批准及实施结果。仅更正文档排版与改变实际数据或判据分开处理，影响评价结果的变化触发相应重测。冻结后新增数据先完成入场检查，再纳入新版本，不能悄然并入正在评测的总体。</w:t>
      </w:r>
    </w:p>
    <w:p>
      <w:pPr>
        <w:jc w:val="both"/>
      </w:pPr>
      <w:r>
        <w:t>跨轮次比较采用相同适用范围和协议。确需改变时同时列出可比部分和不可比部分，并保留旧口径的必要复算结果。数据集更新造成近期比例统计日期变化时，使用新正式发布日期重新计算，不能沿用旧卡片中的比例。变更结束后核对数据卡、报告、清单及权限状态同步更新。</w:t>
      </w:r>
    </w:p>
    <w:p>
      <w:pPr>
        <w:pStyle w:val="Heading1"/>
      </w:pPr>
      <w:r>
        <w:t>9 五阶段实施与整改复测</w:t>
      </w:r>
    </w:p>
    <w:p>
      <w:pPr>
        <w:pStyle w:val="Heading2"/>
      </w:pPr>
      <w:r>
        <w:t>9.1 评测准备阶段</w:t>
      </w:r>
    </w:p>
    <w:p>
      <w:pPr>
        <w:jc w:val="both"/>
      </w:pPr>
      <w:r>
        <w:t>准备阶段完成数据集摸底、业务场景梳理、离线环境部署、抽样设计和文件完整性初校验。输入包括拟评测数据、现有说明文档、来源及授权材料、业务规则、数据卡和生产质检验证结果。我方与甲方逐项核对四大数据集及各用途子集，明确敏感范围、实际模态、关键场景和各方责任。</w:t>
      </w:r>
    </w:p>
    <w:p>
      <w:pPr>
        <w:jc w:val="both"/>
      </w:pPr>
      <w:r>
        <w:t>完成环境与工具预检后，提交数据范围清单、版本清单、业务判据清单、环境部署及验证记录、初校验问题和抽样策略。对影响后续执行的资料缺失或环境问题落实责任与处理措施。甲方确认范围、环境和准备成果无误后方可进入方案设计阶段，不能在范围不清的情况下先运行再补充判据。</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3" name="Picture 13"/>
            <wp:cNvGraphicFramePr>
              <a:graphicFrameLocks noChangeAspect="1"/>
            </wp:cNvGraphicFramePr>
            <a:graphic>
              <a:graphicData uri="http://schemas.openxmlformats.org/drawingml/2006/picture">
                <pic:pic>
                  <pic:nvPicPr>
                    <pic:cNvPr id="0" name="图13_五阶段.png"/>
                    <pic:cNvPicPr/>
                  </pic:nvPicPr>
                  <pic:blipFill>
                    <a:blip r:embed="rId23"/>
                    <a:stretch>
                      <a:fillRect/>
                    </a:stretch>
                  </pic:blipFill>
                  <pic:spPr>
                    <a:xfrm>
                      <a:off x="0" y="0"/>
                      <a:ext cx="6048000" cy="3004615"/>
                    </a:xfrm>
                    <a:prstGeom prst="rect"/>
                  </pic:spPr>
                </pic:pic>
              </a:graphicData>
            </a:graphic>
          </wp:inline>
        </w:drawing>
      </w:r>
    </w:p>
    <w:p>
      <w:pPr>
        <w:pStyle w:val="Caption"/>
        <w:jc w:val="center"/>
      </w:pPr>
      <w:r>
        <w:t>图9-1 五阶段评测实施</w:t>
      </w:r>
    </w:p>
    <w:p>
      <w:pPr>
        <w:pStyle w:val="Heading2"/>
      </w:pPr>
      <w:r>
        <w:t>9.2 定制评测方案设计阶段</w:t>
      </w:r>
    </w:p>
    <w:p>
      <w:pPr>
        <w:jc w:val="both"/>
      </w:pPr>
      <w:r>
        <w:t>方案设计对照规范、招标要求和甲方制度形成完整指标打分表，逐项确定81项指标的对象、方法、阈值、分级、证据及适用性。自动化检测、专家复核和模型实验分别明确执行人员与交接关系。方案同时固定抽样总体、样本量、模型参数、测试集隔离、裁判规则及异常处理。</w:t>
      </w:r>
    </w:p>
    <w:p>
      <w:pPr>
        <w:jc w:val="both"/>
      </w:pPr>
      <w:r>
        <w:t>我方组织业务、技术、安全和第三方机构联合评审，检查指标是否遗漏、阈值是否具有依据、计算是否可复算以及资源是否可支撑。实际参数通过预实验确定，正式测试集保持封存。甲方审核确认后发布执行版本，后续变更按统一流程处理，不允许现场人员自行改变合格线。</w:t>
      </w:r>
    </w:p>
    <w:p>
      <w:pPr>
        <w:pStyle w:val="Heading2"/>
      </w:pPr>
      <w:r>
        <w:t>9.3 评测执行阶段</w:t>
      </w:r>
    </w:p>
    <w:p>
      <w:pPr>
        <w:jc w:val="both"/>
      </w:pPr>
      <w:r>
        <w:t>静态检测与动态验证两条线同步推进，共享数据版本及问题管理记录。静态线先完成全量自动化检测，再按规则组织专家复核，说明文档全检、高危命中100%复核及专业分层检查均有明确结果。动态线根据适用数据开展指定模型实验，完成基线、微调、盲评、指标复算和失败归因。</w:t>
      </w:r>
    </w:p>
    <w:p>
      <w:pPr>
        <w:jc w:val="both"/>
      </w:pPr>
      <w:r>
        <w:t>执行期间持续对账指标状态、对象数量、运行日志及证据索引，发现阻断性风险立即隔离并通知甲方相应责任人员。全部指标检测完成后提交三维度结果、模型性能基线、结构化缺陷清单及初步优化方向。缺陷清单完整同步甲方，既包含静态数据问题，也包含影响模型效用和实验有效性的问题。</w:t>
      </w:r>
    </w:p>
    <w:p>
      <w:pPr>
        <w:pStyle w:val="Heading2"/>
      </w:pPr>
      <w:r>
        <w:t>9.4 缺陷分析与整改指导阶段</w:t>
      </w:r>
    </w:p>
    <w:p>
      <w:pPr>
        <w:jc w:val="both"/>
      </w:pPr>
      <w:r>
        <w:t>首轮结果汇总后，我方按领域、用途、指标、风险、来源及根因分析缺陷，形成标准化整改操作指引。每项指引包含问题样本定位、原始依据、成因、分步修正动作、影响范围、修正标准和复检规则。对于系统性问题，明确源头规则及全部受影响对象，不只列出被抽中的少量样本。</w:t>
      </w:r>
    </w:p>
    <w:p>
      <w:pPr>
        <w:jc w:val="both"/>
      </w:pPr>
      <w:r>
        <w:t>甲方完成涉及业务事实和源数据的修正后，我方检查变更清单及完整性，再开展完整复测；属于我方加工生产责任的问题由我方按同样流程修正。模型短板形成场景补充、样本均衡及标注规范完善专项方案，执行后重新进行静态和动态验证。所有缺陷整改完成之前持续复测，不因达到最低集中次数而停止服务。</w:t>
      </w:r>
    </w:p>
    <w:p>
      <w:pPr>
        <w:pStyle w:val="Heading2"/>
      </w:pPr>
      <w:r>
        <w:t>9.5 成果汇总与整体验收阶段</w:t>
      </w:r>
    </w:p>
    <w:p>
      <w:pPr>
        <w:jc w:val="both"/>
      </w:pPr>
      <w:r>
        <w:t>我方归集准备、设计、执行、整改及复测全过程原始资料，依据最终版本复算各维度及综合得分，核对高危清零、中低危整改100%、模型最低提升及成果完整性。具备相应资质的第三方评测机构审查原始证据，编制并盖章出具《行业高质量数据集质量评测报告》，逐项列明最终指标结果。</w:t>
      </w:r>
    </w:p>
    <w:p>
      <w:pPr>
        <w:jc w:val="both"/>
      </w:pPr>
      <w:r>
        <w:t>阶段验收按正式对象、版本和清单组织，不以中间稿或未完成实验的报告替代最终成果。甲方提出的资料、数据或评测问题由我方及时落实整改和复测，相关费用按合同责任承担。评测结论支撑项目竣工验收、试运行及最终验收，整体计划满足2028年5月前完成终验的要求。</w:t>
      </w:r>
    </w:p>
    <w:p>
      <w:pPr>
        <w:pStyle w:val="Caption"/>
        <w:keepNext/>
      </w:pPr>
      <w:r>
        <w:t>表9-1 五阶段实施与验收条件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阶段</w:t>
            </w:r>
          </w:p>
        </w:tc>
        <w:tc>
          <w:tcPr>
            <w:tcW w:type="dxa" w:w="2699"/>
            <w:vAlign w:val="center"/>
            <w:shd w:fill="EDF1F3"/>
          </w:tcPr>
          <w:p>
            <w:pPr>
              <w:keepNext/>
              <w:spacing w:line="320" w:lineRule="exact" w:after="0" w:before="0"/>
              <w:ind w:firstLine="0"/>
              <w:jc w:val="center"/>
            </w:pPr>
            <w:r>
              <w:rPr>
                <w:b/>
                <w:sz w:val="21"/>
              </w:rPr>
              <w:t>关键工作</w:t>
            </w:r>
          </w:p>
        </w:tc>
        <w:tc>
          <w:tcPr>
            <w:tcW w:type="dxa" w:w="2409"/>
            <w:vAlign w:val="center"/>
            <w:shd w:fill="EDF1F3"/>
          </w:tcPr>
          <w:p>
            <w:pPr>
              <w:keepNext/>
              <w:spacing w:line="320" w:lineRule="exact" w:after="0" w:before="0"/>
              <w:ind w:firstLine="0"/>
              <w:jc w:val="center"/>
            </w:pPr>
            <w:r>
              <w:rPr>
                <w:b/>
                <w:sz w:val="21"/>
              </w:rPr>
              <w:t>阶段成果</w:t>
            </w:r>
          </w:p>
        </w:tc>
        <w:tc>
          <w:tcPr>
            <w:tcW w:type="dxa" w:w="2891"/>
            <w:vAlign w:val="center"/>
            <w:shd w:fill="EDF1F3"/>
          </w:tcPr>
          <w:p>
            <w:pPr>
              <w:keepNext/>
              <w:spacing w:line="320" w:lineRule="exact" w:after="0" w:before="0"/>
              <w:ind w:firstLine="0"/>
              <w:jc w:val="center"/>
            </w:pPr>
            <w:r>
              <w:rPr>
                <w:b/>
                <w:sz w:val="21"/>
              </w:rPr>
              <w:t>进入下一阶段的条件</w:t>
            </w:r>
          </w:p>
        </w:tc>
      </w:tr>
      <w:tr>
        <w:trPr>
          <w:cantSplit/>
        </w:trPr>
        <w:tc>
          <w:tcPr>
            <w:tcW w:type="dxa" w:w="1638"/>
            <w:vAlign w:val="center"/>
          </w:tcPr>
          <w:p>
            <w:pPr>
              <w:keepNext w:val="0"/>
              <w:spacing w:line="320" w:lineRule="exact" w:after="0" w:before="0"/>
              <w:ind w:firstLine="0"/>
              <w:jc w:val="left"/>
            </w:pPr>
            <w:r>
              <w:rPr>
                <w:b w:val="0"/>
                <w:sz w:val="21"/>
              </w:rPr>
              <w:t>准备</w:t>
            </w:r>
          </w:p>
        </w:tc>
        <w:tc>
          <w:tcPr>
            <w:tcW w:type="dxa" w:w="2699"/>
            <w:vAlign w:val="center"/>
          </w:tcPr>
          <w:p>
            <w:pPr>
              <w:keepNext w:val="0"/>
              <w:spacing w:line="320" w:lineRule="exact" w:after="0" w:before="0"/>
              <w:ind w:firstLine="0"/>
              <w:jc w:val="left"/>
            </w:pPr>
            <w:r>
              <w:rPr>
                <w:b w:val="0"/>
                <w:sz w:val="21"/>
              </w:rPr>
              <w:t>摸底、场景、环境、初校验及抽样</w:t>
            </w:r>
          </w:p>
        </w:tc>
        <w:tc>
          <w:tcPr>
            <w:tcW w:type="dxa" w:w="2409"/>
            <w:vAlign w:val="center"/>
          </w:tcPr>
          <w:p>
            <w:pPr>
              <w:keepNext w:val="0"/>
              <w:spacing w:line="320" w:lineRule="exact" w:after="0" w:before="0"/>
              <w:ind w:firstLine="0"/>
              <w:jc w:val="left"/>
            </w:pPr>
            <w:r>
              <w:rPr>
                <w:b w:val="0"/>
                <w:sz w:val="21"/>
              </w:rPr>
              <w:t>范围、版本、环境与准备记录</w:t>
            </w:r>
          </w:p>
        </w:tc>
        <w:tc>
          <w:tcPr>
            <w:tcW w:type="dxa" w:w="2891"/>
            <w:vAlign w:val="center"/>
          </w:tcPr>
          <w:p>
            <w:pPr>
              <w:keepNext w:val="0"/>
              <w:spacing w:line="320" w:lineRule="exact" w:after="0" w:before="0"/>
              <w:ind w:firstLine="0"/>
              <w:jc w:val="left"/>
            </w:pPr>
            <w:r>
              <w:rPr>
                <w:b w:val="0"/>
                <w:sz w:val="21"/>
              </w:rPr>
              <w:t>甲方确认无误</w:t>
            </w:r>
          </w:p>
        </w:tc>
      </w:tr>
      <w:tr>
        <w:trPr>
          <w:cantSplit/>
        </w:trPr>
        <w:tc>
          <w:tcPr>
            <w:tcW w:type="dxa" w:w="1638"/>
            <w:vAlign w:val="center"/>
          </w:tcPr>
          <w:p>
            <w:pPr>
              <w:keepNext w:val="0"/>
              <w:spacing w:line="320" w:lineRule="exact" w:after="0" w:before="0"/>
              <w:ind w:firstLine="0"/>
              <w:jc w:val="left"/>
            </w:pPr>
            <w:r>
              <w:rPr>
                <w:b w:val="0"/>
                <w:sz w:val="21"/>
              </w:rPr>
              <w:t>方案设计</w:t>
            </w:r>
          </w:p>
        </w:tc>
        <w:tc>
          <w:tcPr>
            <w:tcW w:type="dxa" w:w="2699"/>
            <w:vAlign w:val="center"/>
          </w:tcPr>
          <w:p>
            <w:pPr>
              <w:keepNext w:val="0"/>
              <w:spacing w:line="320" w:lineRule="exact" w:after="0" w:before="0"/>
              <w:ind w:firstLine="0"/>
              <w:jc w:val="left"/>
            </w:pPr>
            <w:r>
              <w:rPr>
                <w:b w:val="0"/>
                <w:sz w:val="21"/>
              </w:rPr>
              <w:t>全指标、阈值、方法、模型及隔离</w:t>
            </w:r>
          </w:p>
        </w:tc>
        <w:tc>
          <w:tcPr>
            <w:tcW w:type="dxa" w:w="2409"/>
            <w:vAlign w:val="center"/>
          </w:tcPr>
          <w:p>
            <w:pPr>
              <w:keepNext w:val="0"/>
              <w:spacing w:line="320" w:lineRule="exact" w:after="0" w:before="0"/>
              <w:ind w:firstLine="0"/>
              <w:jc w:val="left"/>
            </w:pPr>
            <w:r>
              <w:rPr>
                <w:b w:val="0"/>
                <w:sz w:val="21"/>
              </w:rPr>
              <w:t>经审核的执行方案与指标表</w:t>
            </w:r>
          </w:p>
        </w:tc>
        <w:tc>
          <w:tcPr>
            <w:tcW w:type="dxa" w:w="2891"/>
            <w:vAlign w:val="center"/>
          </w:tcPr>
          <w:p>
            <w:pPr>
              <w:keepNext w:val="0"/>
              <w:spacing w:line="320" w:lineRule="exact" w:after="0" w:before="0"/>
              <w:ind w:firstLine="0"/>
              <w:jc w:val="left"/>
            </w:pPr>
            <w:r>
              <w:rPr>
                <w:b w:val="0"/>
                <w:sz w:val="21"/>
              </w:rPr>
              <w:t>甲方审核通过</w:t>
            </w:r>
          </w:p>
        </w:tc>
      </w:tr>
      <w:tr>
        <w:trPr>
          <w:cantSplit/>
        </w:trPr>
        <w:tc>
          <w:tcPr>
            <w:tcW w:type="dxa" w:w="1638"/>
            <w:vAlign w:val="center"/>
          </w:tcPr>
          <w:p>
            <w:pPr>
              <w:keepNext w:val="0"/>
              <w:spacing w:line="320" w:lineRule="exact" w:after="0" w:before="0"/>
              <w:ind w:firstLine="0"/>
              <w:jc w:val="left"/>
            </w:pPr>
            <w:r>
              <w:rPr>
                <w:b w:val="0"/>
                <w:sz w:val="21"/>
              </w:rPr>
              <w:t>评测执行</w:t>
            </w:r>
          </w:p>
        </w:tc>
        <w:tc>
          <w:tcPr>
            <w:tcW w:type="dxa" w:w="2699"/>
            <w:vAlign w:val="center"/>
          </w:tcPr>
          <w:p>
            <w:pPr>
              <w:keepNext w:val="0"/>
              <w:spacing w:line="320" w:lineRule="exact" w:after="0" w:before="0"/>
              <w:ind w:firstLine="0"/>
              <w:jc w:val="left"/>
            </w:pPr>
            <w:r>
              <w:rPr>
                <w:b w:val="0"/>
                <w:sz w:val="21"/>
              </w:rPr>
              <w:t>全量检测、专家复核及模型对照</w:t>
            </w:r>
          </w:p>
        </w:tc>
        <w:tc>
          <w:tcPr>
            <w:tcW w:type="dxa" w:w="2409"/>
            <w:vAlign w:val="center"/>
          </w:tcPr>
          <w:p>
            <w:pPr>
              <w:keepNext w:val="0"/>
              <w:spacing w:line="320" w:lineRule="exact" w:after="0" w:before="0"/>
              <w:ind w:firstLine="0"/>
              <w:jc w:val="left"/>
            </w:pPr>
            <w:r>
              <w:rPr>
                <w:b w:val="0"/>
                <w:sz w:val="21"/>
              </w:rPr>
              <w:t>三维度结果、缺陷及基线</w:t>
            </w:r>
          </w:p>
        </w:tc>
        <w:tc>
          <w:tcPr>
            <w:tcW w:type="dxa" w:w="2891"/>
            <w:vAlign w:val="center"/>
          </w:tcPr>
          <w:p>
            <w:pPr>
              <w:keepNext w:val="0"/>
              <w:spacing w:line="320" w:lineRule="exact" w:after="0" w:before="0"/>
              <w:ind w:firstLine="0"/>
              <w:jc w:val="left"/>
            </w:pPr>
            <w:r>
              <w:rPr>
                <w:b w:val="0"/>
                <w:sz w:val="21"/>
              </w:rPr>
              <w:t>无指标漏检，问题完整同步</w:t>
            </w:r>
          </w:p>
        </w:tc>
      </w:tr>
      <w:tr>
        <w:trPr>
          <w:cantSplit/>
        </w:trPr>
        <w:tc>
          <w:tcPr>
            <w:tcW w:type="dxa" w:w="1638"/>
            <w:vAlign w:val="center"/>
          </w:tcPr>
          <w:p>
            <w:pPr>
              <w:keepNext w:val="0"/>
              <w:spacing w:line="320" w:lineRule="exact" w:after="0" w:before="0"/>
              <w:ind w:firstLine="0"/>
              <w:jc w:val="left"/>
            </w:pPr>
            <w:r>
              <w:rPr>
                <w:b w:val="0"/>
                <w:sz w:val="21"/>
              </w:rPr>
              <w:t>整改复测</w:t>
            </w:r>
          </w:p>
        </w:tc>
        <w:tc>
          <w:tcPr>
            <w:tcW w:type="dxa" w:w="2699"/>
            <w:vAlign w:val="center"/>
          </w:tcPr>
          <w:p>
            <w:pPr>
              <w:keepNext w:val="0"/>
              <w:spacing w:line="320" w:lineRule="exact" w:after="0" w:before="0"/>
              <w:ind w:firstLine="0"/>
              <w:jc w:val="left"/>
            </w:pPr>
            <w:r>
              <w:rPr>
                <w:b w:val="0"/>
                <w:sz w:val="21"/>
              </w:rPr>
              <w:t>根因、修正、优化及完整复测</w:t>
            </w:r>
          </w:p>
        </w:tc>
        <w:tc>
          <w:tcPr>
            <w:tcW w:type="dxa" w:w="2409"/>
            <w:vAlign w:val="center"/>
          </w:tcPr>
          <w:p>
            <w:pPr>
              <w:keepNext w:val="0"/>
              <w:spacing w:line="320" w:lineRule="exact" w:after="0" w:before="0"/>
              <w:ind w:firstLine="0"/>
              <w:jc w:val="left"/>
            </w:pPr>
            <w:r>
              <w:rPr>
                <w:b w:val="0"/>
                <w:sz w:val="21"/>
              </w:rPr>
              <w:t>整改记录及各轮复测结果</w:t>
            </w:r>
          </w:p>
        </w:tc>
        <w:tc>
          <w:tcPr>
            <w:tcW w:type="dxa" w:w="2891"/>
            <w:vAlign w:val="center"/>
          </w:tcPr>
          <w:p>
            <w:pPr>
              <w:keepNext w:val="0"/>
              <w:spacing w:line="320" w:lineRule="exact" w:after="0" w:before="0"/>
              <w:ind w:firstLine="0"/>
              <w:jc w:val="left"/>
            </w:pPr>
            <w:r>
              <w:rPr>
                <w:b w:val="0"/>
                <w:sz w:val="21"/>
              </w:rPr>
              <w:t>缺陷关闭，各维度达标</w:t>
            </w:r>
          </w:p>
        </w:tc>
      </w:tr>
      <w:tr>
        <w:trPr>
          <w:cantSplit/>
        </w:trPr>
        <w:tc>
          <w:tcPr>
            <w:tcW w:type="dxa" w:w="1638"/>
            <w:vAlign w:val="center"/>
          </w:tcPr>
          <w:p>
            <w:pPr>
              <w:keepNext w:val="0"/>
              <w:spacing w:line="320" w:lineRule="exact" w:after="0" w:before="0"/>
              <w:ind w:firstLine="0"/>
              <w:jc w:val="left"/>
            </w:pPr>
            <w:r>
              <w:rPr>
                <w:b w:val="0"/>
                <w:sz w:val="21"/>
              </w:rPr>
              <w:t>正式交付</w:t>
            </w:r>
          </w:p>
        </w:tc>
        <w:tc>
          <w:tcPr>
            <w:tcW w:type="dxa" w:w="2699"/>
            <w:vAlign w:val="center"/>
          </w:tcPr>
          <w:p>
            <w:pPr>
              <w:keepNext w:val="0"/>
              <w:spacing w:line="320" w:lineRule="exact" w:after="0" w:before="0"/>
              <w:ind w:firstLine="0"/>
              <w:jc w:val="left"/>
            </w:pPr>
            <w:r>
              <w:rPr>
                <w:b w:val="0"/>
                <w:sz w:val="21"/>
              </w:rPr>
              <w:t>复算、机构审核、盖章及归档</w:t>
            </w:r>
          </w:p>
        </w:tc>
        <w:tc>
          <w:tcPr>
            <w:tcW w:type="dxa" w:w="2409"/>
            <w:vAlign w:val="center"/>
          </w:tcPr>
          <w:p>
            <w:pPr>
              <w:keepNext w:val="0"/>
              <w:spacing w:line="320" w:lineRule="exact" w:after="0" w:before="0"/>
              <w:ind w:firstLine="0"/>
              <w:jc w:val="left"/>
            </w:pPr>
            <w:r>
              <w:rPr>
                <w:b w:val="0"/>
                <w:sz w:val="21"/>
              </w:rPr>
              <w:t>正式报告和完整质量档案</w:t>
            </w:r>
          </w:p>
        </w:tc>
        <w:tc>
          <w:tcPr>
            <w:tcW w:type="dxa" w:w="2891"/>
            <w:vAlign w:val="center"/>
          </w:tcPr>
          <w:p>
            <w:pPr>
              <w:keepNext w:val="0"/>
              <w:spacing w:line="320" w:lineRule="exact" w:after="0" w:before="0"/>
              <w:ind w:firstLine="0"/>
              <w:jc w:val="left"/>
            </w:pPr>
            <w:r>
              <w:rPr>
                <w:b w:val="0"/>
                <w:sz w:val="21"/>
              </w:rPr>
              <w:t>全部验收条件同时满足</w:t>
            </w:r>
          </w:p>
        </w:tc>
      </w:tr>
    </w:tbl>
    <w:p>
      <w:pPr>
        <w:spacing w:after="40" w:line="240" w:lineRule="auto"/>
        <w:ind w:firstLine="0"/>
      </w:pPr>
      <w:r>
        <w:rPr>
          <w:sz w:val="4"/>
        </w:rPr>
      </w:r>
    </w:p>
    <w:p>
      <w:pPr>
        <w:pStyle w:val="Heading2"/>
      </w:pPr>
      <w:r>
        <w:t>9.6 缺陷记录与状态管理</w:t>
      </w:r>
    </w:p>
    <w:p>
      <w:pPr>
        <w:jc w:val="both"/>
      </w:pPr>
      <w:r>
        <w:t>缺陷记录包含缺陷标识、发现轮次、数据集及用途、样本或批次、指标、具体位置、风险等级、问题描述、原始证据、原因、责任、修正步骤、修正版本、复检规则、复测结果及关闭依据。对同一样本的多个缺陷分别登记指标与处置，避免只关闭其中一项却把整个样本标记合格。</w:t>
      </w:r>
    </w:p>
    <w:p>
      <w:pPr>
        <w:jc w:val="both"/>
      </w:pPr>
      <w:r>
        <w:t>状态按已发现、待确认、已确认、整改中、待复测、复测不通过、已关闭等实际过程管理。误报记录进入已排除状态并保留证据，与实际缺陷关闭区分；重复问题单合并时保留关联，不通过删除问题单减少缺陷总数。重新发现同类问题时重新打开或创建关联记录，追查原关闭是否充分。</w:t>
      </w:r>
    </w:p>
    <w:p>
      <w:pPr>
        <w:jc w:val="both"/>
      </w:pPr>
      <w:r>
        <w:t>整改完成率以已确认且应整改的问题为分母，以完成修正并复测通过的问题为分子，待确认和误报分别列示。发现范围扩大后更新问题清单，不能固定旧分母掩盖新增缺陷。高危清零同时检查未关闭高危数量和受影响对象状态，不仅查看问题单上的文字状态。</w:t>
      </w:r>
    </w:p>
    <w:p>
      <w:pPr>
        <w:pStyle w:val="Heading2"/>
      </w:pPr>
      <w:r>
        <w:t>9.7 标准化整改操作</w:t>
      </w:r>
    </w:p>
    <w:p>
      <w:pPr>
        <w:jc w:val="both"/>
      </w:pPr>
      <w:r>
        <w:t>缺失问题先判定缺少的是字段、文件、模态还是业务上下文，依据真实来源补齐并检查关联；无法恢复的内容从对应用途剔除并补足净量。标注错误先确认判据和标签版本，再修正相同规则影响范围，执行独立复核。重复问题先确认是否属于无效副本还是有价值的业务变体，再执行去重及数量分布重算。</w:t>
      </w:r>
    </w:p>
    <w:p>
      <w:pPr>
        <w:jc w:val="both"/>
      </w:pPr>
      <w:r>
        <w:t>隐私与涉密问题隔离原件及派生物，确认合法处理方式和必要性，实施脱敏、剔除或限制后进行全量复查。格式与单位问题通过统一转换规则修正，保留原值及转换证据，检查精度与业务含义。内容真实性问题追溯源事实，禁止通过生成式补写替代缺失依据。</w:t>
      </w:r>
    </w:p>
    <w:p>
      <w:pPr>
        <w:jc w:val="both"/>
      </w:pPr>
      <w:r>
        <w:t>模型适配问题根据失败样本和分层结果制定优化，区分数据缺口与模型限制。针对数据问题补充真实场景、修正标签、调整分布或完善任务结构；针对实验问题修复污染、参数及判分逻辑。任何修正进入后继版本，保留原版本以供对照和审计。</w:t>
      </w:r>
    </w:p>
    <w:p>
      <w:pPr>
        <w:pStyle w:val="Caption"/>
        <w:keepNext/>
      </w:pPr>
      <w:r>
        <w:t>表9-2 标准化整改操作</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缺陷类别</w:t>
            </w:r>
          </w:p>
        </w:tc>
        <w:tc>
          <w:tcPr>
            <w:tcW w:type="dxa" w:w="2699"/>
            <w:vAlign w:val="center"/>
            <w:shd w:fill="EDF1F3"/>
          </w:tcPr>
          <w:p>
            <w:pPr>
              <w:keepNext/>
              <w:spacing w:line="320" w:lineRule="exact" w:after="0" w:before="0"/>
              <w:ind w:firstLine="0"/>
              <w:jc w:val="center"/>
            </w:pPr>
            <w:r>
              <w:rPr>
                <w:b/>
                <w:sz w:val="21"/>
              </w:rPr>
              <w:t>修正动作</w:t>
            </w:r>
          </w:p>
        </w:tc>
        <w:tc>
          <w:tcPr>
            <w:tcW w:type="dxa" w:w="2409"/>
            <w:vAlign w:val="center"/>
            <w:shd w:fill="EDF1F3"/>
          </w:tcPr>
          <w:p>
            <w:pPr>
              <w:keepNext/>
              <w:spacing w:line="320" w:lineRule="exact" w:after="0" w:before="0"/>
              <w:ind w:firstLine="0"/>
              <w:jc w:val="center"/>
            </w:pPr>
            <w:r>
              <w:rPr>
                <w:b/>
                <w:sz w:val="21"/>
              </w:rPr>
              <w:t>影响范围扩展</w:t>
            </w:r>
          </w:p>
        </w:tc>
        <w:tc>
          <w:tcPr>
            <w:tcW w:type="dxa" w:w="2891"/>
            <w:vAlign w:val="center"/>
            <w:shd w:fill="EDF1F3"/>
          </w:tcPr>
          <w:p>
            <w:pPr>
              <w:keepNext/>
              <w:spacing w:line="320" w:lineRule="exact" w:after="0" w:before="0"/>
              <w:ind w:firstLine="0"/>
              <w:jc w:val="center"/>
            </w:pPr>
            <w:r>
              <w:rPr>
                <w:b/>
                <w:sz w:val="21"/>
              </w:rPr>
              <w:t>必须重新核验的内容</w:t>
            </w:r>
          </w:p>
        </w:tc>
      </w:tr>
      <w:tr>
        <w:trPr>
          <w:cantSplit/>
        </w:trPr>
        <w:tc>
          <w:tcPr>
            <w:tcW w:type="dxa" w:w="1638"/>
            <w:vAlign w:val="center"/>
          </w:tcPr>
          <w:p>
            <w:pPr>
              <w:keepNext w:val="0"/>
              <w:spacing w:line="320" w:lineRule="exact" w:after="0" w:before="0"/>
              <w:ind w:firstLine="0"/>
              <w:jc w:val="left"/>
            </w:pPr>
            <w:r>
              <w:rPr>
                <w:b w:val="0"/>
                <w:sz w:val="21"/>
              </w:rPr>
              <w:t>字段及样本缺失</w:t>
            </w:r>
          </w:p>
        </w:tc>
        <w:tc>
          <w:tcPr>
            <w:tcW w:type="dxa" w:w="2699"/>
            <w:vAlign w:val="center"/>
          </w:tcPr>
          <w:p>
            <w:pPr>
              <w:keepNext w:val="0"/>
              <w:spacing w:line="320" w:lineRule="exact" w:after="0" w:before="0"/>
              <w:ind w:firstLine="0"/>
              <w:jc w:val="left"/>
            </w:pPr>
            <w:r>
              <w:rPr>
                <w:b w:val="0"/>
                <w:sz w:val="21"/>
              </w:rPr>
              <w:t>补源、恢复、替换或剔除</w:t>
            </w:r>
          </w:p>
        </w:tc>
        <w:tc>
          <w:tcPr>
            <w:tcW w:type="dxa" w:w="2409"/>
            <w:vAlign w:val="center"/>
          </w:tcPr>
          <w:p>
            <w:pPr>
              <w:keepNext w:val="0"/>
              <w:spacing w:line="320" w:lineRule="exact" w:after="0" w:before="0"/>
              <w:ind w:firstLine="0"/>
              <w:jc w:val="left"/>
            </w:pPr>
            <w:r>
              <w:rPr>
                <w:b w:val="0"/>
                <w:sz w:val="21"/>
              </w:rPr>
              <w:t>同批次、同采集规则</w:t>
            </w:r>
          </w:p>
        </w:tc>
        <w:tc>
          <w:tcPr>
            <w:tcW w:type="dxa" w:w="2891"/>
            <w:vAlign w:val="center"/>
          </w:tcPr>
          <w:p>
            <w:pPr>
              <w:keepNext w:val="0"/>
              <w:spacing w:line="320" w:lineRule="exact" w:after="0" w:before="0"/>
              <w:ind w:firstLine="0"/>
              <w:jc w:val="left"/>
            </w:pPr>
            <w:r>
              <w:rPr>
                <w:b w:val="0"/>
                <w:sz w:val="21"/>
              </w:rPr>
              <w:t>完整性、数量及比例</w:t>
            </w:r>
          </w:p>
        </w:tc>
      </w:tr>
      <w:tr>
        <w:trPr>
          <w:cantSplit/>
        </w:trPr>
        <w:tc>
          <w:tcPr>
            <w:tcW w:type="dxa" w:w="1638"/>
            <w:vAlign w:val="center"/>
          </w:tcPr>
          <w:p>
            <w:pPr>
              <w:keepNext w:val="0"/>
              <w:spacing w:line="320" w:lineRule="exact" w:after="0" w:before="0"/>
              <w:ind w:firstLine="0"/>
              <w:jc w:val="left"/>
            </w:pPr>
            <w:r>
              <w:rPr>
                <w:b w:val="0"/>
                <w:sz w:val="21"/>
              </w:rPr>
              <w:t>标注错误</w:t>
            </w:r>
          </w:p>
        </w:tc>
        <w:tc>
          <w:tcPr>
            <w:tcW w:type="dxa" w:w="2699"/>
            <w:vAlign w:val="center"/>
          </w:tcPr>
          <w:p>
            <w:pPr>
              <w:keepNext w:val="0"/>
              <w:spacing w:line="320" w:lineRule="exact" w:after="0" w:before="0"/>
              <w:ind w:firstLine="0"/>
              <w:jc w:val="left"/>
            </w:pPr>
            <w:r>
              <w:rPr>
                <w:b w:val="0"/>
                <w:sz w:val="21"/>
              </w:rPr>
              <w:t>修订判据、复标及独立复核</w:t>
            </w:r>
          </w:p>
        </w:tc>
        <w:tc>
          <w:tcPr>
            <w:tcW w:type="dxa" w:w="2409"/>
            <w:vAlign w:val="center"/>
          </w:tcPr>
          <w:p>
            <w:pPr>
              <w:keepNext w:val="0"/>
              <w:spacing w:line="320" w:lineRule="exact" w:after="0" w:before="0"/>
              <w:ind w:firstLine="0"/>
              <w:jc w:val="left"/>
            </w:pPr>
            <w:r>
              <w:rPr>
                <w:b w:val="0"/>
                <w:sz w:val="21"/>
              </w:rPr>
              <w:t>同标签、同人员、同模板</w:t>
            </w:r>
          </w:p>
        </w:tc>
        <w:tc>
          <w:tcPr>
            <w:tcW w:type="dxa" w:w="2891"/>
            <w:vAlign w:val="center"/>
          </w:tcPr>
          <w:p>
            <w:pPr>
              <w:keepNext w:val="0"/>
              <w:spacing w:line="320" w:lineRule="exact" w:after="0" w:before="0"/>
              <w:ind w:firstLine="0"/>
              <w:jc w:val="left"/>
            </w:pPr>
            <w:r>
              <w:rPr>
                <w:b w:val="0"/>
                <w:sz w:val="21"/>
              </w:rPr>
              <w:t>准确性、规范性及模型输入</w:t>
            </w:r>
          </w:p>
        </w:tc>
      </w:tr>
      <w:tr>
        <w:trPr>
          <w:cantSplit/>
        </w:trPr>
        <w:tc>
          <w:tcPr>
            <w:tcW w:type="dxa" w:w="1638"/>
            <w:vAlign w:val="center"/>
          </w:tcPr>
          <w:p>
            <w:pPr>
              <w:keepNext w:val="0"/>
              <w:spacing w:line="320" w:lineRule="exact" w:after="0" w:before="0"/>
              <w:ind w:firstLine="0"/>
              <w:jc w:val="left"/>
            </w:pPr>
            <w:r>
              <w:rPr>
                <w:b w:val="0"/>
                <w:sz w:val="21"/>
              </w:rPr>
              <w:t>内容重复</w:t>
            </w:r>
          </w:p>
        </w:tc>
        <w:tc>
          <w:tcPr>
            <w:tcW w:type="dxa" w:w="2699"/>
            <w:vAlign w:val="center"/>
          </w:tcPr>
          <w:p>
            <w:pPr>
              <w:keepNext w:val="0"/>
              <w:spacing w:line="320" w:lineRule="exact" w:after="0" w:before="0"/>
              <w:ind w:firstLine="0"/>
              <w:jc w:val="left"/>
            </w:pPr>
            <w:r>
              <w:rPr>
                <w:b w:val="0"/>
                <w:sz w:val="21"/>
              </w:rPr>
              <w:t>确认重复簇并保留有效代表</w:t>
            </w:r>
          </w:p>
        </w:tc>
        <w:tc>
          <w:tcPr>
            <w:tcW w:type="dxa" w:w="2409"/>
            <w:vAlign w:val="center"/>
          </w:tcPr>
          <w:p>
            <w:pPr>
              <w:keepNext w:val="0"/>
              <w:spacing w:line="320" w:lineRule="exact" w:after="0" w:before="0"/>
              <w:ind w:firstLine="0"/>
              <w:jc w:val="left"/>
            </w:pPr>
            <w:r>
              <w:rPr>
                <w:b w:val="0"/>
                <w:sz w:val="21"/>
              </w:rPr>
              <w:t>同源及跨用途家族</w:t>
            </w:r>
          </w:p>
        </w:tc>
        <w:tc>
          <w:tcPr>
            <w:tcW w:type="dxa" w:w="2891"/>
            <w:vAlign w:val="center"/>
          </w:tcPr>
          <w:p>
            <w:pPr>
              <w:keepNext w:val="0"/>
              <w:spacing w:line="320" w:lineRule="exact" w:after="0" w:before="0"/>
              <w:ind w:firstLine="0"/>
              <w:jc w:val="left"/>
            </w:pPr>
            <w:r>
              <w:rPr>
                <w:b w:val="0"/>
                <w:sz w:val="21"/>
              </w:rPr>
              <w:t>净量、分布及测试隔离</w:t>
            </w:r>
          </w:p>
        </w:tc>
      </w:tr>
      <w:tr>
        <w:trPr>
          <w:cantSplit/>
        </w:trPr>
        <w:tc>
          <w:tcPr>
            <w:tcW w:type="dxa" w:w="1638"/>
            <w:vAlign w:val="center"/>
          </w:tcPr>
          <w:p>
            <w:pPr>
              <w:keepNext w:val="0"/>
              <w:spacing w:line="320" w:lineRule="exact" w:after="0" w:before="0"/>
              <w:ind w:firstLine="0"/>
              <w:jc w:val="left"/>
            </w:pPr>
            <w:r>
              <w:rPr>
                <w:b w:val="0"/>
                <w:sz w:val="21"/>
              </w:rPr>
              <w:t>隐私及涉密</w:t>
            </w:r>
          </w:p>
        </w:tc>
        <w:tc>
          <w:tcPr>
            <w:tcW w:type="dxa" w:w="2699"/>
            <w:vAlign w:val="center"/>
          </w:tcPr>
          <w:p>
            <w:pPr>
              <w:keepNext w:val="0"/>
              <w:spacing w:line="320" w:lineRule="exact" w:after="0" w:before="0"/>
              <w:ind w:firstLine="0"/>
              <w:jc w:val="left"/>
            </w:pPr>
            <w:r>
              <w:rPr>
                <w:b w:val="0"/>
                <w:sz w:val="21"/>
              </w:rPr>
              <w:t>隔离、脱敏或剔除派生范围</w:t>
            </w:r>
          </w:p>
        </w:tc>
        <w:tc>
          <w:tcPr>
            <w:tcW w:type="dxa" w:w="2409"/>
            <w:vAlign w:val="center"/>
          </w:tcPr>
          <w:p>
            <w:pPr>
              <w:keepNext w:val="0"/>
              <w:spacing w:line="320" w:lineRule="exact" w:after="0" w:before="0"/>
              <w:ind w:firstLine="0"/>
              <w:jc w:val="left"/>
            </w:pPr>
            <w:r>
              <w:rPr>
                <w:b w:val="0"/>
                <w:sz w:val="21"/>
              </w:rPr>
              <w:t>原件、缓存、索引和训练输入</w:t>
            </w:r>
          </w:p>
        </w:tc>
        <w:tc>
          <w:tcPr>
            <w:tcW w:type="dxa" w:w="2891"/>
            <w:vAlign w:val="center"/>
          </w:tcPr>
          <w:p>
            <w:pPr>
              <w:keepNext w:val="0"/>
              <w:spacing w:line="320" w:lineRule="exact" w:after="0" w:before="0"/>
              <w:ind w:firstLine="0"/>
              <w:jc w:val="left"/>
            </w:pPr>
            <w:r>
              <w:rPr>
                <w:b w:val="0"/>
                <w:sz w:val="21"/>
              </w:rPr>
              <w:t>全量风险扫描与授权边界</w:t>
            </w:r>
          </w:p>
        </w:tc>
      </w:tr>
      <w:tr>
        <w:trPr>
          <w:cantSplit/>
        </w:trPr>
        <w:tc>
          <w:tcPr>
            <w:tcW w:type="dxa" w:w="1638"/>
            <w:vAlign w:val="center"/>
          </w:tcPr>
          <w:p>
            <w:pPr>
              <w:keepNext w:val="0"/>
              <w:spacing w:line="320" w:lineRule="exact" w:after="0" w:before="0"/>
              <w:ind w:firstLine="0"/>
              <w:jc w:val="left"/>
            </w:pPr>
            <w:r>
              <w:rPr>
                <w:b w:val="0"/>
                <w:sz w:val="21"/>
              </w:rPr>
              <w:t>格式及单位</w:t>
            </w:r>
          </w:p>
        </w:tc>
        <w:tc>
          <w:tcPr>
            <w:tcW w:type="dxa" w:w="2699"/>
            <w:vAlign w:val="center"/>
          </w:tcPr>
          <w:p>
            <w:pPr>
              <w:keepNext w:val="0"/>
              <w:spacing w:line="320" w:lineRule="exact" w:after="0" w:before="0"/>
              <w:ind w:firstLine="0"/>
              <w:jc w:val="left"/>
            </w:pPr>
            <w:r>
              <w:rPr>
                <w:b w:val="0"/>
                <w:sz w:val="21"/>
              </w:rPr>
              <w:t>统一转换并保留原值</w:t>
            </w:r>
          </w:p>
        </w:tc>
        <w:tc>
          <w:tcPr>
            <w:tcW w:type="dxa" w:w="2409"/>
            <w:vAlign w:val="center"/>
          </w:tcPr>
          <w:p>
            <w:pPr>
              <w:keepNext w:val="0"/>
              <w:spacing w:line="320" w:lineRule="exact" w:after="0" w:before="0"/>
              <w:ind w:firstLine="0"/>
              <w:jc w:val="left"/>
            </w:pPr>
            <w:r>
              <w:rPr>
                <w:b w:val="0"/>
                <w:sz w:val="21"/>
              </w:rPr>
              <w:t>同字段、同规则及下游引用</w:t>
            </w:r>
          </w:p>
        </w:tc>
        <w:tc>
          <w:tcPr>
            <w:tcW w:type="dxa" w:w="2891"/>
            <w:vAlign w:val="center"/>
          </w:tcPr>
          <w:p>
            <w:pPr>
              <w:keepNext w:val="0"/>
              <w:spacing w:line="320" w:lineRule="exact" w:after="0" w:before="0"/>
              <w:ind w:firstLine="0"/>
              <w:jc w:val="left"/>
            </w:pPr>
            <w:r>
              <w:rPr>
                <w:b w:val="0"/>
                <w:sz w:val="21"/>
              </w:rPr>
              <w:t>数值、精度、语义及关系</w:t>
            </w:r>
          </w:p>
        </w:tc>
      </w:tr>
      <w:tr>
        <w:trPr>
          <w:cantSplit/>
        </w:trPr>
        <w:tc>
          <w:tcPr>
            <w:tcW w:type="dxa" w:w="1638"/>
            <w:vAlign w:val="center"/>
          </w:tcPr>
          <w:p>
            <w:pPr>
              <w:keepNext w:val="0"/>
              <w:spacing w:line="320" w:lineRule="exact" w:after="0" w:before="0"/>
              <w:ind w:firstLine="0"/>
              <w:jc w:val="left"/>
            </w:pPr>
            <w:r>
              <w:rPr>
                <w:b w:val="0"/>
                <w:sz w:val="21"/>
              </w:rPr>
              <w:t>模型效果不足</w:t>
            </w:r>
          </w:p>
        </w:tc>
        <w:tc>
          <w:tcPr>
            <w:tcW w:type="dxa" w:w="2699"/>
            <w:vAlign w:val="center"/>
          </w:tcPr>
          <w:p>
            <w:pPr>
              <w:keepNext w:val="0"/>
              <w:spacing w:line="320" w:lineRule="exact" w:after="0" w:before="0"/>
              <w:ind w:firstLine="0"/>
              <w:jc w:val="left"/>
            </w:pPr>
            <w:r>
              <w:rPr>
                <w:b w:val="0"/>
                <w:sz w:val="21"/>
              </w:rPr>
              <w:t>按根因补充、修正及再训练</w:t>
            </w:r>
          </w:p>
        </w:tc>
        <w:tc>
          <w:tcPr>
            <w:tcW w:type="dxa" w:w="2409"/>
            <w:vAlign w:val="center"/>
          </w:tcPr>
          <w:p>
            <w:pPr>
              <w:keepNext w:val="0"/>
              <w:spacing w:line="320" w:lineRule="exact" w:after="0" w:before="0"/>
              <w:ind w:firstLine="0"/>
              <w:jc w:val="left"/>
            </w:pPr>
            <w:r>
              <w:rPr>
                <w:b w:val="0"/>
                <w:sz w:val="21"/>
              </w:rPr>
              <w:t>受影响场景及特征层</w:t>
            </w:r>
          </w:p>
        </w:tc>
        <w:tc>
          <w:tcPr>
            <w:tcW w:type="dxa" w:w="2891"/>
            <w:vAlign w:val="center"/>
          </w:tcPr>
          <w:p>
            <w:pPr>
              <w:keepNext w:val="0"/>
              <w:spacing w:line="320" w:lineRule="exact" w:after="0" w:before="0"/>
              <w:ind w:firstLine="0"/>
              <w:jc w:val="left"/>
            </w:pPr>
            <w:r>
              <w:rPr>
                <w:b w:val="0"/>
                <w:sz w:val="21"/>
              </w:rPr>
              <w:t>静态指标与完整动态对照</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4" name="Picture 14"/>
            <wp:cNvGraphicFramePr>
              <a:graphicFrameLocks noChangeAspect="1"/>
            </wp:cNvGraphicFramePr>
            <a:graphic>
              <a:graphicData uri="http://schemas.openxmlformats.org/drawingml/2006/picture">
                <pic:pic>
                  <pic:nvPicPr>
                    <pic:cNvPr id="0" name="图14_缺陷闭环.png"/>
                    <pic:cNvPicPr/>
                  </pic:nvPicPr>
                  <pic:blipFill>
                    <a:blip r:embed="rId24"/>
                    <a:stretch>
                      <a:fillRect/>
                    </a:stretch>
                  </pic:blipFill>
                  <pic:spPr>
                    <a:xfrm>
                      <a:off x="0" y="0"/>
                      <a:ext cx="6048000" cy="1942338"/>
                    </a:xfrm>
                    <a:prstGeom prst="rect"/>
                  </pic:spPr>
                </pic:pic>
              </a:graphicData>
            </a:graphic>
          </wp:inline>
        </w:drawing>
      </w:r>
    </w:p>
    <w:p>
      <w:pPr>
        <w:pStyle w:val="Caption"/>
        <w:jc w:val="center"/>
      </w:pPr>
      <w:r>
        <w:t>图9-2 缺陷整改与完整复测</w:t>
      </w:r>
    </w:p>
    <w:p>
      <w:pPr>
        <w:pStyle w:val="Heading2"/>
      </w:pPr>
      <w:r>
        <w:t>9.8 集中复测安排</w:t>
      </w:r>
    </w:p>
    <w:p>
      <w:pPr>
        <w:jc w:val="both"/>
      </w:pPr>
      <w:r>
        <w:t>服务期内我方提供不少于4次集中复测，具体安排在实施阶段蓝图设计中与甲方确认，确认后的次数不低于本方案承诺。首轮全量评测不计入集中复测次数；同一轮中对多类缺陷的局部调试不拆分计次；日常局部复检、规则验证和工具回归不能替代集中复测。</w:t>
      </w:r>
    </w:p>
    <w:p>
      <w:pPr>
        <w:jc w:val="both"/>
      </w:pPr>
      <w:r>
        <w:t>集中复测安排覆盖首轮整改后的复测、主要增量数据形成后的复测、竣工验收前复测及最终验收前复测。实际项目节奏变化时相应调整执行窗口，保证关键交付版本完成完整评测。若四次完成后仍存在缺陷或未满足最低性能提升，继续整改并复测直至全部缺陷整改完成，不以次数上限作为停止依据。</w:t>
      </w:r>
    </w:p>
    <w:p>
      <w:pPr>
        <w:jc w:val="both"/>
      </w:pPr>
      <w:r>
        <w:t>每轮集中复测重新核算说明文档、数据质量和模型应用三维度各项指标，完成适用模型的对照验证，复核数量、模态、时效、合成比例及许可等交付条件。局部修正可能影响其他指标时扩大复测范围，例如删重后净量不足、脱敏后任务信息缺失、补采后分布或时间比例变化，均必须重新检查。</w:t>
      </w:r>
    </w:p>
    <w:p>
      <w:pPr>
        <w:pStyle w:val="Caption"/>
        <w:keepNext/>
      </w:pPr>
      <w:r>
        <w:t>表9-3 集中复测安排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复测窗口</w:t>
            </w:r>
          </w:p>
        </w:tc>
        <w:tc>
          <w:tcPr>
            <w:tcW w:type="dxa" w:w="2699"/>
            <w:vAlign w:val="center"/>
            <w:shd w:fill="EDF1F3"/>
          </w:tcPr>
          <w:p>
            <w:pPr>
              <w:keepNext/>
              <w:spacing w:line="320" w:lineRule="exact" w:after="0" w:before="0"/>
              <w:ind w:firstLine="0"/>
              <w:jc w:val="center"/>
            </w:pPr>
            <w:r>
              <w:rPr>
                <w:b/>
                <w:sz w:val="21"/>
              </w:rPr>
              <w:t>主要触发</w:t>
            </w:r>
          </w:p>
        </w:tc>
        <w:tc>
          <w:tcPr>
            <w:tcW w:type="dxa" w:w="2409"/>
            <w:vAlign w:val="center"/>
            <w:shd w:fill="EDF1F3"/>
          </w:tcPr>
          <w:p>
            <w:pPr>
              <w:keepNext/>
              <w:spacing w:line="320" w:lineRule="exact" w:after="0" w:before="0"/>
              <w:ind w:firstLine="0"/>
              <w:jc w:val="center"/>
            </w:pPr>
            <w:r>
              <w:rPr>
                <w:b/>
                <w:sz w:val="21"/>
              </w:rPr>
              <w:t>检查重点</w:t>
            </w:r>
          </w:p>
        </w:tc>
        <w:tc>
          <w:tcPr>
            <w:tcW w:type="dxa" w:w="2891"/>
            <w:vAlign w:val="center"/>
            <w:shd w:fill="EDF1F3"/>
          </w:tcPr>
          <w:p>
            <w:pPr>
              <w:keepNext/>
              <w:spacing w:line="320" w:lineRule="exact" w:after="0" w:before="0"/>
              <w:ind w:firstLine="0"/>
              <w:jc w:val="center"/>
            </w:pPr>
            <w:r>
              <w:rPr>
                <w:b/>
                <w:sz w:val="21"/>
              </w:rPr>
              <w:t>结果留存</w:t>
            </w:r>
          </w:p>
        </w:tc>
      </w:tr>
      <w:tr>
        <w:trPr>
          <w:cantSplit/>
        </w:trPr>
        <w:tc>
          <w:tcPr>
            <w:tcW w:type="dxa" w:w="1638"/>
            <w:vAlign w:val="center"/>
          </w:tcPr>
          <w:p>
            <w:pPr>
              <w:keepNext w:val="0"/>
              <w:spacing w:line="320" w:lineRule="exact" w:after="0" w:before="0"/>
              <w:ind w:firstLine="0"/>
              <w:jc w:val="left"/>
            </w:pPr>
            <w:r>
              <w:rPr>
                <w:b w:val="0"/>
                <w:sz w:val="21"/>
              </w:rPr>
              <w:t>首轮整改后</w:t>
            </w:r>
          </w:p>
        </w:tc>
        <w:tc>
          <w:tcPr>
            <w:tcW w:type="dxa" w:w="2699"/>
            <w:vAlign w:val="center"/>
          </w:tcPr>
          <w:p>
            <w:pPr>
              <w:keepNext w:val="0"/>
              <w:spacing w:line="320" w:lineRule="exact" w:after="0" w:before="0"/>
              <w:ind w:firstLine="0"/>
              <w:jc w:val="left"/>
            </w:pPr>
            <w:r>
              <w:rPr>
                <w:b w:val="0"/>
                <w:sz w:val="21"/>
              </w:rPr>
              <w:t>首轮问题完成修正</w:t>
            </w:r>
          </w:p>
        </w:tc>
        <w:tc>
          <w:tcPr>
            <w:tcW w:type="dxa" w:w="2409"/>
            <w:vAlign w:val="center"/>
          </w:tcPr>
          <w:p>
            <w:pPr>
              <w:keepNext w:val="0"/>
              <w:spacing w:line="320" w:lineRule="exact" w:after="0" w:before="0"/>
              <w:ind w:firstLine="0"/>
              <w:jc w:val="left"/>
            </w:pPr>
            <w:r>
              <w:rPr>
                <w:b w:val="0"/>
                <w:sz w:val="21"/>
              </w:rPr>
              <w:t>全部缺陷及同类影响范围</w:t>
            </w:r>
          </w:p>
        </w:tc>
        <w:tc>
          <w:tcPr>
            <w:tcW w:type="dxa" w:w="2891"/>
            <w:vAlign w:val="center"/>
          </w:tcPr>
          <w:p>
            <w:pPr>
              <w:keepNext w:val="0"/>
              <w:spacing w:line="320" w:lineRule="exact" w:after="0" w:before="0"/>
              <w:ind w:firstLine="0"/>
              <w:jc w:val="left"/>
            </w:pPr>
            <w:r>
              <w:rPr>
                <w:b w:val="0"/>
                <w:sz w:val="21"/>
              </w:rPr>
              <w:t>完整复测报告与关闭记录</w:t>
            </w:r>
          </w:p>
        </w:tc>
      </w:tr>
      <w:tr>
        <w:trPr>
          <w:cantSplit/>
        </w:trPr>
        <w:tc>
          <w:tcPr>
            <w:tcW w:type="dxa" w:w="1638"/>
            <w:vAlign w:val="center"/>
          </w:tcPr>
          <w:p>
            <w:pPr>
              <w:keepNext w:val="0"/>
              <w:spacing w:line="320" w:lineRule="exact" w:after="0" w:before="0"/>
              <w:ind w:firstLine="0"/>
              <w:jc w:val="left"/>
            </w:pPr>
            <w:r>
              <w:rPr>
                <w:b w:val="0"/>
                <w:sz w:val="21"/>
              </w:rPr>
              <w:t>主要增量后</w:t>
            </w:r>
          </w:p>
        </w:tc>
        <w:tc>
          <w:tcPr>
            <w:tcW w:type="dxa" w:w="2699"/>
            <w:vAlign w:val="center"/>
          </w:tcPr>
          <w:p>
            <w:pPr>
              <w:keepNext w:val="0"/>
              <w:spacing w:line="320" w:lineRule="exact" w:after="0" w:before="0"/>
              <w:ind w:firstLine="0"/>
              <w:jc w:val="left"/>
            </w:pPr>
            <w:r>
              <w:rPr>
                <w:b w:val="0"/>
                <w:sz w:val="21"/>
              </w:rPr>
              <w:t>新来源、新批次或数据补充</w:t>
            </w:r>
          </w:p>
        </w:tc>
        <w:tc>
          <w:tcPr>
            <w:tcW w:type="dxa" w:w="2409"/>
            <w:vAlign w:val="center"/>
          </w:tcPr>
          <w:p>
            <w:pPr>
              <w:keepNext w:val="0"/>
              <w:spacing w:line="320" w:lineRule="exact" w:after="0" w:before="0"/>
              <w:ind w:firstLine="0"/>
              <w:jc w:val="left"/>
            </w:pPr>
            <w:r>
              <w:rPr>
                <w:b w:val="0"/>
                <w:sz w:val="21"/>
              </w:rPr>
              <w:t>新旧数据整体质量及比例</w:t>
            </w:r>
          </w:p>
        </w:tc>
        <w:tc>
          <w:tcPr>
            <w:tcW w:type="dxa" w:w="2891"/>
            <w:vAlign w:val="center"/>
          </w:tcPr>
          <w:p>
            <w:pPr>
              <w:keepNext w:val="0"/>
              <w:spacing w:line="320" w:lineRule="exact" w:after="0" w:before="0"/>
              <w:ind w:firstLine="0"/>
              <w:jc w:val="left"/>
            </w:pPr>
            <w:r>
              <w:rPr>
                <w:b w:val="0"/>
                <w:sz w:val="21"/>
              </w:rPr>
              <w:t>新版本全指标结果</w:t>
            </w:r>
          </w:p>
        </w:tc>
      </w:tr>
      <w:tr>
        <w:trPr>
          <w:cantSplit/>
        </w:trPr>
        <w:tc>
          <w:tcPr>
            <w:tcW w:type="dxa" w:w="1638"/>
            <w:vAlign w:val="center"/>
          </w:tcPr>
          <w:p>
            <w:pPr>
              <w:keepNext w:val="0"/>
              <w:spacing w:line="320" w:lineRule="exact" w:after="0" w:before="0"/>
              <w:ind w:firstLine="0"/>
              <w:jc w:val="left"/>
            </w:pPr>
            <w:r>
              <w:rPr>
                <w:b w:val="0"/>
                <w:sz w:val="21"/>
              </w:rPr>
              <w:t>竣工验收前</w:t>
            </w:r>
          </w:p>
        </w:tc>
        <w:tc>
          <w:tcPr>
            <w:tcW w:type="dxa" w:w="2699"/>
            <w:vAlign w:val="center"/>
          </w:tcPr>
          <w:p>
            <w:pPr>
              <w:keepNext w:val="0"/>
              <w:spacing w:line="320" w:lineRule="exact" w:after="0" w:before="0"/>
              <w:ind w:firstLine="0"/>
              <w:jc w:val="left"/>
            </w:pPr>
            <w:r>
              <w:rPr>
                <w:b w:val="0"/>
                <w:sz w:val="21"/>
              </w:rPr>
              <w:t>阶段交付版本形成</w:t>
            </w:r>
          </w:p>
        </w:tc>
        <w:tc>
          <w:tcPr>
            <w:tcW w:type="dxa" w:w="2409"/>
            <w:vAlign w:val="center"/>
          </w:tcPr>
          <w:p>
            <w:pPr>
              <w:keepNext w:val="0"/>
              <w:spacing w:line="320" w:lineRule="exact" w:after="0" w:before="0"/>
              <w:ind w:firstLine="0"/>
              <w:jc w:val="left"/>
            </w:pPr>
            <w:r>
              <w:rPr>
                <w:b w:val="0"/>
                <w:sz w:val="21"/>
              </w:rPr>
              <w:t>交付净量、模型效用和档案</w:t>
            </w:r>
          </w:p>
        </w:tc>
        <w:tc>
          <w:tcPr>
            <w:tcW w:type="dxa" w:w="2891"/>
            <w:vAlign w:val="center"/>
          </w:tcPr>
          <w:p>
            <w:pPr>
              <w:keepNext w:val="0"/>
              <w:spacing w:line="320" w:lineRule="exact" w:after="0" w:before="0"/>
              <w:ind w:firstLine="0"/>
              <w:jc w:val="left"/>
            </w:pPr>
            <w:r>
              <w:rPr>
                <w:b w:val="0"/>
                <w:sz w:val="21"/>
              </w:rPr>
              <w:t>阶段正式评测材料</w:t>
            </w:r>
          </w:p>
        </w:tc>
      </w:tr>
      <w:tr>
        <w:trPr>
          <w:cantSplit/>
        </w:trPr>
        <w:tc>
          <w:tcPr>
            <w:tcW w:type="dxa" w:w="1638"/>
            <w:vAlign w:val="center"/>
          </w:tcPr>
          <w:p>
            <w:pPr>
              <w:keepNext w:val="0"/>
              <w:spacing w:line="320" w:lineRule="exact" w:after="0" w:before="0"/>
              <w:ind w:firstLine="0"/>
              <w:jc w:val="left"/>
            </w:pPr>
            <w:r>
              <w:rPr>
                <w:b w:val="0"/>
                <w:sz w:val="21"/>
              </w:rPr>
              <w:t>最终验收前</w:t>
            </w:r>
          </w:p>
        </w:tc>
        <w:tc>
          <w:tcPr>
            <w:tcW w:type="dxa" w:w="2699"/>
            <w:vAlign w:val="center"/>
          </w:tcPr>
          <w:p>
            <w:pPr>
              <w:keepNext w:val="0"/>
              <w:spacing w:line="320" w:lineRule="exact" w:after="0" w:before="0"/>
              <w:ind w:firstLine="0"/>
              <w:jc w:val="left"/>
            </w:pPr>
            <w:r>
              <w:rPr>
                <w:b w:val="0"/>
                <w:sz w:val="21"/>
              </w:rPr>
              <w:t>试运行问题及最终版本固化</w:t>
            </w:r>
          </w:p>
        </w:tc>
        <w:tc>
          <w:tcPr>
            <w:tcW w:type="dxa" w:w="2409"/>
            <w:vAlign w:val="center"/>
          </w:tcPr>
          <w:p>
            <w:pPr>
              <w:keepNext w:val="0"/>
              <w:spacing w:line="320" w:lineRule="exact" w:after="0" w:before="0"/>
              <w:ind w:firstLine="0"/>
              <w:jc w:val="left"/>
            </w:pPr>
            <w:r>
              <w:rPr>
                <w:b w:val="0"/>
                <w:sz w:val="21"/>
              </w:rPr>
              <w:t>最终对象、缺陷清零及报告一致</w:t>
            </w:r>
          </w:p>
        </w:tc>
        <w:tc>
          <w:tcPr>
            <w:tcW w:type="dxa" w:w="2891"/>
            <w:vAlign w:val="center"/>
          </w:tcPr>
          <w:p>
            <w:pPr>
              <w:keepNext w:val="0"/>
              <w:spacing w:line="320" w:lineRule="exact" w:after="0" w:before="0"/>
              <w:ind w:firstLine="0"/>
              <w:jc w:val="left"/>
            </w:pPr>
            <w:r>
              <w:rPr>
                <w:b w:val="0"/>
                <w:sz w:val="21"/>
              </w:rPr>
              <w:t>最终盖章报告及质量档案</w:t>
            </w:r>
          </w:p>
        </w:tc>
      </w:tr>
      <w:tr>
        <w:trPr>
          <w:cantSplit/>
        </w:trPr>
        <w:tc>
          <w:tcPr>
            <w:tcW w:type="dxa" w:w="1638"/>
            <w:vAlign w:val="center"/>
          </w:tcPr>
          <w:p>
            <w:pPr>
              <w:keepNext w:val="0"/>
              <w:spacing w:line="320" w:lineRule="exact" w:after="0" w:before="0"/>
              <w:ind w:firstLine="0"/>
              <w:jc w:val="left"/>
            </w:pPr>
            <w:r>
              <w:rPr>
                <w:b w:val="0"/>
                <w:sz w:val="21"/>
              </w:rPr>
              <w:t>必要追加</w:t>
            </w:r>
          </w:p>
        </w:tc>
        <w:tc>
          <w:tcPr>
            <w:tcW w:type="dxa" w:w="2699"/>
            <w:vAlign w:val="center"/>
          </w:tcPr>
          <w:p>
            <w:pPr>
              <w:keepNext w:val="0"/>
              <w:spacing w:line="320" w:lineRule="exact" w:after="0" w:before="0"/>
              <w:ind w:firstLine="0"/>
              <w:jc w:val="left"/>
            </w:pPr>
            <w:r>
              <w:rPr>
                <w:b w:val="0"/>
                <w:sz w:val="21"/>
              </w:rPr>
              <w:t>仍有缺陷或未达到约定阈值</w:t>
            </w:r>
          </w:p>
        </w:tc>
        <w:tc>
          <w:tcPr>
            <w:tcW w:type="dxa" w:w="2409"/>
            <w:vAlign w:val="center"/>
          </w:tcPr>
          <w:p>
            <w:pPr>
              <w:keepNext w:val="0"/>
              <w:spacing w:line="320" w:lineRule="exact" w:after="0" w:before="0"/>
              <w:ind w:firstLine="0"/>
              <w:jc w:val="left"/>
            </w:pPr>
            <w:r>
              <w:rPr>
                <w:b w:val="0"/>
                <w:sz w:val="21"/>
              </w:rPr>
              <w:t>原因分析及完整复测</w:t>
            </w:r>
          </w:p>
        </w:tc>
        <w:tc>
          <w:tcPr>
            <w:tcW w:type="dxa" w:w="2891"/>
            <w:vAlign w:val="center"/>
          </w:tcPr>
          <w:p>
            <w:pPr>
              <w:keepNext w:val="0"/>
              <w:spacing w:line="320" w:lineRule="exact" w:after="0" w:before="0"/>
              <w:ind w:firstLine="0"/>
              <w:jc w:val="left"/>
            </w:pPr>
            <w:r>
              <w:rPr>
                <w:b w:val="0"/>
                <w:sz w:val="21"/>
              </w:rPr>
              <w:t>直至全部要求满足</w:t>
            </w:r>
          </w:p>
        </w:tc>
      </w:tr>
    </w:tbl>
    <w:p>
      <w:pPr>
        <w:spacing w:after="40" w:line="240" w:lineRule="auto"/>
        <w:ind w:firstLine="0"/>
      </w:pPr>
      <w:r>
        <w:rPr>
          <w:sz w:val="4"/>
        </w:rPr>
      </w:r>
    </w:p>
    <w:p>
      <w:pPr>
        <w:pStyle w:val="Heading2"/>
      </w:pPr>
      <w:r>
        <w:t>9.9 同类缺陷清零与复发预防</w:t>
      </w:r>
    </w:p>
    <w:p>
      <w:pPr>
        <w:jc w:val="both"/>
      </w:pPr>
      <w:r>
        <w:t>同类缺陷范围依据共同来源、处理规则、标签定义、作业人员、设备和业务条件确定。发现一条单位转换错误时追查使用同一转换规则的全部对象；发现某标签定义不清时追查同版本标签；发现视频设备泄漏时检查该设备及派生片段全部集合。范围判定及查询条件保留在问题单中，保证能够复现扩展检查。</w:t>
      </w:r>
    </w:p>
    <w:p>
      <w:pPr>
        <w:jc w:val="both"/>
      </w:pPr>
      <w:r>
        <w:t>关闭前同时核查原问题对象修正、扩大范围无同类残留、规则及规范已修复、后继批次通过检查。只修正抽中样本而未处理根因的，不认定完成同类缺陷清零。复发时分析源头规则、人员理解、数据变化或自动化控制失效，更新检查和预防措施。</w:t>
      </w:r>
    </w:p>
    <w:p>
      <w:pPr>
        <w:jc w:val="both"/>
      </w:pPr>
      <w:r>
        <w:t>预防措施落实到采集校验、标注规范、质量规则和发布控制，不能仅写在总结报告中。规则上线后验证正常样本不会被误拦、异常样本能够被发现，并保留运行记录。持续跟踪缺陷复发率、来源分布和处置时效，发现重复问题集中出现时组织专项改进。</w:t>
      </w:r>
    </w:p>
    <w:p>
      <w:pPr>
        <w:pStyle w:val="Heading2"/>
      </w:pPr>
      <w:r>
        <w:t>9.10 增量评测与服务期巡检</w:t>
      </w:r>
    </w:p>
    <w:p>
      <w:pPr>
        <w:jc w:val="both"/>
      </w:pPr>
      <w:r>
        <w:t>对增量数据执行来源授权、文件结构、质量规则及风险全检，并核查与既有数据的重复、污染、模态及时间分布关系。新增模态、场景或标签触发适用性和模型协议复审，新增来源检查权限与许可。增量通过检查后形成新版本，重新计算整体质量及净量，不仅给增量包单独打分。</w:t>
      </w:r>
    </w:p>
    <w:p>
      <w:pPr>
        <w:jc w:val="both"/>
      </w:pPr>
      <w:r>
        <w:t>服务期内结合数据更新节奏开展抽样复核和合规巡检，关注许可到期、规则变化、模型失败反馈和新增敏感风险。巡检问题进入同一缺陷台账，整改与复测记录纳入正式档案。采用生产反馈优化数据时先审核其来源、授权及正确性，不能将模型自身回答直接当作事实回流。</w:t>
      </w:r>
    </w:p>
    <w:p>
      <w:pPr>
        <w:jc w:val="both"/>
      </w:pPr>
      <w:r>
        <w:t>巡检成果用于更新集团数据集管理规范、数据卡、标注判据和发布检查规则。正式验收后的服务按照合同及项目总体安排执行，自验收合格起提供不少于12个月质保，质保期满后提供24个月免费技术服务；技术支持与合同约定的评测服务范围衔接，确保问题受理、定位和处置记录持续可追踪。</w:t>
      </w:r>
    </w:p>
    <w:p>
      <w:pPr>
        <w:pStyle w:val="Heading1"/>
      </w:pPr>
      <w:r>
        <w:t>10 正式报告与质量档案交付</w:t>
      </w:r>
    </w:p>
    <w:p>
      <w:pPr>
        <w:pStyle w:val="Heading2"/>
      </w:pPr>
      <w:r>
        <w:t>10.1 第三方评测组织</w:t>
      </w:r>
    </w:p>
    <w:p>
      <w:pPr>
        <w:jc w:val="both"/>
      </w:pPr>
      <w:r>
        <w:t>我方协调具备相应资质及服务能力的第三方评测机构，按确认范围开展评测并出具正式盖章报告。机构选择核查主体信息、业务能力、人员专业背景、评测方法、数据安全条件及报告签发流程，必要资质应覆盖实际服务范围。机构材料及能力证明提交甲方核验，不以未获证的宣传、无关资质或预设机构名称代替实际核查。</w:t>
      </w:r>
    </w:p>
    <w:p>
      <w:pPr>
        <w:jc w:val="both"/>
      </w:pPr>
      <w:r>
        <w:t>首轮全量评测及每轮集中复测按所评数据版本形成正式盖章报告，最终验收前对最终交付版本完成汇总核验及报告签发，各轮报告保留对象和结论的历史关系。</w:t>
      </w:r>
    </w:p>
    <w:p>
      <w:pPr>
        <w:jc w:val="both"/>
      </w:pPr>
      <w:r>
        <w:t>我方自检、生产质检和模型验证结果作为评测输入，第三方机构对其可用性、完整性及真实性进行独立审查，必要时重新取样、重跑或补充检测。第三方报告不能仅将我方汇总表盖章，必须具备相应评测依据、执行记录和独立结论。机构现场或远程受控作业遵守甲方内网和数据不出域要求，不能以第三方评测为由上传原始数据至公网。</w:t>
      </w:r>
    </w:p>
    <w:p>
      <w:pPr>
        <w:jc w:val="both"/>
      </w:pPr>
      <w:r>
        <w:t>对机构复核发现的差异，我方组织核查原始记录、计分及数据版本，按事实修正并保留差异处理过程。报告签发前由甲方确认对象及范围信息，机构按自身质量流程审核结论和签章。任何复核活动均不降低招标要求的指标覆盖、缺陷整改和模型提升条件。</w:t>
      </w:r>
    </w:p>
    <w:p>
      <w:pPr>
        <w:pStyle w:val="Heading2"/>
      </w:pPr>
      <w:r>
        <w:t>10.2 正式评测报告结构</w:t>
      </w:r>
    </w:p>
    <w:p>
      <w:pPr>
        <w:jc w:val="both"/>
      </w:pPr>
      <w:r>
        <w:t>《行业高质量数据集质量评测报告》按评测概况、评测方案摘要、指标检测结果、模型应用验证结果、缺陷与整改、综合判定、结论与建议七章组织，与项目成果表式保持一致。报告标明对象、版本、评测轮次、依据、实施时间和机构信息，完整列出适用性及范围变化，使使用者能够确定结论所对应的数据。</w:t>
      </w:r>
    </w:p>
    <w:p>
      <w:pPr>
        <w:jc w:val="both"/>
      </w:pPr>
      <w:r>
        <w:t>第三章按三维度逐项列示81项指标，保留指标编号、名称、对象、方法、实测值、阈值、判定、得分、缺陷等级和证据位置。不适用项列明理由及批准依据，未完成项不得伪装为不适用。第四章分别展示各类模型实验配置、基线、微调结果、最低提升阈值、分层分析及可复现材料。</w:t>
      </w:r>
    </w:p>
    <w:p>
      <w:pPr>
        <w:jc w:val="both"/>
      </w:pPr>
      <w:r>
        <w:t>第五章保留全部确认缺陷及各轮整改复测关系，说明原始问题、修正措施、扩大检查和关闭依据。第六章展示规范评分、项目扩展评分、综合计算和硬性条件判定，结论与实际数据一致。第七章明确质量结论、已验证适用范围和后续管理改进，不以建议文字容纳仍未整改的交付缺陷。</w:t>
      </w:r>
    </w:p>
    <w:p>
      <w:pPr>
        <w:pStyle w:val="Caption"/>
        <w:keepNext/>
      </w:pPr>
      <w:r>
        <w:t>表10-1 正式评测报告结构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报告章节</w:t>
            </w:r>
          </w:p>
        </w:tc>
        <w:tc>
          <w:tcPr>
            <w:tcW w:type="dxa" w:w="2699"/>
            <w:vAlign w:val="center"/>
            <w:shd w:fill="EDF1F3"/>
          </w:tcPr>
          <w:p>
            <w:pPr>
              <w:keepNext/>
              <w:spacing w:line="320" w:lineRule="exact" w:after="0" w:before="0"/>
              <w:ind w:firstLine="0"/>
              <w:jc w:val="center"/>
            </w:pPr>
            <w:r>
              <w:rPr>
                <w:b/>
                <w:sz w:val="21"/>
              </w:rPr>
              <w:t>必备内容</w:t>
            </w:r>
          </w:p>
        </w:tc>
        <w:tc>
          <w:tcPr>
            <w:tcW w:type="dxa" w:w="2409"/>
            <w:vAlign w:val="center"/>
            <w:shd w:fill="EDF1F3"/>
          </w:tcPr>
          <w:p>
            <w:pPr>
              <w:keepNext/>
              <w:spacing w:line="320" w:lineRule="exact" w:after="0" w:before="0"/>
              <w:ind w:firstLine="0"/>
              <w:jc w:val="center"/>
            </w:pPr>
            <w:r>
              <w:rPr>
                <w:b/>
                <w:sz w:val="21"/>
              </w:rPr>
              <w:t>对应证据</w:t>
            </w:r>
          </w:p>
        </w:tc>
        <w:tc>
          <w:tcPr>
            <w:tcW w:type="dxa" w:w="2891"/>
            <w:vAlign w:val="center"/>
            <w:shd w:fill="EDF1F3"/>
          </w:tcPr>
          <w:p>
            <w:pPr>
              <w:keepNext/>
              <w:spacing w:line="320" w:lineRule="exact" w:after="0" w:before="0"/>
              <w:ind w:firstLine="0"/>
              <w:jc w:val="center"/>
            </w:pPr>
            <w:r>
              <w:rPr>
                <w:b/>
                <w:sz w:val="21"/>
              </w:rPr>
              <w:t>审核重点</w:t>
            </w:r>
          </w:p>
        </w:tc>
      </w:tr>
      <w:tr>
        <w:trPr>
          <w:cantSplit/>
        </w:trPr>
        <w:tc>
          <w:tcPr>
            <w:tcW w:type="dxa" w:w="1638"/>
            <w:vAlign w:val="center"/>
          </w:tcPr>
          <w:p>
            <w:pPr>
              <w:keepNext w:val="0"/>
              <w:spacing w:line="320" w:lineRule="exact" w:after="0" w:before="0"/>
              <w:ind w:firstLine="0"/>
              <w:jc w:val="left"/>
            </w:pPr>
            <w:r>
              <w:rPr>
                <w:b w:val="0"/>
                <w:sz w:val="21"/>
              </w:rPr>
              <w:t>第一章 评测概况</w:t>
            </w:r>
          </w:p>
        </w:tc>
        <w:tc>
          <w:tcPr>
            <w:tcW w:type="dxa" w:w="2699"/>
            <w:vAlign w:val="center"/>
          </w:tcPr>
          <w:p>
            <w:pPr>
              <w:keepNext w:val="0"/>
              <w:spacing w:line="320" w:lineRule="exact" w:after="0" w:before="0"/>
              <w:ind w:firstLine="0"/>
              <w:jc w:val="left"/>
            </w:pPr>
            <w:r>
              <w:rPr>
                <w:b w:val="0"/>
                <w:sz w:val="21"/>
              </w:rPr>
              <w:t>对象、版本、范围、依据、轮次及职责</w:t>
            </w:r>
          </w:p>
        </w:tc>
        <w:tc>
          <w:tcPr>
            <w:tcW w:type="dxa" w:w="2409"/>
            <w:vAlign w:val="center"/>
          </w:tcPr>
          <w:p>
            <w:pPr>
              <w:keepNext w:val="0"/>
              <w:spacing w:line="320" w:lineRule="exact" w:after="0" w:before="0"/>
              <w:ind w:firstLine="0"/>
              <w:jc w:val="left"/>
            </w:pPr>
            <w:r>
              <w:rPr>
                <w:b w:val="0"/>
                <w:sz w:val="21"/>
              </w:rPr>
              <w:t>冻结清单、依据清单和适用性记录</w:t>
            </w:r>
          </w:p>
        </w:tc>
        <w:tc>
          <w:tcPr>
            <w:tcW w:type="dxa" w:w="2891"/>
            <w:vAlign w:val="center"/>
          </w:tcPr>
          <w:p>
            <w:pPr>
              <w:keepNext w:val="0"/>
              <w:spacing w:line="320" w:lineRule="exact" w:after="0" w:before="0"/>
              <w:ind w:firstLine="0"/>
              <w:jc w:val="left"/>
            </w:pPr>
            <w:r>
              <w:rPr>
                <w:b w:val="0"/>
                <w:sz w:val="21"/>
              </w:rPr>
              <w:t>与实际评测对象一致</w:t>
            </w:r>
          </w:p>
        </w:tc>
      </w:tr>
      <w:tr>
        <w:trPr>
          <w:cantSplit/>
        </w:trPr>
        <w:tc>
          <w:tcPr>
            <w:tcW w:type="dxa" w:w="1638"/>
            <w:vAlign w:val="center"/>
          </w:tcPr>
          <w:p>
            <w:pPr>
              <w:keepNext w:val="0"/>
              <w:spacing w:line="320" w:lineRule="exact" w:after="0" w:before="0"/>
              <w:ind w:firstLine="0"/>
              <w:jc w:val="left"/>
            </w:pPr>
            <w:r>
              <w:rPr>
                <w:b w:val="0"/>
                <w:sz w:val="21"/>
              </w:rPr>
              <w:t>第二章 评测方案摘要</w:t>
            </w:r>
          </w:p>
        </w:tc>
        <w:tc>
          <w:tcPr>
            <w:tcW w:type="dxa" w:w="2699"/>
            <w:vAlign w:val="center"/>
          </w:tcPr>
          <w:p>
            <w:pPr>
              <w:keepNext w:val="0"/>
              <w:spacing w:line="320" w:lineRule="exact" w:after="0" w:before="0"/>
              <w:ind w:firstLine="0"/>
              <w:jc w:val="left"/>
            </w:pPr>
            <w:r>
              <w:rPr>
                <w:b w:val="0"/>
                <w:sz w:val="21"/>
              </w:rPr>
              <w:t>指标、方法、抽样、权重、阈值及分级</w:t>
            </w:r>
          </w:p>
        </w:tc>
        <w:tc>
          <w:tcPr>
            <w:tcW w:type="dxa" w:w="2409"/>
            <w:vAlign w:val="center"/>
          </w:tcPr>
          <w:p>
            <w:pPr>
              <w:keepNext w:val="0"/>
              <w:spacing w:line="320" w:lineRule="exact" w:after="0" w:before="0"/>
              <w:ind w:firstLine="0"/>
              <w:jc w:val="left"/>
            </w:pPr>
            <w:r>
              <w:rPr>
                <w:b w:val="0"/>
                <w:sz w:val="21"/>
              </w:rPr>
              <w:t>批准方案与协议</w:t>
            </w:r>
          </w:p>
        </w:tc>
        <w:tc>
          <w:tcPr>
            <w:tcW w:type="dxa" w:w="2891"/>
            <w:vAlign w:val="center"/>
          </w:tcPr>
          <w:p>
            <w:pPr>
              <w:keepNext w:val="0"/>
              <w:spacing w:line="320" w:lineRule="exact" w:after="0" w:before="0"/>
              <w:ind w:firstLine="0"/>
              <w:jc w:val="left"/>
            </w:pPr>
            <w:r>
              <w:rPr>
                <w:b w:val="0"/>
                <w:sz w:val="21"/>
              </w:rPr>
              <w:t>与实际执行规则一致</w:t>
            </w:r>
          </w:p>
        </w:tc>
      </w:tr>
      <w:tr>
        <w:trPr>
          <w:cantSplit/>
        </w:trPr>
        <w:tc>
          <w:tcPr>
            <w:tcW w:type="dxa" w:w="1638"/>
            <w:vAlign w:val="center"/>
          </w:tcPr>
          <w:p>
            <w:pPr>
              <w:keepNext w:val="0"/>
              <w:spacing w:line="320" w:lineRule="exact" w:after="0" w:before="0"/>
              <w:ind w:firstLine="0"/>
              <w:jc w:val="left"/>
            </w:pPr>
            <w:r>
              <w:rPr>
                <w:b w:val="0"/>
                <w:sz w:val="21"/>
              </w:rPr>
              <w:t>第三章 指标检测结果</w:t>
            </w:r>
          </w:p>
        </w:tc>
        <w:tc>
          <w:tcPr>
            <w:tcW w:type="dxa" w:w="2699"/>
            <w:vAlign w:val="center"/>
          </w:tcPr>
          <w:p>
            <w:pPr>
              <w:keepNext w:val="0"/>
              <w:spacing w:line="320" w:lineRule="exact" w:after="0" w:before="0"/>
              <w:ind w:firstLine="0"/>
              <w:jc w:val="left"/>
            </w:pPr>
            <w:r>
              <w:rPr>
                <w:b w:val="0"/>
                <w:sz w:val="21"/>
              </w:rPr>
              <w:t>81项逐项实测、评分及判定</w:t>
            </w:r>
          </w:p>
        </w:tc>
        <w:tc>
          <w:tcPr>
            <w:tcW w:type="dxa" w:w="2409"/>
            <w:vAlign w:val="center"/>
          </w:tcPr>
          <w:p>
            <w:pPr>
              <w:keepNext w:val="0"/>
              <w:spacing w:line="320" w:lineRule="exact" w:after="0" w:before="0"/>
              <w:ind w:firstLine="0"/>
              <w:jc w:val="left"/>
            </w:pPr>
            <w:r>
              <w:rPr>
                <w:b w:val="0"/>
                <w:sz w:val="21"/>
              </w:rPr>
              <w:t>自动检测和人工复核记录</w:t>
            </w:r>
          </w:p>
        </w:tc>
        <w:tc>
          <w:tcPr>
            <w:tcW w:type="dxa" w:w="2891"/>
            <w:vAlign w:val="center"/>
          </w:tcPr>
          <w:p>
            <w:pPr>
              <w:keepNext w:val="0"/>
              <w:spacing w:line="320" w:lineRule="exact" w:after="0" w:before="0"/>
              <w:ind w:firstLine="0"/>
              <w:jc w:val="left"/>
            </w:pPr>
            <w:r>
              <w:rPr>
                <w:b w:val="0"/>
                <w:sz w:val="21"/>
              </w:rPr>
              <w:t>无漏项，数据可复算</w:t>
            </w:r>
          </w:p>
        </w:tc>
      </w:tr>
      <w:tr>
        <w:trPr>
          <w:cantSplit/>
        </w:trPr>
        <w:tc>
          <w:tcPr>
            <w:tcW w:type="dxa" w:w="1638"/>
            <w:vAlign w:val="center"/>
          </w:tcPr>
          <w:p>
            <w:pPr>
              <w:keepNext w:val="0"/>
              <w:spacing w:line="320" w:lineRule="exact" w:after="0" w:before="0"/>
              <w:ind w:firstLine="0"/>
              <w:jc w:val="left"/>
            </w:pPr>
            <w:r>
              <w:rPr>
                <w:b w:val="0"/>
                <w:sz w:val="21"/>
              </w:rPr>
              <w:t>第四章 模型应用验证结果</w:t>
            </w:r>
          </w:p>
        </w:tc>
        <w:tc>
          <w:tcPr>
            <w:tcW w:type="dxa" w:w="2699"/>
            <w:vAlign w:val="center"/>
          </w:tcPr>
          <w:p>
            <w:pPr>
              <w:keepNext w:val="0"/>
              <w:spacing w:line="320" w:lineRule="exact" w:after="0" w:before="0"/>
              <w:ind w:firstLine="0"/>
              <w:jc w:val="left"/>
            </w:pPr>
            <w:r>
              <w:rPr>
                <w:b w:val="0"/>
                <w:sz w:val="21"/>
              </w:rPr>
              <w:t>配置、对照、提升、分层和复现</w:t>
            </w:r>
          </w:p>
        </w:tc>
        <w:tc>
          <w:tcPr>
            <w:tcW w:type="dxa" w:w="2409"/>
            <w:vAlign w:val="center"/>
          </w:tcPr>
          <w:p>
            <w:pPr>
              <w:keepNext w:val="0"/>
              <w:spacing w:line="320" w:lineRule="exact" w:after="0" w:before="0"/>
              <w:ind w:firstLine="0"/>
              <w:jc w:val="left"/>
            </w:pPr>
            <w:r>
              <w:rPr>
                <w:b w:val="0"/>
                <w:sz w:val="21"/>
              </w:rPr>
              <w:t>实验日志、输出、模型及评分</w:t>
            </w:r>
          </w:p>
        </w:tc>
        <w:tc>
          <w:tcPr>
            <w:tcW w:type="dxa" w:w="2891"/>
            <w:vAlign w:val="center"/>
          </w:tcPr>
          <w:p>
            <w:pPr>
              <w:keepNext w:val="0"/>
              <w:spacing w:line="320" w:lineRule="exact" w:after="0" w:before="0"/>
              <w:ind w:firstLine="0"/>
              <w:jc w:val="left"/>
            </w:pPr>
            <w:r>
              <w:rPr>
                <w:b w:val="0"/>
                <w:sz w:val="21"/>
              </w:rPr>
              <w:t>测试隔离、协议一致</w:t>
            </w:r>
          </w:p>
        </w:tc>
      </w:tr>
      <w:tr>
        <w:trPr>
          <w:cantSplit/>
        </w:trPr>
        <w:tc>
          <w:tcPr>
            <w:tcW w:type="dxa" w:w="1638"/>
            <w:vAlign w:val="center"/>
          </w:tcPr>
          <w:p>
            <w:pPr>
              <w:keepNext w:val="0"/>
              <w:spacing w:line="320" w:lineRule="exact" w:after="0" w:before="0"/>
              <w:ind w:firstLine="0"/>
              <w:jc w:val="left"/>
            </w:pPr>
            <w:r>
              <w:rPr>
                <w:b w:val="0"/>
                <w:sz w:val="21"/>
              </w:rPr>
              <w:t>第五章 缺陷与整改</w:t>
            </w:r>
          </w:p>
        </w:tc>
        <w:tc>
          <w:tcPr>
            <w:tcW w:type="dxa" w:w="2699"/>
            <w:vAlign w:val="center"/>
          </w:tcPr>
          <w:p>
            <w:pPr>
              <w:keepNext w:val="0"/>
              <w:spacing w:line="320" w:lineRule="exact" w:after="0" w:before="0"/>
              <w:ind w:firstLine="0"/>
              <w:jc w:val="left"/>
            </w:pPr>
            <w:r>
              <w:rPr>
                <w:b w:val="0"/>
                <w:sz w:val="21"/>
              </w:rPr>
              <w:t>问题、原因、修正及各轮复测</w:t>
            </w:r>
          </w:p>
        </w:tc>
        <w:tc>
          <w:tcPr>
            <w:tcW w:type="dxa" w:w="2409"/>
            <w:vAlign w:val="center"/>
          </w:tcPr>
          <w:p>
            <w:pPr>
              <w:keepNext w:val="0"/>
              <w:spacing w:line="320" w:lineRule="exact" w:after="0" w:before="0"/>
              <w:ind w:firstLine="0"/>
              <w:jc w:val="left"/>
            </w:pPr>
            <w:r>
              <w:rPr>
                <w:b w:val="0"/>
                <w:sz w:val="21"/>
              </w:rPr>
              <w:t>缺陷台账与后继版本</w:t>
            </w:r>
          </w:p>
        </w:tc>
        <w:tc>
          <w:tcPr>
            <w:tcW w:type="dxa" w:w="2891"/>
            <w:vAlign w:val="center"/>
          </w:tcPr>
          <w:p>
            <w:pPr>
              <w:keepNext w:val="0"/>
              <w:spacing w:line="320" w:lineRule="exact" w:after="0" w:before="0"/>
              <w:ind w:firstLine="0"/>
              <w:jc w:val="left"/>
            </w:pPr>
            <w:r>
              <w:rPr>
                <w:b w:val="0"/>
                <w:sz w:val="21"/>
              </w:rPr>
              <w:t>已知缺陷全部关闭</w:t>
            </w:r>
          </w:p>
        </w:tc>
      </w:tr>
      <w:tr>
        <w:trPr>
          <w:cantSplit/>
        </w:trPr>
        <w:tc>
          <w:tcPr>
            <w:tcW w:type="dxa" w:w="1638"/>
            <w:vAlign w:val="center"/>
          </w:tcPr>
          <w:p>
            <w:pPr>
              <w:keepNext w:val="0"/>
              <w:spacing w:line="320" w:lineRule="exact" w:after="0" w:before="0"/>
              <w:ind w:firstLine="0"/>
              <w:jc w:val="left"/>
            </w:pPr>
            <w:r>
              <w:rPr>
                <w:b w:val="0"/>
                <w:sz w:val="21"/>
              </w:rPr>
              <w:t>第六章 综合判定</w:t>
            </w:r>
          </w:p>
        </w:tc>
        <w:tc>
          <w:tcPr>
            <w:tcW w:type="dxa" w:w="2699"/>
            <w:vAlign w:val="center"/>
          </w:tcPr>
          <w:p>
            <w:pPr>
              <w:keepNext w:val="0"/>
              <w:spacing w:line="320" w:lineRule="exact" w:after="0" w:before="0"/>
              <w:ind w:firstLine="0"/>
              <w:jc w:val="left"/>
            </w:pPr>
            <w:r>
              <w:rPr>
                <w:b w:val="0"/>
                <w:sz w:val="21"/>
              </w:rPr>
              <w:t>维度分、综合分及硬性条件</w:t>
            </w:r>
          </w:p>
        </w:tc>
        <w:tc>
          <w:tcPr>
            <w:tcW w:type="dxa" w:w="2409"/>
            <w:vAlign w:val="center"/>
          </w:tcPr>
          <w:p>
            <w:pPr>
              <w:keepNext w:val="0"/>
              <w:spacing w:line="320" w:lineRule="exact" w:after="0" w:before="0"/>
              <w:ind w:firstLine="0"/>
              <w:jc w:val="left"/>
            </w:pPr>
            <w:r>
              <w:rPr>
                <w:b w:val="0"/>
                <w:sz w:val="21"/>
              </w:rPr>
              <w:t>计分表与验收核对记录</w:t>
            </w:r>
          </w:p>
        </w:tc>
        <w:tc>
          <w:tcPr>
            <w:tcW w:type="dxa" w:w="2891"/>
            <w:vAlign w:val="center"/>
          </w:tcPr>
          <w:p>
            <w:pPr>
              <w:keepNext w:val="0"/>
              <w:spacing w:line="320" w:lineRule="exact" w:after="0" w:before="0"/>
              <w:ind w:firstLine="0"/>
              <w:jc w:val="left"/>
            </w:pPr>
            <w:r>
              <w:rPr>
                <w:b w:val="0"/>
                <w:sz w:val="21"/>
              </w:rPr>
              <w:t>不以平均分抵消否决项</w:t>
            </w:r>
          </w:p>
        </w:tc>
      </w:tr>
      <w:tr>
        <w:trPr>
          <w:cantSplit/>
        </w:trPr>
        <w:tc>
          <w:tcPr>
            <w:tcW w:type="dxa" w:w="1638"/>
            <w:vAlign w:val="center"/>
          </w:tcPr>
          <w:p>
            <w:pPr>
              <w:keepNext w:val="0"/>
              <w:spacing w:line="320" w:lineRule="exact" w:after="0" w:before="0"/>
              <w:ind w:firstLine="0"/>
              <w:jc w:val="left"/>
            </w:pPr>
            <w:r>
              <w:rPr>
                <w:b w:val="0"/>
                <w:sz w:val="21"/>
              </w:rPr>
              <w:t>第七章 结论与建议</w:t>
            </w:r>
          </w:p>
        </w:tc>
        <w:tc>
          <w:tcPr>
            <w:tcW w:type="dxa" w:w="2699"/>
            <w:vAlign w:val="center"/>
          </w:tcPr>
          <w:p>
            <w:pPr>
              <w:keepNext w:val="0"/>
              <w:spacing w:line="320" w:lineRule="exact" w:after="0" w:before="0"/>
              <w:ind w:firstLine="0"/>
              <w:jc w:val="left"/>
            </w:pPr>
            <w:r>
              <w:rPr>
                <w:b w:val="0"/>
                <w:sz w:val="21"/>
              </w:rPr>
              <w:t>质量结论、适用边界及管理改进</w:t>
            </w:r>
          </w:p>
        </w:tc>
        <w:tc>
          <w:tcPr>
            <w:tcW w:type="dxa" w:w="2409"/>
            <w:vAlign w:val="center"/>
          </w:tcPr>
          <w:p>
            <w:pPr>
              <w:keepNext w:val="0"/>
              <w:spacing w:line="320" w:lineRule="exact" w:after="0" w:before="0"/>
              <w:ind w:firstLine="0"/>
              <w:jc w:val="left"/>
            </w:pPr>
            <w:r>
              <w:rPr>
                <w:b w:val="0"/>
                <w:sz w:val="21"/>
              </w:rPr>
              <w:t>完整档案和复核意见</w:t>
            </w:r>
          </w:p>
        </w:tc>
        <w:tc>
          <w:tcPr>
            <w:tcW w:type="dxa" w:w="2891"/>
            <w:vAlign w:val="center"/>
          </w:tcPr>
          <w:p>
            <w:pPr>
              <w:keepNext w:val="0"/>
              <w:spacing w:line="320" w:lineRule="exact" w:after="0" w:before="0"/>
              <w:ind w:firstLine="0"/>
              <w:jc w:val="left"/>
            </w:pPr>
            <w:r>
              <w:rPr>
                <w:b w:val="0"/>
                <w:sz w:val="21"/>
              </w:rPr>
              <w:t>结论有据且范围准确</w:t>
            </w:r>
          </w:p>
        </w:tc>
      </w:tr>
    </w:tbl>
    <w:p>
      <w:pPr>
        <w:spacing w:after="40" w:line="240" w:lineRule="auto"/>
        <w:ind w:firstLine="0"/>
      </w:pPr>
      <w:r>
        <w:rPr>
          <w:sz w:val="4"/>
        </w:rPr>
      </w:r>
    </w:p>
    <w:p>
      <w:pPr>
        <w:pStyle w:val="Heading2"/>
      </w:pPr>
      <w:r>
        <w:t>10.3 指标打分表与检测明细</w:t>
      </w:r>
    </w:p>
    <w:p>
      <w:pPr>
        <w:jc w:val="both"/>
      </w:pPr>
      <w:r>
        <w:t>指标打分表保留统一的81项行目录，说明文档对应101至121，数据质量对应201至245，模型应用对应301至315，并同时保留招标指标编号。行号仅用于表内索引，不替代指标定义。各行登记检测对象、手段、阈值、风险、证据及适用性，执行后补充原始计数、实测值、得分、结论及复核状态。</w:t>
      </w:r>
    </w:p>
    <w:p>
      <w:pPr>
        <w:jc w:val="both"/>
      </w:pPr>
      <w:r>
        <w:t>检测明细采用机器可读结构保存对象级结果，使甲方能够按领域、用途、模态、来源、指标和风险检索。统计汇总保留与明细的关联，缺陷清单保留与原始证据的关联，正式报告引用能够定位到具体结果文件和记录。大规模明细按稳定规则分片并附总清单，避免单个文件过大影响核验。</w:t>
      </w:r>
    </w:p>
    <w:p>
      <w:pPr>
        <w:jc w:val="both"/>
      </w:pPr>
      <w:r>
        <w:t>对同一对象的多条规则命中，明细保留规则级记录，样本缺陷率按对象去重，问题类型分布按确认缺陷统计。误报、已排除、待确认及已关闭分别编码。数据导出时核查字段完整、字符编码、时间格式及敏感信息处理，保证可读取且不会因明细输出产生新的数据泄漏。</w:t>
      </w:r>
    </w:p>
    <w:p>
      <w:pPr>
        <w:pStyle w:val="Heading2"/>
      </w:pPr>
      <w:r>
        <w:t>10.4 模型性能基线与实验档案</w:t>
      </w:r>
    </w:p>
    <w:p>
      <w:pPr>
        <w:jc w:val="both"/>
      </w:pPr>
      <w:r>
        <w:t>每类适用模型形成独立实验档案，包含基础模型及微调模型标识、权重摘要、许可证核验、环境、训练配置、训练日志、检查点选择、数据划分、测试清单、提示词、解码、评价脚本、原始输出、专家复核和最终统计。档案能够恢复模型加载及评价过程，不能只留训练完成截图或汇总指标。</w:t>
      </w:r>
    </w:p>
    <w:p>
      <w:pPr>
        <w:jc w:val="both"/>
      </w:pPr>
      <w:r>
        <w:t>基线报告列示正式采用的比较对象及限制，明确微调前后哪些条件相同、哪些变量发生变化。视觉专有类别的任务头、语音关键词的业务适配、视频设备隔离、文本裁判的校准均有独立记录。可复现材料中涉及敏感数据的部分保留在甲方受控环境，以权限和索引移交，不对外公开。</w:t>
      </w:r>
    </w:p>
    <w:p>
      <w:pPr>
        <w:jc w:val="both"/>
      </w:pPr>
      <w:r>
        <w:t>模型输出、评分及错误分析按题目或事件关联，甲方可以从一项总体指标追溯到具体样本及原始判断。重跑结果保留运行标识和原因，与原运行并存；修正过的评分保留原判和复判。档案移交前执行恢复验证，由接收人员在批准环境中完成样本级复算及必要的重复运行。</w:t>
      </w:r>
    </w:p>
    <w:p>
      <w:pPr>
        <w:pStyle w:val="Caption"/>
        <w:keepNext/>
      </w:pPr>
      <w:r>
        <w:t>表10-2 模型性能基线与实验档案</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实验档案类别</w:t>
            </w:r>
          </w:p>
        </w:tc>
        <w:tc>
          <w:tcPr>
            <w:tcW w:type="dxa" w:w="2699"/>
            <w:vAlign w:val="center"/>
            <w:shd w:fill="EDF1F3"/>
          </w:tcPr>
          <w:p>
            <w:pPr>
              <w:keepNext/>
              <w:spacing w:line="320" w:lineRule="exact" w:after="0" w:before="0"/>
              <w:ind w:firstLine="0"/>
              <w:jc w:val="center"/>
            </w:pPr>
            <w:r>
              <w:rPr>
                <w:b/>
                <w:sz w:val="21"/>
              </w:rPr>
              <w:t>主要内容</w:t>
            </w:r>
          </w:p>
        </w:tc>
        <w:tc>
          <w:tcPr>
            <w:tcW w:type="dxa" w:w="2409"/>
            <w:vAlign w:val="center"/>
            <w:shd w:fill="EDF1F3"/>
          </w:tcPr>
          <w:p>
            <w:pPr>
              <w:keepNext/>
              <w:spacing w:line="320" w:lineRule="exact" w:after="0" w:before="0"/>
              <w:ind w:firstLine="0"/>
              <w:jc w:val="center"/>
            </w:pPr>
            <w:r>
              <w:rPr>
                <w:b/>
                <w:sz w:val="21"/>
              </w:rPr>
              <w:t>验证方式</w:t>
            </w:r>
          </w:p>
        </w:tc>
        <w:tc>
          <w:tcPr>
            <w:tcW w:type="dxa" w:w="2891"/>
            <w:vAlign w:val="center"/>
            <w:shd w:fill="EDF1F3"/>
          </w:tcPr>
          <w:p>
            <w:pPr>
              <w:keepNext/>
              <w:spacing w:line="320" w:lineRule="exact" w:after="0" w:before="0"/>
              <w:ind w:firstLine="0"/>
              <w:jc w:val="center"/>
            </w:pPr>
            <w:r>
              <w:rPr>
                <w:b/>
                <w:sz w:val="21"/>
              </w:rPr>
              <w:t>管控要求</w:t>
            </w:r>
          </w:p>
        </w:tc>
      </w:tr>
      <w:tr>
        <w:trPr>
          <w:cantSplit/>
        </w:trPr>
        <w:tc>
          <w:tcPr>
            <w:tcW w:type="dxa" w:w="1638"/>
            <w:vAlign w:val="center"/>
          </w:tcPr>
          <w:p>
            <w:pPr>
              <w:keepNext w:val="0"/>
              <w:spacing w:line="320" w:lineRule="exact" w:after="0" w:before="0"/>
              <w:ind w:firstLine="0"/>
              <w:jc w:val="left"/>
            </w:pPr>
            <w:r>
              <w:rPr>
                <w:b w:val="0"/>
                <w:sz w:val="21"/>
              </w:rPr>
              <w:t>数据与划分</w:t>
            </w:r>
          </w:p>
        </w:tc>
        <w:tc>
          <w:tcPr>
            <w:tcW w:type="dxa" w:w="2699"/>
            <w:vAlign w:val="center"/>
          </w:tcPr>
          <w:p>
            <w:pPr>
              <w:keepNext w:val="0"/>
              <w:spacing w:line="320" w:lineRule="exact" w:after="0" w:before="0"/>
              <w:ind w:firstLine="0"/>
              <w:jc w:val="left"/>
            </w:pPr>
            <w:r>
              <w:rPr>
                <w:b w:val="0"/>
                <w:sz w:val="21"/>
              </w:rPr>
              <w:t>冻结清单、家族关系、分区及摘要</w:t>
            </w:r>
          </w:p>
        </w:tc>
        <w:tc>
          <w:tcPr>
            <w:tcW w:type="dxa" w:w="2409"/>
            <w:vAlign w:val="center"/>
          </w:tcPr>
          <w:p>
            <w:pPr>
              <w:keepNext w:val="0"/>
              <w:spacing w:line="320" w:lineRule="exact" w:after="0" w:before="0"/>
              <w:ind w:firstLine="0"/>
              <w:jc w:val="left"/>
            </w:pPr>
            <w:r>
              <w:rPr>
                <w:b w:val="0"/>
                <w:sz w:val="21"/>
              </w:rPr>
              <w:t>重复与污染扫描复核</w:t>
            </w:r>
          </w:p>
        </w:tc>
        <w:tc>
          <w:tcPr>
            <w:tcW w:type="dxa" w:w="2891"/>
            <w:vAlign w:val="center"/>
          </w:tcPr>
          <w:p>
            <w:pPr>
              <w:keepNext w:val="0"/>
              <w:spacing w:line="320" w:lineRule="exact" w:after="0" w:before="0"/>
              <w:ind w:firstLine="0"/>
              <w:jc w:val="left"/>
            </w:pPr>
            <w:r>
              <w:rPr>
                <w:b w:val="0"/>
                <w:sz w:val="21"/>
              </w:rPr>
              <w:t>保留测试权限独立</w:t>
            </w:r>
          </w:p>
        </w:tc>
      </w:tr>
      <w:tr>
        <w:trPr>
          <w:cantSplit/>
        </w:trPr>
        <w:tc>
          <w:tcPr>
            <w:tcW w:type="dxa" w:w="1638"/>
            <w:vAlign w:val="center"/>
          </w:tcPr>
          <w:p>
            <w:pPr>
              <w:keepNext w:val="0"/>
              <w:spacing w:line="320" w:lineRule="exact" w:after="0" w:before="0"/>
              <w:ind w:firstLine="0"/>
              <w:jc w:val="left"/>
            </w:pPr>
            <w:r>
              <w:rPr>
                <w:b w:val="0"/>
                <w:sz w:val="21"/>
              </w:rPr>
              <w:t>模型与环境</w:t>
            </w:r>
          </w:p>
        </w:tc>
        <w:tc>
          <w:tcPr>
            <w:tcW w:type="dxa" w:w="2699"/>
            <w:vAlign w:val="center"/>
          </w:tcPr>
          <w:p>
            <w:pPr>
              <w:keepNext w:val="0"/>
              <w:spacing w:line="320" w:lineRule="exact" w:after="0" w:before="0"/>
              <w:ind w:firstLine="0"/>
              <w:jc w:val="left"/>
            </w:pPr>
            <w:r>
              <w:rPr>
                <w:b w:val="0"/>
                <w:sz w:val="21"/>
              </w:rPr>
              <w:t>权重、适配器、框架、驱动及镜像</w:t>
            </w:r>
          </w:p>
        </w:tc>
        <w:tc>
          <w:tcPr>
            <w:tcW w:type="dxa" w:w="2409"/>
            <w:vAlign w:val="center"/>
          </w:tcPr>
          <w:p>
            <w:pPr>
              <w:keepNext w:val="0"/>
              <w:spacing w:line="320" w:lineRule="exact" w:after="0" w:before="0"/>
              <w:ind w:firstLine="0"/>
              <w:jc w:val="left"/>
            </w:pPr>
            <w:r>
              <w:rPr>
                <w:b w:val="0"/>
                <w:sz w:val="21"/>
              </w:rPr>
              <w:t>离线加载及摘要核对</w:t>
            </w:r>
          </w:p>
        </w:tc>
        <w:tc>
          <w:tcPr>
            <w:tcW w:type="dxa" w:w="2891"/>
            <w:vAlign w:val="center"/>
          </w:tcPr>
          <w:p>
            <w:pPr>
              <w:keepNext w:val="0"/>
              <w:spacing w:line="320" w:lineRule="exact" w:after="0" w:before="0"/>
              <w:ind w:firstLine="0"/>
              <w:jc w:val="left"/>
            </w:pPr>
            <w:r>
              <w:rPr>
                <w:b w:val="0"/>
                <w:sz w:val="21"/>
              </w:rPr>
              <w:t>许可与来源记录齐备</w:t>
            </w:r>
          </w:p>
        </w:tc>
      </w:tr>
      <w:tr>
        <w:trPr>
          <w:cantSplit/>
        </w:trPr>
        <w:tc>
          <w:tcPr>
            <w:tcW w:type="dxa" w:w="1638"/>
            <w:vAlign w:val="center"/>
          </w:tcPr>
          <w:p>
            <w:pPr>
              <w:keepNext w:val="0"/>
              <w:spacing w:line="320" w:lineRule="exact" w:after="0" w:before="0"/>
              <w:ind w:firstLine="0"/>
              <w:jc w:val="left"/>
            </w:pPr>
            <w:r>
              <w:rPr>
                <w:b w:val="0"/>
                <w:sz w:val="21"/>
              </w:rPr>
              <w:t>训练过程</w:t>
            </w:r>
          </w:p>
        </w:tc>
        <w:tc>
          <w:tcPr>
            <w:tcW w:type="dxa" w:w="2699"/>
            <w:vAlign w:val="center"/>
          </w:tcPr>
          <w:p>
            <w:pPr>
              <w:keepNext w:val="0"/>
              <w:spacing w:line="320" w:lineRule="exact" w:after="0" w:before="0"/>
              <w:ind w:firstLine="0"/>
              <w:jc w:val="left"/>
            </w:pPr>
            <w:r>
              <w:rPr>
                <w:b w:val="0"/>
                <w:sz w:val="21"/>
              </w:rPr>
              <w:t>参数、日志、失败运行及检查点</w:t>
            </w:r>
          </w:p>
        </w:tc>
        <w:tc>
          <w:tcPr>
            <w:tcW w:type="dxa" w:w="2409"/>
            <w:vAlign w:val="center"/>
          </w:tcPr>
          <w:p>
            <w:pPr>
              <w:keepNext w:val="0"/>
              <w:spacing w:line="320" w:lineRule="exact" w:after="0" w:before="0"/>
              <w:ind w:firstLine="0"/>
              <w:jc w:val="left"/>
            </w:pPr>
            <w:r>
              <w:rPr>
                <w:b w:val="0"/>
                <w:sz w:val="21"/>
              </w:rPr>
              <w:t>实际日志与协议比对</w:t>
            </w:r>
          </w:p>
        </w:tc>
        <w:tc>
          <w:tcPr>
            <w:tcW w:type="dxa" w:w="2891"/>
            <w:vAlign w:val="center"/>
          </w:tcPr>
          <w:p>
            <w:pPr>
              <w:keepNext w:val="0"/>
              <w:spacing w:line="320" w:lineRule="exact" w:after="0" w:before="0"/>
              <w:ind w:firstLine="0"/>
              <w:jc w:val="left"/>
            </w:pPr>
            <w:r>
              <w:rPr>
                <w:b w:val="0"/>
                <w:sz w:val="21"/>
              </w:rPr>
              <w:t>不中途覆盖或删选记录</w:t>
            </w:r>
          </w:p>
        </w:tc>
      </w:tr>
      <w:tr>
        <w:trPr>
          <w:cantSplit/>
        </w:trPr>
        <w:tc>
          <w:tcPr>
            <w:tcW w:type="dxa" w:w="1638"/>
            <w:vAlign w:val="center"/>
          </w:tcPr>
          <w:p>
            <w:pPr>
              <w:keepNext w:val="0"/>
              <w:spacing w:line="320" w:lineRule="exact" w:after="0" w:before="0"/>
              <w:ind w:firstLine="0"/>
              <w:jc w:val="left"/>
            </w:pPr>
            <w:r>
              <w:rPr>
                <w:b w:val="0"/>
                <w:sz w:val="21"/>
              </w:rPr>
              <w:t>测试输出</w:t>
            </w:r>
          </w:p>
        </w:tc>
        <w:tc>
          <w:tcPr>
            <w:tcW w:type="dxa" w:w="2699"/>
            <w:vAlign w:val="center"/>
          </w:tcPr>
          <w:p>
            <w:pPr>
              <w:keepNext w:val="0"/>
              <w:spacing w:line="320" w:lineRule="exact" w:after="0" w:before="0"/>
              <w:ind w:firstLine="0"/>
              <w:jc w:val="left"/>
            </w:pPr>
            <w:r>
              <w:rPr>
                <w:b w:val="0"/>
                <w:sz w:val="21"/>
              </w:rPr>
              <w:t>输入、原始输出、状态和时间</w:t>
            </w:r>
          </w:p>
        </w:tc>
        <w:tc>
          <w:tcPr>
            <w:tcW w:type="dxa" w:w="2409"/>
            <w:vAlign w:val="center"/>
          </w:tcPr>
          <w:p>
            <w:pPr>
              <w:keepNext w:val="0"/>
              <w:spacing w:line="320" w:lineRule="exact" w:after="0" w:before="0"/>
              <w:ind w:firstLine="0"/>
              <w:jc w:val="left"/>
            </w:pPr>
            <w:r>
              <w:rPr>
                <w:b w:val="0"/>
                <w:sz w:val="21"/>
              </w:rPr>
              <w:t>对象清单逐项对账</w:t>
            </w:r>
          </w:p>
        </w:tc>
        <w:tc>
          <w:tcPr>
            <w:tcW w:type="dxa" w:w="2891"/>
            <w:vAlign w:val="center"/>
          </w:tcPr>
          <w:p>
            <w:pPr>
              <w:keepNext w:val="0"/>
              <w:spacing w:line="320" w:lineRule="exact" w:after="0" w:before="0"/>
              <w:ind w:firstLine="0"/>
              <w:jc w:val="left"/>
            </w:pPr>
            <w:r>
              <w:rPr>
                <w:b w:val="0"/>
                <w:sz w:val="21"/>
              </w:rPr>
              <w:t>敏感内容受控查看</w:t>
            </w:r>
          </w:p>
        </w:tc>
      </w:tr>
      <w:tr>
        <w:trPr>
          <w:cantSplit/>
        </w:trPr>
        <w:tc>
          <w:tcPr>
            <w:tcW w:type="dxa" w:w="1638"/>
            <w:vAlign w:val="center"/>
          </w:tcPr>
          <w:p>
            <w:pPr>
              <w:keepNext w:val="0"/>
              <w:spacing w:line="320" w:lineRule="exact" w:after="0" w:before="0"/>
              <w:ind w:firstLine="0"/>
              <w:jc w:val="left"/>
            </w:pPr>
            <w:r>
              <w:rPr>
                <w:b w:val="0"/>
                <w:sz w:val="21"/>
              </w:rPr>
              <w:t>评价材料</w:t>
            </w:r>
          </w:p>
        </w:tc>
        <w:tc>
          <w:tcPr>
            <w:tcW w:type="dxa" w:w="2699"/>
            <w:vAlign w:val="center"/>
          </w:tcPr>
          <w:p>
            <w:pPr>
              <w:keepNext w:val="0"/>
              <w:spacing w:line="320" w:lineRule="exact" w:after="0" w:before="0"/>
              <w:ind w:firstLine="0"/>
              <w:jc w:val="left"/>
            </w:pPr>
            <w:r>
              <w:rPr>
                <w:b w:val="0"/>
                <w:sz w:val="21"/>
              </w:rPr>
              <w:t>裁判、量表、脚本及专家意见</w:t>
            </w:r>
          </w:p>
        </w:tc>
        <w:tc>
          <w:tcPr>
            <w:tcW w:type="dxa" w:w="2409"/>
            <w:vAlign w:val="center"/>
          </w:tcPr>
          <w:p>
            <w:pPr>
              <w:keepNext w:val="0"/>
              <w:spacing w:line="320" w:lineRule="exact" w:after="0" w:before="0"/>
              <w:ind w:firstLine="0"/>
              <w:jc w:val="left"/>
            </w:pPr>
            <w:r>
              <w:rPr>
                <w:b w:val="0"/>
                <w:sz w:val="21"/>
              </w:rPr>
              <w:t>独立复算及一致性检查</w:t>
            </w:r>
          </w:p>
        </w:tc>
        <w:tc>
          <w:tcPr>
            <w:tcW w:type="dxa" w:w="2891"/>
            <w:vAlign w:val="center"/>
          </w:tcPr>
          <w:p>
            <w:pPr>
              <w:keepNext w:val="0"/>
              <w:spacing w:line="320" w:lineRule="exact" w:after="0" w:before="0"/>
              <w:ind w:firstLine="0"/>
              <w:jc w:val="left"/>
            </w:pPr>
            <w:r>
              <w:rPr>
                <w:b w:val="0"/>
                <w:sz w:val="21"/>
              </w:rPr>
              <w:t>原判与复判并存</w:t>
            </w:r>
          </w:p>
        </w:tc>
      </w:tr>
      <w:tr>
        <w:trPr>
          <w:cantSplit/>
        </w:trPr>
        <w:tc>
          <w:tcPr>
            <w:tcW w:type="dxa" w:w="1638"/>
            <w:vAlign w:val="center"/>
          </w:tcPr>
          <w:p>
            <w:pPr>
              <w:keepNext w:val="0"/>
              <w:spacing w:line="320" w:lineRule="exact" w:after="0" w:before="0"/>
              <w:ind w:firstLine="0"/>
              <w:jc w:val="left"/>
            </w:pPr>
            <w:r>
              <w:rPr>
                <w:b w:val="0"/>
                <w:sz w:val="21"/>
              </w:rPr>
              <w:t>结论与优化</w:t>
            </w:r>
          </w:p>
        </w:tc>
        <w:tc>
          <w:tcPr>
            <w:tcW w:type="dxa" w:w="2699"/>
            <w:vAlign w:val="center"/>
          </w:tcPr>
          <w:p>
            <w:pPr>
              <w:keepNext w:val="0"/>
              <w:spacing w:line="320" w:lineRule="exact" w:after="0" w:before="0"/>
              <w:ind w:firstLine="0"/>
              <w:jc w:val="left"/>
            </w:pPr>
            <w:r>
              <w:rPr>
                <w:b w:val="0"/>
                <w:sz w:val="21"/>
              </w:rPr>
              <w:t>提升、分层、失败归因及措施</w:t>
            </w:r>
          </w:p>
        </w:tc>
        <w:tc>
          <w:tcPr>
            <w:tcW w:type="dxa" w:w="2409"/>
            <w:vAlign w:val="center"/>
          </w:tcPr>
          <w:p>
            <w:pPr>
              <w:keepNext w:val="0"/>
              <w:spacing w:line="320" w:lineRule="exact" w:after="0" w:before="0"/>
              <w:ind w:firstLine="0"/>
              <w:jc w:val="left"/>
            </w:pPr>
            <w:r>
              <w:rPr>
                <w:b w:val="0"/>
                <w:sz w:val="21"/>
              </w:rPr>
              <w:t>与原始指标及问题单核对</w:t>
            </w:r>
          </w:p>
        </w:tc>
        <w:tc>
          <w:tcPr>
            <w:tcW w:type="dxa" w:w="2891"/>
            <w:vAlign w:val="center"/>
          </w:tcPr>
          <w:p>
            <w:pPr>
              <w:keepNext w:val="0"/>
              <w:spacing w:line="320" w:lineRule="exact" w:after="0" w:before="0"/>
              <w:ind w:firstLine="0"/>
              <w:jc w:val="left"/>
            </w:pPr>
            <w:r>
              <w:rPr>
                <w:b w:val="0"/>
                <w:sz w:val="21"/>
              </w:rPr>
              <w:t>适用范围准确</w:t>
            </w:r>
          </w:p>
        </w:tc>
      </w:tr>
    </w:tbl>
    <w:p>
      <w:pPr>
        <w:spacing w:after="40" w:line="240" w:lineRule="auto"/>
        <w:ind w:firstLine="0"/>
      </w:pPr>
      <w:r>
        <w:rPr>
          <w:sz w:val="4"/>
        </w:rPr>
      </w:r>
    </w:p>
    <w:p>
      <w:pPr>
        <w:pStyle w:val="Heading2"/>
      </w:pPr>
      <w:r>
        <w:t>10.5 原始过程资料归档</w:t>
      </w:r>
    </w:p>
    <w:p>
      <w:pPr>
        <w:jc w:val="both"/>
      </w:pPr>
      <w:r>
        <w:t>质量档案按准备、设计、执行、整改、复测和交付六类组织，覆盖数据接收、环境验证、依据及判据确认、抽样、检测、人工复核、实验、问题处理和正式报告。档案总索引记录文件标识、名称、对象版本、形成环节、责任人、时间、存储位置、权限、摘要及关联报告，保证资料可找、可读、可校验。</w:t>
      </w:r>
    </w:p>
    <w:p>
      <w:pPr>
        <w:jc w:val="both"/>
      </w:pPr>
      <w:r>
        <w:t>归档记录使用实际形成时间，历史缺失如实登记并补充当前可核验依据，不补造过去的审批、运行日志或业务执行记录。修改归档材料保留修订关系及原因，原始结果采用只读或相应防篡改控制。对临时作业文件按甲方制度清理，对支撑正式结论的必要记录完整保留。</w:t>
      </w:r>
    </w:p>
    <w:p>
      <w:pPr>
        <w:jc w:val="both"/>
      </w:pPr>
      <w:r>
        <w:t>档案能够支持行业高质量数据集达标验收、企业数据资产备案、上级数字化专项审计及内部合规检查。不同用途的材料调阅遵守权限和必要范围，形成对外材料时核查保密、个人信息及许可条件。评测报告提供质量证据，不替代其他依法依规应另行办理的备案或认证程序。</w:t>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5" name="Picture 15"/>
            <wp:cNvGraphicFramePr>
              <a:graphicFrameLocks noChangeAspect="1"/>
            </wp:cNvGraphicFramePr>
            <a:graphic>
              <a:graphicData uri="http://schemas.openxmlformats.org/drawingml/2006/picture">
                <pic:pic>
                  <pic:nvPicPr>
                    <pic:cNvPr id="0" name="图15_质量档案.png"/>
                    <pic:cNvPicPr/>
                  </pic:nvPicPr>
                  <pic:blipFill>
                    <a:blip r:embed="rId25"/>
                    <a:stretch>
                      <a:fillRect/>
                    </a:stretch>
                  </pic:blipFill>
                  <pic:spPr>
                    <a:xfrm>
                      <a:off x="0" y="0"/>
                      <a:ext cx="6048000" cy="3004615"/>
                    </a:xfrm>
                    <a:prstGeom prst="rect"/>
                  </pic:spPr>
                </pic:pic>
              </a:graphicData>
            </a:graphic>
          </wp:inline>
        </w:drawing>
      </w:r>
    </w:p>
    <w:p>
      <w:pPr>
        <w:pStyle w:val="Caption"/>
        <w:jc w:val="center"/>
      </w:pPr>
      <w:r>
        <w:t>图10-1 正式质量档案组成</w:t>
      </w:r>
    </w:p>
    <w:p>
      <w:pPr>
        <w:pStyle w:val="Heading2"/>
      </w:pPr>
      <w:r>
        <w:t>10.6 交付成果清单</w:t>
      </w:r>
    </w:p>
    <w:p>
      <w:pPr>
        <w:jc w:val="both"/>
      </w:pPr>
      <w:r>
        <w:t>我方交付完整评测成果和过程材料，正式报告与数据、数据卡、质检及验证报告保持同一版本关系。可编辑文档便于甲方后续维护，机器可读明细便于检索、复算和系统集成。文件类型、命名、目录和签章按合同及甲方成果管理要求执行，必要的敏感原件保存在指定受控位置。</w:t>
      </w:r>
    </w:p>
    <w:p>
      <w:pPr>
        <w:pStyle w:val="Caption"/>
        <w:keepNext/>
      </w:pPr>
      <w:r>
        <w:t>表10-3 交付成果清单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成果</w:t>
            </w:r>
          </w:p>
        </w:tc>
        <w:tc>
          <w:tcPr>
            <w:tcW w:type="dxa" w:w="2699"/>
            <w:vAlign w:val="center"/>
            <w:shd w:fill="EDF1F3"/>
          </w:tcPr>
          <w:p>
            <w:pPr>
              <w:keepNext/>
              <w:spacing w:line="320" w:lineRule="exact" w:after="0" w:before="0"/>
              <w:ind w:firstLine="0"/>
              <w:jc w:val="center"/>
            </w:pPr>
            <w:r>
              <w:rPr>
                <w:b/>
                <w:sz w:val="21"/>
              </w:rPr>
              <w:t>核心内容</w:t>
            </w:r>
          </w:p>
        </w:tc>
        <w:tc>
          <w:tcPr>
            <w:tcW w:type="dxa" w:w="2409"/>
            <w:vAlign w:val="center"/>
            <w:shd w:fill="EDF1F3"/>
          </w:tcPr>
          <w:p>
            <w:pPr>
              <w:keepNext/>
              <w:spacing w:line="320" w:lineRule="exact" w:after="0" w:before="0"/>
              <w:ind w:firstLine="0"/>
              <w:jc w:val="center"/>
            </w:pPr>
            <w:r>
              <w:rPr>
                <w:b/>
                <w:sz w:val="21"/>
              </w:rPr>
              <w:t>形成阶段</w:t>
            </w:r>
          </w:p>
        </w:tc>
        <w:tc>
          <w:tcPr>
            <w:tcW w:type="dxa" w:w="2891"/>
            <w:vAlign w:val="center"/>
            <w:shd w:fill="EDF1F3"/>
          </w:tcPr>
          <w:p>
            <w:pPr>
              <w:keepNext/>
              <w:spacing w:line="320" w:lineRule="exact" w:after="0" w:before="0"/>
              <w:ind w:firstLine="0"/>
              <w:jc w:val="center"/>
            </w:pPr>
            <w:r>
              <w:rPr>
                <w:b/>
                <w:sz w:val="21"/>
              </w:rPr>
              <w:t>交付核验</w:t>
            </w:r>
          </w:p>
        </w:tc>
      </w:tr>
      <w:tr>
        <w:trPr>
          <w:cantSplit/>
        </w:trPr>
        <w:tc>
          <w:tcPr>
            <w:tcW w:type="dxa" w:w="1638"/>
            <w:vAlign w:val="center"/>
          </w:tcPr>
          <w:p>
            <w:pPr>
              <w:keepNext w:val="0"/>
              <w:spacing w:line="320" w:lineRule="exact" w:after="0" w:before="0"/>
              <w:ind w:firstLine="0"/>
              <w:jc w:val="left"/>
            </w:pPr>
            <w:r>
              <w:rPr>
                <w:b w:val="0"/>
                <w:sz w:val="21"/>
              </w:rPr>
              <w:t>评测范围与准备资料</w:t>
            </w:r>
          </w:p>
        </w:tc>
        <w:tc>
          <w:tcPr>
            <w:tcW w:type="dxa" w:w="2699"/>
            <w:vAlign w:val="center"/>
          </w:tcPr>
          <w:p>
            <w:pPr>
              <w:keepNext w:val="0"/>
              <w:spacing w:line="320" w:lineRule="exact" w:after="0" w:before="0"/>
              <w:ind w:firstLine="0"/>
              <w:jc w:val="left"/>
            </w:pPr>
            <w:r>
              <w:rPr>
                <w:b w:val="0"/>
                <w:sz w:val="21"/>
              </w:rPr>
              <w:t>四域十六子集、模态、来源及环境</w:t>
            </w:r>
          </w:p>
        </w:tc>
        <w:tc>
          <w:tcPr>
            <w:tcW w:type="dxa" w:w="2409"/>
            <w:vAlign w:val="center"/>
          </w:tcPr>
          <w:p>
            <w:pPr>
              <w:keepNext w:val="0"/>
              <w:spacing w:line="320" w:lineRule="exact" w:after="0" w:before="0"/>
              <w:ind w:firstLine="0"/>
              <w:jc w:val="left"/>
            </w:pPr>
            <w:r>
              <w:rPr>
                <w:b w:val="0"/>
                <w:sz w:val="21"/>
              </w:rPr>
              <w:t>准备阶段</w:t>
            </w:r>
          </w:p>
        </w:tc>
        <w:tc>
          <w:tcPr>
            <w:tcW w:type="dxa" w:w="2891"/>
            <w:vAlign w:val="center"/>
          </w:tcPr>
          <w:p>
            <w:pPr>
              <w:keepNext w:val="0"/>
              <w:spacing w:line="320" w:lineRule="exact" w:after="0" w:before="0"/>
              <w:ind w:firstLine="0"/>
              <w:jc w:val="left"/>
            </w:pPr>
            <w:r>
              <w:rPr>
                <w:b w:val="0"/>
                <w:sz w:val="21"/>
              </w:rPr>
              <w:t>与实际接收数据一致</w:t>
            </w:r>
          </w:p>
        </w:tc>
      </w:tr>
      <w:tr>
        <w:trPr>
          <w:cantSplit/>
        </w:trPr>
        <w:tc>
          <w:tcPr>
            <w:tcW w:type="dxa" w:w="1638"/>
            <w:vAlign w:val="center"/>
          </w:tcPr>
          <w:p>
            <w:pPr>
              <w:keepNext w:val="0"/>
              <w:spacing w:line="320" w:lineRule="exact" w:after="0" w:before="0"/>
              <w:ind w:firstLine="0"/>
              <w:jc w:val="left"/>
            </w:pPr>
            <w:r>
              <w:rPr>
                <w:b w:val="0"/>
                <w:sz w:val="21"/>
              </w:rPr>
              <w:t>定制评测执行方案</w:t>
            </w:r>
          </w:p>
        </w:tc>
        <w:tc>
          <w:tcPr>
            <w:tcW w:type="dxa" w:w="2699"/>
            <w:vAlign w:val="center"/>
          </w:tcPr>
          <w:p>
            <w:pPr>
              <w:keepNext w:val="0"/>
              <w:spacing w:line="320" w:lineRule="exact" w:after="0" w:before="0"/>
              <w:ind w:firstLine="0"/>
              <w:jc w:val="left"/>
            </w:pPr>
            <w:r>
              <w:rPr>
                <w:b w:val="0"/>
                <w:sz w:val="21"/>
              </w:rPr>
              <w:t>指标、方法、阈值、抽样及模型协议</w:t>
            </w:r>
          </w:p>
        </w:tc>
        <w:tc>
          <w:tcPr>
            <w:tcW w:type="dxa" w:w="2409"/>
            <w:vAlign w:val="center"/>
          </w:tcPr>
          <w:p>
            <w:pPr>
              <w:keepNext w:val="0"/>
              <w:spacing w:line="320" w:lineRule="exact" w:after="0" w:before="0"/>
              <w:ind w:firstLine="0"/>
              <w:jc w:val="left"/>
            </w:pPr>
            <w:r>
              <w:rPr>
                <w:b w:val="0"/>
                <w:sz w:val="21"/>
              </w:rPr>
              <w:t>设计阶段</w:t>
            </w:r>
          </w:p>
        </w:tc>
        <w:tc>
          <w:tcPr>
            <w:tcW w:type="dxa" w:w="2891"/>
            <w:vAlign w:val="center"/>
          </w:tcPr>
          <w:p>
            <w:pPr>
              <w:keepNext w:val="0"/>
              <w:spacing w:line="320" w:lineRule="exact" w:after="0" w:before="0"/>
              <w:ind w:firstLine="0"/>
              <w:jc w:val="left"/>
            </w:pPr>
            <w:r>
              <w:rPr>
                <w:b w:val="0"/>
                <w:sz w:val="21"/>
              </w:rPr>
              <w:t>甲方审核确认版本</w:t>
            </w:r>
          </w:p>
        </w:tc>
      </w:tr>
      <w:tr>
        <w:trPr>
          <w:cantSplit/>
        </w:trPr>
        <w:tc>
          <w:tcPr>
            <w:tcW w:type="dxa" w:w="1638"/>
            <w:vAlign w:val="center"/>
          </w:tcPr>
          <w:p>
            <w:pPr>
              <w:keepNext w:val="0"/>
              <w:spacing w:line="320" w:lineRule="exact" w:after="0" w:before="0"/>
              <w:ind w:firstLine="0"/>
              <w:jc w:val="left"/>
            </w:pPr>
            <w:r>
              <w:rPr>
                <w:b w:val="0"/>
                <w:sz w:val="21"/>
              </w:rPr>
              <w:t>完整指标打分表</w:t>
            </w:r>
          </w:p>
        </w:tc>
        <w:tc>
          <w:tcPr>
            <w:tcW w:type="dxa" w:w="2699"/>
            <w:vAlign w:val="center"/>
          </w:tcPr>
          <w:p>
            <w:pPr>
              <w:keepNext w:val="0"/>
              <w:spacing w:line="320" w:lineRule="exact" w:after="0" w:before="0"/>
              <w:ind w:firstLine="0"/>
              <w:jc w:val="left"/>
            </w:pPr>
            <w:r>
              <w:rPr>
                <w:b w:val="0"/>
                <w:sz w:val="21"/>
              </w:rPr>
              <w:t>81项定义、适用性、结果及证据</w:t>
            </w:r>
          </w:p>
        </w:tc>
        <w:tc>
          <w:tcPr>
            <w:tcW w:type="dxa" w:w="2409"/>
            <w:vAlign w:val="center"/>
          </w:tcPr>
          <w:p>
            <w:pPr>
              <w:keepNext w:val="0"/>
              <w:spacing w:line="320" w:lineRule="exact" w:after="0" w:before="0"/>
              <w:ind w:firstLine="0"/>
              <w:jc w:val="left"/>
            </w:pPr>
            <w:r>
              <w:rPr>
                <w:b w:val="0"/>
                <w:sz w:val="21"/>
              </w:rPr>
              <w:t>设计及各轮执行</w:t>
            </w:r>
          </w:p>
        </w:tc>
        <w:tc>
          <w:tcPr>
            <w:tcW w:type="dxa" w:w="2891"/>
            <w:vAlign w:val="center"/>
          </w:tcPr>
          <w:p>
            <w:pPr>
              <w:keepNext w:val="0"/>
              <w:spacing w:line="320" w:lineRule="exact" w:after="0" w:before="0"/>
              <w:ind w:firstLine="0"/>
              <w:jc w:val="left"/>
            </w:pPr>
            <w:r>
              <w:rPr>
                <w:b w:val="0"/>
                <w:sz w:val="21"/>
              </w:rPr>
              <w:t>全覆盖且可复算</w:t>
            </w:r>
          </w:p>
        </w:tc>
      </w:tr>
      <w:tr>
        <w:trPr>
          <w:cantSplit/>
        </w:trPr>
        <w:tc>
          <w:tcPr>
            <w:tcW w:type="dxa" w:w="1638"/>
            <w:vAlign w:val="center"/>
          </w:tcPr>
          <w:p>
            <w:pPr>
              <w:keepNext w:val="0"/>
              <w:spacing w:line="320" w:lineRule="exact" w:after="0" w:before="0"/>
              <w:ind w:firstLine="0"/>
              <w:jc w:val="left"/>
            </w:pPr>
            <w:r>
              <w:rPr>
                <w:b w:val="0"/>
                <w:sz w:val="21"/>
              </w:rPr>
              <w:t>静态检测记录</w:t>
            </w:r>
          </w:p>
        </w:tc>
        <w:tc>
          <w:tcPr>
            <w:tcW w:type="dxa" w:w="2699"/>
            <w:vAlign w:val="center"/>
          </w:tcPr>
          <w:p>
            <w:pPr>
              <w:keepNext w:val="0"/>
              <w:spacing w:line="320" w:lineRule="exact" w:after="0" w:before="0"/>
              <w:ind w:firstLine="0"/>
              <w:jc w:val="left"/>
            </w:pPr>
            <w:r>
              <w:rPr>
                <w:b w:val="0"/>
                <w:sz w:val="21"/>
              </w:rPr>
              <w:t>文件、字段、风险、重复及质量明细</w:t>
            </w:r>
          </w:p>
        </w:tc>
        <w:tc>
          <w:tcPr>
            <w:tcW w:type="dxa" w:w="2409"/>
            <w:vAlign w:val="center"/>
          </w:tcPr>
          <w:p>
            <w:pPr>
              <w:keepNext w:val="0"/>
              <w:spacing w:line="320" w:lineRule="exact" w:after="0" w:before="0"/>
              <w:ind w:firstLine="0"/>
              <w:jc w:val="left"/>
            </w:pPr>
            <w:r>
              <w:rPr>
                <w:b w:val="0"/>
                <w:sz w:val="21"/>
              </w:rPr>
              <w:t>各轮执行</w:t>
            </w:r>
          </w:p>
        </w:tc>
        <w:tc>
          <w:tcPr>
            <w:tcW w:type="dxa" w:w="2891"/>
            <w:vAlign w:val="center"/>
          </w:tcPr>
          <w:p>
            <w:pPr>
              <w:keepNext w:val="0"/>
              <w:spacing w:line="320" w:lineRule="exact" w:after="0" w:before="0"/>
              <w:ind w:firstLine="0"/>
              <w:jc w:val="left"/>
            </w:pPr>
            <w:r>
              <w:rPr>
                <w:b w:val="0"/>
                <w:sz w:val="21"/>
              </w:rPr>
              <w:t>对象、规则和版本完整</w:t>
            </w:r>
          </w:p>
        </w:tc>
      </w:tr>
      <w:tr>
        <w:trPr>
          <w:cantSplit/>
        </w:trPr>
        <w:tc>
          <w:tcPr>
            <w:tcW w:type="dxa" w:w="1638"/>
            <w:vAlign w:val="center"/>
          </w:tcPr>
          <w:p>
            <w:pPr>
              <w:keepNext w:val="0"/>
              <w:spacing w:line="320" w:lineRule="exact" w:after="0" w:before="0"/>
              <w:ind w:firstLine="0"/>
              <w:jc w:val="left"/>
            </w:pPr>
            <w:r>
              <w:rPr>
                <w:b w:val="0"/>
                <w:sz w:val="21"/>
              </w:rPr>
              <w:t>专家复核记录</w:t>
            </w:r>
          </w:p>
        </w:tc>
        <w:tc>
          <w:tcPr>
            <w:tcW w:type="dxa" w:w="2699"/>
            <w:vAlign w:val="center"/>
          </w:tcPr>
          <w:p>
            <w:pPr>
              <w:keepNext w:val="0"/>
              <w:spacing w:line="320" w:lineRule="exact" w:after="0" w:before="0"/>
              <w:ind w:firstLine="0"/>
              <w:jc w:val="left"/>
            </w:pPr>
            <w:r>
              <w:rPr>
                <w:b w:val="0"/>
                <w:sz w:val="21"/>
              </w:rPr>
              <w:t>专业判定、高危复核及争议处理</w:t>
            </w:r>
          </w:p>
        </w:tc>
        <w:tc>
          <w:tcPr>
            <w:tcW w:type="dxa" w:w="2409"/>
            <w:vAlign w:val="center"/>
          </w:tcPr>
          <w:p>
            <w:pPr>
              <w:keepNext w:val="0"/>
              <w:spacing w:line="320" w:lineRule="exact" w:after="0" w:before="0"/>
              <w:ind w:firstLine="0"/>
              <w:jc w:val="left"/>
            </w:pPr>
            <w:r>
              <w:rPr>
                <w:b w:val="0"/>
                <w:sz w:val="21"/>
              </w:rPr>
              <w:t>各轮执行</w:t>
            </w:r>
          </w:p>
        </w:tc>
        <w:tc>
          <w:tcPr>
            <w:tcW w:type="dxa" w:w="2891"/>
            <w:vAlign w:val="center"/>
          </w:tcPr>
          <w:p>
            <w:pPr>
              <w:keepNext w:val="0"/>
              <w:spacing w:line="320" w:lineRule="exact" w:after="0" w:before="0"/>
              <w:ind w:firstLine="0"/>
              <w:jc w:val="left"/>
            </w:pPr>
            <w:r>
              <w:rPr>
                <w:b w:val="0"/>
                <w:sz w:val="21"/>
              </w:rPr>
              <w:t>依据、人员和结论可追踪</w:t>
            </w:r>
          </w:p>
        </w:tc>
      </w:tr>
      <w:tr>
        <w:trPr>
          <w:cantSplit/>
        </w:trPr>
        <w:tc>
          <w:tcPr>
            <w:tcW w:type="dxa" w:w="1638"/>
            <w:vAlign w:val="center"/>
          </w:tcPr>
          <w:p>
            <w:pPr>
              <w:keepNext w:val="0"/>
              <w:spacing w:line="320" w:lineRule="exact" w:after="0" w:before="0"/>
              <w:ind w:firstLine="0"/>
              <w:jc w:val="left"/>
            </w:pPr>
            <w:r>
              <w:rPr>
                <w:b w:val="0"/>
                <w:sz w:val="21"/>
              </w:rPr>
              <w:t>性能基线报告及实验档案</w:t>
            </w:r>
          </w:p>
        </w:tc>
        <w:tc>
          <w:tcPr>
            <w:tcW w:type="dxa" w:w="2699"/>
            <w:vAlign w:val="center"/>
          </w:tcPr>
          <w:p>
            <w:pPr>
              <w:keepNext w:val="0"/>
              <w:spacing w:line="320" w:lineRule="exact" w:after="0" w:before="0"/>
              <w:ind w:firstLine="0"/>
              <w:jc w:val="left"/>
            </w:pPr>
            <w:r>
              <w:rPr>
                <w:b w:val="0"/>
                <w:sz w:val="21"/>
              </w:rPr>
              <w:t>四类适用模型对照及复现材料</w:t>
            </w:r>
          </w:p>
        </w:tc>
        <w:tc>
          <w:tcPr>
            <w:tcW w:type="dxa" w:w="2409"/>
            <w:vAlign w:val="center"/>
          </w:tcPr>
          <w:p>
            <w:pPr>
              <w:keepNext w:val="0"/>
              <w:spacing w:line="320" w:lineRule="exact" w:after="0" w:before="0"/>
              <w:ind w:firstLine="0"/>
              <w:jc w:val="left"/>
            </w:pPr>
            <w:r>
              <w:rPr>
                <w:b w:val="0"/>
                <w:sz w:val="21"/>
              </w:rPr>
              <w:t>动态验证</w:t>
            </w:r>
          </w:p>
        </w:tc>
        <w:tc>
          <w:tcPr>
            <w:tcW w:type="dxa" w:w="2891"/>
            <w:vAlign w:val="center"/>
          </w:tcPr>
          <w:p>
            <w:pPr>
              <w:keepNext w:val="0"/>
              <w:spacing w:line="320" w:lineRule="exact" w:after="0" w:before="0"/>
              <w:ind w:firstLine="0"/>
              <w:jc w:val="left"/>
            </w:pPr>
            <w:r>
              <w:rPr>
                <w:b w:val="0"/>
                <w:sz w:val="21"/>
              </w:rPr>
              <w:t>隔离、参数和输出一致</w:t>
            </w:r>
          </w:p>
        </w:tc>
      </w:tr>
      <w:tr>
        <w:trPr>
          <w:cantSplit/>
        </w:trPr>
        <w:tc>
          <w:tcPr>
            <w:tcW w:type="dxa" w:w="1638"/>
            <w:vAlign w:val="center"/>
          </w:tcPr>
          <w:p>
            <w:pPr>
              <w:keepNext w:val="0"/>
              <w:spacing w:line="320" w:lineRule="exact" w:after="0" w:before="0"/>
              <w:ind w:firstLine="0"/>
              <w:jc w:val="left"/>
            </w:pPr>
            <w:r>
              <w:rPr>
                <w:b w:val="0"/>
                <w:sz w:val="21"/>
              </w:rPr>
              <w:t>缺陷清单与整改操作指引</w:t>
            </w:r>
          </w:p>
        </w:tc>
        <w:tc>
          <w:tcPr>
            <w:tcW w:type="dxa" w:w="2699"/>
            <w:vAlign w:val="center"/>
          </w:tcPr>
          <w:p>
            <w:pPr>
              <w:keepNext w:val="0"/>
              <w:spacing w:line="320" w:lineRule="exact" w:after="0" w:before="0"/>
              <w:ind w:firstLine="0"/>
              <w:jc w:val="left"/>
            </w:pPr>
            <w:r>
              <w:rPr>
                <w:b w:val="0"/>
                <w:sz w:val="21"/>
              </w:rPr>
              <w:t>定位、原因、步骤及复检规则</w:t>
            </w:r>
          </w:p>
        </w:tc>
        <w:tc>
          <w:tcPr>
            <w:tcW w:type="dxa" w:w="2409"/>
            <w:vAlign w:val="center"/>
          </w:tcPr>
          <w:p>
            <w:pPr>
              <w:keepNext w:val="0"/>
              <w:spacing w:line="320" w:lineRule="exact" w:after="0" w:before="0"/>
              <w:ind w:firstLine="0"/>
              <w:jc w:val="left"/>
            </w:pPr>
            <w:r>
              <w:rPr>
                <w:b w:val="0"/>
                <w:sz w:val="21"/>
              </w:rPr>
              <w:t>缺陷分析</w:t>
            </w:r>
          </w:p>
        </w:tc>
        <w:tc>
          <w:tcPr>
            <w:tcW w:type="dxa" w:w="2891"/>
            <w:vAlign w:val="center"/>
          </w:tcPr>
          <w:p>
            <w:pPr>
              <w:keepNext w:val="0"/>
              <w:spacing w:line="320" w:lineRule="exact" w:after="0" w:before="0"/>
              <w:ind w:firstLine="0"/>
              <w:jc w:val="left"/>
            </w:pPr>
            <w:r>
              <w:rPr>
                <w:b w:val="0"/>
                <w:sz w:val="21"/>
              </w:rPr>
              <w:t>覆盖全部确认缺陷</w:t>
            </w:r>
          </w:p>
        </w:tc>
      </w:tr>
      <w:tr>
        <w:trPr>
          <w:cantSplit/>
        </w:trPr>
        <w:tc>
          <w:tcPr>
            <w:tcW w:type="dxa" w:w="1638"/>
            <w:vAlign w:val="center"/>
          </w:tcPr>
          <w:p>
            <w:pPr>
              <w:keepNext w:val="0"/>
              <w:spacing w:line="320" w:lineRule="exact" w:after="0" w:before="0"/>
              <w:ind w:firstLine="0"/>
              <w:jc w:val="left"/>
            </w:pPr>
            <w:r>
              <w:rPr>
                <w:b w:val="0"/>
                <w:sz w:val="21"/>
              </w:rPr>
              <w:t>迭代优化专项方案</w:t>
            </w:r>
          </w:p>
        </w:tc>
        <w:tc>
          <w:tcPr>
            <w:tcW w:type="dxa" w:w="2699"/>
            <w:vAlign w:val="center"/>
          </w:tcPr>
          <w:p>
            <w:pPr>
              <w:keepNext w:val="0"/>
              <w:spacing w:line="320" w:lineRule="exact" w:after="0" w:before="0"/>
              <w:ind w:firstLine="0"/>
              <w:jc w:val="left"/>
            </w:pPr>
            <w:r>
              <w:rPr>
                <w:b w:val="0"/>
                <w:sz w:val="21"/>
              </w:rPr>
              <w:t>场景、均衡、标注及数据补充</w:t>
            </w:r>
          </w:p>
        </w:tc>
        <w:tc>
          <w:tcPr>
            <w:tcW w:type="dxa" w:w="2409"/>
            <w:vAlign w:val="center"/>
          </w:tcPr>
          <w:p>
            <w:pPr>
              <w:keepNext w:val="0"/>
              <w:spacing w:line="320" w:lineRule="exact" w:after="0" w:before="0"/>
              <w:ind w:firstLine="0"/>
              <w:jc w:val="left"/>
            </w:pPr>
            <w:r>
              <w:rPr>
                <w:b w:val="0"/>
                <w:sz w:val="21"/>
              </w:rPr>
              <w:t>动态分析及整改</w:t>
            </w:r>
          </w:p>
        </w:tc>
        <w:tc>
          <w:tcPr>
            <w:tcW w:type="dxa" w:w="2891"/>
            <w:vAlign w:val="center"/>
          </w:tcPr>
          <w:p>
            <w:pPr>
              <w:keepNext w:val="0"/>
              <w:spacing w:line="320" w:lineRule="exact" w:after="0" w:before="0"/>
              <w:ind w:firstLine="0"/>
              <w:jc w:val="left"/>
            </w:pPr>
            <w:r>
              <w:rPr>
                <w:b w:val="0"/>
                <w:sz w:val="21"/>
              </w:rPr>
              <w:t>措施对应具体问题</w:t>
            </w:r>
          </w:p>
        </w:tc>
      </w:tr>
      <w:tr>
        <w:trPr>
          <w:cantSplit/>
        </w:trPr>
        <w:tc>
          <w:tcPr>
            <w:tcW w:type="dxa" w:w="1638"/>
            <w:vAlign w:val="center"/>
          </w:tcPr>
          <w:p>
            <w:pPr>
              <w:keepNext w:val="0"/>
              <w:spacing w:line="320" w:lineRule="exact" w:after="0" w:before="0"/>
              <w:ind w:firstLine="0"/>
              <w:jc w:val="left"/>
            </w:pPr>
            <w:r>
              <w:rPr>
                <w:b w:val="0"/>
                <w:sz w:val="21"/>
              </w:rPr>
              <w:t>各轮完整复测资料</w:t>
            </w:r>
          </w:p>
        </w:tc>
        <w:tc>
          <w:tcPr>
            <w:tcW w:type="dxa" w:w="2699"/>
            <w:vAlign w:val="center"/>
          </w:tcPr>
          <w:p>
            <w:pPr>
              <w:keepNext w:val="0"/>
              <w:spacing w:line="320" w:lineRule="exact" w:after="0" w:before="0"/>
              <w:ind w:firstLine="0"/>
              <w:jc w:val="left"/>
            </w:pPr>
            <w:r>
              <w:rPr>
                <w:b w:val="0"/>
                <w:sz w:val="21"/>
              </w:rPr>
              <w:t>三维度重评及缺陷关闭</w:t>
            </w:r>
          </w:p>
        </w:tc>
        <w:tc>
          <w:tcPr>
            <w:tcW w:type="dxa" w:w="2409"/>
            <w:vAlign w:val="center"/>
          </w:tcPr>
          <w:p>
            <w:pPr>
              <w:keepNext w:val="0"/>
              <w:spacing w:line="320" w:lineRule="exact" w:after="0" w:before="0"/>
              <w:ind w:firstLine="0"/>
              <w:jc w:val="left"/>
            </w:pPr>
            <w:r>
              <w:rPr>
                <w:b w:val="0"/>
                <w:sz w:val="21"/>
              </w:rPr>
              <w:t>集中复测</w:t>
            </w:r>
          </w:p>
        </w:tc>
        <w:tc>
          <w:tcPr>
            <w:tcW w:type="dxa" w:w="2891"/>
            <w:vAlign w:val="center"/>
          </w:tcPr>
          <w:p>
            <w:pPr>
              <w:keepNext w:val="0"/>
              <w:spacing w:line="320" w:lineRule="exact" w:after="0" w:before="0"/>
              <w:ind w:firstLine="0"/>
              <w:jc w:val="left"/>
            </w:pPr>
            <w:r>
              <w:rPr>
                <w:b w:val="0"/>
                <w:sz w:val="21"/>
              </w:rPr>
              <w:t>次数、范围和结果齐备</w:t>
            </w:r>
          </w:p>
        </w:tc>
      </w:tr>
      <w:tr>
        <w:trPr>
          <w:cantSplit/>
        </w:trPr>
        <w:tc>
          <w:tcPr>
            <w:tcW w:type="dxa" w:w="1638"/>
            <w:vAlign w:val="center"/>
          </w:tcPr>
          <w:p>
            <w:pPr>
              <w:keepNext w:val="0"/>
              <w:spacing w:line="320" w:lineRule="exact" w:after="0" w:before="0"/>
              <w:ind w:firstLine="0"/>
              <w:jc w:val="left"/>
            </w:pPr>
            <w:r>
              <w:rPr>
                <w:b w:val="0"/>
                <w:sz w:val="21"/>
              </w:rPr>
              <w:t>行业高质量数据集质量评测报告</w:t>
            </w:r>
          </w:p>
        </w:tc>
        <w:tc>
          <w:tcPr>
            <w:tcW w:type="dxa" w:w="2699"/>
            <w:vAlign w:val="center"/>
          </w:tcPr>
          <w:p>
            <w:pPr>
              <w:keepNext w:val="0"/>
              <w:spacing w:line="320" w:lineRule="exact" w:after="0" w:before="0"/>
              <w:ind w:firstLine="0"/>
              <w:jc w:val="left"/>
            </w:pPr>
            <w:r>
              <w:rPr>
                <w:b w:val="0"/>
                <w:sz w:val="21"/>
              </w:rPr>
              <w:t>最终逐项评分与质量结论</w:t>
            </w:r>
          </w:p>
        </w:tc>
        <w:tc>
          <w:tcPr>
            <w:tcW w:type="dxa" w:w="2409"/>
            <w:vAlign w:val="center"/>
          </w:tcPr>
          <w:p>
            <w:pPr>
              <w:keepNext w:val="0"/>
              <w:spacing w:line="320" w:lineRule="exact" w:after="0" w:before="0"/>
              <w:ind w:firstLine="0"/>
              <w:jc w:val="left"/>
            </w:pPr>
            <w:r>
              <w:rPr>
                <w:b w:val="0"/>
                <w:sz w:val="21"/>
              </w:rPr>
              <w:t>正式交付</w:t>
            </w:r>
          </w:p>
        </w:tc>
        <w:tc>
          <w:tcPr>
            <w:tcW w:type="dxa" w:w="2891"/>
            <w:vAlign w:val="center"/>
          </w:tcPr>
          <w:p>
            <w:pPr>
              <w:keepNext w:val="0"/>
              <w:spacing w:line="320" w:lineRule="exact" w:after="0" w:before="0"/>
              <w:ind w:firstLine="0"/>
              <w:jc w:val="left"/>
            </w:pPr>
            <w:r>
              <w:rPr>
                <w:b w:val="0"/>
                <w:sz w:val="21"/>
              </w:rPr>
              <w:t>第三方机构正式盖章</w:t>
            </w:r>
          </w:p>
        </w:tc>
      </w:tr>
      <w:tr>
        <w:trPr>
          <w:cantSplit/>
        </w:trPr>
        <w:tc>
          <w:tcPr>
            <w:tcW w:type="dxa" w:w="1638"/>
            <w:vAlign w:val="center"/>
          </w:tcPr>
          <w:p>
            <w:pPr>
              <w:keepNext w:val="0"/>
              <w:spacing w:line="320" w:lineRule="exact" w:after="0" w:before="0"/>
              <w:ind w:firstLine="0"/>
              <w:jc w:val="left"/>
            </w:pPr>
            <w:r>
              <w:rPr>
                <w:b w:val="0"/>
                <w:sz w:val="21"/>
              </w:rPr>
              <w:t>质量档案总索引</w:t>
            </w:r>
          </w:p>
        </w:tc>
        <w:tc>
          <w:tcPr>
            <w:tcW w:type="dxa" w:w="2699"/>
            <w:vAlign w:val="center"/>
          </w:tcPr>
          <w:p>
            <w:pPr>
              <w:keepNext w:val="0"/>
              <w:spacing w:line="320" w:lineRule="exact" w:after="0" w:before="0"/>
              <w:ind w:firstLine="0"/>
              <w:jc w:val="left"/>
            </w:pPr>
            <w:r>
              <w:rPr>
                <w:b w:val="0"/>
                <w:sz w:val="21"/>
              </w:rPr>
              <w:t>过程资料、摘要、权限及引用</w:t>
            </w:r>
          </w:p>
        </w:tc>
        <w:tc>
          <w:tcPr>
            <w:tcW w:type="dxa" w:w="2409"/>
            <w:vAlign w:val="center"/>
          </w:tcPr>
          <w:p>
            <w:pPr>
              <w:keepNext w:val="0"/>
              <w:spacing w:line="320" w:lineRule="exact" w:after="0" w:before="0"/>
              <w:ind w:firstLine="0"/>
              <w:jc w:val="left"/>
            </w:pPr>
            <w:r>
              <w:rPr>
                <w:b w:val="0"/>
                <w:sz w:val="21"/>
              </w:rPr>
              <w:t>归档移交</w:t>
            </w:r>
          </w:p>
        </w:tc>
        <w:tc>
          <w:tcPr>
            <w:tcW w:type="dxa" w:w="2891"/>
            <w:vAlign w:val="center"/>
          </w:tcPr>
          <w:p>
            <w:pPr>
              <w:keepNext w:val="0"/>
              <w:spacing w:line="320" w:lineRule="exact" w:after="0" w:before="0"/>
              <w:ind w:firstLine="0"/>
              <w:jc w:val="left"/>
            </w:pPr>
            <w:r>
              <w:rPr>
                <w:b w:val="0"/>
                <w:sz w:val="21"/>
              </w:rPr>
              <w:t>文件齐备、可读、可定位</w:t>
            </w:r>
          </w:p>
        </w:tc>
      </w:tr>
      <w:tr>
        <w:trPr>
          <w:cantSplit/>
        </w:trPr>
        <w:tc>
          <w:tcPr>
            <w:tcW w:type="dxa" w:w="1638"/>
            <w:vAlign w:val="center"/>
          </w:tcPr>
          <w:p>
            <w:pPr>
              <w:keepNext w:val="0"/>
              <w:spacing w:line="320" w:lineRule="exact" w:after="0" w:before="0"/>
              <w:ind w:firstLine="0"/>
              <w:jc w:val="left"/>
            </w:pPr>
            <w:r>
              <w:rPr>
                <w:b w:val="0"/>
                <w:sz w:val="21"/>
              </w:rPr>
              <w:t>管理规范优化成果</w:t>
            </w:r>
          </w:p>
        </w:tc>
        <w:tc>
          <w:tcPr>
            <w:tcW w:type="dxa" w:w="2699"/>
            <w:vAlign w:val="center"/>
          </w:tcPr>
          <w:p>
            <w:pPr>
              <w:keepNext w:val="0"/>
              <w:spacing w:line="320" w:lineRule="exact" w:after="0" w:before="0"/>
              <w:ind w:firstLine="0"/>
              <w:jc w:val="left"/>
            </w:pPr>
            <w:r>
              <w:rPr>
                <w:b w:val="0"/>
                <w:sz w:val="21"/>
              </w:rPr>
              <w:t>规则、数据卡和持续检查改进</w:t>
            </w:r>
          </w:p>
        </w:tc>
        <w:tc>
          <w:tcPr>
            <w:tcW w:type="dxa" w:w="2409"/>
            <w:vAlign w:val="center"/>
          </w:tcPr>
          <w:p>
            <w:pPr>
              <w:keepNext w:val="0"/>
              <w:spacing w:line="320" w:lineRule="exact" w:after="0" w:before="0"/>
              <w:ind w:firstLine="0"/>
              <w:jc w:val="left"/>
            </w:pPr>
            <w:r>
              <w:rPr>
                <w:b w:val="0"/>
                <w:sz w:val="21"/>
              </w:rPr>
              <w:t>服务期改进</w:t>
            </w:r>
          </w:p>
        </w:tc>
        <w:tc>
          <w:tcPr>
            <w:tcW w:type="dxa" w:w="2891"/>
            <w:vAlign w:val="center"/>
          </w:tcPr>
          <w:p>
            <w:pPr>
              <w:keepNext w:val="0"/>
              <w:spacing w:line="320" w:lineRule="exact" w:after="0" w:before="0"/>
              <w:ind w:firstLine="0"/>
              <w:jc w:val="left"/>
            </w:pPr>
            <w:r>
              <w:rPr>
                <w:b w:val="0"/>
                <w:sz w:val="21"/>
              </w:rPr>
              <w:t>形成实际执行安排</w:t>
            </w:r>
          </w:p>
        </w:tc>
      </w:tr>
    </w:tbl>
    <w:p>
      <w:pPr>
        <w:spacing w:after="40" w:line="240" w:lineRule="auto"/>
        <w:ind w:firstLine="0"/>
      </w:pPr>
      <w:r>
        <w:rPr>
          <w:sz w:val="4"/>
        </w:rPr>
      </w:r>
    </w:p>
    <w:p>
      <w:pPr>
        <w:pStyle w:val="Caption"/>
        <w:keepNext/>
      </w:pPr>
      <w:r>
        <w:t>表10-4 交付档案交叉核验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档案类别</w:t>
            </w:r>
          </w:p>
        </w:tc>
        <w:tc>
          <w:tcPr>
            <w:tcW w:type="dxa" w:w="3855"/>
            <w:vAlign w:val="center"/>
            <w:shd w:fill="EDF1F3"/>
          </w:tcPr>
          <w:p>
            <w:pPr>
              <w:keepNext/>
              <w:spacing w:line="320" w:lineRule="exact" w:after="0" w:before="0"/>
              <w:ind w:firstLine="0"/>
              <w:jc w:val="center"/>
            </w:pPr>
            <w:r>
              <w:rPr>
                <w:b/>
                <w:sz w:val="21"/>
              </w:rPr>
              <w:t>核对关系</w:t>
            </w:r>
          </w:p>
        </w:tc>
        <w:tc>
          <w:tcPr>
            <w:tcW w:type="dxa" w:w="3277"/>
            <w:vAlign w:val="center"/>
            <w:shd w:fill="EDF1F3"/>
          </w:tcPr>
          <w:p>
            <w:pPr>
              <w:keepNext/>
              <w:spacing w:line="320" w:lineRule="exact" w:after="0" w:before="0"/>
              <w:ind w:firstLine="0"/>
              <w:jc w:val="center"/>
            </w:pPr>
            <w:r>
              <w:rPr>
                <w:b/>
                <w:sz w:val="21"/>
              </w:rPr>
              <w:t>必须具备的状态</w:t>
            </w:r>
          </w:p>
        </w:tc>
      </w:tr>
      <w:tr>
        <w:trPr>
          <w:cantSplit/>
        </w:trPr>
        <w:tc>
          <w:tcPr>
            <w:tcW w:type="dxa" w:w="2506"/>
            <w:vAlign w:val="center"/>
          </w:tcPr>
          <w:p>
            <w:pPr>
              <w:keepNext w:val="0"/>
              <w:spacing w:line="320" w:lineRule="exact" w:after="0" w:before="0"/>
              <w:ind w:firstLine="0"/>
              <w:jc w:val="left"/>
            </w:pPr>
            <w:r>
              <w:rPr>
                <w:b w:val="0"/>
                <w:sz w:val="21"/>
              </w:rPr>
              <w:t>数据与数据卡</w:t>
            </w:r>
          </w:p>
        </w:tc>
        <w:tc>
          <w:tcPr>
            <w:tcW w:type="dxa" w:w="3855"/>
            <w:vAlign w:val="center"/>
          </w:tcPr>
          <w:p>
            <w:pPr>
              <w:keepNext w:val="0"/>
              <w:spacing w:line="320" w:lineRule="exact" w:after="0" w:before="0"/>
              <w:ind w:firstLine="0"/>
              <w:jc w:val="left"/>
            </w:pPr>
            <w:r>
              <w:rPr>
                <w:b w:val="0"/>
                <w:sz w:val="21"/>
              </w:rPr>
              <w:t>内容摘要、净量、模态及时间</w:t>
            </w:r>
          </w:p>
        </w:tc>
        <w:tc>
          <w:tcPr>
            <w:tcW w:type="dxa" w:w="3277"/>
            <w:vAlign w:val="center"/>
          </w:tcPr>
          <w:p>
            <w:pPr>
              <w:keepNext w:val="0"/>
              <w:spacing w:line="320" w:lineRule="exact" w:after="0" w:before="0"/>
              <w:ind w:firstLine="0"/>
              <w:jc w:val="left"/>
            </w:pPr>
            <w:r>
              <w:rPr>
                <w:b w:val="0"/>
                <w:sz w:val="21"/>
              </w:rPr>
              <w:t>同一正式版本且统计一致</w:t>
            </w:r>
          </w:p>
        </w:tc>
      </w:tr>
      <w:tr>
        <w:trPr>
          <w:cantSplit/>
        </w:trPr>
        <w:tc>
          <w:tcPr>
            <w:tcW w:type="dxa" w:w="2506"/>
            <w:vAlign w:val="center"/>
          </w:tcPr>
          <w:p>
            <w:pPr>
              <w:keepNext w:val="0"/>
              <w:spacing w:line="320" w:lineRule="exact" w:after="0" w:before="0"/>
              <w:ind w:firstLine="0"/>
              <w:jc w:val="left"/>
            </w:pPr>
            <w:r>
              <w:rPr>
                <w:b w:val="0"/>
                <w:sz w:val="21"/>
              </w:rPr>
              <w:t>质检与验证</w:t>
            </w:r>
          </w:p>
        </w:tc>
        <w:tc>
          <w:tcPr>
            <w:tcW w:type="dxa" w:w="3855"/>
            <w:vAlign w:val="center"/>
          </w:tcPr>
          <w:p>
            <w:pPr>
              <w:keepNext w:val="0"/>
              <w:spacing w:line="320" w:lineRule="exact" w:after="0" w:before="0"/>
              <w:ind w:firstLine="0"/>
              <w:jc w:val="left"/>
            </w:pPr>
            <w:r>
              <w:rPr>
                <w:b w:val="0"/>
                <w:sz w:val="21"/>
              </w:rPr>
              <w:t>数据版本、问题清单及模型输入</w:t>
            </w:r>
          </w:p>
        </w:tc>
        <w:tc>
          <w:tcPr>
            <w:tcW w:type="dxa" w:w="3277"/>
            <w:vAlign w:val="center"/>
          </w:tcPr>
          <w:p>
            <w:pPr>
              <w:keepNext w:val="0"/>
              <w:spacing w:line="320" w:lineRule="exact" w:after="0" w:before="0"/>
              <w:ind w:firstLine="0"/>
              <w:jc w:val="left"/>
            </w:pPr>
            <w:r>
              <w:rPr>
                <w:b w:val="0"/>
                <w:sz w:val="21"/>
              </w:rPr>
              <w:t>前置检查通过且已知问题关闭</w:t>
            </w:r>
          </w:p>
        </w:tc>
      </w:tr>
      <w:tr>
        <w:trPr>
          <w:cantSplit/>
        </w:trPr>
        <w:tc>
          <w:tcPr>
            <w:tcW w:type="dxa" w:w="2506"/>
            <w:vAlign w:val="center"/>
          </w:tcPr>
          <w:p>
            <w:pPr>
              <w:keepNext w:val="0"/>
              <w:spacing w:line="320" w:lineRule="exact" w:after="0" w:before="0"/>
              <w:ind w:firstLine="0"/>
              <w:jc w:val="left"/>
            </w:pPr>
            <w:r>
              <w:rPr>
                <w:b w:val="0"/>
                <w:sz w:val="21"/>
              </w:rPr>
              <w:t>正式评测</w:t>
            </w:r>
          </w:p>
        </w:tc>
        <w:tc>
          <w:tcPr>
            <w:tcW w:type="dxa" w:w="3855"/>
            <w:vAlign w:val="center"/>
          </w:tcPr>
          <w:p>
            <w:pPr>
              <w:keepNext w:val="0"/>
              <w:spacing w:line="320" w:lineRule="exact" w:after="0" w:before="0"/>
              <w:ind w:firstLine="0"/>
              <w:jc w:val="left"/>
            </w:pPr>
            <w:r>
              <w:rPr>
                <w:b w:val="0"/>
                <w:sz w:val="21"/>
              </w:rPr>
              <w:t>指标、权重、模型及缺陷</w:t>
            </w:r>
          </w:p>
        </w:tc>
        <w:tc>
          <w:tcPr>
            <w:tcW w:type="dxa" w:w="3277"/>
            <w:vAlign w:val="center"/>
          </w:tcPr>
          <w:p>
            <w:pPr>
              <w:keepNext w:val="0"/>
              <w:spacing w:line="320" w:lineRule="exact" w:after="0" w:before="0"/>
              <w:ind w:firstLine="0"/>
              <w:jc w:val="left"/>
            </w:pPr>
            <w:r>
              <w:rPr>
                <w:b w:val="0"/>
                <w:sz w:val="21"/>
              </w:rPr>
              <w:t>全部适用项完成并满足要求</w:t>
            </w:r>
          </w:p>
        </w:tc>
      </w:tr>
      <w:tr>
        <w:trPr>
          <w:cantSplit/>
        </w:trPr>
        <w:tc>
          <w:tcPr>
            <w:tcW w:type="dxa" w:w="2506"/>
            <w:vAlign w:val="center"/>
          </w:tcPr>
          <w:p>
            <w:pPr>
              <w:keepNext w:val="0"/>
              <w:spacing w:line="320" w:lineRule="exact" w:after="0" w:before="0"/>
              <w:ind w:firstLine="0"/>
              <w:jc w:val="left"/>
            </w:pPr>
            <w:r>
              <w:rPr>
                <w:b w:val="0"/>
                <w:sz w:val="21"/>
              </w:rPr>
              <w:t>报告与原始证据</w:t>
            </w:r>
          </w:p>
        </w:tc>
        <w:tc>
          <w:tcPr>
            <w:tcW w:type="dxa" w:w="3855"/>
            <w:vAlign w:val="center"/>
          </w:tcPr>
          <w:p>
            <w:pPr>
              <w:keepNext w:val="0"/>
              <w:spacing w:line="320" w:lineRule="exact" w:after="0" w:before="0"/>
              <w:ind w:firstLine="0"/>
              <w:jc w:val="left"/>
            </w:pPr>
            <w:r>
              <w:rPr>
                <w:b w:val="0"/>
                <w:sz w:val="21"/>
              </w:rPr>
              <w:t>结论、明细及复算链</w:t>
            </w:r>
          </w:p>
        </w:tc>
        <w:tc>
          <w:tcPr>
            <w:tcW w:type="dxa" w:w="3277"/>
            <w:vAlign w:val="center"/>
          </w:tcPr>
          <w:p>
            <w:pPr>
              <w:keepNext w:val="0"/>
              <w:spacing w:line="320" w:lineRule="exact" w:after="0" w:before="0"/>
              <w:ind w:firstLine="0"/>
              <w:jc w:val="left"/>
            </w:pPr>
            <w:r>
              <w:rPr>
                <w:b w:val="0"/>
                <w:sz w:val="21"/>
              </w:rPr>
              <w:t>每项结论可定位实际依据</w:t>
            </w:r>
          </w:p>
        </w:tc>
      </w:tr>
      <w:tr>
        <w:trPr>
          <w:cantSplit/>
        </w:trPr>
        <w:tc>
          <w:tcPr>
            <w:tcW w:type="dxa" w:w="2506"/>
            <w:vAlign w:val="center"/>
          </w:tcPr>
          <w:p>
            <w:pPr>
              <w:keepNext w:val="0"/>
              <w:spacing w:line="320" w:lineRule="exact" w:after="0" w:before="0"/>
              <w:ind w:firstLine="0"/>
              <w:jc w:val="left"/>
            </w:pPr>
            <w:r>
              <w:rPr>
                <w:b w:val="0"/>
                <w:sz w:val="21"/>
              </w:rPr>
              <w:t>交付封装</w:t>
            </w:r>
          </w:p>
        </w:tc>
        <w:tc>
          <w:tcPr>
            <w:tcW w:type="dxa" w:w="3855"/>
            <w:vAlign w:val="center"/>
          </w:tcPr>
          <w:p>
            <w:pPr>
              <w:keepNext w:val="0"/>
              <w:spacing w:line="320" w:lineRule="exact" w:after="0" w:before="0"/>
              <w:ind w:firstLine="0"/>
              <w:jc w:val="left"/>
            </w:pPr>
            <w:r>
              <w:rPr>
                <w:b w:val="0"/>
                <w:sz w:val="21"/>
              </w:rPr>
              <w:t>清单、文件摘要及存储位置</w:t>
            </w:r>
          </w:p>
        </w:tc>
        <w:tc>
          <w:tcPr>
            <w:tcW w:type="dxa" w:w="3277"/>
            <w:vAlign w:val="center"/>
          </w:tcPr>
          <w:p>
            <w:pPr>
              <w:keepNext w:val="0"/>
              <w:spacing w:line="320" w:lineRule="exact" w:after="0" w:before="0"/>
              <w:ind w:firstLine="0"/>
              <w:jc w:val="left"/>
            </w:pPr>
            <w:r>
              <w:rPr>
                <w:b w:val="0"/>
                <w:sz w:val="21"/>
              </w:rPr>
              <w:t>文件齐全可读且权限正确</w:t>
            </w:r>
          </w:p>
        </w:tc>
      </w:tr>
      <w:tr>
        <w:trPr>
          <w:cantSplit/>
        </w:trPr>
        <w:tc>
          <w:tcPr>
            <w:tcW w:type="dxa" w:w="2506"/>
            <w:vAlign w:val="center"/>
          </w:tcPr>
          <w:p>
            <w:pPr>
              <w:keepNext w:val="0"/>
              <w:spacing w:line="320" w:lineRule="exact" w:after="0" w:before="0"/>
              <w:ind w:firstLine="0"/>
              <w:jc w:val="left"/>
            </w:pPr>
            <w:r>
              <w:rPr>
                <w:b w:val="0"/>
                <w:sz w:val="21"/>
              </w:rPr>
              <w:t>签章与接收</w:t>
            </w:r>
          </w:p>
        </w:tc>
        <w:tc>
          <w:tcPr>
            <w:tcW w:type="dxa" w:w="3855"/>
            <w:vAlign w:val="center"/>
          </w:tcPr>
          <w:p>
            <w:pPr>
              <w:keepNext w:val="0"/>
              <w:spacing w:line="320" w:lineRule="exact" w:after="0" w:before="0"/>
              <w:ind w:firstLine="0"/>
              <w:jc w:val="left"/>
            </w:pPr>
            <w:r>
              <w:rPr>
                <w:b w:val="0"/>
                <w:sz w:val="21"/>
              </w:rPr>
              <w:t>正式报告、机构及交付记录</w:t>
            </w:r>
          </w:p>
        </w:tc>
        <w:tc>
          <w:tcPr>
            <w:tcW w:type="dxa" w:w="3277"/>
            <w:vAlign w:val="center"/>
          </w:tcPr>
          <w:p>
            <w:pPr>
              <w:keepNext w:val="0"/>
              <w:spacing w:line="320" w:lineRule="exact" w:after="0" w:before="0"/>
              <w:ind w:firstLine="0"/>
              <w:jc w:val="left"/>
            </w:pPr>
            <w:r>
              <w:rPr>
                <w:b w:val="0"/>
                <w:sz w:val="21"/>
              </w:rPr>
              <w:t>签发有效且接收核验完成</w:t>
            </w:r>
          </w:p>
        </w:tc>
      </w:tr>
    </w:tbl>
    <w:p>
      <w:pPr>
        <w:spacing w:after="40" w:line="240" w:lineRule="auto"/>
        <w:ind w:firstLine="0"/>
      </w:pPr>
      <w:r>
        <w:rPr>
          <w:sz w:val="4"/>
        </w:rPr>
      </w:r>
    </w:p>
    <w:p>
      <w:pPr>
        <w:pStyle w:val="Heading2"/>
      </w:pPr>
      <w:r>
        <w:t>10.7 验收前交叉核对</w:t>
      </w:r>
    </w:p>
    <w:p>
      <w:pPr>
        <w:jc w:val="both"/>
      </w:pPr>
      <w:r>
        <w:t>验收前以最终冻结数据清单为起点，核对数据卡、生产质检、训练验证、正式评测报告和交付封装所引用的版本一致。报告中的规模、模态、形成时间、合成来源、许可范围和质量结论应与实际交付数据相符；任何封装后剔除、替换或新增均触发影响分析及必要重测。</w:t>
      </w:r>
    </w:p>
    <w:p>
      <w:pPr>
        <w:jc w:val="both"/>
      </w:pPr>
      <w:r>
        <w:t>十六项净量分别达到要求，每领域有效模态数量、多模态占比、近三年占比和合成增强比例逐项复算。全部81项有适用性及执行结论，规范与项目评分满足要求；高风险未关闭数量为零，中低风险确认缺陷整改完成率100%；动态验证达到约定阈值。档案缺项、报告未盖章或对象不一致时完成补正后再提交验收。</w:t>
      </w:r>
    </w:p>
    <w:p>
      <w:pPr>
        <w:jc w:val="both"/>
      </w:pPr>
      <w:r>
        <w:t>我方组织一次由未参与主要编制的人员实施的交叉检查，从报告随机选取指标回查明细，再从数据随机选择对象反查所属报告及问题状态。检查发现的差异进入整改台账，完成复核后形成交付核对记录。甲方接收人员按照清单确认可访问性、可读取性和必要恢复能力，确保交付不止于文件传输成功。</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6" name="Picture 16"/>
            <wp:cNvGraphicFramePr>
              <a:graphicFrameLocks noChangeAspect="1"/>
            </wp:cNvGraphicFramePr>
            <a:graphic>
              <a:graphicData uri="http://schemas.openxmlformats.org/drawingml/2006/picture">
                <pic:pic>
                  <pic:nvPicPr>
                    <pic:cNvPr id="0" name="图16_最终验收.png"/>
                    <pic:cNvPicPr/>
                  </pic:nvPicPr>
                  <pic:blipFill>
                    <a:blip r:embed="rId26"/>
                    <a:stretch>
                      <a:fillRect/>
                    </a:stretch>
                  </pic:blipFill>
                  <pic:spPr>
                    <a:xfrm>
                      <a:off x="0" y="0"/>
                      <a:ext cx="6048000" cy="1942338"/>
                    </a:xfrm>
                    <a:prstGeom prst="rect"/>
                  </pic:spPr>
                </pic:pic>
              </a:graphicData>
            </a:graphic>
          </wp:inline>
        </w:drawing>
      </w:r>
    </w:p>
    <w:p>
      <w:pPr>
        <w:pStyle w:val="Caption"/>
        <w:jc w:val="center"/>
      </w:pPr>
      <w:r>
        <w:t>图10-2 最终验收与持续服务</w:t>
      </w:r>
    </w:p>
    <w:p>
      <w:pPr>
        <w:pStyle w:val="Heading2"/>
      </w:pPr>
      <w:r>
        <w:t>10.8 竣工验收与最终验收衔接</w:t>
      </w:r>
    </w:p>
    <w:p>
      <w:pPr>
        <w:jc w:val="both"/>
      </w:pPr>
      <w:r>
        <w:t>评测工作与项目竣工验收、试运行和最终验收两阶段安排衔接。竣工阶段核查已建成的数据、工具、模型实验及阶段成果，形成对应版本评测材料。试运行期间收集真实使用反馈，针对数据错误、场景缺口、权限及模型失效等问题整改，必要时补充数据并重新评测。</w:t>
      </w:r>
    </w:p>
    <w:p>
      <w:pPr>
        <w:jc w:val="both"/>
      </w:pPr>
      <w:r>
        <w:t>最终验收采用完成试运行整改后的正式版本，报告不沿用已被替代数据的旧结论。新增数据、标签及规则变化均纳入最终完整复测，核对动态提升、风险清零和资料完整性。我方在达到合同和技术协议规定指标、交付成果完整且通过甲方评审后提出验收申请，组织测试并在甲方配合下形成验收测试报告。软件、硬件相关指标同时满足或高于招标文件、投标文件、技术协议、合同及蓝图设计方案要求。验收前按甲方提出的要求完成交付成果优化改进，整改过程发生的一切费用由我方承担，未完成规定整改不申请通过验收。</w:t>
      </w:r>
    </w:p>
    <w:p>
      <w:pPr>
        <w:jc w:val="both"/>
      </w:pPr>
      <w:r>
        <w:t>计划安排为机构审核、报告签章和甲方复核预留必要时间，评测准备与数据生产同步推进，不能等待全部数据封装完成才开展依据和指标设计。集中复测与数据生产批次及场景试运行衔接，在满足2028年5月前终验要求的同时保持检测充分性，不通过减少指标或跳过整改压缩时间。</w:t>
      </w:r>
    </w:p>
    <w:p>
      <w:pPr>
        <w:pStyle w:val="Heading2"/>
      </w:pPr>
      <w:r>
        <w:t>10.9 质量管理持续改进</w:t>
      </w:r>
    </w:p>
    <w:p>
      <w:pPr>
        <w:jc w:val="both"/>
      </w:pPr>
      <w:r>
        <w:t>我方将评测结果转化为数据集管理规则，更新来源接入条件、必要字段、质量校验、标注判据、合成增强限制、测试隔离和版本发布要求。改进措施明确责任岗位、执行入口及验证方式，纳入神兽 OS 相关任务及质量控制流程，使相同问题能够在后续生产中提前发现。</w:t>
      </w:r>
    </w:p>
    <w:p>
      <w:pPr>
        <w:jc w:val="both"/>
      </w:pPr>
      <w:r>
        <w:t>根据缺陷分布和模型失败原因定期分析薄弱来源、工序、标签和场景，形成可执行的补充及修正计划。新增检测规则先验证误报与漏报，再发布到适用范围；规则调整与甲方管理制度及业务流程同步。统计趋势采用可比口径，协议变化和范围变化分别标识，避免将统计方法改变误读为质量改善。</w:t>
      </w:r>
    </w:p>
    <w:p>
      <w:pPr>
        <w:jc w:val="both"/>
      </w:pPr>
      <w:r>
        <w:t>服务移交包含指标解释、检测操作、缺陷处理、模型复现、报告检索和安全管理培训。接收人员通过实际操作完成一批数据检查、一个问题追溯和一次指标复算，培训结果与岗位职责关联。后续技术支持继续维护问题记录和知识经验，保证数据集质量管理能够持续运行。</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数据集质量评测方案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6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数据集质量评测方案</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