
<file path=[Content_Types].xml><?xml version="1.0" encoding="utf-8"?>
<Types xmlns="http://schemas.openxmlformats.org/package/2006/content-types">
  <Default Extension="xml" ContentType="application/xml"/>
  <Default Extension="emf" ContentType="image/x-e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Microsoft_Visio_2003-2010___1.vsd" ContentType="application/vnd.visio"/>
  <Override PartName="/word/embeddings/Microsoft_Visio_2003-2010___2.vsd" ContentType="application/vnd.visio"/>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DA9B09"/>
    <w:p w14:paraId="1562CEEB">
      <w:bookmarkStart w:id="33" w:name="_GoBack"/>
      <w:bookmarkEnd w:id="33"/>
    </w:p>
    <w:p w14:paraId="1CA07947"/>
    <w:p w14:paraId="30B01448">
      <w:pPr>
        <w:pStyle w:val="2"/>
      </w:pPr>
      <w:r>
        <w:rPr>
          <w:rFonts w:hint="eastAsia"/>
        </w:rPr>
        <w:t>索引表</w:t>
      </w:r>
    </w:p>
    <w:p w14:paraId="0797C0B8">
      <w:pPr>
        <w:rPr>
          <w:i/>
          <w:iCs/>
          <w:color w:val="FF0000"/>
        </w:rPr>
      </w:pPr>
      <w:r>
        <w:rPr>
          <w:rFonts w:hint="eastAsia"/>
          <w:i/>
          <w:iCs/>
          <w:color w:val="FF0000"/>
        </w:rPr>
        <w:t>为了便于评审高效有序进行，请应答人提供如下索引表，并请将索引表置于技术文件首页。</w:t>
      </w:r>
    </w:p>
    <w:p w14:paraId="122DD3AE">
      <w:r>
        <w:rPr>
          <w:rFonts w:hint="eastAsia"/>
          <w:i/>
          <w:iCs/>
          <w:color w:val="FF0000"/>
        </w:rPr>
        <w:t>请应答人按照索引表及比选文件要求提供相关材料。应答人没有按照比选文件要求提交全部资料，或者应答没有对比选文件做出实质性响应是应答人的风险，并可能导致其应答文件被否决</w:t>
      </w:r>
      <w:r>
        <w:rPr>
          <w:rFonts w:hint="eastAsia"/>
        </w:rPr>
        <w:t>。</w:t>
      </w:r>
    </w:p>
    <w:p w14:paraId="0EE881A0">
      <w:pPr>
        <w:pStyle w:val="3"/>
      </w:pPr>
      <w:r>
        <w:rPr>
          <w:rFonts w:hint="eastAsia"/>
        </w:rPr>
        <w:t>初步评审索引表</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7"/>
        <w:gridCol w:w="4441"/>
        <w:gridCol w:w="1154"/>
        <w:gridCol w:w="2468"/>
      </w:tblGrid>
      <w:tr w14:paraId="5693D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50" w:type="pct"/>
            <w:shd w:val="clear" w:color="auto" w:fill="auto"/>
            <w:vAlign w:val="center"/>
          </w:tcPr>
          <w:p w14:paraId="67D1ECA2">
            <w:pPr>
              <w:widowControl/>
              <w:jc w:val="center"/>
              <w:rPr>
                <w:rFonts w:ascii="宋体" w:hAnsi="宋体" w:cs="宋体"/>
                <w:b/>
                <w:bCs/>
                <w:color w:val="000000" w:themeColor="text1"/>
                <w:kern w:val="0"/>
                <w14:textFill>
                  <w14:solidFill>
                    <w14:schemeClr w14:val="tx1"/>
                  </w14:solidFill>
                </w14:textFill>
              </w:rPr>
            </w:pPr>
            <w:r>
              <w:rPr>
                <w:rFonts w:hint="eastAsia" w:ascii="宋体" w:hAnsi="宋体" w:cs="宋体"/>
                <w:b/>
                <w:bCs/>
                <w:color w:val="000000" w:themeColor="text1"/>
                <w:kern w:val="0"/>
                <w:lang w:eastAsia="zh-TW"/>
                <w14:textFill>
                  <w14:solidFill>
                    <w14:schemeClr w14:val="tx1"/>
                  </w14:solidFill>
                </w14:textFill>
              </w:rPr>
              <w:t>项目</w:t>
            </w:r>
          </w:p>
        </w:tc>
        <w:tc>
          <w:tcPr>
            <w:tcW w:w="2451" w:type="pct"/>
            <w:shd w:val="clear" w:color="auto" w:fill="auto"/>
            <w:vAlign w:val="center"/>
          </w:tcPr>
          <w:p w14:paraId="7B6FFF9B">
            <w:pPr>
              <w:widowControl/>
              <w:jc w:val="center"/>
              <w:rPr>
                <w:rFonts w:ascii="宋体" w:hAnsi="宋体" w:cs="宋体"/>
                <w:b/>
                <w:bCs/>
                <w:color w:val="000000" w:themeColor="text1"/>
                <w:kern w:val="0"/>
                <w14:textFill>
                  <w14:solidFill>
                    <w14:schemeClr w14:val="tx1"/>
                  </w14:solidFill>
                </w14:textFill>
              </w:rPr>
            </w:pPr>
            <w:r>
              <w:rPr>
                <w:rFonts w:hint="eastAsia" w:ascii="宋体" w:hAnsi="宋体" w:cs="宋体"/>
                <w:b/>
                <w:bCs/>
                <w:color w:val="000000" w:themeColor="text1"/>
                <w:kern w:val="0"/>
                <w:lang w:eastAsia="zh-TW"/>
                <w14:textFill>
                  <w14:solidFill>
                    <w14:schemeClr w14:val="tx1"/>
                  </w14:solidFill>
                </w14:textFill>
              </w:rPr>
              <w:t>评审因素</w:t>
            </w:r>
          </w:p>
        </w:tc>
        <w:tc>
          <w:tcPr>
            <w:tcW w:w="637" w:type="pct"/>
            <w:shd w:val="clear" w:color="auto" w:fill="auto"/>
            <w:vAlign w:val="center"/>
          </w:tcPr>
          <w:p w14:paraId="12ADC7B6">
            <w:pPr>
              <w:widowControl/>
              <w:jc w:val="center"/>
              <w:rPr>
                <w:rFonts w:ascii="宋体" w:hAnsi="宋体" w:cs="宋体"/>
                <w:b/>
                <w:bCs/>
                <w:color w:val="000000" w:themeColor="text1"/>
                <w:kern w:val="0"/>
                <w14:textFill>
                  <w14:solidFill>
                    <w14:schemeClr w14:val="tx1"/>
                  </w14:solidFill>
                </w14:textFill>
              </w:rPr>
            </w:pPr>
            <w:r>
              <w:rPr>
                <w:rFonts w:hint="eastAsia" w:ascii="宋体" w:hAnsi="宋体" w:cs="宋体"/>
                <w:b/>
                <w:bCs/>
                <w:color w:val="000000" w:themeColor="text1"/>
                <w:kern w:val="0"/>
                <w14:textFill>
                  <w14:solidFill>
                    <w14:schemeClr w14:val="tx1"/>
                  </w14:solidFill>
                </w14:textFill>
              </w:rPr>
              <w:t>证明材料对应页码</w:t>
            </w:r>
          </w:p>
        </w:tc>
        <w:tc>
          <w:tcPr>
            <w:tcW w:w="1362" w:type="pct"/>
            <w:vAlign w:val="center"/>
          </w:tcPr>
          <w:p w14:paraId="2FD341E6">
            <w:pPr>
              <w:widowControl/>
              <w:jc w:val="center"/>
              <w:rPr>
                <w:rFonts w:ascii="宋体" w:hAnsi="宋体" w:cs="宋体"/>
                <w:b/>
                <w:bCs/>
                <w:color w:val="000000" w:themeColor="text1"/>
                <w:kern w:val="0"/>
                <w14:textFill>
                  <w14:solidFill>
                    <w14:schemeClr w14:val="tx1"/>
                  </w14:solidFill>
                </w14:textFill>
              </w:rPr>
            </w:pPr>
            <w:r>
              <w:rPr>
                <w:rFonts w:hint="eastAsia" w:ascii="宋体" w:hAnsi="宋体" w:cs="宋体"/>
                <w:b/>
                <w:bCs/>
                <w:color w:val="000000" w:themeColor="text1"/>
                <w:kern w:val="0"/>
                <w14:textFill>
                  <w14:solidFill>
                    <w14:schemeClr w14:val="tx1"/>
                  </w14:solidFill>
                </w14:textFill>
              </w:rPr>
              <w:t>应答文件中是否提供（是/否）</w:t>
            </w:r>
          </w:p>
        </w:tc>
      </w:tr>
      <w:tr w14:paraId="733D3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0" w:type="pct"/>
            <w:vMerge w:val="restart"/>
            <w:shd w:val="clear" w:color="auto" w:fill="auto"/>
            <w:vAlign w:val="center"/>
          </w:tcPr>
          <w:p w14:paraId="7FDABC2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响应性评审</w:t>
            </w:r>
          </w:p>
        </w:tc>
        <w:tc>
          <w:tcPr>
            <w:tcW w:w="2451" w:type="pct"/>
            <w:tcBorders>
              <w:top w:val="single" w:color="auto" w:sz="4" w:space="0"/>
              <w:left w:val="single" w:color="auto" w:sz="4" w:space="0"/>
              <w:bottom w:val="single" w:color="auto" w:sz="4" w:space="0"/>
              <w:right w:val="single" w:color="auto" w:sz="4" w:space="0"/>
            </w:tcBorders>
            <w:shd w:val="clear" w:color="auto" w:fill="auto"/>
            <w:vAlign w:val="center"/>
          </w:tcPr>
          <w:p w14:paraId="05710B46">
            <w:pPr>
              <w:widowControl/>
              <w:jc w:val="center"/>
              <w:rPr>
                <w:rFonts w:ascii="宋体" w:hAnsi="宋体" w:cs="宋体"/>
                <w:color w:val="000000" w:themeColor="text1"/>
                <w:kern w:val="0"/>
                <w14:textFill>
                  <w14:solidFill>
                    <w14:schemeClr w14:val="tx1"/>
                  </w14:solidFill>
                </w14:textFill>
              </w:rPr>
            </w:pPr>
            <w:r>
              <w:rPr>
                <w:rFonts w:hint="eastAsia"/>
                <w:color w:val="000000"/>
              </w:rPr>
              <w:t>应答人名称</w:t>
            </w:r>
          </w:p>
        </w:tc>
        <w:tc>
          <w:tcPr>
            <w:tcW w:w="637" w:type="pct"/>
            <w:shd w:val="clear" w:color="auto" w:fill="auto"/>
            <w:vAlign w:val="center"/>
          </w:tcPr>
          <w:p w14:paraId="5CCA2D82">
            <w:pPr>
              <w:widowControl/>
              <w:jc w:val="center"/>
              <w:rPr>
                <w:rFonts w:ascii="宋体" w:hAnsi="宋体" w:cs="宋体"/>
                <w:color w:val="000000" w:themeColor="text1"/>
                <w:kern w:val="0"/>
                <w14:textFill>
                  <w14:solidFill>
                    <w14:schemeClr w14:val="tx1"/>
                  </w14:solidFill>
                </w14:textFill>
              </w:rPr>
            </w:pPr>
          </w:p>
        </w:tc>
        <w:tc>
          <w:tcPr>
            <w:tcW w:w="1362" w:type="pct"/>
            <w:vAlign w:val="center"/>
          </w:tcPr>
          <w:p w14:paraId="5340AD17">
            <w:pPr>
              <w:widowControl/>
              <w:jc w:val="center"/>
              <w:rPr>
                <w:rFonts w:ascii="宋体" w:hAnsi="宋体" w:cs="宋体"/>
                <w:color w:val="000000" w:themeColor="text1"/>
                <w:kern w:val="0"/>
                <w14:textFill>
                  <w14:solidFill>
                    <w14:schemeClr w14:val="tx1"/>
                  </w14:solidFill>
                </w14:textFill>
              </w:rPr>
            </w:pPr>
          </w:p>
        </w:tc>
      </w:tr>
      <w:tr w14:paraId="15591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0" w:type="pct"/>
            <w:vMerge w:val="continue"/>
            <w:shd w:val="clear" w:color="auto" w:fill="auto"/>
            <w:vAlign w:val="center"/>
          </w:tcPr>
          <w:p w14:paraId="0E3B64A5">
            <w:pPr>
              <w:jc w:val="center"/>
              <w:rPr>
                <w:rFonts w:ascii="宋体" w:hAnsi="宋体" w:cs="宋体"/>
                <w:color w:val="000000" w:themeColor="text1"/>
                <w:kern w:val="0"/>
                <w14:textFill>
                  <w14:solidFill>
                    <w14:schemeClr w14:val="tx1"/>
                  </w14:solidFill>
                </w14:textFill>
              </w:rPr>
            </w:pPr>
          </w:p>
        </w:tc>
        <w:tc>
          <w:tcPr>
            <w:tcW w:w="2451" w:type="pct"/>
            <w:tcBorders>
              <w:top w:val="nil"/>
              <w:left w:val="single" w:color="auto" w:sz="4" w:space="0"/>
              <w:bottom w:val="single" w:color="auto" w:sz="4" w:space="0"/>
              <w:right w:val="single" w:color="auto" w:sz="4" w:space="0"/>
            </w:tcBorders>
            <w:shd w:val="clear" w:color="auto" w:fill="auto"/>
            <w:vAlign w:val="center"/>
          </w:tcPr>
          <w:p w14:paraId="1790D74D">
            <w:pPr>
              <w:widowControl/>
              <w:jc w:val="center"/>
              <w:rPr>
                <w:rFonts w:ascii="宋体" w:hAnsi="宋体" w:cs="宋体"/>
                <w:color w:val="000000" w:themeColor="text1"/>
                <w:kern w:val="0"/>
                <w:highlight w:val="yellow"/>
                <w14:textFill>
                  <w14:solidFill>
                    <w14:schemeClr w14:val="tx1"/>
                  </w14:solidFill>
                </w14:textFill>
              </w:rPr>
            </w:pPr>
            <w:r>
              <w:rPr>
                <w:rFonts w:hint="eastAsia"/>
                <w:color w:val="000000"/>
              </w:rPr>
              <w:t>应答函</w:t>
            </w:r>
          </w:p>
        </w:tc>
        <w:tc>
          <w:tcPr>
            <w:tcW w:w="637" w:type="pct"/>
            <w:shd w:val="clear" w:color="auto" w:fill="auto"/>
            <w:vAlign w:val="center"/>
          </w:tcPr>
          <w:p w14:paraId="2AA051C8">
            <w:pPr>
              <w:widowControl/>
              <w:jc w:val="center"/>
              <w:rPr>
                <w:rFonts w:ascii="宋体" w:hAnsi="宋体" w:cs="宋体"/>
                <w:color w:val="000000" w:themeColor="text1"/>
                <w:kern w:val="0"/>
                <w:highlight w:val="yellow"/>
                <w14:textFill>
                  <w14:solidFill>
                    <w14:schemeClr w14:val="tx1"/>
                  </w14:solidFill>
                </w14:textFill>
              </w:rPr>
            </w:pPr>
          </w:p>
        </w:tc>
        <w:tc>
          <w:tcPr>
            <w:tcW w:w="1362" w:type="pct"/>
            <w:vAlign w:val="center"/>
          </w:tcPr>
          <w:p w14:paraId="636E30F5">
            <w:pPr>
              <w:widowControl/>
              <w:jc w:val="center"/>
              <w:rPr>
                <w:rFonts w:ascii="宋体" w:hAnsi="宋体" w:cs="宋体"/>
                <w:color w:val="000000" w:themeColor="text1"/>
                <w:kern w:val="0"/>
                <w:highlight w:val="yellow"/>
                <w14:textFill>
                  <w14:solidFill>
                    <w14:schemeClr w14:val="tx1"/>
                  </w14:solidFill>
                </w14:textFill>
              </w:rPr>
            </w:pPr>
          </w:p>
        </w:tc>
      </w:tr>
      <w:tr w14:paraId="606FC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0" w:type="pct"/>
            <w:vMerge w:val="continue"/>
            <w:shd w:val="clear" w:color="auto" w:fill="auto"/>
            <w:vAlign w:val="center"/>
          </w:tcPr>
          <w:p w14:paraId="15A9EBCE">
            <w:pPr>
              <w:jc w:val="center"/>
              <w:rPr>
                <w:rFonts w:ascii="宋体" w:hAnsi="宋体" w:cs="宋体"/>
                <w:color w:val="000000" w:themeColor="text1"/>
                <w:kern w:val="0"/>
                <w14:textFill>
                  <w14:solidFill>
                    <w14:schemeClr w14:val="tx1"/>
                  </w14:solidFill>
                </w14:textFill>
              </w:rPr>
            </w:pPr>
          </w:p>
        </w:tc>
        <w:tc>
          <w:tcPr>
            <w:tcW w:w="2451" w:type="pct"/>
            <w:tcBorders>
              <w:top w:val="nil"/>
              <w:left w:val="single" w:color="auto" w:sz="4" w:space="0"/>
              <w:bottom w:val="single" w:color="auto" w:sz="4" w:space="0"/>
              <w:right w:val="single" w:color="auto" w:sz="4" w:space="0"/>
            </w:tcBorders>
            <w:shd w:val="clear" w:color="auto" w:fill="auto"/>
            <w:vAlign w:val="center"/>
          </w:tcPr>
          <w:p w14:paraId="32C7E9BF">
            <w:pPr>
              <w:widowControl/>
              <w:jc w:val="center"/>
              <w:rPr>
                <w:rFonts w:ascii="宋体" w:hAnsi="宋体" w:cs="宋体"/>
                <w:color w:val="000000" w:themeColor="text1"/>
                <w:kern w:val="0"/>
                <w:highlight w:val="yellow"/>
                <w14:textFill>
                  <w14:solidFill>
                    <w14:schemeClr w14:val="tx1"/>
                  </w14:solidFill>
                </w14:textFill>
              </w:rPr>
            </w:pPr>
            <w:r>
              <w:rPr>
                <w:rFonts w:hint="eastAsia"/>
                <w:color w:val="000000"/>
              </w:rPr>
              <w:t>法定代表人（单位负责人）身份证明</w:t>
            </w:r>
          </w:p>
        </w:tc>
        <w:tc>
          <w:tcPr>
            <w:tcW w:w="637" w:type="pct"/>
            <w:shd w:val="clear" w:color="auto" w:fill="auto"/>
            <w:vAlign w:val="center"/>
          </w:tcPr>
          <w:p w14:paraId="3A5F08CC">
            <w:pPr>
              <w:widowControl/>
              <w:jc w:val="center"/>
              <w:rPr>
                <w:rFonts w:ascii="宋体" w:hAnsi="宋体" w:cs="宋体"/>
                <w:color w:val="000000" w:themeColor="text1"/>
                <w:kern w:val="0"/>
                <w:highlight w:val="yellow"/>
                <w14:textFill>
                  <w14:solidFill>
                    <w14:schemeClr w14:val="tx1"/>
                  </w14:solidFill>
                </w14:textFill>
              </w:rPr>
            </w:pPr>
          </w:p>
        </w:tc>
        <w:tc>
          <w:tcPr>
            <w:tcW w:w="1362" w:type="pct"/>
            <w:vAlign w:val="center"/>
          </w:tcPr>
          <w:p w14:paraId="6AE14DBA">
            <w:pPr>
              <w:widowControl/>
              <w:jc w:val="center"/>
              <w:rPr>
                <w:rFonts w:ascii="宋体" w:hAnsi="宋体" w:cs="宋体"/>
                <w:color w:val="000000" w:themeColor="text1"/>
                <w:kern w:val="0"/>
                <w:highlight w:val="yellow"/>
                <w14:textFill>
                  <w14:solidFill>
                    <w14:schemeClr w14:val="tx1"/>
                  </w14:solidFill>
                </w14:textFill>
              </w:rPr>
            </w:pPr>
          </w:p>
        </w:tc>
      </w:tr>
      <w:tr w14:paraId="10321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0" w:type="pct"/>
            <w:vMerge w:val="continue"/>
            <w:shd w:val="clear" w:color="auto" w:fill="auto"/>
            <w:vAlign w:val="center"/>
          </w:tcPr>
          <w:p w14:paraId="3C3288D1">
            <w:pPr>
              <w:jc w:val="center"/>
              <w:rPr>
                <w:rFonts w:ascii="宋体" w:hAnsi="宋体" w:cs="宋体"/>
                <w:color w:val="000000" w:themeColor="text1"/>
                <w:kern w:val="0"/>
                <w14:textFill>
                  <w14:solidFill>
                    <w14:schemeClr w14:val="tx1"/>
                  </w14:solidFill>
                </w14:textFill>
              </w:rPr>
            </w:pPr>
          </w:p>
        </w:tc>
        <w:tc>
          <w:tcPr>
            <w:tcW w:w="2451" w:type="pct"/>
            <w:tcBorders>
              <w:top w:val="nil"/>
              <w:left w:val="single" w:color="auto" w:sz="4" w:space="0"/>
              <w:bottom w:val="single" w:color="auto" w:sz="4" w:space="0"/>
              <w:right w:val="single" w:color="auto" w:sz="4" w:space="0"/>
            </w:tcBorders>
            <w:shd w:val="clear" w:color="auto" w:fill="auto"/>
            <w:vAlign w:val="center"/>
          </w:tcPr>
          <w:p w14:paraId="79B79662">
            <w:pPr>
              <w:widowControl/>
              <w:jc w:val="center"/>
              <w:rPr>
                <w:rFonts w:ascii="宋体" w:hAnsi="宋体" w:cs="宋体"/>
                <w:color w:val="000000" w:themeColor="text1"/>
                <w:kern w:val="0"/>
                <w:highlight w:val="yellow"/>
                <w14:textFill>
                  <w14:solidFill>
                    <w14:schemeClr w14:val="tx1"/>
                  </w14:solidFill>
                </w14:textFill>
              </w:rPr>
            </w:pPr>
            <w:r>
              <w:rPr>
                <w:rFonts w:hint="eastAsia"/>
                <w:color w:val="000000"/>
              </w:rPr>
              <w:t>应答文件格式</w:t>
            </w:r>
          </w:p>
        </w:tc>
        <w:tc>
          <w:tcPr>
            <w:tcW w:w="637" w:type="pct"/>
            <w:shd w:val="clear" w:color="auto" w:fill="auto"/>
            <w:vAlign w:val="center"/>
          </w:tcPr>
          <w:p w14:paraId="1311335A">
            <w:pPr>
              <w:widowControl/>
              <w:jc w:val="center"/>
              <w:rPr>
                <w:rFonts w:ascii="宋体" w:hAnsi="宋体" w:cs="宋体"/>
                <w:color w:val="000000" w:themeColor="text1"/>
                <w:kern w:val="0"/>
                <w:highlight w:val="yellow"/>
                <w14:textFill>
                  <w14:solidFill>
                    <w14:schemeClr w14:val="tx1"/>
                  </w14:solidFill>
                </w14:textFill>
              </w:rPr>
            </w:pPr>
          </w:p>
        </w:tc>
        <w:tc>
          <w:tcPr>
            <w:tcW w:w="1362" w:type="pct"/>
            <w:vAlign w:val="center"/>
          </w:tcPr>
          <w:p w14:paraId="15EBC004">
            <w:pPr>
              <w:widowControl/>
              <w:jc w:val="center"/>
              <w:rPr>
                <w:rFonts w:ascii="宋体" w:hAnsi="宋体" w:cs="宋体"/>
                <w:color w:val="000000" w:themeColor="text1"/>
                <w:kern w:val="0"/>
                <w:highlight w:val="yellow"/>
                <w14:textFill>
                  <w14:solidFill>
                    <w14:schemeClr w14:val="tx1"/>
                  </w14:solidFill>
                </w14:textFill>
              </w:rPr>
            </w:pPr>
          </w:p>
        </w:tc>
      </w:tr>
      <w:tr w14:paraId="26A7F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0" w:type="pct"/>
            <w:vMerge w:val="continue"/>
            <w:shd w:val="clear" w:color="auto" w:fill="auto"/>
            <w:vAlign w:val="center"/>
          </w:tcPr>
          <w:p w14:paraId="6C6BA984">
            <w:pPr>
              <w:jc w:val="center"/>
              <w:rPr>
                <w:rFonts w:ascii="宋体" w:hAnsi="宋体" w:cs="宋体"/>
                <w:color w:val="000000" w:themeColor="text1"/>
                <w:kern w:val="0"/>
                <w14:textFill>
                  <w14:solidFill>
                    <w14:schemeClr w14:val="tx1"/>
                  </w14:solidFill>
                </w14:textFill>
              </w:rPr>
            </w:pPr>
          </w:p>
        </w:tc>
        <w:tc>
          <w:tcPr>
            <w:tcW w:w="2451" w:type="pct"/>
            <w:tcBorders>
              <w:top w:val="nil"/>
              <w:left w:val="single" w:color="auto" w:sz="4" w:space="0"/>
              <w:bottom w:val="single" w:color="auto" w:sz="4" w:space="0"/>
              <w:right w:val="single" w:color="auto" w:sz="4" w:space="0"/>
            </w:tcBorders>
            <w:shd w:val="clear" w:color="auto" w:fill="auto"/>
            <w:vAlign w:val="center"/>
          </w:tcPr>
          <w:p w14:paraId="79532762">
            <w:pPr>
              <w:widowControl/>
              <w:jc w:val="center"/>
              <w:rPr>
                <w:rFonts w:ascii="宋体" w:hAnsi="宋体" w:cs="宋体"/>
                <w:color w:val="000000" w:themeColor="text1"/>
                <w:kern w:val="0"/>
                <w:highlight w:val="yellow"/>
                <w14:textFill>
                  <w14:solidFill>
                    <w14:schemeClr w14:val="tx1"/>
                  </w14:solidFill>
                </w14:textFill>
              </w:rPr>
            </w:pPr>
            <w:r>
              <w:rPr>
                <w:rFonts w:hint="eastAsia"/>
                <w:color w:val="000000"/>
              </w:rPr>
              <w:t>应答报价</w:t>
            </w:r>
          </w:p>
        </w:tc>
        <w:tc>
          <w:tcPr>
            <w:tcW w:w="637" w:type="pct"/>
            <w:shd w:val="clear" w:color="auto" w:fill="auto"/>
            <w:vAlign w:val="center"/>
          </w:tcPr>
          <w:p w14:paraId="061AD351">
            <w:pPr>
              <w:widowControl/>
              <w:jc w:val="center"/>
              <w:rPr>
                <w:rFonts w:ascii="宋体" w:hAnsi="宋体" w:cs="宋体"/>
                <w:color w:val="000000" w:themeColor="text1"/>
                <w:kern w:val="0"/>
                <w:highlight w:val="yellow"/>
                <w14:textFill>
                  <w14:solidFill>
                    <w14:schemeClr w14:val="tx1"/>
                  </w14:solidFill>
                </w14:textFill>
              </w:rPr>
            </w:pPr>
          </w:p>
        </w:tc>
        <w:tc>
          <w:tcPr>
            <w:tcW w:w="1362" w:type="pct"/>
            <w:vAlign w:val="center"/>
          </w:tcPr>
          <w:p w14:paraId="4E296F84">
            <w:pPr>
              <w:widowControl/>
              <w:jc w:val="center"/>
              <w:rPr>
                <w:rFonts w:ascii="宋体" w:hAnsi="宋体" w:cs="宋体"/>
                <w:color w:val="000000" w:themeColor="text1"/>
                <w:kern w:val="0"/>
                <w:highlight w:val="yellow"/>
                <w14:textFill>
                  <w14:solidFill>
                    <w14:schemeClr w14:val="tx1"/>
                  </w14:solidFill>
                </w14:textFill>
              </w:rPr>
            </w:pPr>
          </w:p>
        </w:tc>
      </w:tr>
      <w:tr w14:paraId="319EE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0" w:type="pct"/>
            <w:vMerge w:val="continue"/>
            <w:shd w:val="clear" w:color="auto" w:fill="auto"/>
            <w:vAlign w:val="center"/>
          </w:tcPr>
          <w:p w14:paraId="13E5873E">
            <w:pPr>
              <w:jc w:val="center"/>
              <w:rPr>
                <w:rFonts w:ascii="宋体" w:hAnsi="宋体" w:cs="宋体"/>
                <w:color w:val="000000" w:themeColor="text1"/>
                <w:kern w:val="0"/>
                <w14:textFill>
                  <w14:solidFill>
                    <w14:schemeClr w14:val="tx1"/>
                  </w14:solidFill>
                </w14:textFill>
              </w:rPr>
            </w:pPr>
          </w:p>
        </w:tc>
        <w:tc>
          <w:tcPr>
            <w:tcW w:w="2451" w:type="pct"/>
            <w:tcBorders>
              <w:top w:val="nil"/>
              <w:left w:val="single" w:color="auto" w:sz="4" w:space="0"/>
              <w:bottom w:val="single" w:color="auto" w:sz="4" w:space="0"/>
              <w:right w:val="single" w:color="auto" w:sz="4" w:space="0"/>
            </w:tcBorders>
            <w:shd w:val="clear" w:color="auto" w:fill="auto"/>
            <w:vAlign w:val="center"/>
          </w:tcPr>
          <w:p w14:paraId="6782022E">
            <w:pPr>
              <w:widowControl/>
              <w:jc w:val="center"/>
              <w:rPr>
                <w:rFonts w:ascii="宋体" w:hAnsi="宋体" w:cs="宋体"/>
                <w:color w:val="000000" w:themeColor="text1"/>
                <w:kern w:val="0"/>
                <w:highlight w:val="yellow"/>
                <w14:textFill>
                  <w14:solidFill>
                    <w14:schemeClr w14:val="tx1"/>
                  </w14:solidFill>
                </w14:textFill>
              </w:rPr>
            </w:pPr>
            <w:r>
              <w:rPr>
                <w:rFonts w:hint="eastAsia"/>
                <w:color w:val="000000"/>
              </w:rPr>
              <w:t>商务（合同）实质性条款</w:t>
            </w:r>
          </w:p>
        </w:tc>
        <w:tc>
          <w:tcPr>
            <w:tcW w:w="637" w:type="pct"/>
            <w:shd w:val="clear" w:color="auto" w:fill="auto"/>
            <w:vAlign w:val="center"/>
          </w:tcPr>
          <w:p w14:paraId="019A8272">
            <w:pPr>
              <w:widowControl/>
              <w:jc w:val="center"/>
              <w:rPr>
                <w:rFonts w:ascii="宋体" w:hAnsi="宋体" w:cs="宋体"/>
                <w:color w:val="000000" w:themeColor="text1"/>
                <w:kern w:val="0"/>
                <w:highlight w:val="yellow"/>
                <w14:textFill>
                  <w14:solidFill>
                    <w14:schemeClr w14:val="tx1"/>
                  </w14:solidFill>
                </w14:textFill>
              </w:rPr>
            </w:pPr>
          </w:p>
        </w:tc>
        <w:tc>
          <w:tcPr>
            <w:tcW w:w="1362" w:type="pct"/>
            <w:vAlign w:val="center"/>
          </w:tcPr>
          <w:p w14:paraId="1F8AF9D3">
            <w:pPr>
              <w:widowControl/>
              <w:jc w:val="center"/>
              <w:rPr>
                <w:rFonts w:ascii="宋体" w:hAnsi="宋体" w:cs="宋体"/>
                <w:color w:val="000000" w:themeColor="text1"/>
                <w:kern w:val="0"/>
                <w:highlight w:val="yellow"/>
                <w14:textFill>
                  <w14:solidFill>
                    <w14:schemeClr w14:val="tx1"/>
                  </w14:solidFill>
                </w14:textFill>
              </w:rPr>
            </w:pPr>
          </w:p>
        </w:tc>
      </w:tr>
      <w:tr w14:paraId="66F91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0" w:type="pct"/>
            <w:vMerge w:val="continue"/>
            <w:shd w:val="clear" w:color="auto" w:fill="auto"/>
            <w:vAlign w:val="center"/>
          </w:tcPr>
          <w:p w14:paraId="37F0249F">
            <w:pPr>
              <w:jc w:val="center"/>
              <w:rPr>
                <w:rFonts w:ascii="宋体" w:hAnsi="宋体" w:cs="宋体"/>
                <w:color w:val="000000" w:themeColor="text1"/>
                <w:kern w:val="0"/>
                <w14:textFill>
                  <w14:solidFill>
                    <w14:schemeClr w14:val="tx1"/>
                  </w14:solidFill>
                </w14:textFill>
              </w:rPr>
            </w:pPr>
          </w:p>
        </w:tc>
        <w:tc>
          <w:tcPr>
            <w:tcW w:w="2451" w:type="pct"/>
            <w:tcBorders>
              <w:top w:val="nil"/>
              <w:left w:val="single" w:color="auto" w:sz="4" w:space="0"/>
              <w:bottom w:val="single" w:color="auto" w:sz="4" w:space="0"/>
              <w:right w:val="single" w:color="auto" w:sz="4" w:space="0"/>
            </w:tcBorders>
            <w:shd w:val="clear" w:color="auto" w:fill="auto"/>
            <w:vAlign w:val="center"/>
          </w:tcPr>
          <w:p w14:paraId="12B9BDAC">
            <w:pPr>
              <w:widowControl/>
              <w:jc w:val="center"/>
              <w:rPr>
                <w:rFonts w:ascii="宋体" w:hAnsi="宋体" w:cs="宋体"/>
                <w:color w:val="000000" w:themeColor="text1"/>
                <w:kern w:val="0"/>
                <w:highlight w:val="yellow"/>
                <w14:textFill>
                  <w14:solidFill>
                    <w14:schemeClr w14:val="tx1"/>
                  </w14:solidFill>
                </w14:textFill>
              </w:rPr>
            </w:pPr>
            <w:r>
              <w:rPr>
                <w:rFonts w:hint="eastAsia"/>
                <w:color w:val="000000"/>
              </w:rPr>
              <w:t>技术实质性条款</w:t>
            </w:r>
          </w:p>
        </w:tc>
        <w:tc>
          <w:tcPr>
            <w:tcW w:w="637" w:type="pct"/>
            <w:shd w:val="clear" w:color="auto" w:fill="auto"/>
            <w:vAlign w:val="center"/>
          </w:tcPr>
          <w:p w14:paraId="7AAE1971">
            <w:pPr>
              <w:widowControl/>
              <w:jc w:val="center"/>
              <w:rPr>
                <w:rFonts w:ascii="宋体" w:hAnsi="宋体" w:cs="宋体"/>
                <w:color w:val="000000" w:themeColor="text1"/>
                <w:kern w:val="0"/>
                <w:highlight w:val="yellow"/>
                <w14:textFill>
                  <w14:solidFill>
                    <w14:schemeClr w14:val="tx1"/>
                  </w14:solidFill>
                </w14:textFill>
              </w:rPr>
            </w:pPr>
          </w:p>
        </w:tc>
        <w:tc>
          <w:tcPr>
            <w:tcW w:w="1362" w:type="pct"/>
            <w:vAlign w:val="center"/>
          </w:tcPr>
          <w:p w14:paraId="0412F978">
            <w:pPr>
              <w:widowControl/>
              <w:jc w:val="center"/>
              <w:rPr>
                <w:rFonts w:ascii="宋体" w:hAnsi="宋体" w:cs="宋体"/>
                <w:color w:val="000000" w:themeColor="text1"/>
                <w:kern w:val="0"/>
                <w:highlight w:val="yellow"/>
                <w14:textFill>
                  <w14:solidFill>
                    <w14:schemeClr w14:val="tx1"/>
                  </w14:solidFill>
                </w14:textFill>
              </w:rPr>
            </w:pPr>
          </w:p>
        </w:tc>
      </w:tr>
      <w:tr w14:paraId="01E8D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0" w:type="pct"/>
            <w:vMerge w:val="continue"/>
            <w:shd w:val="clear" w:color="auto" w:fill="auto"/>
            <w:vAlign w:val="center"/>
          </w:tcPr>
          <w:p w14:paraId="7CCD3085">
            <w:pPr>
              <w:jc w:val="center"/>
              <w:rPr>
                <w:rFonts w:ascii="宋体" w:hAnsi="宋体" w:cs="宋体"/>
                <w:color w:val="000000" w:themeColor="text1"/>
                <w:kern w:val="0"/>
                <w14:textFill>
                  <w14:solidFill>
                    <w14:schemeClr w14:val="tx1"/>
                  </w14:solidFill>
                </w14:textFill>
              </w:rPr>
            </w:pPr>
          </w:p>
        </w:tc>
        <w:tc>
          <w:tcPr>
            <w:tcW w:w="2451" w:type="pct"/>
            <w:tcBorders>
              <w:top w:val="nil"/>
              <w:left w:val="single" w:color="auto" w:sz="4" w:space="0"/>
              <w:bottom w:val="single" w:color="auto" w:sz="4" w:space="0"/>
              <w:right w:val="single" w:color="auto" w:sz="4" w:space="0"/>
            </w:tcBorders>
            <w:shd w:val="clear" w:color="auto" w:fill="auto"/>
            <w:vAlign w:val="center"/>
          </w:tcPr>
          <w:p w14:paraId="66CB658F">
            <w:pPr>
              <w:widowControl/>
              <w:jc w:val="center"/>
              <w:rPr>
                <w:color w:val="000000" w:themeColor="text1"/>
                <w14:textFill>
                  <w14:solidFill>
                    <w14:schemeClr w14:val="tx1"/>
                  </w14:solidFill>
                </w14:textFill>
              </w:rPr>
            </w:pPr>
            <w:r>
              <w:rPr>
                <w:rFonts w:hint="eastAsia"/>
                <w:color w:val="000000"/>
              </w:rPr>
              <w:t>负面行为</w:t>
            </w:r>
          </w:p>
        </w:tc>
        <w:tc>
          <w:tcPr>
            <w:tcW w:w="637" w:type="pct"/>
            <w:shd w:val="clear" w:color="auto" w:fill="auto"/>
            <w:vAlign w:val="center"/>
          </w:tcPr>
          <w:p w14:paraId="240419E9">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sz w:val="18"/>
                <w:szCs w:val="18"/>
              </w:rPr>
              <w:t>/</w:t>
            </w:r>
          </w:p>
        </w:tc>
        <w:tc>
          <w:tcPr>
            <w:tcW w:w="1362" w:type="pct"/>
            <w:vAlign w:val="center"/>
          </w:tcPr>
          <w:p w14:paraId="4C62B5E4">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sz w:val="18"/>
                <w:szCs w:val="18"/>
              </w:rPr>
              <w:t>/</w:t>
            </w:r>
          </w:p>
        </w:tc>
      </w:tr>
      <w:tr w14:paraId="1E8B8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0" w:type="pct"/>
            <w:vMerge w:val="continue"/>
            <w:shd w:val="clear" w:color="auto" w:fill="auto"/>
            <w:vAlign w:val="center"/>
          </w:tcPr>
          <w:p w14:paraId="5CDF612B">
            <w:pPr>
              <w:jc w:val="center"/>
              <w:rPr>
                <w:rFonts w:ascii="宋体" w:hAnsi="宋体" w:cs="宋体"/>
                <w:color w:val="000000" w:themeColor="text1"/>
                <w:kern w:val="0"/>
                <w14:textFill>
                  <w14:solidFill>
                    <w14:schemeClr w14:val="tx1"/>
                  </w14:solidFill>
                </w14:textFill>
              </w:rPr>
            </w:pPr>
          </w:p>
        </w:tc>
        <w:tc>
          <w:tcPr>
            <w:tcW w:w="2451" w:type="pct"/>
            <w:tcBorders>
              <w:top w:val="nil"/>
              <w:left w:val="single" w:color="auto" w:sz="4" w:space="0"/>
              <w:bottom w:val="single" w:color="auto" w:sz="4" w:space="0"/>
              <w:right w:val="single" w:color="auto" w:sz="4" w:space="0"/>
            </w:tcBorders>
            <w:shd w:val="clear" w:color="auto" w:fill="auto"/>
            <w:vAlign w:val="center"/>
          </w:tcPr>
          <w:p w14:paraId="009F8AB7">
            <w:pPr>
              <w:widowControl/>
              <w:jc w:val="center"/>
              <w:rPr>
                <w:rFonts w:ascii="宋体" w:hAnsi="宋体" w:cs="宋体"/>
                <w:color w:val="000000" w:themeColor="text1"/>
                <w:kern w:val="0"/>
                <w14:textFill>
                  <w14:solidFill>
                    <w14:schemeClr w14:val="tx1"/>
                  </w14:solidFill>
                </w14:textFill>
              </w:rPr>
            </w:pPr>
            <w:r>
              <w:rPr>
                <w:rFonts w:hint="eastAsia"/>
                <w:color w:val="000000"/>
              </w:rPr>
              <w:t>串通投标行为认定规则</w:t>
            </w:r>
          </w:p>
        </w:tc>
        <w:tc>
          <w:tcPr>
            <w:tcW w:w="637" w:type="pct"/>
            <w:shd w:val="clear" w:color="auto" w:fill="auto"/>
            <w:vAlign w:val="center"/>
          </w:tcPr>
          <w:p w14:paraId="03993BA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sz w:val="18"/>
                <w:szCs w:val="18"/>
              </w:rPr>
              <w:t>/</w:t>
            </w:r>
          </w:p>
        </w:tc>
        <w:tc>
          <w:tcPr>
            <w:tcW w:w="1362" w:type="pct"/>
            <w:vAlign w:val="center"/>
          </w:tcPr>
          <w:p w14:paraId="2892B08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sz w:val="18"/>
                <w:szCs w:val="18"/>
              </w:rPr>
              <w:t>/</w:t>
            </w:r>
          </w:p>
        </w:tc>
      </w:tr>
      <w:tr w14:paraId="41E83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0" w:type="pct"/>
            <w:vMerge w:val="continue"/>
            <w:shd w:val="clear" w:color="auto" w:fill="auto"/>
            <w:vAlign w:val="center"/>
          </w:tcPr>
          <w:p w14:paraId="6950AA7E">
            <w:pPr>
              <w:widowControl/>
              <w:rPr>
                <w:rFonts w:ascii="宋体" w:hAnsi="宋体" w:cs="宋体"/>
                <w:color w:val="000000" w:themeColor="text1"/>
                <w:kern w:val="0"/>
                <w14:textFill>
                  <w14:solidFill>
                    <w14:schemeClr w14:val="tx1"/>
                  </w14:solidFill>
                </w14:textFill>
              </w:rPr>
            </w:pPr>
          </w:p>
        </w:tc>
        <w:tc>
          <w:tcPr>
            <w:tcW w:w="2451" w:type="pct"/>
            <w:tcBorders>
              <w:top w:val="nil"/>
              <w:left w:val="single" w:color="auto" w:sz="4" w:space="0"/>
              <w:bottom w:val="single" w:color="auto" w:sz="4" w:space="0"/>
              <w:right w:val="single" w:color="auto" w:sz="4" w:space="0"/>
            </w:tcBorders>
            <w:shd w:val="clear" w:color="auto" w:fill="auto"/>
            <w:vAlign w:val="center"/>
          </w:tcPr>
          <w:p w14:paraId="56A99D58">
            <w:pPr>
              <w:widowControl/>
              <w:jc w:val="center"/>
              <w:rPr>
                <w:rFonts w:ascii="宋体" w:hAnsi="宋体" w:cs="宋体"/>
                <w:color w:val="000000" w:themeColor="text1"/>
                <w:kern w:val="0"/>
                <w14:textFill>
                  <w14:solidFill>
                    <w14:schemeClr w14:val="tx1"/>
                  </w14:solidFill>
                </w14:textFill>
              </w:rPr>
            </w:pPr>
            <w:r>
              <w:rPr>
                <w:rFonts w:hint="eastAsia"/>
                <w:color w:val="000000"/>
              </w:rPr>
              <w:t>澄清</w:t>
            </w:r>
          </w:p>
        </w:tc>
        <w:tc>
          <w:tcPr>
            <w:tcW w:w="637" w:type="pct"/>
            <w:shd w:val="clear" w:color="auto" w:fill="auto"/>
            <w:vAlign w:val="center"/>
          </w:tcPr>
          <w:p w14:paraId="44061AF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sz w:val="18"/>
                <w:szCs w:val="18"/>
              </w:rPr>
              <w:t>/</w:t>
            </w:r>
          </w:p>
        </w:tc>
        <w:tc>
          <w:tcPr>
            <w:tcW w:w="1362" w:type="pct"/>
            <w:vAlign w:val="center"/>
          </w:tcPr>
          <w:p w14:paraId="3945B2C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sz w:val="18"/>
                <w:szCs w:val="18"/>
              </w:rPr>
              <w:t>/</w:t>
            </w:r>
          </w:p>
        </w:tc>
      </w:tr>
      <w:tr w14:paraId="526A3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0" w:type="pct"/>
            <w:vMerge w:val="continue"/>
            <w:shd w:val="clear" w:color="auto" w:fill="auto"/>
            <w:vAlign w:val="center"/>
          </w:tcPr>
          <w:p w14:paraId="051877C0">
            <w:pPr>
              <w:widowControl/>
              <w:rPr>
                <w:rFonts w:ascii="宋体" w:hAnsi="宋体" w:cs="宋体"/>
                <w:color w:val="000000" w:themeColor="text1"/>
                <w:kern w:val="0"/>
                <w14:textFill>
                  <w14:solidFill>
                    <w14:schemeClr w14:val="tx1"/>
                  </w14:solidFill>
                </w14:textFill>
              </w:rPr>
            </w:pPr>
          </w:p>
        </w:tc>
        <w:tc>
          <w:tcPr>
            <w:tcW w:w="2451" w:type="pct"/>
            <w:tcBorders>
              <w:top w:val="nil"/>
              <w:left w:val="single" w:color="auto" w:sz="4" w:space="0"/>
              <w:bottom w:val="single" w:color="auto" w:sz="4" w:space="0"/>
              <w:right w:val="single" w:color="auto" w:sz="4" w:space="0"/>
            </w:tcBorders>
            <w:shd w:val="clear" w:color="auto" w:fill="auto"/>
            <w:vAlign w:val="center"/>
          </w:tcPr>
          <w:p w14:paraId="16B6A5EB">
            <w:pPr>
              <w:widowControl/>
              <w:jc w:val="center"/>
              <w:rPr>
                <w:rFonts w:ascii="宋体" w:hAnsi="宋体" w:cs="宋体"/>
                <w:color w:val="000000" w:themeColor="text1"/>
                <w:kern w:val="0"/>
                <w14:textFill>
                  <w14:solidFill>
                    <w14:schemeClr w14:val="tx1"/>
                  </w14:solidFill>
                </w14:textFill>
              </w:rPr>
            </w:pPr>
            <w:r>
              <w:rPr>
                <w:rFonts w:hint="eastAsia"/>
                <w:color w:val="000000"/>
              </w:rPr>
              <w:t>其他实质性要求</w:t>
            </w:r>
          </w:p>
        </w:tc>
        <w:tc>
          <w:tcPr>
            <w:tcW w:w="637" w:type="pct"/>
            <w:shd w:val="clear" w:color="auto" w:fill="auto"/>
            <w:vAlign w:val="center"/>
          </w:tcPr>
          <w:p w14:paraId="7807DF71">
            <w:pPr>
              <w:widowControl/>
              <w:jc w:val="center"/>
              <w:rPr>
                <w:rFonts w:ascii="宋体" w:hAnsi="宋体" w:cs="宋体"/>
                <w:color w:val="000000" w:themeColor="text1"/>
                <w:kern w:val="0"/>
                <w14:textFill>
                  <w14:solidFill>
                    <w14:schemeClr w14:val="tx1"/>
                  </w14:solidFill>
                </w14:textFill>
              </w:rPr>
            </w:pPr>
          </w:p>
        </w:tc>
        <w:tc>
          <w:tcPr>
            <w:tcW w:w="1362" w:type="pct"/>
            <w:vAlign w:val="center"/>
          </w:tcPr>
          <w:p w14:paraId="6113DF4B">
            <w:pPr>
              <w:widowControl/>
              <w:jc w:val="center"/>
              <w:rPr>
                <w:rFonts w:ascii="宋体" w:hAnsi="宋体" w:cs="宋体"/>
                <w:color w:val="000000" w:themeColor="text1"/>
                <w:kern w:val="0"/>
                <w14:textFill>
                  <w14:solidFill>
                    <w14:schemeClr w14:val="tx1"/>
                  </w14:solidFill>
                </w14:textFill>
              </w:rPr>
            </w:pPr>
          </w:p>
        </w:tc>
      </w:tr>
      <w:tr w14:paraId="70AA1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550" w:type="pct"/>
            <w:vMerge w:val="restart"/>
            <w:shd w:val="clear" w:color="auto" w:fill="auto"/>
            <w:vAlign w:val="center"/>
          </w:tcPr>
          <w:p w14:paraId="5045D85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lang w:eastAsia="zh-TW"/>
                <w14:textFill>
                  <w14:solidFill>
                    <w14:schemeClr w14:val="tx1"/>
                  </w14:solidFill>
                </w14:textFill>
              </w:rPr>
              <w:t>资格审查</w:t>
            </w:r>
          </w:p>
        </w:tc>
        <w:tc>
          <w:tcPr>
            <w:tcW w:w="2451" w:type="pct"/>
            <w:shd w:val="clear" w:color="auto" w:fill="auto"/>
            <w:vAlign w:val="center"/>
          </w:tcPr>
          <w:p w14:paraId="22884F5A">
            <w:pPr>
              <w:widowControl/>
              <w:jc w:val="center"/>
              <w:rPr>
                <w:rFonts w:ascii="宋体" w:hAnsi="宋体" w:cs="宋体"/>
                <w:color w:val="000000" w:themeColor="text1"/>
                <w:kern w:val="0"/>
                <w14:textFill>
                  <w14:solidFill>
                    <w14:schemeClr w14:val="tx1"/>
                  </w14:solidFill>
                </w14:textFill>
              </w:rPr>
            </w:pPr>
            <w:r>
              <w:rPr>
                <w:rFonts w:hint="eastAsia"/>
              </w:rPr>
              <w:t>应答人具有合法的企业法人营业执照或其它组织经营证明。提供营业执照或其他组织处于存续或在业状态证明文件。</w:t>
            </w:r>
          </w:p>
        </w:tc>
        <w:tc>
          <w:tcPr>
            <w:tcW w:w="637" w:type="pct"/>
            <w:shd w:val="clear" w:color="auto" w:fill="auto"/>
            <w:vAlign w:val="center"/>
          </w:tcPr>
          <w:p w14:paraId="625904D0">
            <w:pPr>
              <w:widowControl/>
              <w:jc w:val="center"/>
              <w:rPr>
                <w:rFonts w:ascii="宋体" w:hAnsi="宋体" w:cs="宋体"/>
                <w:color w:val="000000" w:themeColor="text1"/>
                <w:kern w:val="0"/>
                <w14:textFill>
                  <w14:solidFill>
                    <w14:schemeClr w14:val="tx1"/>
                  </w14:solidFill>
                </w14:textFill>
              </w:rPr>
            </w:pPr>
          </w:p>
        </w:tc>
        <w:tc>
          <w:tcPr>
            <w:tcW w:w="1362" w:type="pct"/>
            <w:vAlign w:val="center"/>
          </w:tcPr>
          <w:p w14:paraId="0C1A8698">
            <w:pPr>
              <w:widowControl/>
              <w:jc w:val="center"/>
              <w:rPr>
                <w:rFonts w:ascii="宋体" w:hAnsi="宋体" w:cs="宋体"/>
                <w:color w:val="000000" w:themeColor="text1"/>
                <w:kern w:val="0"/>
                <w14:textFill>
                  <w14:solidFill>
                    <w14:schemeClr w14:val="tx1"/>
                  </w14:solidFill>
                </w14:textFill>
              </w:rPr>
            </w:pPr>
          </w:p>
        </w:tc>
      </w:tr>
      <w:tr w14:paraId="251FF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550" w:type="pct"/>
            <w:vMerge w:val="continue"/>
            <w:shd w:val="clear" w:color="auto" w:fill="auto"/>
            <w:vAlign w:val="center"/>
          </w:tcPr>
          <w:p w14:paraId="4980B680">
            <w:pPr>
              <w:widowControl/>
              <w:rPr>
                <w:rFonts w:ascii="宋体" w:hAnsi="宋体" w:cs="宋体"/>
                <w:color w:val="000000" w:themeColor="text1"/>
                <w:kern w:val="0"/>
                <w14:textFill>
                  <w14:solidFill>
                    <w14:schemeClr w14:val="tx1"/>
                  </w14:solidFill>
                </w14:textFill>
              </w:rPr>
            </w:pPr>
          </w:p>
        </w:tc>
        <w:tc>
          <w:tcPr>
            <w:tcW w:w="2451" w:type="pct"/>
            <w:shd w:val="clear" w:color="auto" w:fill="auto"/>
            <w:vAlign w:val="center"/>
          </w:tcPr>
          <w:p w14:paraId="69E6365F">
            <w:pPr>
              <w:widowControl/>
              <w:jc w:val="center"/>
              <w:rPr>
                <w:rFonts w:ascii="宋体" w:hAnsi="宋体" w:cs="宋体"/>
                <w:color w:val="000000" w:themeColor="text1"/>
                <w:kern w:val="0"/>
                <w14:textFill>
                  <w14:solidFill>
                    <w14:schemeClr w14:val="tx1"/>
                  </w14:solidFill>
                </w14:textFill>
              </w:rPr>
            </w:pPr>
            <w:r>
              <w:rPr>
                <w:rFonts w:hint="eastAsia"/>
              </w:rPr>
              <w:t>应答人在国家企业信用信息公示系统中未被查询到近3年（2019年1月1日至应答截止时间）有严重违法失信信息。</w:t>
            </w:r>
          </w:p>
        </w:tc>
        <w:tc>
          <w:tcPr>
            <w:tcW w:w="637" w:type="pct"/>
            <w:shd w:val="clear" w:color="auto" w:fill="auto"/>
            <w:vAlign w:val="center"/>
          </w:tcPr>
          <w:p w14:paraId="3FC0CD9A">
            <w:pPr>
              <w:widowControl/>
              <w:jc w:val="center"/>
              <w:rPr>
                <w:rFonts w:ascii="宋体" w:hAnsi="宋体" w:cs="宋体"/>
                <w:color w:val="000000" w:themeColor="text1"/>
                <w:kern w:val="0"/>
                <w14:textFill>
                  <w14:solidFill>
                    <w14:schemeClr w14:val="tx1"/>
                  </w14:solidFill>
                </w14:textFill>
              </w:rPr>
            </w:pPr>
          </w:p>
        </w:tc>
        <w:tc>
          <w:tcPr>
            <w:tcW w:w="1362" w:type="pct"/>
            <w:vAlign w:val="center"/>
          </w:tcPr>
          <w:p w14:paraId="629C66C8">
            <w:pPr>
              <w:widowControl/>
              <w:jc w:val="center"/>
              <w:rPr>
                <w:rFonts w:ascii="宋体" w:hAnsi="宋体" w:cs="宋体"/>
                <w:color w:val="000000" w:themeColor="text1"/>
                <w:kern w:val="0"/>
                <w14:textFill>
                  <w14:solidFill>
                    <w14:schemeClr w14:val="tx1"/>
                  </w14:solidFill>
                </w14:textFill>
              </w:rPr>
            </w:pPr>
          </w:p>
        </w:tc>
      </w:tr>
      <w:tr w14:paraId="73096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jc w:val="center"/>
        </w:trPr>
        <w:tc>
          <w:tcPr>
            <w:tcW w:w="550" w:type="pct"/>
            <w:vMerge w:val="continue"/>
            <w:shd w:val="clear" w:color="auto" w:fill="auto"/>
            <w:vAlign w:val="center"/>
          </w:tcPr>
          <w:p w14:paraId="577AA5B0">
            <w:pPr>
              <w:widowControl/>
              <w:rPr>
                <w:rFonts w:ascii="宋体" w:hAnsi="宋体" w:cs="宋体"/>
                <w:color w:val="000000" w:themeColor="text1"/>
                <w:kern w:val="0"/>
                <w14:textFill>
                  <w14:solidFill>
                    <w14:schemeClr w14:val="tx1"/>
                  </w14:solidFill>
                </w14:textFill>
              </w:rPr>
            </w:pPr>
          </w:p>
        </w:tc>
        <w:tc>
          <w:tcPr>
            <w:tcW w:w="2451" w:type="pct"/>
            <w:shd w:val="clear" w:color="auto" w:fill="auto"/>
            <w:vAlign w:val="center"/>
          </w:tcPr>
          <w:p w14:paraId="17334587">
            <w:pPr>
              <w:widowControl/>
              <w:jc w:val="center"/>
              <w:rPr>
                <w:rFonts w:ascii="宋体" w:hAnsi="宋体" w:cs="宋体"/>
                <w:color w:val="000000" w:themeColor="text1"/>
                <w:kern w:val="0"/>
                <w:highlight w:val="yellow"/>
                <w14:textFill>
                  <w14:solidFill>
                    <w14:schemeClr w14:val="tx1"/>
                  </w14:solidFill>
                </w14:textFill>
              </w:rPr>
            </w:pPr>
            <w:r>
              <w:rPr>
                <w:rFonts w:hint="eastAsia"/>
              </w:rPr>
              <w:t>应答人须承诺为本项目开具符合国家规定的增值税专用发票，提供承诺。</w:t>
            </w:r>
          </w:p>
        </w:tc>
        <w:tc>
          <w:tcPr>
            <w:tcW w:w="637" w:type="pct"/>
            <w:shd w:val="clear" w:color="auto" w:fill="auto"/>
            <w:vAlign w:val="center"/>
          </w:tcPr>
          <w:p w14:paraId="24FF17CC">
            <w:pPr>
              <w:widowControl/>
              <w:jc w:val="center"/>
              <w:rPr>
                <w:rFonts w:ascii="宋体" w:hAnsi="宋体" w:cs="宋体"/>
                <w:color w:val="000000" w:themeColor="text1"/>
                <w:kern w:val="0"/>
                <w14:textFill>
                  <w14:solidFill>
                    <w14:schemeClr w14:val="tx1"/>
                  </w14:solidFill>
                </w14:textFill>
              </w:rPr>
            </w:pPr>
          </w:p>
        </w:tc>
        <w:tc>
          <w:tcPr>
            <w:tcW w:w="1362" w:type="pct"/>
            <w:vAlign w:val="center"/>
          </w:tcPr>
          <w:p w14:paraId="6940B916">
            <w:pPr>
              <w:widowControl/>
              <w:jc w:val="center"/>
              <w:rPr>
                <w:rFonts w:ascii="宋体" w:hAnsi="宋体" w:cs="宋体"/>
                <w:color w:val="000000" w:themeColor="text1"/>
                <w:kern w:val="0"/>
                <w14:textFill>
                  <w14:solidFill>
                    <w14:schemeClr w14:val="tx1"/>
                  </w14:solidFill>
                </w14:textFill>
              </w:rPr>
            </w:pPr>
          </w:p>
        </w:tc>
      </w:tr>
      <w:tr w14:paraId="2311C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50" w:type="pct"/>
            <w:vMerge w:val="continue"/>
            <w:shd w:val="clear" w:color="auto" w:fill="auto"/>
            <w:vAlign w:val="center"/>
          </w:tcPr>
          <w:p w14:paraId="49FCA2E5">
            <w:pPr>
              <w:widowControl/>
              <w:rPr>
                <w:rFonts w:ascii="宋体" w:hAnsi="宋体" w:cs="宋体"/>
                <w:color w:val="000000" w:themeColor="text1"/>
                <w:kern w:val="0"/>
                <w14:textFill>
                  <w14:solidFill>
                    <w14:schemeClr w14:val="tx1"/>
                  </w14:solidFill>
                </w14:textFill>
              </w:rPr>
            </w:pPr>
          </w:p>
        </w:tc>
        <w:tc>
          <w:tcPr>
            <w:tcW w:w="2451" w:type="pct"/>
            <w:shd w:val="clear" w:color="auto" w:fill="auto"/>
            <w:vAlign w:val="center"/>
          </w:tcPr>
          <w:p w14:paraId="7C0200D5">
            <w:pPr>
              <w:widowControl/>
              <w:jc w:val="center"/>
              <w:rPr>
                <w:rFonts w:ascii="宋体" w:hAnsi="宋体" w:cs="宋体"/>
                <w:color w:val="000000" w:themeColor="text1"/>
                <w:kern w:val="0"/>
                <w:highlight w:val="yellow"/>
                <w14:textFill>
                  <w14:solidFill>
                    <w14:schemeClr w14:val="tx1"/>
                  </w14:solidFill>
                </w14:textFill>
              </w:rPr>
            </w:pPr>
            <w:r>
              <w:rPr>
                <w:rFonts w:hint="eastAsia"/>
              </w:rPr>
              <w:t>不接受联合体参与。</w:t>
            </w:r>
          </w:p>
        </w:tc>
        <w:tc>
          <w:tcPr>
            <w:tcW w:w="637" w:type="pct"/>
            <w:shd w:val="clear" w:color="auto" w:fill="auto"/>
            <w:vAlign w:val="center"/>
          </w:tcPr>
          <w:p w14:paraId="73E6DCD1">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sz w:val="18"/>
                <w:szCs w:val="18"/>
              </w:rPr>
              <w:t>/</w:t>
            </w:r>
          </w:p>
        </w:tc>
        <w:tc>
          <w:tcPr>
            <w:tcW w:w="1362" w:type="pct"/>
            <w:vAlign w:val="center"/>
          </w:tcPr>
          <w:p w14:paraId="7AB23E6D">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sz w:val="18"/>
                <w:szCs w:val="18"/>
              </w:rPr>
              <w:t>/</w:t>
            </w:r>
          </w:p>
        </w:tc>
      </w:tr>
      <w:tr w14:paraId="24C1D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jc w:val="center"/>
        </w:trPr>
        <w:tc>
          <w:tcPr>
            <w:tcW w:w="550" w:type="pct"/>
            <w:vMerge w:val="continue"/>
            <w:shd w:val="clear" w:color="auto" w:fill="auto"/>
            <w:vAlign w:val="center"/>
          </w:tcPr>
          <w:p w14:paraId="7C61394A">
            <w:pPr>
              <w:widowControl/>
              <w:rPr>
                <w:rFonts w:ascii="宋体" w:hAnsi="宋体" w:cs="宋体"/>
                <w:color w:val="000000" w:themeColor="text1"/>
                <w:kern w:val="0"/>
                <w14:textFill>
                  <w14:solidFill>
                    <w14:schemeClr w14:val="tx1"/>
                  </w14:solidFill>
                </w14:textFill>
              </w:rPr>
            </w:pPr>
          </w:p>
        </w:tc>
        <w:tc>
          <w:tcPr>
            <w:tcW w:w="2451" w:type="pct"/>
            <w:shd w:val="clear" w:color="auto" w:fill="auto"/>
            <w:vAlign w:val="center"/>
          </w:tcPr>
          <w:p w14:paraId="38DFC4D1">
            <w:pPr>
              <w:widowControl/>
              <w:jc w:val="center"/>
              <w:rPr>
                <w:rFonts w:ascii="宋体" w:hAnsi="宋体" w:cs="宋体"/>
                <w:color w:val="000000" w:themeColor="text1"/>
                <w:kern w:val="0"/>
                <w14:textFill>
                  <w14:solidFill>
                    <w14:schemeClr w14:val="tx1"/>
                  </w14:solidFill>
                </w14:textFill>
              </w:rPr>
            </w:pPr>
            <w:r>
              <w:rPr>
                <w:rFonts w:hint="eastAsia"/>
              </w:rPr>
              <w:t>法定代表人或单位负责人为同一人或者存在控股、管理关系的不同单位，不得同时参与本项目应答。需提供承诺。</w:t>
            </w:r>
          </w:p>
        </w:tc>
        <w:tc>
          <w:tcPr>
            <w:tcW w:w="637" w:type="pct"/>
            <w:shd w:val="clear" w:color="auto" w:fill="auto"/>
            <w:vAlign w:val="center"/>
          </w:tcPr>
          <w:p w14:paraId="7B8E665B">
            <w:pPr>
              <w:widowControl/>
              <w:jc w:val="center"/>
              <w:rPr>
                <w:rFonts w:ascii="宋体" w:hAnsi="宋体" w:cs="宋体"/>
                <w:color w:val="000000" w:themeColor="text1"/>
                <w:kern w:val="0"/>
                <w14:textFill>
                  <w14:solidFill>
                    <w14:schemeClr w14:val="tx1"/>
                  </w14:solidFill>
                </w14:textFill>
              </w:rPr>
            </w:pPr>
          </w:p>
        </w:tc>
        <w:tc>
          <w:tcPr>
            <w:tcW w:w="1362" w:type="pct"/>
            <w:vAlign w:val="center"/>
          </w:tcPr>
          <w:p w14:paraId="20F9A87F">
            <w:pPr>
              <w:widowControl/>
              <w:jc w:val="center"/>
              <w:rPr>
                <w:rFonts w:ascii="宋体" w:hAnsi="宋体" w:cs="宋体"/>
                <w:color w:val="000000" w:themeColor="text1"/>
                <w:kern w:val="0"/>
                <w14:textFill>
                  <w14:solidFill>
                    <w14:schemeClr w14:val="tx1"/>
                  </w14:solidFill>
                </w14:textFill>
              </w:rPr>
            </w:pPr>
          </w:p>
        </w:tc>
      </w:tr>
    </w:tbl>
    <w:p w14:paraId="61493C99">
      <w:pPr>
        <w:pStyle w:val="3"/>
      </w:pPr>
      <w:r>
        <w:rPr>
          <w:rFonts w:hint="eastAsia"/>
        </w:rPr>
        <w:t>技术评分索引表（采购包2）</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0"/>
        <w:gridCol w:w="1915"/>
        <w:gridCol w:w="2372"/>
        <w:gridCol w:w="1605"/>
        <w:gridCol w:w="2318"/>
      </w:tblGrid>
      <w:tr w14:paraId="4B560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469" w:type="pct"/>
            <w:shd w:val="clear" w:color="000000" w:fill="FFFFFF"/>
            <w:vAlign w:val="center"/>
          </w:tcPr>
          <w:p w14:paraId="426DCF1A">
            <w:pPr>
              <w:jc w:val="center"/>
              <w:rPr>
                <w:rFonts w:ascii="宋体" w:hAnsi="宋体" w:cs="宋体"/>
                <w:b/>
                <w:bCs/>
                <w:color w:val="000000"/>
              </w:rPr>
            </w:pPr>
            <w:r>
              <w:rPr>
                <w:rFonts w:hint="eastAsia" w:ascii="宋体" w:hAnsi="宋体" w:cs="宋体"/>
                <w:b/>
                <w:bCs/>
                <w:color w:val="000000"/>
              </w:rPr>
              <w:t>序号</w:t>
            </w:r>
          </w:p>
        </w:tc>
        <w:tc>
          <w:tcPr>
            <w:tcW w:w="1057" w:type="pct"/>
            <w:shd w:val="clear" w:color="000000" w:fill="FFFFFF"/>
            <w:vAlign w:val="center"/>
          </w:tcPr>
          <w:p w14:paraId="09AEEE3E">
            <w:pPr>
              <w:jc w:val="center"/>
              <w:rPr>
                <w:rFonts w:ascii="宋体" w:hAnsi="宋体" w:cs="宋体"/>
                <w:b/>
                <w:bCs/>
                <w:color w:val="000000"/>
              </w:rPr>
            </w:pPr>
            <w:r>
              <w:rPr>
                <w:rFonts w:hint="eastAsia" w:ascii="宋体" w:hAnsi="宋体" w:cs="宋体"/>
                <w:b/>
                <w:bCs/>
                <w:color w:val="000000"/>
                <w:kern w:val="0"/>
              </w:rPr>
              <w:t>一级指标</w:t>
            </w:r>
          </w:p>
        </w:tc>
        <w:tc>
          <w:tcPr>
            <w:tcW w:w="1309" w:type="pct"/>
            <w:shd w:val="clear" w:color="000000" w:fill="FFFFFF"/>
            <w:vAlign w:val="center"/>
          </w:tcPr>
          <w:p w14:paraId="16F6732E">
            <w:pPr>
              <w:jc w:val="center"/>
              <w:rPr>
                <w:rFonts w:ascii="宋体" w:hAnsi="宋体" w:cs="宋体"/>
                <w:b/>
                <w:bCs/>
                <w:color w:val="000000"/>
              </w:rPr>
            </w:pPr>
            <w:r>
              <w:rPr>
                <w:rFonts w:hint="eastAsia" w:ascii="宋体" w:hAnsi="宋体" w:cs="宋体"/>
                <w:b/>
                <w:bCs/>
                <w:color w:val="000000"/>
                <w:kern w:val="0"/>
              </w:rPr>
              <w:t>二级指标</w:t>
            </w:r>
          </w:p>
        </w:tc>
        <w:tc>
          <w:tcPr>
            <w:tcW w:w="886" w:type="pct"/>
            <w:shd w:val="clear" w:color="000000" w:fill="FFFFFF"/>
            <w:vAlign w:val="center"/>
          </w:tcPr>
          <w:p w14:paraId="07AD5719">
            <w:pPr>
              <w:jc w:val="center"/>
              <w:rPr>
                <w:rFonts w:ascii="宋体" w:hAnsi="宋体" w:cs="宋体"/>
                <w:b/>
                <w:bCs/>
                <w:color w:val="000000"/>
              </w:rPr>
            </w:pPr>
            <w:r>
              <w:rPr>
                <w:rFonts w:hint="eastAsia" w:ascii="宋体" w:hAnsi="宋体" w:cs="宋体"/>
                <w:b/>
                <w:bCs/>
              </w:rPr>
              <w:t>证明材料对应页码</w:t>
            </w:r>
          </w:p>
        </w:tc>
        <w:tc>
          <w:tcPr>
            <w:tcW w:w="1280" w:type="pct"/>
            <w:shd w:val="clear" w:color="000000" w:fill="FFFFFF"/>
            <w:vAlign w:val="center"/>
          </w:tcPr>
          <w:p w14:paraId="1FF31414">
            <w:pPr>
              <w:jc w:val="center"/>
              <w:rPr>
                <w:rFonts w:ascii="宋体" w:hAnsi="宋体" w:cs="宋体"/>
                <w:b/>
                <w:bCs/>
                <w:color w:val="000000"/>
              </w:rPr>
            </w:pPr>
            <w:r>
              <w:rPr>
                <w:rFonts w:hint="eastAsia" w:ascii="宋体" w:hAnsi="宋体" w:cs="宋体"/>
                <w:b/>
                <w:bCs/>
              </w:rPr>
              <w:t>应答文件中是否提供（是/否）</w:t>
            </w:r>
          </w:p>
        </w:tc>
      </w:tr>
      <w:tr w14:paraId="2AE32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469" w:type="pct"/>
            <w:vMerge w:val="restart"/>
            <w:vAlign w:val="center"/>
          </w:tcPr>
          <w:p w14:paraId="3F4BC1A4">
            <w:pPr>
              <w:jc w:val="center"/>
              <w:rPr>
                <w:rFonts w:ascii="宋体" w:hAnsi="宋体" w:cs="宋体"/>
                <w:color w:val="000000"/>
              </w:rPr>
            </w:pPr>
            <w:r>
              <w:rPr>
                <w:rFonts w:hint="eastAsia" w:ascii="宋体" w:hAnsi="宋体" w:cs="宋体"/>
                <w:color w:val="000000"/>
              </w:rPr>
              <w:t xml:space="preserve"> 1</w:t>
            </w:r>
          </w:p>
        </w:tc>
        <w:tc>
          <w:tcPr>
            <w:tcW w:w="1057" w:type="pct"/>
            <w:vMerge w:val="restart"/>
            <w:vAlign w:val="center"/>
          </w:tcPr>
          <w:p w14:paraId="58507908">
            <w:pPr>
              <w:jc w:val="center"/>
              <w:rPr>
                <w:rFonts w:ascii="宋体" w:hAnsi="宋体" w:cs="宋体"/>
                <w:color w:val="000000"/>
              </w:rPr>
            </w:pPr>
            <w:r>
              <w:rPr>
                <w:rFonts w:hint="eastAsia" w:ascii="宋体" w:hAnsi="宋体" w:cs="宋体"/>
                <w:color w:val="000000"/>
                <w:kern w:val="0"/>
              </w:rPr>
              <w:t>项目经验</w:t>
            </w:r>
          </w:p>
        </w:tc>
        <w:tc>
          <w:tcPr>
            <w:tcW w:w="1309" w:type="pct"/>
            <w:shd w:val="clear" w:color="000000" w:fill="FFFFFF"/>
            <w:vAlign w:val="center"/>
          </w:tcPr>
          <w:p w14:paraId="22401A8C">
            <w:pPr>
              <w:jc w:val="center"/>
              <w:rPr>
                <w:rFonts w:ascii="宋体" w:hAnsi="宋体" w:cs="宋体"/>
              </w:rPr>
            </w:pPr>
            <w:r>
              <w:rPr>
                <w:rFonts w:hint="eastAsia" w:ascii="宋体" w:hAnsi="宋体" w:cs="宋体"/>
                <w:color w:val="000000"/>
                <w:kern w:val="0"/>
              </w:rPr>
              <w:t>项目经验</w:t>
            </w:r>
          </w:p>
        </w:tc>
        <w:tc>
          <w:tcPr>
            <w:tcW w:w="886" w:type="pct"/>
            <w:shd w:val="clear" w:color="auto" w:fill="auto"/>
            <w:vAlign w:val="center"/>
          </w:tcPr>
          <w:p w14:paraId="10474341">
            <w:pPr>
              <w:jc w:val="center"/>
              <w:rPr>
                <w:rFonts w:ascii="宋体" w:hAnsi="宋体" w:cs="宋体"/>
              </w:rPr>
            </w:pPr>
          </w:p>
        </w:tc>
        <w:tc>
          <w:tcPr>
            <w:tcW w:w="1280" w:type="pct"/>
            <w:shd w:val="clear" w:color="auto" w:fill="auto"/>
            <w:vAlign w:val="center"/>
          </w:tcPr>
          <w:p w14:paraId="18EBD8A7">
            <w:pPr>
              <w:jc w:val="center"/>
              <w:rPr>
                <w:rFonts w:ascii="宋体" w:hAnsi="宋体" w:cs="宋体"/>
                <w:color w:val="000000"/>
              </w:rPr>
            </w:pPr>
          </w:p>
        </w:tc>
      </w:tr>
      <w:tr w14:paraId="2F0EF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469" w:type="pct"/>
            <w:vMerge w:val="continue"/>
            <w:vAlign w:val="center"/>
          </w:tcPr>
          <w:p w14:paraId="68A00BC4">
            <w:pPr>
              <w:jc w:val="center"/>
              <w:rPr>
                <w:rFonts w:ascii="宋体" w:hAnsi="宋体" w:cs="宋体"/>
                <w:color w:val="000000"/>
              </w:rPr>
            </w:pPr>
          </w:p>
        </w:tc>
        <w:tc>
          <w:tcPr>
            <w:tcW w:w="1057" w:type="pct"/>
            <w:vMerge w:val="continue"/>
            <w:vAlign w:val="center"/>
          </w:tcPr>
          <w:p w14:paraId="5EF058DC">
            <w:pPr>
              <w:jc w:val="center"/>
              <w:rPr>
                <w:rFonts w:ascii="宋体" w:hAnsi="宋体" w:cs="宋体"/>
              </w:rPr>
            </w:pPr>
          </w:p>
        </w:tc>
        <w:tc>
          <w:tcPr>
            <w:tcW w:w="1309" w:type="pct"/>
            <w:shd w:val="clear" w:color="000000" w:fill="FFFFFF"/>
            <w:vAlign w:val="center"/>
          </w:tcPr>
          <w:p w14:paraId="458DD706">
            <w:pPr>
              <w:jc w:val="center"/>
              <w:rPr>
                <w:rFonts w:ascii="宋体" w:hAnsi="宋体" w:cs="宋体"/>
              </w:rPr>
            </w:pPr>
            <w:r>
              <w:rPr>
                <w:rFonts w:hint="eastAsia" w:ascii="宋体" w:hAnsi="宋体" w:cs="宋体"/>
                <w:color w:val="000000"/>
                <w:kern w:val="0"/>
              </w:rPr>
              <w:t>项目金额</w:t>
            </w:r>
          </w:p>
        </w:tc>
        <w:tc>
          <w:tcPr>
            <w:tcW w:w="886" w:type="pct"/>
            <w:shd w:val="clear" w:color="auto" w:fill="auto"/>
            <w:vAlign w:val="center"/>
          </w:tcPr>
          <w:p w14:paraId="6D7ED89E">
            <w:pPr>
              <w:jc w:val="center"/>
              <w:rPr>
                <w:rFonts w:ascii="宋体" w:hAnsi="宋体" w:cs="宋体"/>
              </w:rPr>
            </w:pPr>
          </w:p>
        </w:tc>
        <w:tc>
          <w:tcPr>
            <w:tcW w:w="1280" w:type="pct"/>
            <w:shd w:val="clear" w:color="auto" w:fill="auto"/>
            <w:vAlign w:val="center"/>
          </w:tcPr>
          <w:p w14:paraId="364924A1">
            <w:pPr>
              <w:jc w:val="center"/>
              <w:rPr>
                <w:rFonts w:ascii="宋体" w:hAnsi="宋体" w:cs="宋体"/>
                <w:color w:val="000000"/>
              </w:rPr>
            </w:pPr>
          </w:p>
        </w:tc>
      </w:tr>
      <w:tr w14:paraId="6F7B4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469" w:type="pct"/>
            <w:shd w:val="clear" w:color="000000" w:fill="FFFFFF"/>
            <w:vAlign w:val="center"/>
          </w:tcPr>
          <w:p w14:paraId="6C5E23F3">
            <w:pPr>
              <w:jc w:val="center"/>
              <w:rPr>
                <w:rFonts w:ascii="宋体" w:hAnsi="宋体" w:cs="宋体"/>
                <w:color w:val="000000"/>
              </w:rPr>
            </w:pPr>
            <w:r>
              <w:rPr>
                <w:rFonts w:hint="eastAsia" w:ascii="宋体" w:hAnsi="宋体" w:cs="宋体"/>
                <w:color w:val="000000"/>
              </w:rPr>
              <w:t>2</w:t>
            </w:r>
          </w:p>
        </w:tc>
        <w:tc>
          <w:tcPr>
            <w:tcW w:w="1057" w:type="pct"/>
            <w:shd w:val="clear" w:color="000000" w:fill="FFFFFF"/>
            <w:vAlign w:val="center"/>
          </w:tcPr>
          <w:p w14:paraId="729608C0">
            <w:pPr>
              <w:jc w:val="center"/>
              <w:rPr>
                <w:rFonts w:ascii="宋体" w:hAnsi="宋体" w:cs="宋体"/>
                <w:color w:val="000000"/>
              </w:rPr>
            </w:pPr>
            <w:r>
              <w:rPr>
                <w:rFonts w:hint="eastAsia" w:ascii="宋体" w:hAnsi="宋体" w:cs="宋体"/>
                <w:color w:val="000000"/>
                <w:kern w:val="0"/>
              </w:rPr>
              <w:t>团队实力</w:t>
            </w:r>
          </w:p>
        </w:tc>
        <w:tc>
          <w:tcPr>
            <w:tcW w:w="1309" w:type="pct"/>
            <w:shd w:val="clear" w:color="000000" w:fill="FFFFFF"/>
            <w:vAlign w:val="center"/>
          </w:tcPr>
          <w:p w14:paraId="00DAA81D">
            <w:pPr>
              <w:jc w:val="center"/>
              <w:rPr>
                <w:rFonts w:ascii="宋体" w:hAnsi="宋体" w:cs="宋体"/>
                <w:color w:val="000000"/>
              </w:rPr>
            </w:pPr>
            <w:r>
              <w:rPr>
                <w:rFonts w:hint="eastAsia" w:ascii="宋体" w:hAnsi="宋体" w:cs="宋体"/>
                <w:color w:val="000000"/>
                <w:kern w:val="0"/>
              </w:rPr>
              <w:t>项目经理能力</w:t>
            </w:r>
          </w:p>
        </w:tc>
        <w:tc>
          <w:tcPr>
            <w:tcW w:w="886" w:type="pct"/>
            <w:shd w:val="clear" w:color="000000" w:fill="FFFFFF"/>
            <w:vAlign w:val="center"/>
          </w:tcPr>
          <w:p w14:paraId="5F700579">
            <w:pPr>
              <w:jc w:val="center"/>
              <w:rPr>
                <w:rFonts w:ascii="宋体" w:hAnsi="宋体" w:cs="宋体"/>
                <w:color w:val="000000"/>
              </w:rPr>
            </w:pPr>
          </w:p>
        </w:tc>
        <w:tc>
          <w:tcPr>
            <w:tcW w:w="1280" w:type="pct"/>
            <w:shd w:val="clear" w:color="000000" w:fill="FFFFFF"/>
            <w:vAlign w:val="center"/>
          </w:tcPr>
          <w:p w14:paraId="678EE1DA">
            <w:pPr>
              <w:jc w:val="center"/>
              <w:rPr>
                <w:rFonts w:ascii="宋体" w:hAnsi="宋体" w:cs="宋体"/>
                <w:color w:val="000000"/>
              </w:rPr>
            </w:pPr>
          </w:p>
        </w:tc>
      </w:tr>
      <w:tr w14:paraId="76194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469" w:type="pct"/>
            <w:vMerge w:val="restart"/>
            <w:shd w:val="clear" w:color="000000" w:fill="FFFFFF"/>
            <w:vAlign w:val="center"/>
          </w:tcPr>
          <w:p w14:paraId="675BFC88">
            <w:pPr>
              <w:jc w:val="center"/>
              <w:rPr>
                <w:rFonts w:ascii="宋体" w:hAnsi="宋体" w:cs="宋体"/>
                <w:color w:val="000000"/>
              </w:rPr>
            </w:pPr>
            <w:r>
              <w:rPr>
                <w:rFonts w:hint="eastAsia" w:ascii="宋体" w:hAnsi="宋体" w:cs="宋体"/>
                <w:color w:val="000000"/>
                <w:kern w:val="0"/>
              </w:rPr>
              <w:t>3</w:t>
            </w:r>
          </w:p>
        </w:tc>
        <w:tc>
          <w:tcPr>
            <w:tcW w:w="1057" w:type="pct"/>
            <w:vMerge w:val="restart"/>
            <w:shd w:val="clear" w:color="000000" w:fill="FFFFFF"/>
            <w:vAlign w:val="center"/>
          </w:tcPr>
          <w:p w14:paraId="4EF3EDE8">
            <w:pPr>
              <w:jc w:val="center"/>
              <w:rPr>
                <w:rFonts w:ascii="宋体" w:hAnsi="宋体" w:cs="宋体"/>
                <w:color w:val="000000"/>
              </w:rPr>
            </w:pPr>
            <w:r>
              <w:rPr>
                <w:rFonts w:hint="eastAsia" w:ascii="宋体" w:hAnsi="宋体" w:cs="宋体"/>
                <w:color w:val="000000"/>
                <w:kern w:val="0"/>
              </w:rPr>
              <w:t>技术方案</w:t>
            </w:r>
          </w:p>
        </w:tc>
        <w:tc>
          <w:tcPr>
            <w:tcW w:w="1309" w:type="pct"/>
            <w:shd w:val="clear" w:color="000000" w:fill="FFFFFF"/>
            <w:vAlign w:val="center"/>
          </w:tcPr>
          <w:p w14:paraId="7EFACAD3">
            <w:pPr>
              <w:jc w:val="center"/>
              <w:rPr>
                <w:rFonts w:ascii="宋体" w:hAnsi="宋体" w:cs="宋体"/>
                <w:color w:val="000000"/>
              </w:rPr>
            </w:pPr>
            <w:r>
              <w:rPr>
                <w:rFonts w:hint="eastAsia" w:ascii="宋体" w:hAnsi="宋体" w:cs="宋体"/>
                <w:color w:val="000000"/>
                <w:kern w:val="0"/>
              </w:rPr>
              <w:t>整体方案</w:t>
            </w:r>
          </w:p>
        </w:tc>
        <w:tc>
          <w:tcPr>
            <w:tcW w:w="886" w:type="pct"/>
            <w:shd w:val="clear" w:color="000000" w:fill="FFFFFF"/>
            <w:vAlign w:val="center"/>
          </w:tcPr>
          <w:p w14:paraId="7643EFEB">
            <w:pPr>
              <w:jc w:val="center"/>
              <w:rPr>
                <w:rFonts w:ascii="宋体" w:hAnsi="宋体" w:cs="宋体"/>
                <w:color w:val="000000"/>
              </w:rPr>
            </w:pPr>
          </w:p>
        </w:tc>
        <w:tc>
          <w:tcPr>
            <w:tcW w:w="1280" w:type="pct"/>
            <w:shd w:val="clear" w:color="000000" w:fill="FFFFFF"/>
            <w:vAlign w:val="center"/>
          </w:tcPr>
          <w:p w14:paraId="27580089">
            <w:pPr>
              <w:jc w:val="center"/>
              <w:rPr>
                <w:rFonts w:ascii="宋体" w:hAnsi="宋体" w:cs="宋体"/>
                <w:color w:val="000000"/>
              </w:rPr>
            </w:pPr>
          </w:p>
        </w:tc>
      </w:tr>
      <w:tr w14:paraId="44CCA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469" w:type="pct"/>
            <w:vMerge w:val="continue"/>
            <w:shd w:val="clear" w:color="000000" w:fill="FFFFFF"/>
            <w:vAlign w:val="center"/>
          </w:tcPr>
          <w:p w14:paraId="4397D3D0">
            <w:pPr>
              <w:jc w:val="center"/>
              <w:rPr>
                <w:rFonts w:ascii="宋体" w:hAnsi="宋体" w:cs="宋体"/>
                <w:color w:val="000000"/>
              </w:rPr>
            </w:pPr>
          </w:p>
        </w:tc>
        <w:tc>
          <w:tcPr>
            <w:tcW w:w="1057" w:type="pct"/>
            <w:vMerge w:val="continue"/>
            <w:shd w:val="clear" w:color="000000" w:fill="FFFFFF"/>
            <w:vAlign w:val="center"/>
          </w:tcPr>
          <w:p w14:paraId="32A5B731">
            <w:pPr>
              <w:jc w:val="center"/>
              <w:rPr>
                <w:rFonts w:ascii="宋体" w:hAnsi="宋体" w:cs="宋体"/>
                <w:color w:val="000000"/>
              </w:rPr>
            </w:pPr>
          </w:p>
        </w:tc>
        <w:tc>
          <w:tcPr>
            <w:tcW w:w="1309" w:type="pct"/>
            <w:shd w:val="clear" w:color="000000" w:fill="FFFFFF"/>
            <w:vAlign w:val="center"/>
          </w:tcPr>
          <w:p w14:paraId="1A71AA78">
            <w:pPr>
              <w:jc w:val="center"/>
              <w:rPr>
                <w:rFonts w:ascii="宋体" w:hAnsi="宋体" w:cs="宋体"/>
                <w:color w:val="000000"/>
              </w:rPr>
            </w:pPr>
            <w:r>
              <w:rPr>
                <w:rFonts w:hint="eastAsia" w:ascii="宋体" w:hAnsi="宋体"/>
              </w:rPr>
              <w:t>技术案例-</w:t>
            </w:r>
            <w:r>
              <w:rPr>
                <w:rFonts w:hint="eastAsia" w:ascii="宋体" w:hAnsi="宋体" w:cs="宋体"/>
                <w:color w:val="000000"/>
                <w:kern w:val="0"/>
              </w:rPr>
              <w:t>数智人/虚拟形象云渲染流化输出及交互能力</w:t>
            </w:r>
          </w:p>
        </w:tc>
        <w:tc>
          <w:tcPr>
            <w:tcW w:w="886" w:type="pct"/>
            <w:shd w:val="clear" w:color="000000" w:fill="FFFFFF"/>
            <w:vAlign w:val="center"/>
          </w:tcPr>
          <w:p w14:paraId="15A58501">
            <w:pPr>
              <w:jc w:val="center"/>
              <w:rPr>
                <w:rFonts w:ascii="宋体" w:hAnsi="宋体" w:cs="宋体"/>
                <w:color w:val="000000"/>
              </w:rPr>
            </w:pPr>
          </w:p>
        </w:tc>
        <w:tc>
          <w:tcPr>
            <w:tcW w:w="1280" w:type="pct"/>
            <w:shd w:val="clear" w:color="000000" w:fill="FFFFFF"/>
            <w:vAlign w:val="center"/>
          </w:tcPr>
          <w:p w14:paraId="09EC2ED0">
            <w:pPr>
              <w:jc w:val="center"/>
              <w:rPr>
                <w:rFonts w:ascii="宋体" w:hAnsi="宋体" w:cs="宋体"/>
                <w:color w:val="000000"/>
              </w:rPr>
            </w:pPr>
          </w:p>
        </w:tc>
      </w:tr>
      <w:tr w14:paraId="73932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469" w:type="pct"/>
            <w:vMerge w:val="continue"/>
            <w:shd w:val="clear" w:color="000000" w:fill="FFFFFF"/>
            <w:vAlign w:val="center"/>
          </w:tcPr>
          <w:p w14:paraId="79DFD6E2">
            <w:pPr>
              <w:jc w:val="center"/>
              <w:rPr>
                <w:rFonts w:ascii="宋体" w:hAnsi="宋体" w:cs="宋体"/>
                <w:color w:val="000000"/>
              </w:rPr>
            </w:pPr>
          </w:p>
        </w:tc>
        <w:tc>
          <w:tcPr>
            <w:tcW w:w="1057" w:type="pct"/>
            <w:vMerge w:val="continue"/>
            <w:shd w:val="clear" w:color="000000" w:fill="FFFFFF"/>
            <w:vAlign w:val="center"/>
          </w:tcPr>
          <w:p w14:paraId="1B43A48C">
            <w:pPr>
              <w:jc w:val="center"/>
              <w:rPr>
                <w:rFonts w:ascii="宋体" w:hAnsi="宋体" w:cs="宋体"/>
                <w:color w:val="000000"/>
              </w:rPr>
            </w:pPr>
          </w:p>
        </w:tc>
        <w:tc>
          <w:tcPr>
            <w:tcW w:w="1309" w:type="pct"/>
            <w:shd w:val="clear" w:color="000000" w:fill="FFFFFF"/>
            <w:vAlign w:val="center"/>
          </w:tcPr>
          <w:p w14:paraId="0D0C5FDC">
            <w:pPr>
              <w:jc w:val="center"/>
              <w:rPr>
                <w:rFonts w:ascii="宋体" w:hAnsi="宋体"/>
              </w:rPr>
            </w:pPr>
            <w:r>
              <w:rPr>
                <w:rFonts w:hint="eastAsia" w:ascii="宋体" w:hAnsi="宋体"/>
              </w:rPr>
              <w:t>技术案例-</w:t>
            </w:r>
            <w:r>
              <w:rPr>
                <w:rFonts w:hint="eastAsia" w:ascii="宋体" w:hAnsi="宋体" w:cs="宋体"/>
                <w:color w:val="000000"/>
                <w:kern w:val="0"/>
              </w:rPr>
              <w:t>数智人/虚拟形象驱动能力</w:t>
            </w:r>
          </w:p>
        </w:tc>
        <w:tc>
          <w:tcPr>
            <w:tcW w:w="886" w:type="pct"/>
            <w:shd w:val="clear" w:color="000000" w:fill="FFFFFF"/>
            <w:vAlign w:val="center"/>
          </w:tcPr>
          <w:p w14:paraId="2EC63BF6">
            <w:pPr>
              <w:jc w:val="center"/>
              <w:rPr>
                <w:rFonts w:ascii="宋体" w:hAnsi="宋体" w:cs="宋体"/>
                <w:color w:val="000000"/>
              </w:rPr>
            </w:pPr>
          </w:p>
        </w:tc>
        <w:tc>
          <w:tcPr>
            <w:tcW w:w="1280" w:type="pct"/>
            <w:shd w:val="clear" w:color="000000" w:fill="FFFFFF"/>
            <w:vAlign w:val="center"/>
          </w:tcPr>
          <w:p w14:paraId="05F71953">
            <w:pPr>
              <w:jc w:val="center"/>
              <w:rPr>
                <w:rFonts w:ascii="宋体" w:hAnsi="宋体" w:cs="宋体"/>
                <w:color w:val="000000"/>
              </w:rPr>
            </w:pPr>
          </w:p>
        </w:tc>
      </w:tr>
      <w:tr w14:paraId="4EE5A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469" w:type="pct"/>
            <w:vMerge w:val="continue"/>
            <w:shd w:val="clear" w:color="000000" w:fill="FFFFFF"/>
            <w:vAlign w:val="center"/>
          </w:tcPr>
          <w:p w14:paraId="6F52884A">
            <w:pPr>
              <w:jc w:val="center"/>
              <w:rPr>
                <w:rFonts w:ascii="宋体" w:hAnsi="宋体" w:cs="宋体"/>
                <w:color w:val="000000"/>
              </w:rPr>
            </w:pPr>
          </w:p>
        </w:tc>
        <w:tc>
          <w:tcPr>
            <w:tcW w:w="1057" w:type="pct"/>
            <w:vMerge w:val="continue"/>
            <w:shd w:val="clear" w:color="000000" w:fill="FFFFFF"/>
            <w:vAlign w:val="center"/>
          </w:tcPr>
          <w:p w14:paraId="4C437FD5">
            <w:pPr>
              <w:jc w:val="center"/>
              <w:rPr>
                <w:rFonts w:ascii="宋体" w:hAnsi="宋体" w:cs="宋体"/>
                <w:color w:val="000000"/>
              </w:rPr>
            </w:pPr>
          </w:p>
        </w:tc>
        <w:tc>
          <w:tcPr>
            <w:tcW w:w="1309" w:type="pct"/>
            <w:shd w:val="clear" w:color="000000" w:fill="FFFFFF"/>
            <w:vAlign w:val="center"/>
          </w:tcPr>
          <w:p w14:paraId="548BFF72">
            <w:pPr>
              <w:jc w:val="center"/>
              <w:rPr>
                <w:rFonts w:ascii="宋体" w:hAnsi="宋体"/>
              </w:rPr>
            </w:pPr>
            <w:r>
              <w:rPr>
                <w:rFonts w:hint="eastAsia" w:ascii="宋体" w:hAnsi="宋体" w:cs="宋体"/>
                <w:kern w:val="0"/>
              </w:rPr>
              <w:t>技术案例-数智人/虚拟形象云渲染能力</w:t>
            </w:r>
          </w:p>
        </w:tc>
        <w:tc>
          <w:tcPr>
            <w:tcW w:w="886" w:type="pct"/>
            <w:shd w:val="clear" w:color="000000" w:fill="FFFFFF"/>
            <w:vAlign w:val="center"/>
          </w:tcPr>
          <w:p w14:paraId="19D395ED">
            <w:pPr>
              <w:jc w:val="center"/>
              <w:rPr>
                <w:rFonts w:ascii="宋体" w:hAnsi="宋体" w:cs="宋体"/>
                <w:color w:val="000000"/>
              </w:rPr>
            </w:pPr>
          </w:p>
        </w:tc>
        <w:tc>
          <w:tcPr>
            <w:tcW w:w="1280" w:type="pct"/>
            <w:shd w:val="clear" w:color="000000" w:fill="FFFFFF"/>
            <w:vAlign w:val="center"/>
          </w:tcPr>
          <w:p w14:paraId="652B72F2">
            <w:pPr>
              <w:jc w:val="center"/>
              <w:rPr>
                <w:rFonts w:ascii="宋体" w:hAnsi="宋体" w:cs="宋体"/>
                <w:color w:val="000000"/>
              </w:rPr>
            </w:pPr>
          </w:p>
        </w:tc>
      </w:tr>
      <w:tr w14:paraId="29ED5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469" w:type="pct"/>
            <w:shd w:val="clear" w:color="000000" w:fill="FFFFFF"/>
            <w:vAlign w:val="center"/>
          </w:tcPr>
          <w:p w14:paraId="5AC038CE">
            <w:pPr>
              <w:jc w:val="center"/>
              <w:rPr>
                <w:rFonts w:ascii="宋体" w:hAnsi="宋体" w:cs="宋体"/>
                <w:color w:val="000000"/>
              </w:rPr>
            </w:pPr>
            <w:r>
              <w:rPr>
                <w:rFonts w:ascii="宋体" w:hAnsi="宋体" w:cs="宋体"/>
                <w:color w:val="000000"/>
              </w:rPr>
              <w:t>4</w:t>
            </w:r>
          </w:p>
        </w:tc>
        <w:tc>
          <w:tcPr>
            <w:tcW w:w="2366" w:type="pct"/>
            <w:gridSpan w:val="2"/>
            <w:shd w:val="clear" w:color="000000" w:fill="FFFFFF"/>
            <w:vAlign w:val="center"/>
          </w:tcPr>
          <w:p w14:paraId="1B5015D9">
            <w:pPr>
              <w:jc w:val="center"/>
              <w:rPr>
                <w:rFonts w:ascii="宋体" w:hAnsi="宋体" w:cs="宋体"/>
                <w:color w:val="000000"/>
              </w:rPr>
            </w:pPr>
            <w:r>
              <w:rPr>
                <w:rFonts w:hint="eastAsia" w:ascii="宋体" w:hAnsi="宋体" w:cs="宋体"/>
                <w:color w:val="000000"/>
                <w:kern w:val="0"/>
              </w:rPr>
              <w:t>应答文件制作</w:t>
            </w:r>
          </w:p>
        </w:tc>
        <w:tc>
          <w:tcPr>
            <w:tcW w:w="886" w:type="pct"/>
            <w:shd w:val="clear" w:color="auto" w:fill="auto"/>
            <w:vAlign w:val="center"/>
          </w:tcPr>
          <w:p w14:paraId="6A62E598">
            <w:pPr>
              <w:jc w:val="center"/>
              <w:rPr>
                <w:rFonts w:ascii="宋体" w:hAnsi="宋体" w:cs="宋体"/>
                <w:color w:val="000000"/>
              </w:rPr>
            </w:pPr>
            <w:r>
              <w:rPr>
                <w:rFonts w:hint="eastAsia" w:ascii="宋体" w:hAnsi="宋体" w:cs="宋体"/>
                <w:color w:val="000000"/>
              </w:rPr>
              <w:t>/</w:t>
            </w:r>
          </w:p>
        </w:tc>
        <w:tc>
          <w:tcPr>
            <w:tcW w:w="1280" w:type="pct"/>
            <w:shd w:val="clear" w:color="auto" w:fill="auto"/>
            <w:vAlign w:val="center"/>
          </w:tcPr>
          <w:p w14:paraId="6F0EE829">
            <w:pPr>
              <w:jc w:val="center"/>
              <w:rPr>
                <w:rFonts w:ascii="宋体" w:hAnsi="宋体" w:cs="宋体"/>
                <w:color w:val="000000"/>
              </w:rPr>
            </w:pPr>
            <w:r>
              <w:rPr>
                <w:rFonts w:hint="eastAsia" w:ascii="宋体" w:hAnsi="宋体" w:cs="宋体"/>
                <w:color w:val="000000"/>
              </w:rPr>
              <w:t>/</w:t>
            </w:r>
          </w:p>
        </w:tc>
      </w:tr>
      <w:tr w14:paraId="00470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469" w:type="pct"/>
            <w:shd w:val="clear" w:color="000000" w:fill="FFFFFF"/>
            <w:vAlign w:val="center"/>
          </w:tcPr>
          <w:p w14:paraId="10E1937A">
            <w:pPr>
              <w:jc w:val="center"/>
              <w:rPr>
                <w:rFonts w:ascii="宋体" w:hAnsi="宋体" w:cs="宋体"/>
                <w:color w:val="000000"/>
              </w:rPr>
            </w:pPr>
            <w:r>
              <w:rPr>
                <w:rFonts w:ascii="宋体" w:hAnsi="宋体" w:cs="宋体"/>
                <w:color w:val="000000"/>
              </w:rPr>
              <w:t>5</w:t>
            </w:r>
          </w:p>
        </w:tc>
        <w:tc>
          <w:tcPr>
            <w:tcW w:w="2366" w:type="pct"/>
            <w:gridSpan w:val="2"/>
            <w:shd w:val="clear" w:color="000000" w:fill="FFFFFF"/>
            <w:vAlign w:val="center"/>
          </w:tcPr>
          <w:p w14:paraId="38E35995">
            <w:pPr>
              <w:jc w:val="center"/>
              <w:rPr>
                <w:rFonts w:ascii="宋体" w:hAnsi="宋体" w:cs="宋体"/>
                <w:color w:val="000000"/>
              </w:rPr>
            </w:pPr>
            <w:r>
              <w:rPr>
                <w:rFonts w:hint="eastAsia" w:ascii="宋体" w:hAnsi="宋体" w:cs="宋体"/>
                <w:color w:val="000000"/>
                <w:kern w:val="0"/>
              </w:rPr>
              <w:t>应答偏离</w:t>
            </w:r>
          </w:p>
        </w:tc>
        <w:tc>
          <w:tcPr>
            <w:tcW w:w="886" w:type="pct"/>
            <w:shd w:val="clear" w:color="auto" w:fill="auto"/>
            <w:vAlign w:val="center"/>
          </w:tcPr>
          <w:p w14:paraId="04F06DB1">
            <w:pPr>
              <w:jc w:val="center"/>
              <w:rPr>
                <w:rFonts w:ascii="宋体" w:hAnsi="宋体" w:cs="宋体"/>
              </w:rPr>
            </w:pPr>
          </w:p>
        </w:tc>
        <w:tc>
          <w:tcPr>
            <w:tcW w:w="1280" w:type="pct"/>
            <w:shd w:val="clear" w:color="auto" w:fill="auto"/>
            <w:vAlign w:val="center"/>
          </w:tcPr>
          <w:p w14:paraId="16ACDA7F">
            <w:pPr>
              <w:jc w:val="center"/>
              <w:rPr>
                <w:rFonts w:ascii="宋体" w:hAnsi="宋体" w:cs="宋体"/>
                <w:color w:val="000000"/>
              </w:rPr>
            </w:pPr>
          </w:p>
        </w:tc>
      </w:tr>
    </w:tbl>
    <w:p w14:paraId="16DA4FF6">
      <w:pPr>
        <w:pStyle w:val="18"/>
      </w:pPr>
    </w:p>
    <w:p w14:paraId="7B838717">
      <w:pPr>
        <w:pStyle w:val="18"/>
      </w:pPr>
    </w:p>
    <w:p w14:paraId="2F1D06F1">
      <w:pPr>
        <w:pStyle w:val="18"/>
      </w:pPr>
    </w:p>
    <w:p w14:paraId="237159E7">
      <w:pPr>
        <w:pStyle w:val="18"/>
      </w:pPr>
    </w:p>
    <w:p w14:paraId="6CEEEC60">
      <w:pPr>
        <w:pStyle w:val="18"/>
      </w:pPr>
    </w:p>
    <w:p w14:paraId="02F5A61F">
      <w:pPr>
        <w:pStyle w:val="18"/>
      </w:pPr>
    </w:p>
    <w:p w14:paraId="0D270480">
      <w:pPr>
        <w:pStyle w:val="18"/>
      </w:pPr>
    </w:p>
    <w:p w14:paraId="4F4D2349">
      <w:pPr>
        <w:pStyle w:val="18"/>
      </w:pPr>
    </w:p>
    <w:p w14:paraId="4D2B4337">
      <w:pPr>
        <w:pStyle w:val="18"/>
      </w:pPr>
    </w:p>
    <w:p w14:paraId="18FBB0F6">
      <w:pPr>
        <w:pStyle w:val="18"/>
      </w:pPr>
    </w:p>
    <w:p w14:paraId="1923CD3A">
      <w:pPr>
        <w:pStyle w:val="18"/>
      </w:pPr>
    </w:p>
    <w:p w14:paraId="3D1D1691">
      <w:pPr>
        <w:pStyle w:val="18"/>
      </w:pPr>
    </w:p>
    <w:p w14:paraId="76DC6DB6">
      <w:pPr>
        <w:pStyle w:val="18"/>
      </w:pPr>
    </w:p>
    <w:p w14:paraId="5205C870">
      <w:pPr>
        <w:pStyle w:val="18"/>
      </w:pPr>
    </w:p>
    <w:p w14:paraId="3DFD9BDC">
      <w:pPr>
        <w:pStyle w:val="18"/>
      </w:pPr>
    </w:p>
    <w:p w14:paraId="55655EDF">
      <w:pPr>
        <w:pStyle w:val="18"/>
      </w:pPr>
    </w:p>
    <w:p w14:paraId="5FE869A8">
      <w:pPr>
        <w:pStyle w:val="18"/>
      </w:pPr>
    </w:p>
    <w:p w14:paraId="5904031C">
      <w:pPr>
        <w:pStyle w:val="18"/>
      </w:pPr>
    </w:p>
    <w:p w14:paraId="12B6D57C">
      <w:pPr>
        <w:pStyle w:val="18"/>
      </w:pPr>
    </w:p>
    <w:p w14:paraId="3315FEAE">
      <w:pPr>
        <w:pStyle w:val="18"/>
      </w:pPr>
    </w:p>
    <w:p w14:paraId="1711EF17">
      <w:pPr>
        <w:pStyle w:val="18"/>
      </w:pPr>
    </w:p>
    <w:p w14:paraId="04BEAAA3">
      <w:pPr>
        <w:pStyle w:val="18"/>
      </w:pPr>
    </w:p>
    <w:p w14:paraId="4C2F4244">
      <w:pPr>
        <w:pStyle w:val="18"/>
      </w:pPr>
    </w:p>
    <w:p w14:paraId="53D37782">
      <w:pPr>
        <w:pStyle w:val="18"/>
      </w:pPr>
    </w:p>
    <w:p w14:paraId="7C74E0A7">
      <w:pPr>
        <w:pStyle w:val="18"/>
      </w:pPr>
    </w:p>
    <w:p w14:paraId="3E3448B1">
      <w:pPr>
        <w:pStyle w:val="18"/>
      </w:pPr>
    </w:p>
    <w:p w14:paraId="75ACE316">
      <w:pPr>
        <w:pStyle w:val="18"/>
      </w:pPr>
    </w:p>
    <w:p w14:paraId="419FDB46">
      <w:pPr>
        <w:pStyle w:val="18"/>
      </w:pPr>
    </w:p>
    <w:p w14:paraId="56D0B7B7">
      <w:pPr>
        <w:pStyle w:val="18"/>
      </w:pPr>
    </w:p>
    <w:p w14:paraId="3F49BF3E">
      <w:pPr>
        <w:pStyle w:val="18"/>
      </w:pPr>
    </w:p>
    <w:p w14:paraId="25DDE3AE">
      <w:pPr>
        <w:pStyle w:val="2"/>
      </w:pPr>
      <w:r>
        <w:rPr>
          <w:rFonts w:hint="eastAsia"/>
          <w:b w:val="0"/>
          <w:bCs w:val="0"/>
        </w:rPr>
        <w:t>★</w:t>
      </w:r>
      <w:r>
        <w:rPr>
          <w:rFonts w:hint="eastAsia"/>
        </w:rPr>
        <w:t>应答函（除第13点外不可变动其他内容）</w:t>
      </w:r>
    </w:p>
    <w:p w14:paraId="68092240">
      <w:pPr>
        <w:jc w:val="center"/>
        <w:rPr>
          <w:rFonts w:ascii="宋体" w:hAnsi="宋体"/>
          <w:b/>
          <w:bCs/>
          <w:color w:val="000000"/>
          <w:sz w:val="28"/>
          <w:szCs w:val="28"/>
        </w:rPr>
      </w:pPr>
      <w:r>
        <w:rPr>
          <w:rFonts w:hint="eastAsia" w:ascii="宋体" w:hAnsi="宋体"/>
          <w:b/>
          <w:bCs/>
          <w:color w:val="000000"/>
          <w:sz w:val="28"/>
          <w:szCs w:val="28"/>
        </w:rPr>
        <w:t>应答函</w:t>
      </w:r>
    </w:p>
    <w:p w14:paraId="4173F280">
      <w:pPr>
        <w:ind w:right="-163" w:rightChars="-68"/>
        <w:rPr>
          <w:rFonts w:ascii="宋体" w:hAnsi="宋体"/>
          <w:color w:val="000000"/>
        </w:rPr>
      </w:pPr>
      <w:r>
        <w:rPr>
          <w:rFonts w:ascii="宋体" w:hAnsi="宋体"/>
          <w:color w:val="000000"/>
        </w:rPr>
        <w:t>致：</w:t>
      </w:r>
      <w:r>
        <w:rPr>
          <w:rFonts w:hint="eastAsia" w:ascii="宋体" w:hAnsi="宋体"/>
          <w:color w:val="000000"/>
        </w:rPr>
        <w:t>咪咕文化科技有限公司</w:t>
      </w:r>
    </w:p>
    <w:p w14:paraId="182AFF01">
      <w:pPr>
        <w:ind w:right="-163" w:rightChars="-68" w:firstLine="435"/>
        <w:rPr>
          <w:rFonts w:ascii="宋体" w:hAnsi="宋体"/>
        </w:rPr>
      </w:pPr>
      <w:r>
        <w:rPr>
          <w:rFonts w:hint="eastAsia"/>
          <w:spacing w:val="4"/>
        </w:rPr>
        <w:t>我方</w:t>
      </w:r>
      <w:r>
        <w:rPr>
          <w:spacing w:val="4"/>
        </w:rPr>
        <w:t>已仔细研究了</w:t>
      </w:r>
      <w:r>
        <w:rPr>
          <w:rFonts w:hint="eastAsia"/>
          <w:spacing w:val="4"/>
        </w:rPr>
        <w:t>本项目比选文件</w:t>
      </w:r>
      <w:r>
        <w:rPr>
          <w:spacing w:val="4"/>
        </w:rPr>
        <w:t>的全部内容</w:t>
      </w:r>
      <w:r>
        <w:rPr>
          <w:rFonts w:hint="eastAsia"/>
          <w:spacing w:val="4"/>
        </w:rPr>
        <w:t>，</w:t>
      </w:r>
      <w:r>
        <w:rPr>
          <w:bCs/>
          <w:spacing w:val="4"/>
        </w:rPr>
        <w:t>包括</w:t>
      </w:r>
      <w:r>
        <w:rPr>
          <w:rFonts w:hint="eastAsia"/>
          <w:bCs/>
          <w:spacing w:val="4"/>
        </w:rPr>
        <w:t>澄清或者</w:t>
      </w:r>
      <w:r>
        <w:rPr>
          <w:bCs/>
          <w:spacing w:val="4"/>
        </w:rPr>
        <w:t>修改文件</w:t>
      </w:r>
      <w:r>
        <w:rPr>
          <w:rFonts w:hint="eastAsia"/>
          <w:bCs/>
          <w:spacing w:val="4"/>
        </w:rPr>
        <w:t>以及</w:t>
      </w:r>
      <w:r>
        <w:rPr>
          <w:bCs/>
          <w:spacing w:val="4"/>
        </w:rPr>
        <w:t>有关附件</w:t>
      </w:r>
      <w:r>
        <w:rPr>
          <w:spacing w:val="4"/>
        </w:rPr>
        <w:t>，</w:t>
      </w:r>
      <w:r>
        <w:rPr>
          <w:rFonts w:hint="eastAsia"/>
          <w:spacing w:val="4"/>
        </w:rPr>
        <w:t>我方将严格按照比选文件要求递交符合要求的全部应答文件，且应答文件是基于对上述文件的完全理解而作出的应答。</w:t>
      </w:r>
    </w:p>
    <w:p w14:paraId="44858F6C">
      <w:pPr>
        <w:ind w:right="-163" w:rightChars="-68"/>
        <w:rPr>
          <w:rFonts w:ascii="宋体" w:hAnsi="宋体"/>
          <w:color w:val="000000"/>
        </w:rPr>
      </w:pPr>
      <w:r>
        <w:rPr>
          <w:rFonts w:ascii="宋体" w:hAnsi="宋体"/>
          <w:color w:val="000000"/>
        </w:rPr>
        <w:t xml:space="preserve">    据此</w:t>
      </w:r>
      <w:r>
        <w:rPr>
          <w:rFonts w:hint="eastAsia" w:ascii="宋体" w:hAnsi="宋体"/>
          <w:color w:val="000000"/>
        </w:rPr>
        <w:t>,我方</w:t>
      </w:r>
      <w:r>
        <w:rPr>
          <w:rFonts w:ascii="宋体" w:hAnsi="宋体"/>
          <w:color w:val="000000"/>
        </w:rPr>
        <w:t>同意如下内容：</w:t>
      </w:r>
    </w:p>
    <w:p w14:paraId="52DBF5B4">
      <w:pPr>
        <w:ind w:right="-163" w:rightChars="-68" w:firstLine="480" w:firstLineChars="200"/>
        <w:rPr>
          <w:rFonts w:ascii="宋体" w:hAnsi="宋体"/>
        </w:rPr>
      </w:pPr>
      <w:r>
        <w:rPr>
          <w:rFonts w:hint="eastAsia" w:ascii="宋体" w:hAnsi="宋体"/>
        </w:rPr>
        <w:t>1.</w:t>
      </w:r>
      <w:r>
        <w:rPr>
          <w:rFonts w:ascii="宋体" w:hAnsi="宋体"/>
        </w:rPr>
        <w:t>所附</w:t>
      </w:r>
      <w:r>
        <w:rPr>
          <w:rFonts w:hint="eastAsia" w:ascii="宋体" w:hAnsi="宋体"/>
        </w:rPr>
        <w:t>应答</w:t>
      </w:r>
      <w:r>
        <w:rPr>
          <w:rFonts w:ascii="宋体" w:hAnsi="宋体"/>
        </w:rPr>
        <w:t>价格表中规定的应提交和交付的货物</w:t>
      </w:r>
      <w:r>
        <w:rPr>
          <w:rFonts w:hint="eastAsia" w:ascii="宋体" w:hAnsi="宋体"/>
        </w:rPr>
        <w:t>和服务。</w:t>
      </w:r>
    </w:p>
    <w:p w14:paraId="5B6DE191">
      <w:pPr>
        <w:ind w:right="-163" w:rightChars="-68" w:firstLine="480" w:firstLineChars="200"/>
        <w:rPr>
          <w:rFonts w:ascii="宋体" w:hAnsi="宋体"/>
        </w:rPr>
      </w:pPr>
      <w:r>
        <w:rPr>
          <w:rFonts w:hint="eastAsia" w:ascii="宋体" w:hAnsi="宋体"/>
        </w:rPr>
        <w:t>2.</w:t>
      </w:r>
      <w:r>
        <w:rPr>
          <w:rFonts w:ascii="宋体" w:hAnsi="宋体"/>
        </w:rPr>
        <w:t>遵从本</w:t>
      </w:r>
      <w:r>
        <w:rPr>
          <w:rFonts w:hint="eastAsia" w:ascii="宋体" w:hAnsi="宋体"/>
        </w:rPr>
        <w:t>应答</w:t>
      </w:r>
      <w:r>
        <w:rPr>
          <w:rFonts w:ascii="宋体" w:hAnsi="宋体"/>
        </w:rPr>
        <w:t xml:space="preserve">有效期为 </w:t>
      </w:r>
      <w:r>
        <w:rPr>
          <w:rFonts w:hint="eastAsia" w:ascii="宋体" w:hAnsi="宋体"/>
        </w:rPr>
        <w:t>120</w:t>
      </w:r>
      <w:r>
        <w:rPr>
          <w:rFonts w:ascii="宋体" w:hAnsi="宋体"/>
        </w:rPr>
        <w:t>天。</w:t>
      </w:r>
    </w:p>
    <w:p w14:paraId="21735616">
      <w:pPr>
        <w:ind w:right="-163" w:rightChars="-68" w:firstLine="480" w:firstLineChars="200"/>
        <w:rPr>
          <w:rFonts w:ascii="宋体" w:hAnsi="宋体"/>
        </w:rPr>
      </w:pPr>
      <w:r>
        <w:rPr>
          <w:rFonts w:hint="eastAsia" w:ascii="宋体" w:hAnsi="宋体"/>
        </w:rPr>
        <w:t>3.</w:t>
      </w:r>
      <w:r>
        <w:rPr>
          <w:rFonts w:ascii="宋体" w:hAnsi="宋体"/>
        </w:rPr>
        <w:t>我方承诺，与贵方聘请的为此项目提供咨询服务的公司及任何附属机构均无关联关系，我方不是贵方的附属机构。</w:t>
      </w:r>
    </w:p>
    <w:p w14:paraId="60BA5EBC">
      <w:pPr>
        <w:ind w:right="-163" w:rightChars="-68" w:firstLine="480" w:firstLineChars="200"/>
        <w:rPr>
          <w:rFonts w:ascii="宋体" w:hAnsi="宋体"/>
        </w:rPr>
      </w:pPr>
      <w:r>
        <w:rPr>
          <w:rFonts w:hint="eastAsia" w:ascii="宋体" w:hAnsi="宋体"/>
        </w:rPr>
        <w:t>4.</w:t>
      </w:r>
      <w:r>
        <w:rPr>
          <w:rFonts w:ascii="宋体" w:hAnsi="宋体"/>
        </w:rPr>
        <w:t>我方同意提供按照贵方可能要求的与其</w:t>
      </w:r>
      <w:r>
        <w:rPr>
          <w:rFonts w:hint="eastAsia" w:ascii="宋体" w:hAnsi="宋体"/>
        </w:rPr>
        <w:t>应答</w:t>
      </w:r>
      <w:r>
        <w:rPr>
          <w:rFonts w:ascii="宋体" w:hAnsi="宋体"/>
        </w:rPr>
        <w:t>有关的一切数据或资料，完全理解贵方不一定接受最低价的</w:t>
      </w:r>
      <w:r>
        <w:rPr>
          <w:rFonts w:hint="eastAsia" w:ascii="宋体" w:hAnsi="宋体"/>
        </w:rPr>
        <w:t>应答</w:t>
      </w:r>
      <w:r>
        <w:rPr>
          <w:rFonts w:ascii="宋体" w:hAnsi="宋体"/>
        </w:rPr>
        <w:t>。</w:t>
      </w:r>
    </w:p>
    <w:p w14:paraId="68D13CD8">
      <w:pPr>
        <w:ind w:right="-163" w:rightChars="-68" w:firstLine="480" w:firstLineChars="200"/>
        <w:rPr>
          <w:rFonts w:ascii="宋体" w:hAnsi="宋体"/>
        </w:rPr>
      </w:pPr>
      <w:r>
        <w:rPr>
          <w:rFonts w:hint="eastAsia" w:ascii="宋体" w:hAnsi="宋体"/>
        </w:rPr>
        <w:t>5.</w:t>
      </w:r>
      <w:r>
        <w:rPr>
          <w:rFonts w:ascii="宋体" w:hAnsi="宋体"/>
        </w:rPr>
        <w:t>我方承诺：我方不得将本次</w:t>
      </w:r>
      <w:r>
        <w:rPr>
          <w:rFonts w:hint="eastAsia" w:ascii="宋体" w:hAnsi="宋体"/>
        </w:rPr>
        <w:t>采购</w:t>
      </w:r>
      <w:r>
        <w:rPr>
          <w:rFonts w:ascii="宋体" w:hAnsi="宋体"/>
        </w:rPr>
        <w:t>或合同的有关资料向第三方透露。</w:t>
      </w:r>
    </w:p>
    <w:p w14:paraId="3E180F8C">
      <w:pPr>
        <w:ind w:right="-163" w:rightChars="-68" w:firstLine="480" w:firstLineChars="200"/>
        <w:rPr>
          <w:rFonts w:ascii="宋体" w:hAnsi="宋体"/>
        </w:rPr>
      </w:pPr>
      <w:r>
        <w:rPr>
          <w:rFonts w:hint="eastAsia" w:ascii="宋体" w:hAnsi="宋体"/>
        </w:rPr>
        <w:t>6.</w:t>
      </w:r>
      <w:r>
        <w:rPr>
          <w:rFonts w:ascii="宋体" w:hAnsi="宋体"/>
        </w:rPr>
        <w:t>我方</w:t>
      </w:r>
      <w:r>
        <w:rPr>
          <w:rFonts w:hint="eastAsia" w:ascii="宋体" w:hAnsi="宋体"/>
        </w:rPr>
        <w:t>承诺所有电子版应答文件及最终报价均是真实的、合法的、有效的。如有弄虚作假，将承担相应的法律责任，并赔偿由此造成的一切损失。</w:t>
      </w:r>
    </w:p>
    <w:p w14:paraId="3C1948F9">
      <w:pPr>
        <w:ind w:right="-163" w:rightChars="-68" w:firstLine="480" w:firstLineChars="200"/>
        <w:rPr>
          <w:rFonts w:ascii="宋体" w:hAnsi="宋体"/>
        </w:rPr>
      </w:pPr>
      <w:r>
        <w:rPr>
          <w:rFonts w:hint="eastAsia" w:ascii="宋体" w:hAnsi="宋体"/>
        </w:rPr>
        <w:t>7.若中选，我方将按照比选文件的具体规定与贵公司签订合同，我方将</w:t>
      </w:r>
      <w:r>
        <w:rPr>
          <w:rFonts w:ascii="宋体" w:hAnsi="宋体"/>
        </w:rPr>
        <w:t>按照</w:t>
      </w:r>
      <w:r>
        <w:rPr>
          <w:rFonts w:hint="eastAsia" w:ascii="宋体" w:hAnsi="宋体"/>
        </w:rPr>
        <w:t>比选文件</w:t>
      </w:r>
      <w:r>
        <w:rPr>
          <w:rFonts w:ascii="宋体" w:hAnsi="宋体"/>
        </w:rPr>
        <w:t>规定递交履约</w:t>
      </w:r>
      <w:r>
        <w:rPr>
          <w:rFonts w:hint="eastAsia" w:ascii="宋体" w:hAnsi="宋体"/>
        </w:rPr>
        <w:t>保证金、支付采购代理服务费;严格履行合同规定的责任和义务，按时交货、提供优质的产品和服务。如果在合同执行过程中，发现合同产品质量问题，我方一定尽快更换/退货，并承担由此给贵方造成的全部损失。</w:t>
      </w:r>
    </w:p>
    <w:p w14:paraId="31114D80">
      <w:pPr>
        <w:ind w:right="-163" w:rightChars="-68" w:firstLine="480" w:firstLineChars="200"/>
        <w:rPr>
          <w:rFonts w:ascii="宋体" w:hAnsi="宋体"/>
        </w:rPr>
      </w:pPr>
      <w:r>
        <w:rPr>
          <w:rFonts w:hint="eastAsia" w:ascii="宋体" w:hAnsi="宋体"/>
        </w:rPr>
        <w:t>8.在整个采购过程中，我方若有违规行为，贵方可按比选文件之规定给予惩罚，我方完全接受。若中选，本承诺函将成为合同不可分割的一部分，与合同具有同等的法律效力。</w:t>
      </w:r>
    </w:p>
    <w:p w14:paraId="7FD7078E">
      <w:pPr>
        <w:ind w:left="567" w:right="-163" w:rightChars="-68"/>
        <w:rPr>
          <w:rFonts w:ascii="宋体" w:hAnsi="宋体"/>
        </w:rPr>
      </w:pPr>
      <w:r>
        <w:rPr>
          <w:rFonts w:hint="eastAsia" w:ascii="宋体" w:hAnsi="宋体"/>
        </w:rPr>
        <w:t>9.我方承诺如下：</w:t>
      </w:r>
    </w:p>
    <w:p w14:paraId="7749CD8A">
      <w:pPr>
        <w:ind w:right="-163" w:rightChars="-68" w:firstLine="480" w:firstLineChars="200"/>
        <w:rPr>
          <w:rFonts w:ascii="宋体" w:hAnsi="宋体"/>
        </w:rPr>
      </w:pPr>
      <w:r>
        <w:rPr>
          <w:rFonts w:hint="eastAsia" w:ascii="宋体" w:hAnsi="宋体"/>
        </w:rPr>
        <w:t>(1)符合“非联合体参与。法定代表人或单位负责人为同一人或者存在控股、管理关系的不同单位，不得同时参与本项目应答”的情形。</w:t>
      </w:r>
    </w:p>
    <w:p w14:paraId="655F2A2E">
      <w:pPr>
        <w:widowControl/>
        <w:ind w:right="-163" w:rightChars="-68" w:firstLine="480" w:firstLineChars="200"/>
        <w:rPr>
          <w:rFonts w:ascii="宋体" w:hAnsi="宋体"/>
        </w:rPr>
      </w:pPr>
      <w:r>
        <w:rPr>
          <w:rFonts w:hint="eastAsia" w:ascii="宋体" w:hAnsi="宋体" w:cs="宋体"/>
          <w:color w:val="000000" w:themeColor="text1"/>
          <w14:textFill>
            <w14:solidFill>
              <w14:schemeClr w14:val="tx1"/>
            </w14:solidFill>
          </w14:textFill>
        </w:rPr>
        <w:t>(2)我方财务状况良好，财产没有处于被接管、冻结，破产状态。</w:t>
      </w:r>
    </w:p>
    <w:p w14:paraId="0EE21B14">
      <w:pPr>
        <w:ind w:right="-163" w:rightChars="-68" w:firstLine="480" w:firstLineChars="200"/>
        <w:rPr>
          <w:rFonts w:ascii="宋体" w:hAnsi="宋体"/>
        </w:rPr>
      </w:pPr>
      <w:r>
        <w:rPr>
          <w:rFonts w:hint="eastAsia" w:ascii="宋体" w:hAnsi="宋体"/>
        </w:rPr>
        <w:t>(3)我方承诺自愿并无条件承担由于材料虚假、无效、缺漏等引起的一切后果和责任，并无条件接受采购人因此给予的处罚，包括并不限于取消应答资格、公示串标、弄虚作假行为等。</w:t>
      </w:r>
    </w:p>
    <w:p w14:paraId="1335851E">
      <w:pPr>
        <w:ind w:right="-163" w:rightChars="-68" w:firstLine="600" w:firstLineChars="250"/>
        <w:rPr>
          <w:rFonts w:ascii="宋体" w:hAnsi="宋体"/>
        </w:rPr>
      </w:pPr>
      <w:r>
        <w:rPr>
          <w:rFonts w:hint="eastAsia" w:ascii="宋体" w:hAnsi="宋体"/>
        </w:rPr>
        <w:t>（4）如中选，我方不将本项目转包分包。</w:t>
      </w:r>
    </w:p>
    <w:p w14:paraId="074081E1">
      <w:pPr>
        <w:ind w:right="-163" w:rightChars="-68" w:firstLine="600" w:firstLineChars="250"/>
        <w:rPr>
          <w:rFonts w:ascii="宋体" w:hAnsi="宋体"/>
        </w:rPr>
      </w:pPr>
      <w:r>
        <w:rPr>
          <w:rFonts w:hint="eastAsia" w:ascii="宋体" w:hAnsi="宋体"/>
        </w:rPr>
        <w:t>10.我方如未按格式提供专门的商务偏离表和技术偏离表，或者进行点对点应答，即为承诺满足全部商务和技术要求，默认无偏离（包含技术和商务中的不可偏离项）。</w:t>
      </w:r>
    </w:p>
    <w:p w14:paraId="50C34E22">
      <w:pPr>
        <w:ind w:right="-163" w:rightChars="-68" w:firstLine="588" w:firstLineChars="245"/>
        <w:rPr>
          <w:rFonts w:ascii="宋体" w:hAnsi="宋体"/>
          <w:b/>
        </w:rPr>
      </w:pPr>
      <w:r>
        <w:rPr>
          <w:rFonts w:hint="eastAsia" w:ascii="宋体" w:hAnsi="宋体"/>
        </w:rPr>
        <w:t>11.</w:t>
      </w:r>
      <w:r>
        <w:rPr>
          <w:rFonts w:hint="eastAsia" w:ascii="宋体" w:hAnsi="宋体"/>
          <w:b/>
        </w:rPr>
        <w:t>我方（或联合体各单位）已知悉并严格遵守《咪咕公司采购供应商负面行为处理规则》，如违反该处理规则，自愿接受相应处罚，我方完全接受。</w:t>
      </w:r>
    </w:p>
    <w:p w14:paraId="6F994D6F">
      <w:pPr>
        <w:ind w:right="-163" w:rightChars="-68" w:firstLine="588" w:firstLineChars="245"/>
        <w:rPr>
          <w:rFonts w:ascii="宋体" w:hAnsi="宋体"/>
        </w:rPr>
      </w:pPr>
      <w:r>
        <w:rPr>
          <w:rFonts w:hint="eastAsia" w:ascii="宋体" w:hAnsi="宋体"/>
        </w:rPr>
        <w:t>12.</w:t>
      </w:r>
      <w:r>
        <w:rPr>
          <w:rFonts w:hint="eastAsia"/>
          <w:sz w:val="18"/>
        </w:rPr>
        <w:t xml:space="preserve"> </w:t>
      </w:r>
      <w:r>
        <w:rPr>
          <w:rFonts w:hint="eastAsia" w:ascii="宋体" w:hAnsi="宋体"/>
        </w:rPr>
        <w:t>如比选文件要求本项目开具增值税专用发票，我方承诺：按照采购人要求开具增值税专用发票，发票税率与应答报价一致。若如我方拒不履行开具增值税专用发票或发票税率与应答报价表中的不一致，由此造成采购人不能报验抵扣进项税金的，我方赔偿采购人损失。</w:t>
      </w:r>
    </w:p>
    <w:p w14:paraId="673C886B">
      <w:pPr>
        <w:topLinePunct/>
        <w:ind w:right="-163" w:rightChars="-68" w:firstLine="480" w:firstLineChars="200"/>
        <w:rPr>
          <w:szCs w:val="18"/>
        </w:rPr>
      </w:pPr>
      <w:r>
        <w:rPr>
          <w:rFonts w:hint="eastAsia"/>
          <w:szCs w:val="18"/>
        </w:rPr>
        <w:t>13.其他</w:t>
      </w:r>
      <w:r>
        <w:rPr>
          <w:szCs w:val="18"/>
        </w:rPr>
        <w:t>补充说明</w:t>
      </w:r>
      <w:r>
        <w:rPr>
          <w:rFonts w:hint="eastAsia"/>
          <w:szCs w:val="18"/>
        </w:rPr>
        <w:t>：（如有请补充说明，如无补充说明，无需填写）</w:t>
      </w:r>
    </w:p>
    <w:p w14:paraId="184A5CB2">
      <w:pPr>
        <w:topLinePunct/>
        <w:ind w:right="-163" w:rightChars="-68" w:firstLine="480" w:firstLineChars="200"/>
        <w:rPr>
          <w:szCs w:val="18"/>
        </w:rPr>
      </w:pPr>
    </w:p>
    <w:p w14:paraId="5FA429BD">
      <w:pPr>
        <w:topLinePunct/>
        <w:ind w:right="-163" w:rightChars="-68" w:firstLine="480" w:firstLineChars="200"/>
        <w:rPr>
          <w:szCs w:val="18"/>
        </w:rPr>
      </w:pPr>
    </w:p>
    <w:p w14:paraId="77D2DABF">
      <w:pPr>
        <w:topLinePunct/>
        <w:ind w:right="-163" w:rightChars="-68" w:firstLine="440" w:firstLineChars="200"/>
        <w:jc w:val="right"/>
        <w:rPr>
          <w:sz w:val="22"/>
          <w:szCs w:val="20"/>
        </w:rPr>
      </w:pPr>
      <w:r>
        <w:rPr>
          <w:rFonts w:hint="eastAsia"/>
          <w:sz w:val="22"/>
          <w:szCs w:val="20"/>
        </w:rPr>
        <w:t>应答人：达闼机器人股份有限公司</w:t>
      </w:r>
    </w:p>
    <w:p w14:paraId="6F1ED987">
      <w:pPr>
        <w:topLinePunct/>
        <w:ind w:right="-163" w:rightChars="-68" w:firstLine="440" w:firstLineChars="200"/>
        <w:jc w:val="right"/>
        <w:rPr>
          <w:sz w:val="22"/>
          <w:szCs w:val="20"/>
        </w:rPr>
      </w:pPr>
      <w:r>
        <w:rPr>
          <w:rFonts w:hint="eastAsia"/>
          <w:sz w:val="22"/>
          <w:szCs w:val="20"/>
        </w:rPr>
        <w:t>日期：2022年6月15日</w:t>
      </w:r>
    </w:p>
    <w:p w14:paraId="195D6675">
      <w:pPr>
        <w:topLinePunct/>
        <w:ind w:right="-163" w:rightChars="-68" w:firstLine="440" w:firstLineChars="200"/>
        <w:jc w:val="right"/>
        <w:rPr>
          <w:sz w:val="22"/>
          <w:szCs w:val="20"/>
        </w:rPr>
      </w:pPr>
    </w:p>
    <w:p w14:paraId="6CEBB8D3">
      <w:pPr>
        <w:topLinePunct/>
        <w:ind w:right="-163" w:rightChars="-68" w:firstLine="440" w:firstLineChars="200"/>
        <w:jc w:val="right"/>
        <w:rPr>
          <w:sz w:val="22"/>
          <w:szCs w:val="20"/>
        </w:rPr>
      </w:pPr>
    </w:p>
    <w:p w14:paraId="6B194007">
      <w:pPr>
        <w:topLinePunct/>
        <w:ind w:right="-163" w:rightChars="-68" w:firstLine="440" w:firstLineChars="200"/>
        <w:jc w:val="right"/>
        <w:rPr>
          <w:sz w:val="22"/>
          <w:szCs w:val="20"/>
        </w:rPr>
      </w:pPr>
    </w:p>
    <w:p w14:paraId="7F0839C0">
      <w:pPr>
        <w:topLinePunct/>
        <w:ind w:right="-163" w:rightChars="-68" w:firstLine="440" w:firstLineChars="200"/>
        <w:jc w:val="right"/>
        <w:rPr>
          <w:sz w:val="22"/>
          <w:szCs w:val="20"/>
        </w:rPr>
      </w:pPr>
    </w:p>
    <w:p w14:paraId="01D56399">
      <w:pPr>
        <w:topLinePunct/>
        <w:ind w:right="-163" w:rightChars="-68" w:firstLine="440" w:firstLineChars="200"/>
        <w:jc w:val="right"/>
        <w:rPr>
          <w:sz w:val="22"/>
          <w:szCs w:val="20"/>
        </w:rPr>
      </w:pPr>
    </w:p>
    <w:p w14:paraId="18154E4D">
      <w:pPr>
        <w:topLinePunct/>
        <w:ind w:right="-163" w:rightChars="-68" w:firstLine="440" w:firstLineChars="200"/>
        <w:jc w:val="right"/>
        <w:rPr>
          <w:sz w:val="22"/>
          <w:szCs w:val="20"/>
        </w:rPr>
      </w:pPr>
    </w:p>
    <w:p w14:paraId="60A3BBF3">
      <w:pPr>
        <w:topLinePunct/>
        <w:ind w:right="-163" w:rightChars="-68" w:firstLine="440" w:firstLineChars="200"/>
        <w:jc w:val="right"/>
        <w:rPr>
          <w:sz w:val="22"/>
          <w:szCs w:val="20"/>
        </w:rPr>
      </w:pPr>
    </w:p>
    <w:p w14:paraId="13EDC917">
      <w:pPr>
        <w:topLinePunct/>
        <w:ind w:right="-163" w:rightChars="-68" w:firstLine="440" w:firstLineChars="200"/>
        <w:jc w:val="right"/>
        <w:rPr>
          <w:sz w:val="22"/>
          <w:szCs w:val="20"/>
        </w:rPr>
      </w:pPr>
    </w:p>
    <w:p w14:paraId="7F60C1E4">
      <w:pPr>
        <w:topLinePunct/>
        <w:ind w:right="-163" w:rightChars="-68" w:firstLine="440" w:firstLineChars="200"/>
        <w:jc w:val="right"/>
        <w:rPr>
          <w:sz w:val="22"/>
          <w:szCs w:val="20"/>
        </w:rPr>
      </w:pPr>
    </w:p>
    <w:p w14:paraId="6E0C955F">
      <w:pPr>
        <w:topLinePunct/>
        <w:ind w:right="-163" w:rightChars="-68" w:firstLine="440" w:firstLineChars="200"/>
        <w:jc w:val="right"/>
        <w:rPr>
          <w:sz w:val="22"/>
          <w:szCs w:val="20"/>
        </w:rPr>
      </w:pPr>
    </w:p>
    <w:p w14:paraId="5AE2B24B">
      <w:pPr>
        <w:topLinePunct/>
        <w:ind w:right="-163" w:rightChars="-68" w:firstLine="440" w:firstLineChars="200"/>
        <w:jc w:val="right"/>
        <w:rPr>
          <w:sz w:val="22"/>
          <w:szCs w:val="20"/>
        </w:rPr>
      </w:pPr>
    </w:p>
    <w:p w14:paraId="106B1A98">
      <w:pPr>
        <w:topLinePunct/>
        <w:ind w:right="-163" w:rightChars="-68" w:firstLine="440" w:firstLineChars="200"/>
        <w:jc w:val="right"/>
        <w:rPr>
          <w:sz w:val="22"/>
          <w:szCs w:val="20"/>
        </w:rPr>
      </w:pPr>
    </w:p>
    <w:p w14:paraId="22D9B5D4">
      <w:pPr>
        <w:pStyle w:val="2"/>
      </w:pPr>
      <w:r>
        <w:rPr>
          <w:rFonts w:hint="eastAsia"/>
        </w:rPr>
        <w:t>偏离表</w:t>
      </w:r>
    </w:p>
    <w:p w14:paraId="14FD45ED">
      <w:pPr>
        <w:pStyle w:val="3"/>
      </w:pPr>
      <w:bookmarkStart w:id="0" w:name="_Toc17388"/>
      <w:bookmarkStart w:id="1" w:name="_Toc19448"/>
      <w:r>
        <w:rPr>
          <w:rFonts w:hint="eastAsia"/>
        </w:rPr>
        <w:t>表1：商务偏离表</w:t>
      </w:r>
      <w:bookmarkEnd w:id="0"/>
      <w:bookmarkEnd w:id="1"/>
    </w:p>
    <w:p w14:paraId="3BB9B096">
      <w:pPr>
        <w:spacing w:after="1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此处标明</w:t>
      </w:r>
      <w:r>
        <w:rPr>
          <w:rFonts w:ascii="宋体" w:hAnsi="宋体"/>
          <w:color w:val="000000" w:themeColor="text1"/>
          <w14:textFill>
            <w14:solidFill>
              <w14:schemeClr w14:val="tx1"/>
            </w14:solidFill>
          </w14:textFill>
        </w:rPr>
        <w:t>：</w:t>
      </w:r>
      <w:r>
        <w:rPr>
          <w:rFonts w:hint="eastAsia" w:ascii="宋体" w:hAnsi="宋体"/>
          <w:color w:val="000000" w:themeColor="text1"/>
          <w14:textFill>
            <w14:solidFill>
              <w14:schemeClr w14:val="tx1"/>
            </w14:solidFill>
          </w14:textFill>
        </w:rPr>
        <w:t>（针对采购文件</w:t>
      </w:r>
      <w:r>
        <w:rPr>
          <w:rFonts w:hint="eastAsia" w:ascii="宋体" w:hAnsi="宋体"/>
          <w:b/>
          <w:color w:val="000000" w:themeColor="text1"/>
          <w14:textFill>
            <w14:solidFill>
              <w14:schemeClr w14:val="tx1"/>
            </w14:solidFill>
          </w14:textFill>
        </w:rPr>
        <w:t>第三章 商务规范书</w:t>
      </w:r>
      <w:r>
        <w:rPr>
          <w:rFonts w:hint="eastAsia" w:ascii="宋体" w:hAnsi="宋体"/>
          <w:color w:val="000000" w:themeColor="text1"/>
          <w14:textFill>
            <w14:solidFill>
              <w14:schemeClr w14:val="tx1"/>
            </w14:solidFill>
          </w14:textFill>
        </w:rPr>
        <w:t>的偏离）</w:t>
      </w:r>
    </w:p>
    <w:tbl>
      <w:tblPr>
        <w:tblStyle w:val="32"/>
        <w:tblW w:w="8455" w:type="dxa"/>
        <w:tblInd w:w="42"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686"/>
        <w:gridCol w:w="1427"/>
        <w:gridCol w:w="2268"/>
        <w:gridCol w:w="2835"/>
        <w:gridCol w:w="1239"/>
      </w:tblGrid>
      <w:tr w14:paraId="1057A5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51" w:hRule="atLeast"/>
        </w:trPr>
        <w:tc>
          <w:tcPr>
            <w:tcW w:w="686" w:type="dxa"/>
            <w:vAlign w:val="center"/>
          </w:tcPr>
          <w:p w14:paraId="5DB82DDA">
            <w:pPr>
              <w:jc w:val="center"/>
              <w:rPr>
                <w:rFonts w:asciiTheme="minorEastAsia" w:hAnsiTheme="minorEastAsia"/>
                <w:color w:val="000000" w:themeColor="text1"/>
                <w14:textFill>
                  <w14:solidFill>
                    <w14:schemeClr w14:val="tx1"/>
                  </w14:solidFill>
                </w14:textFill>
              </w:rPr>
            </w:pPr>
            <w:r>
              <w:rPr>
                <w:rFonts w:asciiTheme="minorEastAsia" w:hAnsiTheme="minorEastAsia"/>
                <w:color w:val="000000" w:themeColor="text1"/>
                <w14:textFill>
                  <w14:solidFill>
                    <w14:schemeClr w14:val="tx1"/>
                  </w14:solidFill>
                </w14:textFill>
              </w:rPr>
              <w:t>序号</w:t>
            </w:r>
          </w:p>
        </w:tc>
        <w:tc>
          <w:tcPr>
            <w:tcW w:w="1427" w:type="dxa"/>
            <w:vAlign w:val="center"/>
          </w:tcPr>
          <w:p w14:paraId="7DC3E958">
            <w:pPr>
              <w:jc w:val="center"/>
              <w:rPr>
                <w:rFonts w:asciiTheme="minorEastAsia" w:hAnsiTheme="minorEastAsia"/>
                <w:color w:val="000000" w:themeColor="text1"/>
                <w14:textFill>
                  <w14:solidFill>
                    <w14:schemeClr w14:val="tx1"/>
                  </w14:solidFill>
                </w14:textFill>
              </w:rPr>
            </w:pPr>
            <w:r>
              <w:rPr>
                <w:rFonts w:asciiTheme="minorEastAsia" w:hAnsiTheme="minorEastAsia"/>
                <w:color w:val="000000" w:themeColor="text1"/>
                <w14:textFill>
                  <w14:solidFill>
                    <w14:schemeClr w14:val="tx1"/>
                  </w14:solidFill>
                </w14:textFill>
              </w:rPr>
              <w:t>条目号</w:t>
            </w:r>
          </w:p>
        </w:tc>
        <w:tc>
          <w:tcPr>
            <w:tcW w:w="2268" w:type="dxa"/>
            <w:vAlign w:val="center"/>
          </w:tcPr>
          <w:p w14:paraId="5FDBDD69">
            <w:pPr>
              <w:jc w:val="center"/>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采购文件</w:t>
            </w:r>
            <w:r>
              <w:rPr>
                <w:rFonts w:asciiTheme="minorEastAsia" w:hAnsiTheme="minorEastAsia"/>
                <w:color w:val="000000" w:themeColor="text1"/>
                <w14:textFill>
                  <w14:solidFill>
                    <w14:schemeClr w14:val="tx1"/>
                  </w14:solidFill>
                </w14:textFill>
              </w:rPr>
              <w:t>的</w:t>
            </w:r>
            <w:r>
              <w:rPr>
                <w:rFonts w:hint="eastAsia" w:asciiTheme="minorEastAsia" w:hAnsiTheme="minorEastAsia"/>
                <w:color w:val="000000" w:themeColor="text1"/>
                <w14:textFill>
                  <w14:solidFill>
                    <w14:schemeClr w14:val="tx1"/>
                  </w14:solidFill>
                </w14:textFill>
              </w:rPr>
              <w:t>商务规范</w:t>
            </w:r>
          </w:p>
        </w:tc>
        <w:tc>
          <w:tcPr>
            <w:tcW w:w="2835" w:type="dxa"/>
            <w:vAlign w:val="center"/>
          </w:tcPr>
          <w:p w14:paraId="10C9FC82">
            <w:pPr>
              <w:jc w:val="center"/>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应答文件</w:t>
            </w:r>
            <w:r>
              <w:rPr>
                <w:rFonts w:asciiTheme="minorEastAsia" w:hAnsiTheme="minorEastAsia"/>
                <w:color w:val="000000" w:themeColor="text1"/>
                <w14:textFill>
                  <w14:solidFill>
                    <w14:schemeClr w14:val="tx1"/>
                  </w14:solidFill>
                </w14:textFill>
              </w:rPr>
              <w:t>的</w:t>
            </w:r>
            <w:r>
              <w:rPr>
                <w:rFonts w:hint="eastAsia" w:asciiTheme="minorEastAsia" w:hAnsiTheme="minorEastAsia"/>
                <w:color w:val="000000" w:themeColor="text1"/>
                <w14:textFill>
                  <w14:solidFill>
                    <w14:schemeClr w14:val="tx1"/>
                  </w14:solidFill>
                </w14:textFill>
              </w:rPr>
              <w:t>商务规范</w:t>
            </w:r>
          </w:p>
        </w:tc>
        <w:tc>
          <w:tcPr>
            <w:tcW w:w="1239" w:type="dxa"/>
            <w:vAlign w:val="center"/>
          </w:tcPr>
          <w:p w14:paraId="2FE8C844">
            <w:pPr>
              <w:jc w:val="center"/>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偏离</w:t>
            </w:r>
            <w:r>
              <w:rPr>
                <w:rFonts w:asciiTheme="minorEastAsia" w:hAnsiTheme="minorEastAsia"/>
                <w:color w:val="000000" w:themeColor="text1"/>
                <w14:textFill>
                  <w14:solidFill>
                    <w14:schemeClr w14:val="tx1"/>
                  </w14:solidFill>
                </w14:textFill>
              </w:rPr>
              <w:t>说明</w:t>
            </w:r>
          </w:p>
        </w:tc>
      </w:tr>
      <w:tr w14:paraId="59BA4D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51" w:hRule="atLeast"/>
        </w:trPr>
        <w:tc>
          <w:tcPr>
            <w:tcW w:w="686" w:type="dxa"/>
            <w:vAlign w:val="center"/>
          </w:tcPr>
          <w:p w14:paraId="0D7AE66A">
            <w:pPr>
              <w:jc w:val="center"/>
              <w:rPr>
                <w:rFonts w:asciiTheme="minorEastAsia" w:hAnsiTheme="minorEastAsia"/>
                <w:color w:val="000000" w:themeColor="text1"/>
                <w14:textFill>
                  <w14:solidFill>
                    <w14:schemeClr w14:val="tx1"/>
                  </w14:solidFill>
                </w14:textFill>
              </w:rPr>
            </w:pPr>
          </w:p>
        </w:tc>
        <w:tc>
          <w:tcPr>
            <w:tcW w:w="1427" w:type="dxa"/>
            <w:vAlign w:val="center"/>
          </w:tcPr>
          <w:p w14:paraId="3EE635D1">
            <w:pPr>
              <w:jc w:val="center"/>
              <w:rPr>
                <w:rFonts w:asciiTheme="minorEastAsia" w:hAnsiTheme="minorEastAsia"/>
                <w:color w:val="000000" w:themeColor="text1"/>
                <w14:textFill>
                  <w14:solidFill>
                    <w14:schemeClr w14:val="tx1"/>
                  </w14:solidFill>
                </w14:textFill>
              </w:rPr>
            </w:pPr>
          </w:p>
        </w:tc>
        <w:tc>
          <w:tcPr>
            <w:tcW w:w="2268" w:type="dxa"/>
            <w:vAlign w:val="center"/>
          </w:tcPr>
          <w:p w14:paraId="20AB6D71">
            <w:pPr>
              <w:jc w:val="center"/>
              <w:rPr>
                <w:rFonts w:asciiTheme="minorEastAsia" w:hAnsiTheme="minorEastAsia"/>
                <w:color w:val="000000" w:themeColor="text1"/>
                <w14:textFill>
                  <w14:solidFill>
                    <w14:schemeClr w14:val="tx1"/>
                  </w14:solidFill>
                </w14:textFill>
              </w:rPr>
            </w:pPr>
          </w:p>
        </w:tc>
        <w:tc>
          <w:tcPr>
            <w:tcW w:w="2835" w:type="dxa"/>
            <w:vAlign w:val="center"/>
          </w:tcPr>
          <w:p w14:paraId="6B924BB5">
            <w:pPr>
              <w:jc w:val="center"/>
              <w:rPr>
                <w:rFonts w:asciiTheme="minorEastAsia" w:hAnsiTheme="minorEastAsia"/>
                <w:color w:val="000000" w:themeColor="text1"/>
                <w14:textFill>
                  <w14:solidFill>
                    <w14:schemeClr w14:val="tx1"/>
                  </w14:solidFill>
                </w14:textFill>
              </w:rPr>
            </w:pPr>
          </w:p>
        </w:tc>
        <w:tc>
          <w:tcPr>
            <w:tcW w:w="1239" w:type="dxa"/>
            <w:vAlign w:val="center"/>
          </w:tcPr>
          <w:p w14:paraId="666F5FC7">
            <w:pPr>
              <w:jc w:val="center"/>
              <w:rPr>
                <w:rFonts w:asciiTheme="minorEastAsia" w:hAnsiTheme="minorEastAsia"/>
                <w:color w:val="000000" w:themeColor="text1"/>
                <w14:textFill>
                  <w14:solidFill>
                    <w14:schemeClr w14:val="tx1"/>
                  </w14:solidFill>
                </w14:textFill>
              </w:rPr>
            </w:pPr>
          </w:p>
        </w:tc>
      </w:tr>
      <w:tr w14:paraId="06B680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51" w:hRule="atLeast"/>
        </w:trPr>
        <w:tc>
          <w:tcPr>
            <w:tcW w:w="686" w:type="dxa"/>
            <w:vAlign w:val="center"/>
          </w:tcPr>
          <w:p w14:paraId="5B3848C6">
            <w:pPr>
              <w:jc w:val="center"/>
              <w:rPr>
                <w:rFonts w:asciiTheme="minorEastAsia" w:hAnsiTheme="minorEastAsia"/>
                <w:color w:val="000000" w:themeColor="text1"/>
                <w14:textFill>
                  <w14:solidFill>
                    <w14:schemeClr w14:val="tx1"/>
                  </w14:solidFill>
                </w14:textFill>
              </w:rPr>
            </w:pPr>
          </w:p>
        </w:tc>
        <w:tc>
          <w:tcPr>
            <w:tcW w:w="1427" w:type="dxa"/>
            <w:vAlign w:val="center"/>
          </w:tcPr>
          <w:p w14:paraId="194CC466">
            <w:pPr>
              <w:jc w:val="center"/>
              <w:rPr>
                <w:rFonts w:asciiTheme="minorEastAsia" w:hAnsiTheme="minorEastAsia"/>
                <w:color w:val="000000" w:themeColor="text1"/>
                <w14:textFill>
                  <w14:solidFill>
                    <w14:schemeClr w14:val="tx1"/>
                  </w14:solidFill>
                </w14:textFill>
              </w:rPr>
            </w:pPr>
          </w:p>
        </w:tc>
        <w:tc>
          <w:tcPr>
            <w:tcW w:w="2268" w:type="dxa"/>
            <w:vAlign w:val="center"/>
          </w:tcPr>
          <w:p w14:paraId="3117492F">
            <w:pPr>
              <w:jc w:val="center"/>
              <w:rPr>
                <w:rFonts w:asciiTheme="minorEastAsia" w:hAnsiTheme="minorEastAsia"/>
                <w:color w:val="000000" w:themeColor="text1"/>
                <w14:textFill>
                  <w14:solidFill>
                    <w14:schemeClr w14:val="tx1"/>
                  </w14:solidFill>
                </w14:textFill>
              </w:rPr>
            </w:pPr>
          </w:p>
        </w:tc>
        <w:tc>
          <w:tcPr>
            <w:tcW w:w="2835" w:type="dxa"/>
            <w:vAlign w:val="center"/>
          </w:tcPr>
          <w:p w14:paraId="655F5887">
            <w:pPr>
              <w:jc w:val="center"/>
              <w:rPr>
                <w:rFonts w:asciiTheme="minorEastAsia" w:hAnsiTheme="minorEastAsia"/>
                <w:color w:val="000000" w:themeColor="text1"/>
                <w14:textFill>
                  <w14:solidFill>
                    <w14:schemeClr w14:val="tx1"/>
                  </w14:solidFill>
                </w14:textFill>
              </w:rPr>
            </w:pPr>
          </w:p>
        </w:tc>
        <w:tc>
          <w:tcPr>
            <w:tcW w:w="1239" w:type="dxa"/>
            <w:vAlign w:val="center"/>
          </w:tcPr>
          <w:p w14:paraId="15D425B0">
            <w:pPr>
              <w:jc w:val="center"/>
              <w:rPr>
                <w:rFonts w:asciiTheme="minorEastAsia" w:hAnsiTheme="minorEastAsia"/>
                <w:color w:val="000000" w:themeColor="text1"/>
                <w14:textFill>
                  <w14:solidFill>
                    <w14:schemeClr w14:val="tx1"/>
                  </w14:solidFill>
                </w14:textFill>
              </w:rPr>
            </w:pPr>
          </w:p>
        </w:tc>
      </w:tr>
      <w:tr w14:paraId="44938F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51" w:hRule="atLeast"/>
        </w:trPr>
        <w:tc>
          <w:tcPr>
            <w:tcW w:w="686" w:type="dxa"/>
            <w:vAlign w:val="center"/>
          </w:tcPr>
          <w:p w14:paraId="227E6E21">
            <w:pPr>
              <w:jc w:val="center"/>
              <w:rPr>
                <w:rFonts w:asciiTheme="minorEastAsia" w:hAnsiTheme="minorEastAsia"/>
                <w:color w:val="000000" w:themeColor="text1"/>
                <w14:textFill>
                  <w14:solidFill>
                    <w14:schemeClr w14:val="tx1"/>
                  </w14:solidFill>
                </w14:textFill>
              </w:rPr>
            </w:pPr>
          </w:p>
        </w:tc>
        <w:tc>
          <w:tcPr>
            <w:tcW w:w="1427" w:type="dxa"/>
            <w:vAlign w:val="center"/>
          </w:tcPr>
          <w:p w14:paraId="6753BF21">
            <w:pPr>
              <w:jc w:val="center"/>
              <w:rPr>
                <w:rFonts w:asciiTheme="minorEastAsia" w:hAnsiTheme="minorEastAsia"/>
                <w:color w:val="000000" w:themeColor="text1"/>
                <w14:textFill>
                  <w14:solidFill>
                    <w14:schemeClr w14:val="tx1"/>
                  </w14:solidFill>
                </w14:textFill>
              </w:rPr>
            </w:pPr>
          </w:p>
        </w:tc>
        <w:tc>
          <w:tcPr>
            <w:tcW w:w="2268" w:type="dxa"/>
            <w:vAlign w:val="center"/>
          </w:tcPr>
          <w:p w14:paraId="12D83859">
            <w:pPr>
              <w:jc w:val="center"/>
              <w:rPr>
                <w:rFonts w:asciiTheme="minorEastAsia" w:hAnsiTheme="minorEastAsia"/>
                <w:color w:val="000000" w:themeColor="text1"/>
                <w14:textFill>
                  <w14:solidFill>
                    <w14:schemeClr w14:val="tx1"/>
                  </w14:solidFill>
                </w14:textFill>
              </w:rPr>
            </w:pPr>
          </w:p>
        </w:tc>
        <w:tc>
          <w:tcPr>
            <w:tcW w:w="2835" w:type="dxa"/>
            <w:vAlign w:val="center"/>
          </w:tcPr>
          <w:p w14:paraId="0BF65C44">
            <w:pPr>
              <w:jc w:val="center"/>
              <w:rPr>
                <w:rFonts w:asciiTheme="minorEastAsia" w:hAnsiTheme="minorEastAsia"/>
                <w:color w:val="000000" w:themeColor="text1"/>
                <w14:textFill>
                  <w14:solidFill>
                    <w14:schemeClr w14:val="tx1"/>
                  </w14:solidFill>
                </w14:textFill>
              </w:rPr>
            </w:pPr>
          </w:p>
        </w:tc>
        <w:tc>
          <w:tcPr>
            <w:tcW w:w="1239" w:type="dxa"/>
            <w:vAlign w:val="center"/>
          </w:tcPr>
          <w:p w14:paraId="053E5D72">
            <w:pPr>
              <w:jc w:val="center"/>
              <w:rPr>
                <w:rFonts w:asciiTheme="minorEastAsia" w:hAnsiTheme="minorEastAsia"/>
                <w:color w:val="000000" w:themeColor="text1"/>
                <w14:textFill>
                  <w14:solidFill>
                    <w14:schemeClr w14:val="tx1"/>
                  </w14:solidFill>
                </w14:textFill>
              </w:rPr>
            </w:pPr>
          </w:p>
        </w:tc>
      </w:tr>
      <w:tr w14:paraId="60EDD2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51" w:hRule="atLeast"/>
        </w:trPr>
        <w:tc>
          <w:tcPr>
            <w:tcW w:w="686" w:type="dxa"/>
            <w:vAlign w:val="center"/>
          </w:tcPr>
          <w:p w14:paraId="6BF4ADA3">
            <w:pPr>
              <w:jc w:val="center"/>
              <w:rPr>
                <w:rFonts w:asciiTheme="minorEastAsia" w:hAnsiTheme="minorEastAsia"/>
                <w:color w:val="000000" w:themeColor="text1"/>
                <w14:textFill>
                  <w14:solidFill>
                    <w14:schemeClr w14:val="tx1"/>
                  </w14:solidFill>
                </w14:textFill>
              </w:rPr>
            </w:pPr>
          </w:p>
        </w:tc>
        <w:tc>
          <w:tcPr>
            <w:tcW w:w="1427" w:type="dxa"/>
            <w:vAlign w:val="center"/>
          </w:tcPr>
          <w:p w14:paraId="24B63064">
            <w:pPr>
              <w:jc w:val="center"/>
              <w:rPr>
                <w:rFonts w:asciiTheme="minorEastAsia" w:hAnsiTheme="minorEastAsia"/>
                <w:color w:val="000000" w:themeColor="text1"/>
                <w14:textFill>
                  <w14:solidFill>
                    <w14:schemeClr w14:val="tx1"/>
                  </w14:solidFill>
                </w14:textFill>
              </w:rPr>
            </w:pPr>
          </w:p>
        </w:tc>
        <w:tc>
          <w:tcPr>
            <w:tcW w:w="2268" w:type="dxa"/>
            <w:vAlign w:val="center"/>
          </w:tcPr>
          <w:p w14:paraId="7C6B2EA3">
            <w:pPr>
              <w:jc w:val="center"/>
              <w:rPr>
                <w:rFonts w:asciiTheme="minorEastAsia" w:hAnsiTheme="minorEastAsia"/>
                <w:color w:val="000000" w:themeColor="text1"/>
                <w14:textFill>
                  <w14:solidFill>
                    <w14:schemeClr w14:val="tx1"/>
                  </w14:solidFill>
                </w14:textFill>
              </w:rPr>
            </w:pPr>
          </w:p>
        </w:tc>
        <w:tc>
          <w:tcPr>
            <w:tcW w:w="2835" w:type="dxa"/>
            <w:vAlign w:val="center"/>
          </w:tcPr>
          <w:p w14:paraId="36E919E7">
            <w:pPr>
              <w:jc w:val="center"/>
              <w:rPr>
                <w:rFonts w:asciiTheme="minorEastAsia" w:hAnsiTheme="minorEastAsia"/>
                <w:color w:val="000000" w:themeColor="text1"/>
                <w14:textFill>
                  <w14:solidFill>
                    <w14:schemeClr w14:val="tx1"/>
                  </w14:solidFill>
                </w14:textFill>
              </w:rPr>
            </w:pPr>
          </w:p>
        </w:tc>
        <w:tc>
          <w:tcPr>
            <w:tcW w:w="1239" w:type="dxa"/>
            <w:vAlign w:val="center"/>
          </w:tcPr>
          <w:p w14:paraId="279381F8">
            <w:pPr>
              <w:jc w:val="center"/>
              <w:rPr>
                <w:rFonts w:asciiTheme="minorEastAsia" w:hAnsiTheme="minorEastAsia"/>
                <w:color w:val="000000" w:themeColor="text1"/>
                <w14:textFill>
                  <w14:solidFill>
                    <w14:schemeClr w14:val="tx1"/>
                  </w14:solidFill>
                </w14:textFill>
              </w:rPr>
            </w:pPr>
          </w:p>
        </w:tc>
      </w:tr>
      <w:tr w14:paraId="5BA952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51" w:hRule="atLeast"/>
        </w:trPr>
        <w:tc>
          <w:tcPr>
            <w:tcW w:w="686" w:type="dxa"/>
            <w:vAlign w:val="center"/>
          </w:tcPr>
          <w:p w14:paraId="1EBBBAF1">
            <w:pPr>
              <w:jc w:val="center"/>
              <w:rPr>
                <w:rFonts w:asciiTheme="minorEastAsia" w:hAnsiTheme="minorEastAsia"/>
                <w:color w:val="000000" w:themeColor="text1"/>
                <w14:textFill>
                  <w14:solidFill>
                    <w14:schemeClr w14:val="tx1"/>
                  </w14:solidFill>
                </w14:textFill>
              </w:rPr>
            </w:pPr>
          </w:p>
        </w:tc>
        <w:tc>
          <w:tcPr>
            <w:tcW w:w="1427" w:type="dxa"/>
            <w:vAlign w:val="center"/>
          </w:tcPr>
          <w:p w14:paraId="22FF6E31">
            <w:pPr>
              <w:jc w:val="center"/>
              <w:rPr>
                <w:rFonts w:asciiTheme="minorEastAsia" w:hAnsiTheme="minorEastAsia"/>
                <w:color w:val="000000" w:themeColor="text1"/>
                <w14:textFill>
                  <w14:solidFill>
                    <w14:schemeClr w14:val="tx1"/>
                  </w14:solidFill>
                </w14:textFill>
              </w:rPr>
            </w:pPr>
          </w:p>
        </w:tc>
        <w:tc>
          <w:tcPr>
            <w:tcW w:w="2268" w:type="dxa"/>
            <w:vAlign w:val="center"/>
          </w:tcPr>
          <w:p w14:paraId="3C3321F2">
            <w:pPr>
              <w:jc w:val="center"/>
              <w:rPr>
                <w:rFonts w:asciiTheme="minorEastAsia" w:hAnsiTheme="minorEastAsia"/>
                <w:color w:val="000000" w:themeColor="text1"/>
                <w14:textFill>
                  <w14:solidFill>
                    <w14:schemeClr w14:val="tx1"/>
                  </w14:solidFill>
                </w14:textFill>
              </w:rPr>
            </w:pPr>
          </w:p>
        </w:tc>
        <w:tc>
          <w:tcPr>
            <w:tcW w:w="2835" w:type="dxa"/>
            <w:vAlign w:val="center"/>
          </w:tcPr>
          <w:p w14:paraId="10AA1A15">
            <w:pPr>
              <w:jc w:val="center"/>
              <w:rPr>
                <w:rFonts w:asciiTheme="minorEastAsia" w:hAnsiTheme="minorEastAsia"/>
                <w:color w:val="000000" w:themeColor="text1"/>
                <w14:textFill>
                  <w14:solidFill>
                    <w14:schemeClr w14:val="tx1"/>
                  </w14:solidFill>
                </w14:textFill>
              </w:rPr>
            </w:pPr>
          </w:p>
        </w:tc>
        <w:tc>
          <w:tcPr>
            <w:tcW w:w="1239" w:type="dxa"/>
            <w:vAlign w:val="center"/>
          </w:tcPr>
          <w:p w14:paraId="68B750F2">
            <w:pPr>
              <w:jc w:val="center"/>
              <w:rPr>
                <w:rFonts w:asciiTheme="minorEastAsia" w:hAnsiTheme="minorEastAsia"/>
                <w:color w:val="000000" w:themeColor="text1"/>
                <w14:textFill>
                  <w14:solidFill>
                    <w14:schemeClr w14:val="tx1"/>
                  </w14:solidFill>
                </w14:textFill>
              </w:rPr>
            </w:pPr>
          </w:p>
        </w:tc>
      </w:tr>
    </w:tbl>
    <w:p w14:paraId="09CAB78C">
      <w:pPr>
        <w:spacing w:before="312" w:beforeLines="100"/>
        <w:rPr>
          <w:rFonts w:ascii="宋体" w:hAnsi="宋体"/>
        </w:rPr>
      </w:pPr>
      <w:r>
        <w:rPr>
          <w:rFonts w:hint="eastAsia" w:ascii="宋体" w:hAnsi="宋体"/>
          <w:color w:val="000000" w:themeColor="text1"/>
          <w14:textFill>
            <w14:solidFill>
              <w14:schemeClr w14:val="tx1"/>
            </w14:solidFill>
          </w14:textFill>
        </w:rPr>
        <w:t>注：</w:t>
      </w:r>
      <w:r>
        <w:rPr>
          <w:rFonts w:hint="eastAsia" w:ascii="宋体" w:hAnsi="宋体"/>
        </w:rPr>
        <w:t>1.</w:t>
      </w:r>
      <w:r>
        <w:rPr>
          <w:rFonts w:hint="eastAsia" w:ascii="宋体" w:hAnsi="宋体"/>
          <w:b/>
        </w:rPr>
        <w:t>请应答人仔细、逐条阅读商务规范书。</w:t>
      </w:r>
      <w:r>
        <w:rPr>
          <w:rFonts w:hint="eastAsia" w:ascii="宋体" w:hAnsi="宋体"/>
        </w:rPr>
        <w:t>提供本</w:t>
      </w:r>
      <w:r>
        <w:rPr>
          <w:rFonts w:ascii="宋体" w:hAnsi="宋体"/>
        </w:rPr>
        <w:t>表后，</w:t>
      </w:r>
      <w:r>
        <w:rPr>
          <w:rFonts w:hint="eastAsia" w:ascii="宋体" w:hAnsi="宋体"/>
        </w:rPr>
        <w:t>应答人</w:t>
      </w:r>
      <w:r>
        <w:rPr>
          <w:rFonts w:ascii="宋体" w:hAnsi="宋体"/>
        </w:rPr>
        <w:t>不用再对</w:t>
      </w:r>
      <w:r>
        <w:rPr>
          <w:rFonts w:hint="eastAsia" w:ascii="宋体" w:hAnsi="宋体"/>
        </w:rPr>
        <w:t>商务规范书</w:t>
      </w:r>
      <w:r>
        <w:rPr>
          <w:rFonts w:ascii="宋体" w:hAnsi="宋体"/>
        </w:rPr>
        <w:t>进行点对点应答。</w:t>
      </w:r>
      <w:r>
        <w:rPr>
          <w:rFonts w:hint="eastAsia" w:ascii="宋体" w:hAnsi="宋体"/>
        </w:rPr>
        <w:t>若仍</w:t>
      </w:r>
      <w:r>
        <w:rPr>
          <w:rFonts w:ascii="宋体" w:hAnsi="宋体"/>
        </w:rPr>
        <w:t>进行点对点应答，</w:t>
      </w:r>
      <w:r>
        <w:rPr>
          <w:rFonts w:hint="eastAsia" w:ascii="宋体" w:hAnsi="宋体"/>
        </w:rPr>
        <w:t>如应答人提供的点对点应答文件与本表中的应答内容不一致，以本表中的内容为准。</w:t>
      </w:r>
    </w:p>
    <w:p w14:paraId="40F03AF2">
      <w:pPr>
        <w:spacing w:after="120"/>
        <w:ind w:firstLine="480" w:firstLineChars="200"/>
        <w:rPr>
          <w:rFonts w:ascii="宋体" w:hAnsi="宋体"/>
        </w:rPr>
      </w:pPr>
      <w:r>
        <w:rPr>
          <w:rFonts w:hint="eastAsia" w:ascii="宋体" w:hAnsi="宋体"/>
        </w:rPr>
        <w:t>2.若本表为空或未填写实质性内容，则表示应答人完全满足采购人相应要求。</w:t>
      </w:r>
    </w:p>
    <w:p w14:paraId="5B121B85">
      <w:pPr>
        <w:spacing w:after="120"/>
        <w:ind w:firstLine="480" w:firstLineChars="200"/>
        <w:rPr>
          <w:rFonts w:ascii="宋体" w:hAnsi="宋体"/>
        </w:rPr>
      </w:pPr>
      <w:r>
        <w:rPr>
          <w:rFonts w:hint="eastAsia" w:ascii="宋体" w:hAnsi="宋体"/>
        </w:rPr>
        <w:t>3.</w:t>
      </w:r>
      <w:r>
        <w:rPr>
          <w:rFonts w:ascii="宋体" w:hAnsi="宋体"/>
          <w:bCs/>
        </w:rPr>
        <w:t>若出现</w:t>
      </w:r>
      <w:r>
        <w:rPr>
          <w:rFonts w:hint="eastAsia" w:ascii="宋体" w:hAnsi="宋体"/>
          <w:bCs/>
        </w:rPr>
        <w:t>与商务规范书要求有偏离的条目</w:t>
      </w:r>
      <w:r>
        <w:rPr>
          <w:rFonts w:ascii="宋体" w:hAnsi="宋体"/>
          <w:bCs/>
        </w:rPr>
        <w:t>，</w:t>
      </w:r>
      <w:r>
        <w:rPr>
          <w:rFonts w:hint="eastAsia" w:ascii="宋体" w:hAnsi="宋体"/>
          <w:bCs/>
        </w:rPr>
        <w:t>请填写本表，可填写为 “不满足/负偏离”或“优于”，并详细写明偏离情况，以使采购人全面了解应答人的服务承诺。将视最终采购结果情况签署合同。对标★条款负偏离的</w:t>
      </w:r>
      <w:r>
        <w:rPr>
          <w:rFonts w:hint="eastAsia" w:ascii="宋体" w:hAnsi="宋体"/>
        </w:rPr>
        <w:t>，将否决应答人的应答。</w:t>
      </w:r>
    </w:p>
    <w:p w14:paraId="60B6B3B4">
      <w:pPr>
        <w:spacing w:after="120"/>
        <w:rPr>
          <w:rFonts w:ascii="宋体" w:hAnsi="宋体"/>
        </w:rPr>
      </w:pPr>
      <w:r>
        <w:rPr>
          <w:rFonts w:hint="eastAsia" w:ascii="宋体" w:hAnsi="宋体"/>
        </w:rPr>
        <w:tab/>
      </w:r>
      <w:r>
        <w:rPr>
          <w:rFonts w:hint="eastAsia" w:ascii="宋体" w:hAnsi="宋体"/>
        </w:rPr>
        <w:t>4.即使本表为空，也请在应答文件中提供。若未提供本表，则以点对点应答为准；如均未提供，则以应答函承诺为准。</w:t>
      </w:r>
    </w:p>
    <w:p w14:paraId="6960A57E"/>
    <w:p w14:paraId="3C7072C9"/>
    <w:p w14:paraId="2E80538A">
      <w:pPr>
        <w:pStyle w:val="3"/>
      </w:pPr>
      <w:bookmarkStart w:id="2" w:name="_Toc19983"/>
      <w:bookmarkStart w:id="3" w:name="_Toc23503"/>
      <w:r>
        <w:rPr>
          <w:rFonts w:hint="eastAsia"/>
        </w:rPr>
        <w:t>表2：技术偏离表</w:t>
      </w:r>
      <w:bookmarkEnd w:id="2"/>
      <w:bookmarkEnd w:id="3"/>
    </w:p>
    <w:p w14:paraId="10E5D974">
      <w:pPr>
        <w:spacing w:after="1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此处标明</w:t>
      </w:r>
      <w:r>
        <w:rPr>
          <w:rFonts w:ascii="宋体" w:hAnsi="宋体"/>
          <w:color w:val="000000" w:themeColor="text1"/>
          <w14:textFill>
            <w14:solidFill>
              <w14:schemeClr w14:val="tx1"/>
            </w14:solidFill>
          </w14:textFill>
        </w:rPr>
        <w:t>：</w:t>
      </w:r>
      <w:r>
        <w:rPr>
          <w:rFonts w:hint="eastAsia" w:ascii="宋体" w:hAnsi="宋体"/>
          <w:color w:val="000000" w:themeColor="text1"/>
          <w14:textFill>
            <w14:solidFill>
              <w14:schemeClr w14:val="tx1"/>
            </w14:solidFill>
          </w14:textFill>
        </w:rPr>
        <w:t>（针对采购文件</w:t>
      </w:r>
      <w:r>
        <w:rPr>
          <w:rFonts w:hint="eastAsia" w:ascii="宋体" w:hAnsi="宋体"/>
          <w:b/>
          <w:color w:val="000000" w:themeColor="text1"/>
          <w14:textFill>
            <w14:solidFill>
              <w14:schemeClr w14:val="tx1"/>
            </w14:solidFill>
          </w14:textFill>
        </w:rPr>
        <w:t xml:space="preserve">第四章 技术规范书 </w:t>
      </w:r>
      <w:r>
        <w:rPr>
          <w:rFonts w:hint="eastAsia" w:ascii="宋体" w:hAnsi="宋体"/>
          <w:color w:val="000000" w:themeColor="text1"/>
          <w14:textFill>
            <w14:solidFill>
              <w14:schemeClr w14:val="tx1"/>
            </w14:solidFill>
          </w14:textFill>
        </w:rPr>
        <w:t>的偏离）</w:t>
      </w:r>
    </w:p>
    <w:tbl>
      <w:tblPr>
        <w:tblStyle w:val="32"/>
        <w:tblW w:w="893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710"/>
        <w:gridCol w:w="1334"/>
        <w:gridCol w:w="2738"/>
        <w:gridCol w:w="2749"/>
        <w:gridCol w:w="1400"/>
      </w:tblGrid>
      <w:tr w14:paraId="66AAF3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51" w:hRule="atLeast"/>
          <w:jc w:val="center"/>
        </w:trPr>
        <w:tc>
          <w:tcPr>
            <w:tcW w:w="710" w:type="dxa"/>
            <w:vAlign w:val="center"/>
          </w:tcPr>
          <w:p w14:paraId="5CD401C5">
            <w:pPr>
              <w:jc w:val="center"/>
              <w:rPr>
                <w:rFonts w:asciiTheme="minorEastAsia" w:hAnsiTheme="minorEastAsia"/>
                <w:color w:val="000000" w:themeColor="text1"/>
                <w14:textFill>
                  <w14:solidFill>
                    <w14:schemeClr w14:val="tx1"/>
                  </w14:solidFill>
                </w14:textFill>
              </w:rPr>
            </w:pPr>
            <w:r>
              <w:rPr>
                <w:rFonts w:asciiTheme="minorEastAsia" w:hAnsiTheme="minorEastAsia"/>
                <w:color w:val="000000" w:themeColor="text1"/>
                <w14:textFill>
                  <w14:solidFill>
                    <w14:schemeClr w14:val="tx1"/>
                  </w14:solidFill>
                </w14:textFill>
              </w:rPr>
              <w:t>序号</w:t>
            </w:r>
          </w:p>
        </w:tc>
        <w:tc>
          <w:tcPr>
            <w:tcW w:w="1334" w:type="dxa"/>
            <w:vAlign w:val="center"/>
          </w:tcPr>
          <w:p w14:paraId="4C54B91C">
            <w:pPr>
              <w:jc w:val="center"/>
              <w:rPr>
                <w:rFonts w:asciiTheme="minorEastAsia" w:hAnsiTheme="minorEastAsia"/>
                <w:color w:val="000000" w:themeColor="text1"/>
                <w14:textFill>
                  <w14:solidFill>
                    <w14:schemeClr w14:val="tx1"/>
                  </w14:solidFill>
                </w14:textFill>
              </w:rPr>
            </w:pPr>
            <w:r>
              <w:rPr>
                <w:rFonts w:asciiTheme="minorEastAsia" w:hAnsiTheme="minorEastAsia"/>
                <w:color w:val="000000" w:themeColor="text1"/>
                <w14:textFill>
                  <w14:solidFill>
                    <w14:schemeClr w14:val="tx1"/>
                  </w14:solidFill>
                </w14:textFill>
              </w:rPr>
              <w:t>条目号</w:t>
            </w:r>
          </w:p>
        </w:tc>
        <w:tc>
          <w:tcPr>
            <w:tcW w:w="2738" w:type="dxa"/>
            <w:vAlign w:val="center"/>
          </w:tcPr>
          <w:p w14:paraId="694E3924">
            <w:pPr>
              <w:jc w:val="center"/>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采购文件</w:t>
            </w:r>
            <w:r>
              <w:rPr>
                <w:rFonts w:asciiTheme="minorEastAsia" w:hAnsiTheme="minorEastAsia"/>
                <w:color w:val="000000" w:themeColor="text1"/>
                <w14:textFill>
                  <w14:solidFill>
                    <w14:schemeClr w14:val="tx1"/>
                  </w14:solidFill>
                </w14:textFill>
              </w:rPr>
              <w:t>的</w:t>
            </w:r>
            <w:r>
              <w:rPr>
                <w:rFonts w:hint="eastAsia" w:asciiTheme="minorEastAsia" w:hAnsiTheme="minorEastAsia"/>
                <w:color w:val="000000" w:themeColor="text1"/>
                <w14:textFill>
                  <w14:solidFill>
                    <w14:schemeClr w14:val="tx1"/>
                  </w14:solidFill>
                </w14:textFill>
              </w:rPr>
              <w:t>技术规范条款</w:t>
            </w:r>
          </w:p>
        </w:tc>
        <w:tc>
          <w:tcPr>
            <w:tcW w:w="2749" w:type="dxa"/>
            <w:vAlign w:val="center"/>
          </w:tcPr>
          <w:p w14:paraId="78F30F56">
            <w:pPr>
              <w:jc w:val="center"/>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应答文件</w:t>
            </w:r>
            <w:r>
              <w:rPr>
                <w:rFonts w:asciiTheme="minorEastAsia" w:hAnsiTheme="minorEastAsia"/>
                <w:color w:val="000000" w:themeColor="text1"/>
                <w14:textFill>
                  <w14:solidFill>
                    <w14:schemeClr w14:val="tx1"/>
                  </w14:solidFill>
                </w14:textFill>
              </w:rPr>
              <w:t>的</w:t>
            </w:r>
            <w:r>
              <w:rPr>
                <w:rFonts w:hint="eastAsia" w:asciiTheme="minorEastAsia" w:hAnsiTheme="minorEastAsia"/>
                <w:color w:val="000000" w:themeColor="text1"/>
                <w14:textFill>
                  <w14:solidFill>
                    <w14:schemeClr w14:val="tx1"/>
                  </w14:solidFill>
                </w14:textFill>
              </w:rPr>
              <w:t>技术规范条款</w:t>
            </w:r>
          </w:p>
        </w:tc>
        <w:tc>
          <w:tcPr>
            <w:tcW w:w="1400" w:type="dxa"/>
            <w:vAlign w:val="center"/>
          </w:tcPr>
          <w:p w14:paraId="1FA060B6">
            <w:pPr>
              <w:jc w:val="center"/>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偏离</w:t>
            </w:r>
            <w:r>
              <w:rPr>
                <w:rFonts w:asciiTheme="minorEastAsia" w:hAnsiTheme="minorEastAsia"/>
                <w:color w:val="000000" w:themeColor="text1"/>
                <w14:textFill>
                  <w14:solidFill>
                    <w14:schemeClr w14:val="tx1"/>
                  </w14:solidFill>
                </w14:textFill>
              </w:rPr>
              <w:t>说明</w:t>
            </w:r>
          </w:p>
        </w:tc>
      </w:tr>
      <w:tr w14:paraId="1327FD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51" w:hRule="atLeast"/>
          <w:jc w:val="center"/>
        </w:trPr>
        <w:tc>
          <w:tcPr>
            <w:tcW w:w="710" w:type="dxa"/>
            <w:vAlign w:val="center"/>
          </w:tcPr>
          <w:p w14:paraId="47474167">
            <w:pPr>
              <w:jc w:val="center"/>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1</w:t>
            </w:r>
          </w:p>
        </w:tc>
        <w:tc>
          <w:tcPr>
            <w:tcW w:w="1334" w:type="dxa"/>
            <w:vAlign w:val="center"/>
          </w:tcPr>
          <w:p w14:paraId="13A4E79C">
            <w:pPr>
              <w:jc w:val="center"/>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所有条目</w:t>
            </w:r>
          </w:p>
        </w:tc>
        <w:tc>
          <w:tcPr>
            <w:tcW w:w="2738" w:type="dxa"/>
            <w:vAlign w:val="center"/>
          </w:tcPr>
          <w:p w14:paraId="38560152">
            <w:pPr>
              <w:jc w:val="center"/>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所有技术规范条款</w:t>
            </w:r>
          </w:p>
        </w:tc>
        <w:tc>
          <w:tcPr>
            <w:tcW w:w="2749" w:type="dxa"/>
            <w:vAlign w:val="center"/>
          </w:tcPr>
          <w:p w14:paraId="567D82BA">
            <w:pPr>
              <w:jc w:val="center"/>
              <w:rPr>
                <w:rFonts w:asciiTheme="minorEastAsia" w:hAnsiTheme="minorEastAsia"/>
                <w:color w:val="000000" w:themeColor="text1"/>
                <w14:textFill>
                  <w14:solidFill>
                    <w14:schemeClr w14:val="tx1"/>
                  </w14:solidFill>
                </w14:textFill>
              </w:rPr>
            </w:pPr>
          </w:p>
        </w:tc>
        <w:tc>
          <w:tcPr>
            <w:tcW w:w="1400" w:type="dxa"/>
            <w:vAlign w:val="center"/>
          </w:tcPr>
          <w:p w14:paraId="280CEE8A">
            <w:pPr>
              <w:jc w:val="center"/>
              <w:rPr>
                <w:rFonts w:asciiTheme="minorEastAsia" w:hAnsiTheme="minorEastAsia"/>
                <w:color w:val="000000" w:themeColor="text1"/>
                <w14:textFill>
                  <w14:solidFill>
                    <w14:schemeClr w14:val="tx1"/>
                  </w14:solidFill>
                </w14:textFill>
              </w:rPr>
            </w:pPr>
            <w:r>
              <w:rPr>
                <w:rFonts w:hint="eastAsia" w:asciiTheme="minorEastAsia" w:hAnsiTheme="minorEastAsia"/>
                <w:color w:val="000000" w:themeColor="text1"/>
                <w14:textFill>
                  <w14:solidFill>
                    <w14:schemeClr w14:val="tx1"/>
                  </w14:solidFill>
                </w14:textFill>
              </w:rPr>
              <w:t>全部无偏离</w:t>
            </w:r>
          </w:p>
        </w:tc>
      </w:tr>
      <w:tr w14:paraId="4D720F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51" w:hRule="atLeast"/>
          <w:jc w:val="center"/>
        </w:trPr>
        <w:tc>
          <w:tcPr>
            <w:tcW w:w="710" w:type="dxa"/>
            <w:vAlign w:val="center"/>
          </w:tcPr>
          <w:p w14:paraId="002A4C6D">
            <w:pPr>
              <w:jc w:val="center"/>
              <w:rPr>
                <w:rFonts w:asciiTheme="minorEastAsia" w:hAnsiTheme="minorEastAsia"/>
                <w:color w:val="000000" w:themeColor="text1"/>
                <w14:textFill>
                  <w14:solidFill>
                    <w14:schemeClr w14:val="tx1"/>
                  </w14:solidFill>
                </w14:textFill>
              </w:rPr>
            </w:pPr>
          </w:p>
        </w:tc>
        <w:tc>
          <w:tcPr>
            <w:tcW w:w="1334" w:type="dxa"/>
            <w:vAlign w:val="center"/>
          </w:tcPr>
          <w:p w14:paraId="71C2A778">
            <w:pPr>
              <w:jc w:val="center"/>
              <w:rPr>
                <w:rFonts w:asciiTheme="minorEastAsia" w:hAnsiTheme="minorEastAsia"/>
                <w:color w:val="000000" w:themeColor="text1"/>
                <w14:textFill>
                  <w14:solidFill>
                    <w14:schemeClr w14:val="tx1"/>
                  </w14:solidFill>
                </w14:textFill>
              </w:rPr>
            </w:pPr>
          </w:p>
        </w:tc>
        <w:tc>
          <w:tcPr>
            <w:tcW w:w="2738" w:type="dxa"/>
            <w:vAlign w:val="center"/>
          </w:tcPr>
          <w:p w14:paraId="539F9770">
            <w:pPr>
              <w:jc w:val="center"/>
              <w:rPr>
                <w:rFonts w:asciiTheme="minorEastAsia" w:hAnsiTheme="minorEastAsia"/>
                <w:color w:val="000000" w:themeColor="text1"/>
                <w14:textFill>
                  <w14:solidFill>
                    <w14:schemeClr w14:val="tx1"/>
                  </w14:solidFill>
                </w14:textFill>
              </w:rPr>
            </w:pPr>
          </w:p>
        </w:tc>
        <w:tc>
          <w:tcPr>
            <w:tcW w:w="2749" w:type="dxa"/>
            <w:vAlign w:val="center"/>
          </w:tcPr>
          <w:p w14:paraId="2C817AAE">
            <w:pPr>
              <w:jc w:val="center"/>
              <w:rPr>
                <w:rFonts w:asciiTheme="minorEastAsia" w:hAnsiTheme="minorEastAsia"/>
                <w:color w:val="000000" w:themeColor="text1"/>
                <w14:textFill>
                  <w14:solidFill>
                    <w14:schemeClr w14:val="tx1"/>
                  </w14:solidFill>
                </w14:textFill>
              </w:rPr>
            </w:pPr>
          </w:p>
        </w:tc>
        <w:tc>
          <w:tcPr>
            <w:tcW w:w="1400" w:type="dxa"/>
            <w:vAlign w:val="center"/>
          </w:tcPr>
          <w:p w14:paraId="7E4C3AA0">
            <w:pPr>
              <w:jc w:val="center"/>
              <w:rPr>
                <w:rFonts w:asciiTheme="minorEastAsia" w:hAnsiTheme="minorEastAsia"/>
                <w:color w:val="000000" w:themeColor="text1"/>
                <w14:textFill>
                  <w14:solidFill>
                    <w14:schemeClr w14:val="tx1"/>
                  </w14:solidFill>
                </w14:textFill>
              </w:rPr>
            </w:pPr>
          </w:p>
        </w:tc>
      </w:tr>
      <w:tr w14:paraId="54EFC4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51" w:hRule="atLeast"/>
          <w:jc w:val="center"/>
        </w:trPr>
        <w:tc>
          <w:tcPr>
            <w:tcW w:w="710" w:type="dxa"/>
            <w:vAlign w:val="center"/>
          </w:tcPr>
          <w:p w14:paraId="2BB73F9C">
            <w:pPr>
              <w:jc w:val="center"/>
              <w:rPr>
                <w:rFonts w:asciiTheme="minorEastAsia" w:hAnsiTheme="minorEastAsia"/>
                <w:color w:val="000000" w:themeColor="text1"/>
                <w14:textFill>
                  <w14:solidFill>
                    <w14:schemeClr w14:val="tx1"/>
                  </w14:solidFill>
                </w14:textFill>
              </w:rPr>
            </w:pPr>
          </w:p>
        </w:tc>
        <w:tc>
          <w:tcPr>
            <w:tcW w:w="1334" w:type="dxa"/>
            <w:vAlign w:val="center"/>
          </w:tcPr>
          <w:p w14:paraId="301002C3">
            <w:pPr>
              <w:jc w:val="center"/>
              <w:rPr>
                <w:rFonts w:asciiTheme="minorEastAsia" w:hAnsiTheme="minorEastAsia"/>
                <w:color w:val="000000" w:themeColor="text1"/>
                <w14:textFill>
                  <w14:solidFill>
                    <w14:schemeClr w14:val="tx1"/>
                  </w14:solidFill>
                </w14:textFill>
              </w:rPr>
            </w:pPr>
          </w:p>
        </w:tc>
        <w:tc>
          <w:tcPr>
            <w:tcW w:w="2738" w:type="dxa"/>
            <w:vAlign w:val="center"/>
          </w:tcPr>
          <w:p w14:paraId="7146CA6E">
            <w:pPr>
              <w:jc w:val="center"/>
              <w:rPr>
                <w:rFonts w:asciiTheme="minorEastAsia" w:hAnsiTheme="minorEastAsia"/>
                <w:color w:val="000000" w:themeColor="text1"/>
                <w14:textFill>
                  <w14:solidFill>
                    <w14:schemeClr w14:val="tx1"/>
                  </w14:solidFill>
                </w14:textFill>
              </w:rPr>
            </w:pPr>
          </w:p>
        </w:tc>
        <w:tc>
          <w:tcPr>
            <w:tcW w:w="2749" w:type="dxa"/>
            <w:vAlign w:val="center"/>
          </w:tcPr>
          <w:p w14:paraId="43D0C4C3">
            <w:pPr>
              <w:jc w:val="center"/>
              <w:rPr>
                <w:rFonts w:asciiTheme="minorEastAsia" w:hAnsiTheme="minorEastAsia"/>
                <w:color w:val="000000" w:themeColor="text1"/>
                <w14:textFill>
                  <w14:solidFill>
                    <w14:schemeClr w14:val="tx1"/>
                  </w14:solidFill>
                </w14:textFill>
              </w:rPr>
            </w:pPr>
          </w:p>
        </w:tc>
        <w:tc>
          <w:tcPr>
            <w:tcW w:w="1400" w:type="dxa"/>
            <w:vAlign w:val="center"/>
          </w:tcPr>
          <w:p w14:paraId="3B194EC6">
            <w:pPr>
              <w:jc w:val="center"/>
              <w:rPr>
                <w:rFonts w:asciiTheme="minorEastAsia" w:hAnsiTheme="minorEastAsia"/>
                <w:color w:val="000000" w:themeColor="text1"/>
                <w14:textFill>
                  <w14:solidFill>
                    <w14:schemeClr w14:val="tx1"/>
                  </w14:solidFill>
                </w14:textFill>
              </w:rPr>
            </w:pPr>
          </w:p>
        </w:tc>
      </w:tr>
      <w:tr w14:paraId="5F6F9F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51" w:hRule="atLeast"/>
          <w:jc w:val="center"/>
        </w:trPr>
        <w:tc>
          <w:tcPr>
            <w:tcW w:w="710" w:type="dxa"/>
            <w:vAlign w:val="center"/>
          </w:tcPr>
          <w:p w14:paraId="0D622DB0">
            <w:pPr>
              <w:jc w:val="center"/>
              <w:rPr>
                <w:rFonts w:asciiTheme="minorEastAsia" w:hAnsiTheme="minorEastAsia"/>
                <w:color w:val="000000" w:themeColor="text1"/>
                <w14:textFill>
                  <w14:solidFill>
                    <w14:schemeClr w14:val="tx1"/>
                  </w14:solidFill>
                </w14:textFill>
              </w:rPr>
            </w:pPr>
          </w:p>
        </w:tc>
        <w:tc>
          <w:tcPr>
            <w:tcW w:w="1334" w:type="dxa"/>
            <w:vAlign w:val="center"/>
          </w:tcPr>
          <w:p w14:paraId="0A7F62E7">
            <w:pPr>
              <w:jc w:val="center"/>
              <w:rPr>
                <w:rFonts w:asciiTheme="minorEastAsia" w:hAnsiTheme="minorEastAsia"/>
                <w:color w:val="000000" w:themeColor="text1"/>
                <w14:textFill>
                  <w14:solidFill>
                    <w14:schemeClr w14:val="tx1"/>
                  </w14:solidFill>
                </w14:textFill>
              </w:rPr>
            </w:pPr>
          </w:p>
        </w:tc>
        <w:tc>
          <w:tcPr>
            <w:tcW w:w="2738" w:type="dxa"/>
            <w:vAlign w:val="center"/>
          </w:tcPr>
          <w:p w14:paraId="5401E09A">
            <w:pPr>
              <w:jc w:val="center"/>
              <w:rPr>
                <w:rFonts w:asciiTheme="minorEastAsia" w:hAnsiTheme="minorEastAsia"/>
                <w:color w:val="000000" w:themeColor="text1"/>
                <w14:textFill>
                  <w14:solidFill>
                    <w14:schemeClr w14:val="tx1"/>
                  </w14:solidFill>
                </w14:textFill>
              </w:rPr>
            </w:pPr>
          </w:p>
        </w:tc>
        <w:tc>
          <w:tcPr>
            <w:tcW w:w="2749" w:type="dxa"/>
            <w:vAlign w:val="center"/>
          </w:tcPr>
          <w:p w14:paraId="671265FC">
            <w:pPr>
              <w:jc w:val="center"/>
              <w:rPr>
                <w:rFonts w:asciiTheme="minorEastAsia" w:hAnsiTheme="minorEastAsia"/>
                <w:color w:val="000000" w:themeColor="text1"/>
                <w14:textFill>
                  <w14:solidFill>
                    <w14:schemeClr w14:val="tx1"/>
                  </w14:solidFill>
                </w14:textFill>
              </w:rPr>
            </w:pPr>
          </w:p>
        </w:tc>
        <w:tc>
          <w:tcPr>
            <w:tcW w:w="1400" w:type="dxa"/>
            <w:vAlign w:val="center"/>
          </w:tcPr>
          <w:p w14:paraId="47DF5FEB">
            <w:pPr>
              <w:jc w:val="center"/>
              <w:rPr>
                <w:rFonts w:asciiTheme="minorEastAsia" w:hAnsiTheme="minorEastAsia"/>
                <w:color w:val="000000" w:themeColor="text1"/>
                <w14:textFill>
                  <w14:solidFill>
                    <w14:schemeClr w14:val="tx1"/>
                  </w14:solidFill>
                </w14:textFill>
              </w:rPr>
            </w:pPr>
          </w:p>
        </w:tc>
      </w:tr>
      <w:tr w14:paraId="3F8F82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51" w:hRule="atLeast"/>
          <w:jc w:val="center"/>
        </w:trPr>
        <w:tc>
          <w:tcPr>
            <w:tcW w:w="710" w:type="dxa"/>
            <w:vAlign w:val="center"/>
          </w:tcPr>
          <w:p w14:paraId="5841FA05">
            <w:pPr>
              <w:jc w:val="center"/>
              <w:rPr>
                <w:rFonts w:asciiTheme="minorEastAsia" w:hAnsiTheme="minorEastAsia"/>
                <w:color w:val="000000" w:themeColor="text1"/>
                <w14:textFill>
                  <w14:solidFill>
                    <w14:schemeClr w14:val="tx1"/>
                  </w14:solidFill>
                </w14:textFill>
              </w:rPr>
            </w:pPr>
          </w:p>
        </w:tc>
        <w:tc>
          <w:tcPr>
            <w:tcW w:w="1334" w:type="dxa"/>
            <w:vAlign w:val="center"/>
          </w:tcPr>
          <w:p w14:paraId="76216AFA">
            <w:pPr>
              <w:jc w:val="center"/>
              <w:rPr>
                <w:rFonts w:asciiTheme="minorEastAsia" w:hAnsiTheme="minorEastAsia"/>
                <w:color w:val="000000" w:themeColor="text1"/>
                <w14:textFill>
                  <w14:solidFill>
                    <w14:schemeClr w14:val="tx1"/>
                  </w14:solidFill>
                </w14:textFill>
              </w:rPr>
            </w:pPr>
          </w:p>
        </w:tc>
        <w:tc>
          <w:tcPr>
            <w:tcW w:w="2738" w:type="dxa"/>
            <w:vAlign w:val="center"/>
          </w:tcPr>
          <w:p w14:paraId="7B11FEDD">
            <w:pPr>
              <w:jc w:val="center"/>
              <w:rPr>
                <w:rFonts w:asciiTheme="minorEastAsia" w:hAnsiTheme="minorEastAsia"/>
                <w:color w:val="000000" w:themeColor="text1"/>
                <w14:textFill>
                  <w14:solidFill>
                    <w14:schemeClr w14:val="tx1"/>
                  </w14:solidFill>
                </w14:textFill>
              </w:rPr>
            </w:pPr>
          </w:p>
        </w:tc>
        <w:tc>
          <w:tcPr>
            <w:tcW w:w="2749" w:type="dxa"/>
            <w:vAlign w:val="center"/>
          </w:tcPr>
          <w:p w14:paraId="7C6B62D6">
            <w:pPr>
              <w:jc w:val="center"/>
              <w:rPr>
                <w:rFonts w:asciiTheme="minorEastAsia" w:hAnsiTheme="minorEastAsia"/>
                <w:color w:val="000000" w:themeColor="text1"/>
                <w14:textFill>
                  <w14:solidFill>
                    <w14:schemeClr w14:val="tx1"/>
                  </w14:solidFill>
                </w14:textFill>
              </w:rPr>
            </w:pPr>
          </w:p>
        </w:tc>
        <w:tc>
          <w:tcPr>
            <w:tcW w:w="1400" w:type="dxa"/>
            <w:vAlign w:val="center"/>
          </w:tcPr>
          <w:p w14:paraId="3EBBA401">
            <w:pPr>
              <w:jc w:val="center"/>
              <w:rPr>
                <w:rFonts w:asciiTheme="minorEastAsia" w:hAnsiTheme="minorEastAsia"/>
                <w:color w:val="000000" w:themeColor="text1"/>
                <w14:textFill>
                  <w14:solidFill>
                    <w14:schemeClr w14:val="tx1"/>
                  </w14:solidFill>
                </w14:textFill>
              </w:rPr>
            </w:pPr>
          </w:p>
        </w:tc>
      </w:tr>
    </w:tbl>
    <w:p w14:paraId="7F893F57">
      <w:pPr>
        <w:spacing w:before="312" w:beforeLines="10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注：1.</w:t>
      </w:r>
      <w:r>
        <w:rPr>
          <w:rFonts w:hint="eastAsia" w:ascii="宋体" w:hAnsi="宋体"/>
          <w:b/>
          <w:color w:val="000000" w:themeColor="text1"/>
          <w14:textFill>
            <w14:solidFill>
              <w14:schemeClr w14:val="tx1"/>
            </w14:solidFill>
          </w14:textFill>
        </w:rPr>
        <w:t>请应答人仔细、逐条阅读技术规范书。</w:t>
      </w:r>
      <w:r>
        <w:rPr>
          <w:rFonts w:hint="eastAsia" w:ascii="宋体" w:hAnsi="宋体"/>
          <w:color w:val="000000" w:themeColor="text1"/>
          <w14:textFill>
            <w14:solidFill>
              <w14:schemeClr w14:val="tx1"/>
            </w14:solidFill>
          </w14:textFill>
        </w:rPr>
        <w:t>提供本</w:t>
      </w:r>
      <w:r>
        <w:rPr>
          <w:rFonts w:ascii="宋体" w:hAnsi="宋体"/>
          <w:color w:val="000000" w:themeColor="text1"/>
          <w14:textFill>
            <w14:solidFill>
              <w14:schemeClr w14:val="tx1"/>
            </w14:solidFill>
          </w14:textFill>
        </w:rPr>
        <w:t>表后，</w:t>
      </w:r>
      <w:r>
        <w:rPr>
          <w:rFonts w:hint="eastAsia" w:ascii="宋体" w:hAnsi="宋体"/>
          <w:color w:val="000000" w:themeColor="text1"/>
          <w14:textFill>
            <w14:solidFill>
              <w14:schemeClr w14:val="tx1"/>
            </w14:solidFill>
          </w14:textFill>
        </w:rPr>
        <w:t>应答人</w:t>
      </w:r>
      <w:r>
        <w:rPr>
          <w:rFonts w:ascii="宋体" w:hAnsi="宋体"/>
          <w:color w:val="000000" w:themeColor="text1"/>
          <w14:textFill>
            <w14:solidFill>
              <w14:schemeClr w14:val="tx1"/>
            </w14:solidFill>
          </w14:textFill>
        </w:rPr>
        <w:t>不用再对</w:t>
      </w:r>
      <w:r>
        <w:rPr>
          <w:rFonts w:hint="eastAsia" w:ascii="宋体" w:hAnsi="宋体"/>
          <w:color w:val="000000" w:themeColor="text1"/>
          <w14:textFill>
            <w14:solidFill>
              <w14:schemeClr w14:val="tx1"/>
            </w14:solidFill>
          </w14:textFill>
        </w:rPr>
        <w:t>技术规范书</w:t>
      </w:r>
      <w:r>
        <w:rPr>
          <w:rFonts w:ascii="宋体" w:hAnsi="宋体"/>
          <w:color w:val="000000" w:themeColor="text1"/>
          <w14:textFill>
            <w14:solidFill>
              <w14:schemeClr w14:val="tx1"/>
            </w14:solidFill>
          </w14:textFill>
        </w:rPr>
        <w:t>进行点对点应答。</w:t>
      </w:r>
      <w:r>
        <w:rPr>
          <w:rFonts w:hint="eastAsia" w:ascii="宋体" w:hAnsi="宋体"/>
          <w:color w:val="000000" w:themeColor="text1"/>
          <w14:textFill>
            <w14:solidFill>
              <w14:schemeClr w14:val="tx1"/>
            </w14:solidFill>
          </w14:textFill>
        </w:rPr>
        <w:t>若仍</w:t>
      </w:r>
      <w:r>
        <w:rPr>
          <w:rFonts w:ascii="宋体" w:hAnsi="宋体"/>
          <w:color w:val="000000" w:themeColor="text1"/>
          <w14:textFill>
            <w14:solidFill>
              <w14:schemeClr w14:val="tx1"/>
            </w14:solidFill>
          </w14:textFill>
        </w:rPr>
        <w:t>进行点对点应答，</w:t>
      </w:r>
      <w:r>
        <w:rPr>
          <w:rFonts w:hint="eastAsia" w:ascii="宋体" w:hAnsi="宋体"/>
          <w:color w:val="000000" w:themeColor="text1"/>
          <w14:textFill>
            <w14:solidFill>
              <w14:schemeClr w14:val="tx1"/>
            </w14:solidFill>
          </w14:textFill>
        </w:rPr>
        <w:t>如应答人提供的点对点应答文件与本表中的应答内容不一致，以本表中的内容为准。</w:t>
      </w:r>
    </w:p>
    <w:p w14:paraId="4F4FDBB9">
      <w:pPr>
        <w:spacing w:after="120"/>
        <w:ind w:firstLine="480" w:firstLineChars="20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2.若本表为空或未填写实质性内容，则表示应答人完全满足采购人相应要求。</w:t>
      </w:r>
    </w:p>
    <w:p w14:paraId="45AD306F">
      <w:pPr>
        <w:spacing w:after="120"/>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 xml:space="preserve">    3.</w:t>
      </w:r>
      <w:r>
        <w:rPr>
          <w:rFonts w:ascii="宋体" w:hAnsi="宋体"/>
          <w:bCs/>
          <w:color w:val="000000" w:themeColor="text1"/>
          <w14:textFill>
            <w14:solidFill>
              <w14:schemeClr w14:val="tx1"/>
            </w14:solidFill>
          </w14:textFill>
        </w:rPr>
        <w:t>若出现</w:t>
      </w:r>
      <w:r>
        <w:rPr>
          <w:rFonts w:hint="eastAsia" w:ascii="宋体" w:hAnsi="宋体"/>
          <w:bCs/>
          <w:color w:val="000000" w:themeColor="text1"/>
          <w14:textFill>
            <w14:solidFill>
              <w14:schemeClr w14:val="tx1"/>
            </w14:solidFill>
          </w14:textFill>
        </w:rPr>
        <w:t>与技术规范书要求有偏离的条目</w:t>
      </w:r>
      <w:r>
        <w:rPr>
          <w:rFonts w:ascii="宋体" w:hAnsi="宋体"/>
          <w:bCs/>
          <w:color w:val="000000" w:themeColor="text1"/>
          <w14:textFill>
            <w14:solidFill>
              <w14:schemeClr w14:val="tx1"/>
            </w14:solidFill>
          </w14:textFill>
        </w:rPr>
        <w:t>，</w:t>
      </w:r>
      <w:r>
        <w:rPr>
          <w:rFonts w:hint="eastAsia" w:ascii="宋体" w:hAnsi="宋体"/>
          <w:bCs/>
          <w:color w:val="000000" w:themeColor="text1"/>
          <w14:textFill>
            <w14:solidFill>
              <w14:schemeClr w14:val="tx1"/>
            </w14:solidFill>
          </w14:textFill>
        </w:rPr>
        <w:t>请填写本表，可填写为“不满足/负偏离”或“优于”，并详细写明偏离情况，以使采购人全面了解应答人的服务承诺。将视最终采购结果情况签署合同。对标★条款负偏离的</w:t>
      </w:r>
      <w:r>
        <w:rPr>
          <w:rFonts w:hint="eastAsia" w:ascii="宋体" w:hAnsi="宋体"/>
          <w:color w:val="000000" w:themeColor="text1"/>
          <w14:textFill>
            <w14:solidFill>
              <w14:schemeClr w14:val="tx1"/>
            </w14:solidFill>
          </w14:textFill>
        </w:rPr>
        <w:t>，将否决应答人的应答。</w:t>
      </w:r>
    </w:p>
    <w:p w14:paraId="2027DF34">
      <w:pPr>
        <w:spacing w:after="120"/>
        <w:rPr>
          <w:rFonts w:ascii="宋体" w:hAnsi="宋体"/>
          <w:b/>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ab/>
      </w:r>
      <w:r>
        <w:rPr>
          <w:rFonts w:hint="eastAsia" w:ascii="宋体" w:hAnsi="宋体"/>
          <w:color w:val="000000" w:themeColor="text1"/>
          <w14:textFill>
            <w14:solidFill>
              <w14:schemeClr w14:val="tx1"/>
            </w14:solidFill>
          </w14:textFill>
        </w:rPr>
        <w:t>4.即使本表为空，也请在应答文件中提供。</w:t>
      </w:r>
      <w:r>
        <w:rPr>
          <w:rFonts w:hint="eastAsia" w:ascii="宋体" w:hAnsi="宋体"/>
        </w:rPr>
        <w:t>若未提供本表，则以点对点应答为准；如均未提供，则以应答函承诺为准。</w:t>
      </w:r>
    </w:p>
    <w:p w14:paraId="36BB878A"/>
    <w:p w14:paraId="16ADFC7C"/>
    <w:p w14:paraId="5FC68AFF"/>
    <w:p w14:paraId="50D58134"/>
    <w:p w14:paraId="5966CE87"/>
    <w:p w14:paraId="3941E84B"/>
    <w:p w14:paraId="555DEA5F">
      <w:pPr>
        <w:pStyle w:val="2"/>
      </w:pPr>
      <w:r>
        <w:rPr>
          <w:rFonts w:hint="eastAsia"/>
        </w:rPr>
        <w:t>资格审查资料</w:t>
      </w:r>
    </w:p>
    <w:p w14:paraId="48CD6A0D">
      <w:pPr>
        <w:spacing w:line="440" w:lineRule="exact"/>
        <w:ind w:firstLine="352" w:firstLineChars="147"/>
        <w:rPr>
          <w:rFonts w:ascii="宋体" w:hAnsi="宋体"/>
          <w:i/>
          <w:iCs/>
          <w:color w:val="FF0000"/>
        </w:rPr>
      </w:pPr>
      <w:r>
        <w:rPr>
          <w:rFonts w:hint="eastAsia" w:ascii="宋体" w:hAnsi="宋体"/>
          <w:i/>
          <w:iCs/>
          <w:color w:val="FF0000"/>
        </w:rPr>
        <w:t>请应答人仔细阅读比选文件，如若因为资格审查材料准备不符合要求导致否决其应答的，责任自负。标★为必须提供的材料。</w:t>
      </w:r>
    </w:p>
    <w:p w14:paraId="0B6A5203">
      <w:pPr>
        <w:spacing w:line="440" w:lineRule="exact"/>
        <w:ind w:firstLine="352" w:firstLineChars="147"/>
        <w:rPr>
          <w:rFonts w:ascii="宋体" w:hAnsi="宋体"/>
          <w:i/>
          <w:iCs/>
          <w:color w:val="FF0000"/>
        </w:rPr>
      </w:pPr>
      <w:r>
        <w:rPr>
          <w:rFonts w:ascii="宋体" w:hAnsi="宋体"/>
          <w:i/>
          <w:iCs/>
          <w:color w:val="FF0000"/>
        </w:rPr>
        <w:t>以下扫描件每个A4页面</w:t>
      </w:r>
      <w:r>
        <w:rPr>
          <w:rFonts w:hint="eastAsia" w:ascii="宋体" w:hAnsi="宋体"/>
          <w:i/>
          <w:iCs/>
          <w:color w:val="FF0000"/>
        </w:rPr>
        <w:t>建议</w:t>
      </w:r>
      <w:r>
        <w:rPr>
          <w:rFonts w:ascii="宋体" w:hAnsi="宋体"/>
          <w:i/>
          <w:iCs/>
          <w:color w:val="FF0000"/>
        </w:rPr>
        <w:t>放置一个扫描件</w:t>
      </w:r>
      <w:r>
        <w:rPr>
          <w:rFonts w:hint="eastAsia" w:ascii="宋体" w:hAnsi="宋体"/>
          <w:i/>
          <w:iCs/>
          <w:color w:val="FF0000"/>
        </w:rPr>
        <w:t>/拍照件</w:t>
      </w:r>
      <w:r>
        <w:rPr>
          <w:rFonts w:ascii="宋体" w:hAnsi="宋体"/>
          <w:i/>
          <w:iCs/>
          <w:color w:val="FF0000"/>
        </w:rPr>
        <w:t>，电子版中的扫描件</w:t>
      </w:r>
      <w:r>
        <w:rPr>
          <w:rFonts w:hint="eastAsia" w:ascii="宋体" w:hAnsi="宋体"/>
          <w:i/>
          <w:iCs/>
          <w:color w:val="FF0000"/>
        </w:rPr>
        <w:t>/拍照件经解压后需清晰可辨</w:t>
      </w:r>
      <w:r>
        <w:rPr>
          <w:rFonts w:ascii="宋体" w:hAnsi="宋体"/>
          <w:i/>
          <w:iCs/>
          <w:color w:val="FF0000"/>
        </w:rPr>
        <w:t>。</w:t>
      </w:r>
    </w:p>
    <w:p w14:paraId="2AC42C26">
      <w:pPr>
        <w:pStyle w:val="3"/>
      </w:pPr>
      <w:r>
        <w:rPr>
          <w:rFonts w:hint="eastAsia"/>
        </w:rPr>
        <w:t>★应答人具有合法的企业法人营业执照或其它组织经营证明。提供营业执照或其他组织处于存续或在业状态证明文件。</w:t>
      </w:r>
    </w:p>
    <w:p w14:paraId="4596FE3E">
      <w:pPr>
        <w:pStyle w:val="3"/>
      </w:pPr>
      <w:r>
        <w:rPr>
          <w:rFonts w:hint="eastAsia"/>
        </w:rPr>
        <w:t>应答人在国家企业信用信息公示系统中未被查询到近3年（2019年1月1日至应答截止时间）有严重违法失信信息</w:t>
      </w:r>
    </w:p>
    <w:p w14:paraId="2A4F41A7">
      <w:pPr>
        <w:pStyle w:val="3"/>
      </w:pPr>
      <w:r>
        <w:rPr>
          <w:rFonts w:hint="eastAsia"/>
        </w:rPr>
        <w:t>★应答人须承诺为本项目开具符合国家规定的增值税专用发票，提供承诺。（见应答函第12点）</w:t>
      </w:r>
    </w:p>
    <w:p w14:paraId="3D967B2F">
      <w:pPr>
        <w:pStyle w:val="3"/>
      </w:pPr>
      <w:r>
        <w:rPr>
          <w:rFonts w:hint="eastAsia"/>
        </w:rPr>
        <w:t>★不接受联合体参与。（见应答函第9点）</w:t>
      </w:r>
    </w:p>
    <w:p w14:paraId="510099E8">
      <w:pPr>
        <w:pStyle w:val="3"/>
      </w:pPr>
      <w:r>
        <w:rPr>
          <w:rFonts w:hint="eastAsia"/>
        </w:rPr>
        <w:t>★法定代表人或单位负责人为同一人或者存在控股、管理关系的不同单位，不得同时参与本项目应答。需提供承诺。（见应答函第9点）</w:t>
      </w:r>
    </w:p>
    <w:p w14:paraId="1F1D3F56">
      <w:pPr>
        <w:pStyle w:val="3"/>
      </w:pPr>
      <w:r>
        <w:rPr>
          <w:rFonts w:hint="eastAsia"/>
        </w:rPr>
        <w:t>应答人控股及管理关系情况申报表</w:t>
      </w:r>
    </w:p>
    <w:p w14:paraId="477F6B23"/>
    <w:p w14:paraId="29D059F3"/>
    <w:p w14:paraId="57BBF831"/>
    <w:p w14:paraId="240F8BFD"/>
    <w:p w14:paraId="401388DB">
      <w:pPr>
        <w:pStyle w:val="2"/>
      </w:pPr>
      <w:r>
        <w:rPr>
          <w:rFonts w:hint="eastAsia"/>
        </w:rPr>
        <w:t>技术审查资料</w:t>
      </w:r>
    </w:p>
    <w:p w14:paraId="7D30C094">
      <w:pPr>
        <w:pStyle w:val="3"/>
      </w:pPr>
      <w:r>
        <w:rPr>
          <w:rFonts w:hint="eastAsia"/>
        </w:rPr>
        <w:t>项目经验列表及证明文件</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2"/>
        <w:gridCol w:w="1511"/>
        <w:gridCol w:w="2419"/>
        <w:gridCol w:w="1814"/>
        <w:gridCol w:w="2414"/>
      </w:tblGrid>
      <w:tr w14:paraId="59BC8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498" w:type="pct"/>
            <w:shd w:val="clear" w:color="auto" w:fill="auto"/>
            <w:noWrap/>
            <w:vAlign w:val="center"/>
          </w:tcPr>
          <w:p w14:paraId="1B1C4E60">
            <w:pPr>
              <w:widowControl/>
              <w:jc w:val="center"/>
              <w:rPr>
                <w:rFonts w:cs="宋体" w:asciiTheme="minorEastAsia" w:hAnsiTheme="minorEastAsia"/>
                <w:b/>
                <w:bCs/>
                <w:color w:val="000000" w:themeColor="text1"/>
                <w14:textFill>
                  <w14:solidFill>
                    <w14:schemeClr w14:val="tx1"/>
                  </w14:solidFill>
                </w14:textFill>
              </w:rPr>
            </w:pPr>
            <w:r>
              <w:rPr>
                <w:rFonts w:hint="eastAsia" w:cs="宋体" w:asciiTheme="minorEastAsia" w:hAnsiTheme="minorEastAsia"/>
                <w:b/>
                <w:bCs/>
                <w:color w:val="000000" w:themeColor="text1"/>
                <w14:textFill>
                  <w14:solidFill>
                    <w14:schemeClr w14:val="tx1"/>
                  </w14:solidFill>
                </w14:textFill>
              </w:rPr>
              <w:t>序号</w:t>
            </w:r>
          </w:p>
        </w:tc>
        <w:tc>
          <w:tcPr>
            <w:tcW w:w="834" w:type="pct"/>
            <w:shd w:val="clear" w:color="auto" w:fill="auto"/>
            <w:noWrap/>
            <w:vAlign w:val="center"/>
          </w:tcPr>
          <w:p w14:paraId="27F784A1">
            <w:pPr>
              <w:widowControl/>
              <w:jc w:val="center"/>
              <w:rPr>
                <w:rFonts w:cs="宋体" w:asciiTheme="minorEastAsia" w:hAnsiTheme="minorEastAsia"/>
                <w:b/>
                <w:bCs/>
                <w:color w:val="000000" w:themeColor="text1"/>
                <w14:textFill>
                  <w14:solidFill>
                    <w14:schemeClr w14:val="tx1"/>
                  </w14:solidFill>
                </w14:textFill>
              </w:rPr>
            </w:pPr>
            <w:r>
              <w:rPr>
                <w:rFonts w:hint="eastAsia" w:cs="宋体" w:asciiTheme="minorEastAsia" w:hAnsiTheme="minorEastAsia"/>
                <w:b/>
                <w:bCs/>
                <w:color w:val="000000" w:themeColor="text1"/>
                <w14:textFill>
                  <w14:solidFill>
                    <w14:schemeClr w14:val="tx1"/>
                  </w14:solidFill>
                </w14:textFill>
              </w:rPr>
              <w:t>合同名称</w:t>
            </w:r>
          </w:p>
        </w:tc>
        <w:tc>
          <w:tcPr>
            <w:tcW w:w="1335" w:type="pct"/>
            <w:vAlign w:val="center"/>
          </w:tcPr>
          <w:p w14:paraId="5DA7E077">
            <w:pPr>
              <w:widowControl/>
              <w:jc w:val="center"/>
              <w:rPr>
                <w:rFonts w:cs="宋体" w:asciiTheme="minorEastAsia" w:hAnsiTheme="minorEastAsia"/>
                <w:b/>
                <w:bCs/>
                <w:color w:val="000000" w:themeColor="text1"/>
                <w14:textFill>
                  <w14:solidFill>
                    <w14:schemeClr w14:val="tx1"/>
                  </w14:solidFill>
                </w14:textFill>
              </w:rPr>
            </w:pPr>
            <w:r>
              <w:rPr>
                <w:rFonts w:hint="eastAsia" w:cs="宋体" w:asciiTheme="minorEastAsia" w:hAnsiTheme="minorEastAsia"/>
                <w:b/>
                <w:bCs/>
                <w:color w:val="000000" w:themeColor="text1"/>
                <w14:textFill>
                  <w14:solidFill>
                    <w14:schemeClr w14:val="tx1"/>
                  </w14:solidFill>
                </w14:textFill>
              </w:rPr>
              <w:t>合同金额（万元）</w:t>
            </w:r>
          </w:p>
        </w:tc>
        <w:tc>
          <w:tcPr>
            <w:tcW w:w="1001" w:type="pct"/>
            <w:shd w:val="clear" w:color="auto" w:fill="auto"/>
            <w:noWrap/>
            <w:vAlign w:val="center"/>
          </w:tcPr>
          <w:p w14:paraId="0C5B161E">
            <w:pPr>
              <w:widowControl/>
              <w:jc w:val="center"/>
              <w:rPr>
                <w:rFonts w:cs="宋体" w:asciiTheme="minorEastAsia" w:hAnsiTheme="minorEastAsia"/>
                <w:b/>
                <w:bCs/>
                <w:color w:val="000000" w:themeColor="text1"/>
                <w14:textFill>
                  <w14:solidFill>
                    <w14:schemeClr w14:val="tx1"/>
                  </w14:solidFill>
                </w14:textFill>
              </w:rPr>
            </w:pPr>
            <w:r>
              <w:rPr>
                <w:rFonts w:hint="eastAsia" w:cs="宋体" w:asciiTheme="minorEastAsia" w:hAnsiTheme="minorEastAsia"/>
                <w:b/>
                <w:bCs/>
                <w:color w:val="000000" w:themeColor="text1"/>
                <w14:textFill>
                  <w14:solidFill>
                    <w14:schemeClr w14:val="tx1"/>
                  </w14:solidFill>
                </w14:textFill>
              </w:rPr>
              <w:t>合同签订时间</w:t>
            </w:r>
          </w:p>
        </w:tc>
        <w:tc>
          <w:tcPr>
            <w:tcW w:w="1332" w:type="pct"/>
            <w:vAlign w:val="center"/>
          </w:tcPr>
          <w:p w14:paraId="1D6C2B0F">
            <w:pPr>
              <w:widowControl/>
              <w:jc w:val="center"/>
              <w:rPr>
                <w:rFonts w:cs="宋体" w:asciiTheme="minorEastAsia" w:hAnsiTheme="minorEastAsia"/>
                <w:b/>
                <w:bCs/>
                <w:color w:val="000000" w:themeColor="text1"/>
                <w14:textFill>
                  <w14:solidFill>
                    <w14:schemeClr w14:val="tx1"/>
                  </w14:solidFill>
                </w14:textFill>
              </w:rPr>
            </w:pPr>
            <w:r>
              <w:rPr>
                <w:rFonts w:hint="eastAsia" w:cs="宋体" w:asciiTheme="minorEastAsia" w:hAnsiTheme="minorEastAsia"/>
                <w:b/>
                <w:bCs/>
                <w:color w:val="000000" w:themeColor="text1"/>
                <w14:textFill>
                  <w14:solidFill>
                    <w14:schemeClr w14:val="tx1"/>
                  </w14:solidFill>
                </w14:textFill>
              </w:rPr>
              <w:t>证明材料对应页码</w:t>
            </w:r>
          </w:p>
        </w:tc>
      </w:tr>
      <w:tr w14:paraId="6564C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498" w:type="pct"/>
            <w:shd w:val="clear" w:color="auto" w:fill="auto"/>
            <w:noWrap/>
            <w:vAlign w:val="center"/>
          </w:tcPr>
          <w:p w14:paraId="31960A03">
            <w:pPr>
              <w:widowControl/>
              <w:jc w:val="center"/>
              <w:rPr>
                <w:rFonts w:cs="宋体" w:asciiTheme="minorEastAsia" w:hAnsiTheme="minorEastAsia"/>
                <w:color w:val="000000" w:themeColor="text1"/>
                <w14:textFill>
                  <w14:solidFill>
                    <w14:schemeClr w14:val="tx1"/>
                  </w14:solidFill>
                </w14:textFill>
              </w:rPr>
            </w:pPr>
            <w:r>
              <w:rPr>
                <w:rFonts w:cs="宋体" w:asciiTheme="minorEastAsia" w:hAnsiTheme="minorEastAsia"/>
                <w:color w:val="000000" w:themeColor="text1"/>
                <w14:textFill>
                  <w14:solidFill>
                    <w14:schemeClr w14:val="tx1"/>
                  </w14:solidFill>
                </w14:textFill>
              </w:rPr>
              <w:t>1</w:t>
            </w:r>
          </w:p>
        </w:tc>
        <w:tc>
          <w:tcPr>
            <w:tcW w:w="834" w:type="pct"/>
            <w:shd w:val="clear" w:color="auto" w:fill="auto"/>
            <w:noWrap/>
            <w:vAlign w:val="center"/>
          </w:tcPr>
          <w:p w14:paraId="640AEF14">
            <w:pPr>
              <w:widowControl/>
              <w:jc w:val="center"/>
              <w:rPr>
                <w:rFonts w:cs="宋体" w:asciiTheme="minorEastAsia" w:hAnsiTheme="minorEastAsia"/>
                <w:color w:val="000000" w:themeColor="text1"/>
                <w14:textFill>
                  <w14:solidFill>
                    <w14:schemeClr w14:val="tx1"/>
                  </w14:solidFill>
                </w14:textFill>
              </w:rPr>
            </w:pPr>
          </w:p>
        </w:tc>
        <w:tc>
          <w:tcPr>
            <w:tcW w:w="1335" w:type="pct"/>
            <w:vAlign w:val="center"/>
          </w:tcPr>
          <w:p w14:paraId="1282B1E1">
            <w:pPr>
              <w:widowControl/>
              <w:jc w:val="center"/>
              <w:rPr>
                <w:rFonts w:cs="宋体" w:asciiTheme="minorEastAsia" w:hAnsiTheme="minorEastAsia"/>
                <w:color w:val="000000" w:themeColor="text1"/>
                <w14:textFill>
                  <w14:solidFill>
                    <w14:schemeClr w14:val="tx1"/>
                  </w14:solidFill>
                </w14:textFill>
              </w:rPr>
            </w:pPr>
          </w:p>
        </w:tc>
        <w:tc>
          <w:tcPr>
            <w:tcW w:w="1001" w:type="pct"/>
            <w:shd w:val="clear" w:color="auto" w:fill="auto"/>
            <w:noWrap/>
            <w:vAlign w:val="center"/>
          </w:tcPr>
          <w:p w14:paraId="3AEEAF86">
            <w:pPr>
              <w:widowControl/>
              <w:jc w:val="center"/>
              <w:rPr>
                <w:rFonts w:cs="宋体" w:asciiTheme="minorEastAsia" w:hAnsiTheme="minorEastAsia"/>
                <w:color w:val="000000" w:themeColor="text1"/>
                <w14:textFill>
                  <w14:solidFill>
                    <w14:schemeClr w14:val="tx1"/>
                  </w14:solidFill>
                </w14:textFill>
              </w:rPr>
            </w:pPr>
          </w:p>
        </w:tc>
        <w:tc>
          <w:tcPr>
            <w:tcW w:w="1332" w:type="pct"/>
            <w:vAlign w:val="center"/>
          </w:tcPr>
          <w:p w14:paraId="71D076A7">
            <w:pPr>
              <w:widowControl/>
              <w:jc w:val="center"/>
              <w:rPr>
                <w:rFonts w:cs="宋体" w:asciiTheme="minorEastAsia" w:hAnsiTheme="minorEastAsia"/>
                <w:color w:val="000000" w:themeColor="text1"/>
                <w14:textFill>
                  <w14:solidFill>
                    <w14:schemeClr w14:val="tx1"/>
                  </w14:solidFill>
                </w14:textFill>
              </w:rPr>
            </w:pPr>
          </w:p>
        </w:tc>
      </w:tr>
      <w:tr w14:paraId="5C082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498" w:type="pct"/>
            <w:shd w:val="clear" w:color="auto" w:fill="auto"/>
            <w:noWrap/>
            <w:vAlign w:val="center"/>
          </w:tcPr>
          <w:p w14:paraId="6782753A">
            <w:pPr>
              <w:widowControl/>
              <w:jc w:val="center"/>
              <w:rPr>
                <w:rFonts w:cs="宋体" w:asciiTheme="minorEastAsia" w:hAnsiTheme="minorEastAsia"/>
                <w:color w:val="000000" w:themeColor="text1"/>
                <w14:textFill>
                  <w14:solidFill>
                    <w14:schemeClr w14:val="tx1"/>
                  </w14:solidFill>
                </w14:textFill>
              </w:rPr>
            </w:pPr>
            <w:r>
              <w:rPr>
                <w:rFonts w:cs="宋体" w:asciiTheme="minorEastAsia" w:hAnsiTheme="minorEastAsia"/>
                <w:color w:val="000000" w:themeColor="text1"/>
                <w14:textFill>
                  <w14:solidFill>
                    <w14:schemeClr w14:val="tx1"/>
                  </w14:solidFill>
                </w14:textFill>
              </w:rPr>
              <w:t>2</w:t>
            </w:r>
          </w:p>
        </w:tc>
        <w:tc>
          <w:tcPr>
            <w:tcW w:w="834" w:type="pct"/>
            <w:shd w:val="clear" w:color="auto" w:fill="auto"/>
            <w:noWrap/>
            <w:vAlign w:val="center"/>
          </w:tcPr>
          <w:p w14:paraId="12D81DAC">
            <w:pPr>
              <w:widowControl/>
              <w:jc w:val="center"/>
              <w:rPr>
                <w:rFonts w:cs="宋体" w:asciiTheme="minorEastAsia" w:hAnsiTheme="minorEastAsia"/>
                <w:color w:val="000000" w:themeColor="text1"/>
                <w14:textFill>
                  <w14:solidFill>
                    <w14:schemeClr w14:val="tx1"/>
                  </w14:solidFill>
                </w14:textFill>
              </w:rPr>
            </w:pPr>
          </w:p>
        </w:tc>
        <w:tc>
          <w:tcPr>
            <w:tcW w:w="1335" w:type="pct"/>
            <w:vAlign w:val="center"/>
          </w:tcPr>
          <w:p w14:paraId="07F6FCAB">
            <w:pPr>
              <w:widowControl/>
              <w:jc w:val="center"/>
              <w:rPr>
                <w:rFonts w:cs="宋体" w:asciiTheme="minorEastAsia" w:hAnsiTheme="minorEastAsia"/>
                <w:color w:val="000000" w:themeColor="text1"/>
                <w14:textFill>
                  <w14:solidFill>
                    <w14:schemeClr w14:val="tx1"/>
                  </w14:solidFill>
                </w14:textFill>
              </w:rPr>
            </w:pPr>
          </w:p>
        </w:tc>
        <w:tc>
          <w:tcPr>
            <w:tcW w:w="1001" w:type="pct"/>
            <w:shd w:val="clear" w:color="auto" w:fill="auto"/>
            <w:noWrap/>
            <w:vAlign w:val="center"/>
          </w:tcPr>
          <w:p w14:paraId="2947F3E7">
            <w:pPr>
              <w:widowControl/>
              <w:jc w:val="center"/>
              <w:rPr>
                <w:rFonts w:cs="宋体" w:asciiTheme="minorEastAsia" w:hAnsiTheme="minorEastAsia"/>
                <w:color w:val="000000" w:themeColor="text1"/>
                <w14:textFill>
                  <w14:solidFill>
                    <w14:schemeClr w14:val="tx1"/>
                  </w14:solidFill>
                </w14:textFill>
              </w:rPr>
            </w:pPr>
          </w:p>
        </w:tc>
        <w:tc>
          <w:tcPr>
            <w:tcW w:w="1332" w:type="pct"/>
            <w:vAlign w:val="center"/>
          </w:tcPr>
          <w:p w14:paraId="4864BF35">
            <w:pPr>
              <w:widowControl/>
              <w:jc w:val="center"/>
              <w:rPr>
                <w:rFonts w:cs="宋体" w:asciiTheme="minorEastAsia" w:hAnsiTheme="minorEastAsia"/>
                <w:color w:val="000000" w:themeColor="text1"/>
                <w14:textFill>
                  <w14:solidFill>
                    <w14:schemeClr w14:val="tx1"/>
                  </w14:solidFill>
                </w14:textFill>
              </w:rPr>
            </w:pPr>
          </w:p>
        </w:tc>
      </w:tr>
      <w:tr w14:paraId="166FB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498" w:type="pct"/>
            <w:shd w:val="clear" w:color="auto" w:fill="auto"/>
            <w:noWrap/>
            <w:vAlign w:val="center"/>
          </w:tcPr>
          <w:p w14:paraId="4028088A">
            <w:pPr>
              <w:widowControl/>
              <w:jc w:val="center"/>
              <w:rPr>
                <w:rFonts w:cs="宋体" w:asciiTheme="minorEastAsia" w:hAnsiTheme="minorEastAsia"/>
                <w:color w:val="000000" w:themeColor="text1"/>
                <w14:textFill>
                  <w14:solidFill>
                    <w14:schemeClr w14:val="tx1"/>
                  </w14:solidFill>
                </w14:textFill>
              </w:rPr>
            </w:pPr>
            <w:r>
              <w:rPr>
                <w:rFonts w:cs="宋体" w:asciiTheme="minorEastAsia" w:hAnsiTheme="minorEastAsia"/>
                <w:color w:val="000000" w:themeColor="text1"/>
                <w14:textFill>
                  <w14:solidFill>
                    <w14:schemeClr w14:val="tx1"/>
                  </w14:solidFill>
                </w14:textFill>
              </w:rPr>
              <w:t>3</w:t>
            </w:r>
          </w:p>
        </w:tc>
        <w:tc>
          <w:tcPr>
            <w:tcW w:w="834" w:type="pct"/>
            <w:shd w:val="clear" w:color="auto" w:fill="auto"/>
            <w:noWrap/>
            <w:vAlign w:val="center"/>
          </w:tcPr>
          <w:p w14:paraId="5ADC669B">
            <w:pPr>
              <w:widowControl/>
              <w:jc w:val="center"/>
              <w:rPr>
                <w:rFonts w:cs="宋体" w:asciiTheme="minorEastAsia" w:hAnsiTheme="minorEastAsia"/>
                <w:color w:val="000000" w:themeColor="text1"/>
                <w14:textFill>
                  <w14:solidFill>
                    <w14:schemeClr w14:val="tx1"/>
                  </w14:solidFill>
                </w14:textFill>
              </w:rPr>
            </w:pPr>
          </w:p>
        </w:tc>
        <w:tc>
          <w:tcPr>
            <w:tcW w:w="1335" w:type="pct"/>
            <w:vAlign w:val="center"/>
          </w:tcPr>
          <w:p w14:paraId="5459254B">
            <w:pPr>
              <w:widowControl/>
              <w:jc w:val="center"/>
              <w:rPr>
                <w:rFonts w:cs="宋体" w:asciiTheme="minorEastAsia" w:hAnsiTheme="minorEastAsia"/>
                <w:color w:val="000000" w:themeColor="text1"/>
                <w14:textFill>
                  <w14:solidFill>
                    <w14:schemeClr w14:val="tx1"/>
                  </w14:solidFill>
                </w14:textFill>
              </w:rPr>
            </w:pPr>
          </w:p>
        </w:tc>
        <w:tc>
          <w:tcPr>
            <w:tcW w:w="1001" w:type="pct"/>
            <w:shd w:val="clear" w:color="auto" w:fill="auto"/>
            <w:noWrap/>
            <w:vAlign w:val="center"/>
          </w:tcPr>
          <w:p w14:paraId="7AF8980B">
            <w:pPr>
              <w:widowControl/>
              <w:jc w:val="center"/>
              <w:rPr>
                <w:rFonts w:cs="宋体" w:asciiTheme="minorEastAsia" w:hAnsiTheme="minorEastAsia"/>
                <w:color w:val="000000" w:themeColor="text1"/>
                <w14:textFill>
                  <w14:solidFill>
                    <w14:schemeClr w14:val="tx1"/>
                  </w14:solidFill>
                </w14:textFill>
              </w:rPr>
            </w:pPr>
          </w:p>
        </w:tc>
        <w:tc>
          <w:tcPr>
            <w:tcW w:w="1332" w:type="pct"/>
            <w:vAlign w:val="center"/>
          </w:tcPr>
          <w:p w14:paraId="2DEDCA1E">
            <w:pPr>
              <w:widowControl/>
              <w:jc w:val="center"/>
              <w:rPr>
                <w:rFonts w:cs="宋体" w:asciiTheme="minorEastAsia" w:hAnsiTheme="minorEastAsia"/>
                <w:color w:val="000000" w:themeColor="text1"/>
                <w14:textFill>
                  <w14:solidFill>
                    <w14:schemeClr w14:val="tx1"/>
                  </w14:solidFill>
                </w14:textFill>
              </w:rPr>
            </w:pPr>
          </w:p>
        </w:tc>
      </w:tr>
      <w:tr w14:paraId="3130D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498" w:type="pct"/>
            <w:shd w:val="clear" w:color="auto" w:fill="auto"/>
            <w:noWrap/>
            <w:vAlign w:val="center"/>
          </w:tcPr>
          <w:p w14:paraId="57FCAF17">
            <w:pPr>
              <w:widowControl/>
              <w:jc w:val="center"/>
              <w:rPr>
                <w:rFonts w:cs="宋体" w:asciiTheme="minorEastAsia" w:hAnsiTheme="minorEastAsia"/>
                <w:color w:val="000000" w:themeColor="text1"/>
                <w14:textFill>
                  <w14:solidFill>
                    <w14:schemeClr w14:val="tx1"/>
                  </w14:solidFill>
                </w14:textFill>
              </w:rPr>
            </w:pPr>
            <w:r>
              <w:rPr>
                <w:rFonts w:hint="eastAsia" w:cs="宋体" w:asciiTheme="minorEastAsia" w:hAnsiTheme="minorEastAsia"/>
                <w:color w:val="000000" w:themeColor="text1"/>
                <w14:textFill>
                  <w14:solidFill>
                    <w14:schemeClr w14:val="tx1"/>
                  </w14:solidFill>
                </w14:textFill>
              </w:rPr>
              <w:t>4</w:t>
            </w:r>
          </w:p>
        </w:tc>
        <w:tc>
          <w:tcPr>
            <w:tcW w:w="834" w:type="pct"/>
            <w:shd w:val="clear" w:color="auto" w:fill="auto"/>
            <w:noWrap/>
            <w:vAlign w:val="center"/>
          </w:tcPr>
          <w:p w14:paraId="13D5DE26">
            <w:pPr>
              <w:widowControl/>
              <w:jc w:val="center"/>
              <w:rPr>
                <w:rFonts w:cs="宋体" w:asciiTheme="minorEastAsia" w:hAnsiTheme="minorEastAsia"/>
                <w:color w:val="000000" w:themeColor="text1"/>
                <w14:textFill>
                  <w14:solidFill>
                    <w14:schemeClr w14:val="tx1"/>
                  </w14:solidFill>
                </w14:textFill>
              </w:rPr>
            </w:pPr>
          </w:p>
        </w:tc>
        <w:tc>
          <w:tcPr>
            <w:tcW w:w="1335" w:type="pct"/>
            <w:vAlign w:val="center"/>
          </w:tcPr>
          <w:p w14:paraId="0EB814A6">
            <w:pPr>
              <w:widowControl/>
              <w:jc w:val="center"/>
              <w:rPr>
                <w:rFonts w:cs="宋体" w:asciiTheme="minorEastAsia" w:hAnsiTheme="minorEastAsia"/>
                <w:color w:val="000000" w:themeColor="text1"/>
                <w14:textFill>
                  <w14:solidFill>
                    <w14:schemeClr w14:val="tx1"/>
                  </w14:solidFill>
                </w14:textFill>
              </w:rPr>
            </w:pPr>
          </w:p>
        </w:tc>
        <w:tc>
          <w:tcPr>
            <w:tcW w:w="1001" w:type="pct"/>
            <w:shd w:val="clear" w:color="auto" w:fill="auto"/>
            <w:noWrap/>
            <w:vAlign w:val="center"/>
          </w:tcPr>
          <w:p w14:paraId="46FCEAAA">
            <w:pPr>
              <w:widowControl/>
              <w:jc w:val="center"/>
              <w:rPr>
                <w:rFonts w:cs="宋体" w:asciiTheme="minorEastAsia" w:hAnsiTheme="minorEastAsia"/>
                <w:color w:val="000000" w:themeColor="text1"/>
                <w14:textFill>
                  <w14:solidFill>
                    <w14:schemeClr w14:val="tx1"/>
                  </w14:solidFill>
                </w14:textFill>
              </w:rPr>
            </w:pPr>
          </w:p>
        </w:tc>
        <w:tc>
          <w:tcPr>
            <w:tcW w:w="1332" w:type="pct"/>
            <w:vAlign w:val="center"/>
          </w:tcPr>
          <w:p w14:paraId="6FC344BC">
            <w:pPr>
              <w:widowControl/>
              <w:jc w:val="center"/>
              <w:rPr>
                <w:rFonts w:cs="宋体" w:asciiTheme="minorEastAsia" w:hAnsiTheme="minorEastAsia"/>
                <w:color w:val="000000" w:themeColor="text1"/>
                <w14:textFill>
                  <w14:solidFill>
                    <w14:schemeClr w14:val="tx1"/>
                  </w14:solidFill>
                </w14:textFill>
              </w:rPr>
            </w:pPr>
          </w:p>
        </w:tc>
      </w:tr>
      <w:tr w14:paraId="57C61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498" w:type="pct"/>
            <w:shd w:val="clear" w:color="auto" w:fill="auto"/>
            <w:noWrap/>
            <w:vAlign w:val="center"/>
          </w:tcPr>
          <w:p w14:paraId="3AA8A5AE">
            <w:pPr>
              <w:widowControl/>
              <w:jc w:val="center"/>
              <w:rPr>
                <w:rFonts w:cs="宋体" w:asciiTheme="minorEastAsia" w:hAnsiTheme="minorEastAsia"/>
                <w:color w:val="000000" w:themeColor="text1"/>
                <w14:textFill>
                  <w14:solidFill>
                    <w14:schemeClr w14:val="tx1"/>
                  </w14:solidFill>
                </w14:textFill>
              </w:rPr>
            </w:pPr>
            <w:r>
              <w:rPr>
                <w:rFonts w:hint="eastAsia" w:cs="宋体" w:asciiTheme="minorEastAsia" w:hAnsiTheme="minorEastAsia"/>
                <w:color w:val="000000" w:themeColor="text1"/>
                <w14:textFill>
                  <w14:solidFill>
                    <w14:schemeClr w14:val="tx1"/>
                  </w14:solidFill>
                </w14:textFill>
              </w:rPr>
              <w:t>5</w:t>
            </w:r>
          </w:p>
        </w:tc>
        <w:tc>
          <w:tcPr>
            <w:tcW w:w="834" w:type="pct"/>
            <w:shd w:val="clear" w:color="auto" w:fill="auto"/>
            <w:noWrap/>
            <w:vAlign w:val="center"/>
          </w:tcPr>
          <w:p w14:paraId="72E8D1D5">
            <w:pPr>
              <w:widowControl/>
              <w:jc w:val="center"/>
              <w:rPr>
                <w:rFonts w:cs="宋体" w:asciiTheme="minorEastAsia" w:hAnsiTheme="minorEastAsia"/>
                <w:color w:val="000000" w:themeColor="text1"/>
                <w14:textFill>
                  <w14:solidFill>
                    <w14:schemeClr w14:val="tx1"/>
                  </w14:solidFill>
                </w14:textFill>
              </w:rPr>
            </w:pPr>
          </w:p>
        </w:tc>
        <w:tc>
          <w:tcPr>
            <w:tcW w:w="1335" w:type="pct"/>
            <w:vAlign w:val="center"/>
          </w:tcPr>
          <w:p w14:paraId="68C6DF79">
            <w:pPr>
              <w:widowControl/>
              <w:jc w:val="center"/>
              <w:rPr>
                <w:rFonts w:cs="宋体" w:asciiTheme="minorEastAsia" w:hAnsiTheme="minorEastAsia"/>
                <w:color w:val="000000" w:themeColor="text1"/>
                <w14:textFill>
                  <w14:solidFill>
                    <w14:schemeClr w14:val="tx1"/>
                  </w14:solidFill>
                </w14:textFill>
              </w:rPr>
            </w:pPr>
          </w:p>
        </w:tc>
        <w:tc>
          <w:tcPr>
            <w:tcW w:w="1001" w:type="pct"/>
            <w:shd w:val="clear" w:color="auto" w:fill="auto"/>
            <w:noWrap/>
            <w:vAlign w:val="center"/>
          </w:tcPr>
          <w:p w14:paraId="307811FB">
            <w:pPr>
              <w:widowControl/>
              <w:jc w:val="center"/>
              <w:rPr>
                <w:rFonts w:cs="宋体" w:asciiTheme="minorEastAsia" w:hAnsiTheme="minorEastAsia"/>
                <w:color w:val="000000" w:themeColor="text1"/>
                <w14:textFill>
                  <w14:solidFill>
                    <w14:schemeClr w14:val="tx1"/>
                  </w14:solidFill>
                </w14:textFill>
              </w:rPr>
            </w:pPr>
          </w:p>
        </w:tc>
        <w:tc>
          <w:tcPr>
            <w:tcW w:w="1332" w:type="pct"/>
            <w:vAlign w:val="center"/>
          </w:tcPr>
          <w:p w14:paraId="095688AD">
            <w:pPr>
              <w:widowControl/>
              <w:jc w:val="center"/>
              <w:rPr>
                <w:rFonts w:cs="宋体" w:asciiTheme="minorEastAsia" w:hAnsiTheme="minorEastAsia"/>
                <w:color w:val="000000" w:themeColor="text1"/>
                <w14:textFill>
                  <w14:solidFill>
                    <w14:schemeClr w14:val="tx1"/>
                  </w14:solidFill>
                </w14:textFill>
              </w:rPr>
            </w:pPr>
          </w:p>
        </w:tc>
      </w:tr>
      <w:tr w14:paraId="2ADCC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498" w:type="pct"/>
            <w:shd w:val="clear" w:color="auto" w:fill="auto"/>
            <w:noWrap/>
            <w:vAlign w:val="center"/>
          </w:tcPr>
          <w:p w14:paraId="6608C97E">
            <w:pPr>
              <w:widowControl/>
              <w:jc w:val="center"/>
              <w:rPr>
                <w:rFonts w:cs="宋体" w:asciiTheme="minorEastAsia" w:hAnsiTheme="minorEastAsia"/>
                <w:color w:val="000000" w:themeColor="text1"/>
                <w14:textFill>
                  <w14:solidFill>
                    <w14:schemeClr w14:val="tx1"/>
                  </w14:solidFill>
                </w14:textFill>
              </w:rPr>
            </w:pPr>
            <w:r>
              <w:rPr>
                <w:rFonts w:hint="eastAsia" w:cs="宋体" w:asciiTheme="minorEastAsia" w:hAnsiTheme="minorEastAsia"/>
                <w:color w:val="000000" w:themeColor="text1"/>
                <w14:textFill>
                  <w14:solidFill>
                    <w14:schemeClr w14:val="tx1"/>
                  </w14:solidFill>
                </w14:textFill>
              </w:rPr>
              <w:t>……</w:t>
            </w:r>
          </w:p>
        </w:tc>
        <w:tc>
          <w:tcPr>
            <w:tcW w:w="834" w:type="pct"/>
            <w:shd w:val="clear" w:color="auto" w:fill="auto"/>
            <w:noWrap/>
            <w:vAlign w:val="center"/>
          </w:tcPr>
          <w:p w14:paraId="7A26C5B4">
            <w:pPr>
              <w:widowControl/>
              <w:jc w:val="center"/>
              <w:rPr>
                <w:rFonts w:cs="宋体" w:asciiTheme="minorEastAsia" w:hAnsiTheme="minorEastAsia"/>
                <w:color w:val="000000" w:themeColor="text1"/>
                <w14:textFill>
                  <w14:solidFill>
                    <w14:schemeClr w14:val="tx1"/>
                  </w14:solidFill>
                </w14:textFill>
              </w:rPr>
            </w:pPr>
          </w:p>
        </w:tc>
        <w:tc>
          <w:tcPr>
            <w:tcW w:w="1335" w:type="pct"/>
            <w:vAlign w:val="center"/>
          </w:tcPr>
          <w:p w14:paraId="3C7B8FEA">
            <w:pPr>
              <w:widowControl/>
              <w:jc w:val="center"/>
              <w:rPr>
                <w:rFonts w:cs="宋体" w:asciiTheme="minorEastAsia" w:hAnsiTheme="minorEastAsia"/>
                <w:color w:val="000000" w:themeColor="text1"/>
                <w14:textFill>
                  <w14:solidFill>
                    <w14:schemeClr w14:val="tx1"/>
                  </w14:solidFill>
                </w14:textFill>
              </w:rPr>
            </w:pPr>
          </w:p>
        </w:tc>
        <w:tc>
          <w:tcPr>
            <w:tcW w:w="1001" w:type="pct"/>
            <w:shd w:val="clear" w:color="auto" w:fill="auto"/>
            <w:noWrap/>
            <w:vAlign w:val="center"/>
          </w:tcPr>
          <w:p w14:paraId="6B4CD1DB">
            <w:pPr>
              <w:widowControl/>
              <w:jc w:val="center"/>
              <w:rPr>
                <w:rFonts w:cs="宋体" w:asciiTheme="minorEastAsia" w:hAnsiTheme="minorEastAsia"/>
                <w:color w:val="000000" w:themeColor="text1"/>
                <w14:textFill>
                  <w14:solidFill>
                    <w14:schemeClr w14:val="tx1"/>
                  </w14:solidFill>
                </w14:textFill>
              </w:rPr>
            </w:pPr>
          </w:p>
        </w:tc>
        <w:tc>
          <w:tcPr>
            <w:tcW w:w="1332" w:type="pct"/>
            <w:vAlign w:val="center"/>
          </w:tcPr>
          <w:p w14:paraId="7D1BB431">
            <w:pPr>
              <w:widowControl/>
              <w:jc w:val="center"/>
              <w:rPr>
                <w:rFonts w:cs="宋体" w:asciiTheme="minorEastAsia" w:hAnsiTheme="minorEastAsia"/>
                <w:color w:val="000000" w:themeColor="text1"/>
                <w14:textFill>
                  <w14:solidFill>
                    <w14:schemeClr w14:val="tx1"/>
                  </w14:solidFill>
                </w14:textFill>
              </w:rPr>
            </w:pPr>
          </w:p>
        </w:tc>
      </w:tr>
    </w:tbl>
    <w:p w14:paraId="2BF3BBF7">
      <w:pPr>
        <w:pStyle w:val="31"/>
        <w:ind w:left="0" w:leftChars="0" w:firstLine="0" w:firstLineChars="0"/>
      </w:pPr>
    </w:p>
    <w:p w14:paraId="4C87BA0F">
      <w:pPr>
        <w:spacing w:before="312" w:beforeLines="100"/>
        <w:rPr>
          <w:rFonts w:ascii="宋体" w:hAnsi="宋体" w:cs="宋体"/>
          <w:b/>
          <w:color w:val="FF0000"/>
        </w:rPr>
      </w:pPr>
      <w:r>
        <w:rPr>
          <w:rFonts w:hint="eastAsia" w:ascii="宋体" w:hAnsi="宋体" w:cs="宋体"/>
          <w:b/>
          <w:color w:val="FF0000"/>
        </w:rPr>
        <w:t>后附：项目证明材料扫描件（证明材料要求详见第五章评审办法）。</w:t>
      </w:r>
    </w:p>
    <w:p w14:paraId="0DF9A2D3">
      <w:pPr>
        <w:spacing w:after="120"/>
        <w:ind w:firstLine="482" w:firstLineChars="200"/>
        <w:rPr>
          <w:rFonts w:ascii="宋体" w:hAnsi="宋体" w:cs="宋体"/>
          <w:b/>
          <w:color w:val="FF0000"/>
        </w:rPr>
      </w:pPr>
      <w:r>
        <w:rPr>
          <w:rFonts w:hint="eastAsia" w:ascii="宋体" w:hAnsi="宋体" w:cs="宋体"/>
          <w:b/>
          <w:color w:val="FF0000"/>
        </w:rPr>
        <w:t>注：应答人不得提供虚假证明材料。评审委员会将对应答人提供的技术评分资料进行核查，如应答人存在弄虚作假行为的，采购人将按照采购文件规定和《咪咕公司采购供应商负面行为处理规则》进行相应处罚。</w:t>
      </w:r>
    </w:p>
    <w:p w14:paraId="027BC0FF">
      <w:pPr>
        <w:widowControl/>
      </w:pPr>
      <w:r>
        <w:rPr>
          <w:rFonts w:ascii="宋体" w:hAnsi="宋体" w:cs="宋体"/>
          <w:b/>
          <w:color w:val="FF0000"/>
        </w:rPr>
        <w:br w:type="page"/>
      </w:r>
    </w:p>
    <w:p w14:paraId="365EB434">
      <w:pPr>
        <w:pStyle w:val="31"/>
        <w:ind w:left="0" w:leftChars="0" w:firstLine="0" w:firstLineChars="0"/>
      </w:pPr>
    </w:p>
    <w:p w14:paraId="272217FC">
      <w:pPr>
        <w:pStyle w:val="2"/>
      </w:pPr>
      <w:r>
        <w:rPr>
          <w:rFonts w:hint="eastAsia"/>
        </w:rPr>
        <w:t>应答方案（采购包2）</w:t>
      </w:r>
    </w:p>
    <w:p w14:paraId="40CC1AA1">
      <w:pPr>
        <w:pStyle w:val="3"/>
      </w:pPr>
      <w:r>
        <w:rPr>
          <w:rFonts w:hint="eastAsia"/>
        </w:rPr>
        <w:t>整体方案</w:t>
      </w:r>
    </w:p>
    <w:p w14:paraId="5D6D648F">
      <w:pPr>
        <w:pStyle w:val="4"/>
      </w:pPr>
      <w:r>
        <w:rPr>
          <w:rFonts w:hint="eastAsia"/>
        </w:rPr>
        <w:t>技术建议书</w:t>
      </w:r>
    </w:p>
    <w:p w14:paraId="48B799B1">
      <w:pPr>
        <w:rPr>
          <w:i/>
          <w:iCs/>
          <w:color w:val="FF0000"/>
        </w:rPr>
      </w:pPr>
      <w:r>
        <w:rPr>
          <w:rFonts w:hint="eastAsia"/>
          <w:i/>
          <w:iCs/>
          <w:color w:val="FF0000"/>
        </w:rPr>
        <w:t>应答人可结合技术规范书1.3章节等采购文件内容进行编写</w:t>
      </w:r>
    </w:p>
    <w:p w14:paraId="468FE9AD">
      <w:pPr>
        <w:pStyle w:val="5"/>
      </w:pPr>
      <w:r>
        <w:rPr>
          <w:rFonts w:hint="eastAsia"/>
        </w:rPr>
        <w:t>项目建设目标的需求理解</w:t>
      </w:r>
    </w:p>
    <w:p w14:paraId="1A046B8A">
      <w:pPr>
        <w:pStyle w:val="5"/>
        <w:rPr>
          <w:highlight w:val="yellow"/>
        </w:rPr>
      </w:pPr>
      <w:r>
        <w:rPr>
          <w:rFonts w:hint="eastAsia"/>
          <w:highlight w:val="yellow"/>
        </w:rPr>
        <w:t>整体解决方案（研发）</w:t>
      </w:r>
    </w:p>
    <w:p w14:paraId="369E50DE">
      <w:pPr>
        <w:pStyle w:val="6"/>
      </w:pPr>
      <w:r>
        <w:rPr>
          <w:rFonts w:hint="eastAsia"/>
        </w:rPr>
        <w:t>业务需求分析</w:t>
      </w:r>
    </w:p>
    <w:p w14:paraId="72913647">
      <w:pPr>
        <w:pStyle w:val="6"/>
      </w:pPr>
      <w:r>
        <w:rPr>
          <w:rFonts w:hint="eastAsia"/>
        </w:rPr>
        <w:t>总体架构</w:t>
      </w:r>
    </w:p>
    <w:p w14:paraId="47DC35A2">
      <w:pPr>
        <w:pStyle w:val="6"/>
      </w:pPr>
      <w:r>
        <w:rPr>
          <w:rFonts w:hint="eastAsia"/>
        </w:rPr>
        <w:t>系统组成</w:t>
      </w:r>
    </w:p>
    <w:p w14:paraId="66025ACC">
      <w:pPr>
        <w:pStyle w:val="6"/>
      </w:pPr>
      <w:r>
        <w:rPr>
          <w:rFonts w:hint="eastAsia"/>
        </w:rPr>
        <w:t>各组成部分实现的功能</w:t>
      </w:r>
    </w:p>
    <w:p w14:paraId="036220E0">
      <w:pPr>
        <w:pStyle w:val="6"/>
      </w:pPr>
      <w:r>
        <w:rPr>
          <w:rFonts w:hint="eastAsia"/>
        </w:rPr>
        <w:t>各组成部分相互之间的关系</w:t>
      </w:r>
    </w:p>
    <w:p w14:paraId="6693DFE7">
      <w:pPr>
        <w:pStyle w:val="6"/>
      </w:pPr>
      <w:r>
        <w:rPr>
          <w:rFonts w:hint="eastAsia"/>
        </w:rPr>
        <w:t>系</w:t>
      </w:r>
      <w:bookmarkStart w:id="4" w:name="_Hlk105406591"/>
      <w:r>
        <w:rPr>
          <w:rFonts w:hint="eastAsia"/>
        </w:rPr>
        <w:t>统发展规划</w:t>
      </w:r>
      <w:bookmarkEnd w:id="4"/>
    </w:p>
    <w:p w14:paraId="52019967">
      <w:pPr>
        <w:pStyle w:val="5"/>
        <w:rPr>
          <w:highlight w:val="yellow"/>
        </w:rPr>
      </w:pPr>
      <w:r>
        <w:rPr>
          <w:rFonts w:hint="eastAsia"/>
          <w:highlight w:val="yellow"/>
        </w:rPr>
        <w:t>软件架构（研发）</w:t>
      </w:r>
    </w:p>
    <w:p w14:paraId="2266E142">
      <w:pPr>
        <w:rPr>
          <w:i/>
          <w:iCs/>
          <w:color w:val="FF0000"/>
        </w:rPr>
      </w:pPr>
      <w:r>
        <w:rPr>
          <w:rFonts w:hint="eastAsia"/>
          <w:i/>
          <w:iCs/>
          <w:color w:val="FF0000"/>
        </w:rPr>
        <w:t>提供本工程的软件功能架构图；详细描述软件包含的各功能模块，对有相互关联的模块予以解释、说明；</w:t>
      </w:r>
    </w:p>
    <w:p w14:paraId="5FDC5679">
      <w:pPr>
        <w:pStyle w:val="5"/>
        <w:rPr>
          <w:highlight w:val="yellow"/>
        </w:rPr>
      </w:pPr>
      <w:r>
        <w:rPr>
          <w:rFonts w:hint="eastAsia"/>
          <w:highlight w:val="yellow"/>
        </w:rPr>
        <w:t>功能实现方案及关键业务流程（研发）</w:t>
      </w:r>
    </w:p>
    <w:p w14:paraId="22EE5453">
      <w:pPr>
        <w:rPr>
          <w:i/>
          <w:iCs/>
          <w:color w:val="FF0000"/>
        </w:rPr>
      </w:pPr>
      <w:r>
        <w:rPr>
          <w:rFonts w:hint="eastAsia"/>
          <w:i/>
          <w:iCs/>
          <w:color w:val="FF0000"/>
        </w:rPr>
        <w:t>针对本技术规范书和附件的相关功能要求，详细说明各主要功能的具体实现方案及关键业务的处理流程分析；</w:t>
      </w:r>
    </w:p>
    <w:p w14:paraId="2C25AB00">
      <w:pPr>
        <w:pStyle w:val="5"/>
        <w:rPr>
          <w:highlight w:val="yellow"/>
        </w:rPr>
      </w:pPr>
      <w:r>
        <w:rPr>
          <w:rFonts w:hint="eastAsia"/>
          <w:highlight w:val="yellow"/>
        </w:rPr>
        <w:t>系统接口方案（研发）</w:t>
      </w:r>
    </w:p>
    <w:p w14:paraId="3C1DF757">
      <w:r>
        <w:rPr>
          <w:rFonts w:hint="eastAsia"/>
          <w:i/>
          <w:iCs/>
          <w:color w:val="FF0000"/>
        </w:rPr>
        <w:t>详细说明本系统与其他系统接口的具体实现方案，要求针对每类接口，提供接口可采用的接口标准和实现方式，并提出与其他系统的分工要求</w:t>
      </w:r>
      <w:r>
        <w:rPr>
          <w:rFonts w:hint="eastAsia"/>
        </w:rPr>
        <w:t>；</w:t>
      </w:r>
    </w:p>
    <w:p w14:paraId="64A6A45D">
      <w:pPr>
        <w:pStyle w:val="5"/>
        <w:rPr>
          <w:highlight w:val="yellow"/>
        </w:rPr>
      </w:pPr>
      <w:r>
        <w:rPr>
          <w:rFonts w:hint="eastAsia"/>
          <w:highlight w:val="yellow"/>
        </w:rPr>
        <w:t>系统软硬件部署方案（研发）</w:t>
      </w:r>
    </w:p>
    <w:p w14:paraId="67FC62DE">
      <w:pPr>
        <w:rPr>
          <w:i/>
          <w:iCs/>
          <w:color w:val="FF0000"/>
        </w:rPr>
      </w:pPr>
      <w:r>
        <w:rPr>
          <w:rFonts w:hint="eastAsia"/>
          <w:i/>
          <w:iCs/>
          <w:color w:val="FF0000"/>
        </w:rPr>
        <w:t>要求在采购人硬件设备的基础上给出应答人认为还需要配置的全部软、硬件的配置清单，包含服务器、存储、网络等硬件设备以及第三方软件、应用软件与集成服务等。</w:t>
      </w:r>
    </w:p>
    <w:p w14:paraId="5869CBBE">
      <w:pPr>
        <w:rPr>
          <w:i/>
          <w:iCs/>
          <w:color w:val="FF0000"/>
        </w:rPr>
      </w:pPr>
      <w:r>
        <w:rPr>
          <w:rFonts w:hint="eastAsia"/>
          <w:i/>
          <w:iCs/>
          <w:color w:val="FF0000"/>
        </w:rPr>
        <w:t>提供设备配置说明及计算依据</w:t>
      </w:r>
      <w:r>
        <w:rPr>
          <w:i/>
          <w:iCs/>
          <w:color w:val="FF0000"/>
        </w:rPr>
        <w:t>(</w:t>
      </w:r>
      <w:r>
        <w:rPr>
          <w:rFonts w:hint="eastAsia"/>
          <w:i/>
          <w:iCs/>
          <w:color w:val="FF0000"/>
        </w:rPr>
        <w:t>提供计算的电子表格</w:t>
      </w:r>
      <w:r>
        <w:rPr>
          <w:i/>
          <w:iCs/>
          <w:color w:val="FF0000"/>
        </w:rPr>
        <w:t>)</w:t>
      </w:r>
      <w:r>
        <w:rPr>
          <w:rFonts w:hint="eastAsia"/>
          <w:i/>
          <w:iCs/>
          <w:color w:val="FF0000"/>
        </w:rPr>
        <w:t>，在说明中应明确配置的方法、依据，提供配置计算的基础数据说明，说明是应答人经验数据、测试数据、项目实际数据等；</w:t>
      </w:r>
    </w:p>
    <w:p w14:paraId="6DBA23D8">
      <w:pPr>
        <w:rPr>
          <w:i/>
          <w:iCs/>
          <w:color w:val="FF0000"/>
        </w:rPr>
      </w:pPr>
      <w:r>
        <w:rPr>
          <w:rFonts w:hint="eastAsia"/>
          <w:i/>
          <w:iCs/>
          <w:color w:val="FF0000"/>
        </w:rPr>
        <w:t>提供主机配置方案；</w:t>
      </w:r>
    </w:p>
    <w:p w14:paraId="18FDFDEC">
      <w:pPr>
        <w:rPr>
          <w:i/>
          <w:iCs/>
          <w:color w:val="FF0000"/>
        </w:rPr>
      </w:pPr>
      <w:r>
        <w:rPr>
          <w:rFonts w:hint="eastAsia"/>
          <w:i/>
          <w:iCs/>
          <w:color w:val="FF0000"/>
        </w:rPr>
        <w:t>详细说明各应用的</w:t>
      </w:r>
      <w:r>
        <w:rPr>
          <w:i/>
          <w:iCs/>
          <w:color w:val="FF0000"/>
        </w:rPr>
        <w:t>HA</w:t>
      </w:r>
      <w:r>
        <w:rPr>
          <w:rFonts w:hint="eastAsia"/>
          <w:i/>
          <w:iCs/>
          <w:color w:val="FF0000"/>
        </w:rPr>
        <w:t>部署方式</w:t>
      </w:r>
      <w:r>
        <w:rPr>
          <w:i/>
          <w:iCs/>
          <w:color w:val="FF0000"/>
        </w:rPr>
        <w:t>(</w:t>
      </w:r>
      <w:r>
        <w:rPr>
          <w:rFonts w:hint="eastAsia"/>
          <w:i/>
          <w:iCs/>
          <w:color w:val="FF0000"/>
        </w:rPr>
        <w:t>主备、负载分担</w:t>
      </w:r>
      <w:r>
        <w:rPr>
          <w:i/>
          <w:iCs/>
          <w:color w:val="FF0000"/>
        </w:rPr>
        <w:t>)</w:t>
      </w:r>
      <w:r>
        <w:rPr>
          <w:rFonts w:hint="eastAsia"/>
          <w:i/>
          <w:iCs/>
          <w:color w:val="FF0000"/>
        </w:rPr>
        <w:t>，说明</w:t>
      </w:r>
      <w:r>
        <w:rPr>
          <w:i/>
          <w:iCs/>
          <w:color w:val="FF0000"/>
        </w:rPr>
        <w:t>HA</w:t>
      </w:r>
      <w:r>
        <w:rPr>
          <w:rFonts w:hint="eastAsia"/>
          <w:i/>
          <w:iCs/>
          <w:color w:val="FF0000"/>
        </w:rPr>
        <w:t>的实现机制</w:t>
      </w:r>
      <w:r>
        <w:rPr>
          <w:i/>
          <w:iCs/>
          <w:color w:val="FF0000"/>
        </w:rPr>
        <w:t>(</w:t>
      </w:r>
      <w:r>
        <w:rPr>
          <w:rFonts w:hint="eastAsia"/>
          <w:i/>
          <w:iCs/>
          <w:color w:val="FF0000"/>
        </w:rPr>
        <w:t>通过高可用软件实现、通过负载均衡设备实现、通过程序实现等</w:t>
      </w:r>
      <w:r>
        <w:rPr>
          <w:i/>
          <w:iCs/>
          <w:color w:val="FF0000"/>
        </w:rPr>
        <w:t>)</w:t>
      </w:r>
      <w:r>
        <w:rPr>
          <w:rFonts w:hint="eastAsia"/>
          <w:i/>
          <w:iCs/>
          <w:color w:val="FF0000"/>
        </w:rPr>
        <w:t>，特别对应答人自主开发程序模块的故障自动切换实现方案给出详细描述；</w:t>
      </w:r>
    </w:p>
    <w:p w14:paraId="6303024D">
      <w:pPr>
        <w:rPr>
          <w:i/>
          <w:iCs/>
          <w:color w:val="FF0000"/>
        </w:rPr>
      </w:pPr>
      <w:r>
        <w:rPr>
          <w:rFonts w:hint="eastAsia"/>
          <w:i/>
          <w:iCs/>
          <w:color w:val="FF0000"/>
        </w:rPr>
        <w:t>软硬件部署方案：提供软硬件部署的对应表，即每个硬件设备上安装的软件情况，包括操作系统、应用软件、第三方软件等；</w:t>
      </w:r>
    </w:p>
    <w:p w14:paraId="057C2D53">
      <w:pPr>
        <w:rPr>
          <w:i/>
          <w:iCs/>
          <w:color w:val="FF0000"/>
        </w:rPr>
      </w:pPr>
      <w:r>
        <w:rPr>
          <w:rFonts w:hint="eastAsia"/>
          <w:i/>
          <w:iCs/>
          <w:color w:val="FF0000"/>
        </w:rPr>
        <w:t>提供磁盘阵列及备份容量要求及技术依据，说明哪些设备需要接盘阵及备份</w:t>
      </w:r>
      <w:r>
        <w:rPr>
          <w:i/>
          <w:iCs/>
          <w:color w:val="FF0000"/>
        </w:rPr>
        <w:t>(</w:t>
      </w:r>
      <w:r>
        <w:rPr>
          <w:rFonts w:hint="eastAsia"/>
          <w:i/>
          <w:iCs/>
          <w:color w:val="FF0000"/>
        </w:rPr>
        <w:t>包含系统核心域和私有云资源池域</w:t>
      </w:r>
      <w:r>
        <w:rPr>
          <w:i/>
          <w:iCs/>
          <w:color w:val="FF0000"/>
        </w:rPr>
        <w:t>)</w:t>
      </w:r>
      <w:r>
        <w:rPr>
          <w:rFonts w:hint="eastAsia"/>
          <w:i/>
          <w:iCs/>
          <w:color w:val="FF0000"/>
        </w:rPr>
        <w:t>；</w:t>
      </w:r>
    </w:p>
    <w:p w14:paraId="07E38B78">
      <w:pPr>
        <w:rPr>
          <w:i/>
          <w:iCs/>
          <w:color w:val="FF0000"/>
        </w:rPr>
      </w:pPr>
      <w:r>
        <w:rPr>
          <w:rFonts w:hint="eastAsia"/>
          <w:i/>
          <w:iCs/>
          <w:color w:val="FF0000"/>
        </w:rPr>
        <w:t>详细说明系统的备份方案，包括备份的数据内容、各服务器的备份方式、备份策略等；</w:t>
      </w:r>
    </w:p>
    <w:p w14:paraId="3F6A248E">
      <w:pPr>
        <w:rPr>
          <w:i/>
          <w:iCs/>
          <w:color w:val="FF0000"/>
        </w:rPr>
      </w:pPr>
      <w:r>
        <w:rPr>
          <w:rFonts w:hint="eastAsia"/>
          <w:i/>
          <w:iCs/>
          <w:color w:val="FF0000"/>
        </w:rPr>
        <w:t>提供局域网交换机和光纤交换机端口要求，说明端口分配情况。</w:t>
      </w:r>
    </w:p>
    <w:p w14:paraId="66092AA2">
      <w:pPr>
        <w:pStyle w:val="6"/>
      </w:pPr>
      <w:r>
        <w:rPr>
          <w:rFonts w:hint="eastAsia"/>
        </w:rPr>
        <w:t>软硬件配置清单</w:t>
      </w:r>
    </w:p>
    <w:p w14:paraId="08B57AE5">
      <w:pPr>
        <w:pStyle w:val="6"/>
      </w:pPr>
      <w:r>
        <w:rPr>
          <w:rFonts w:hint="eastAsia"/>
        </w:rPr>
        <w:t>设备配置说明及计算</w:t>
      </w:r>
    </w:p>
    <w:p w14:paraId="35386834">
      <w:pPr>
        <w:pStyle w:val="6"/>
      </w:pPr>
      <w:r>
        <w:rPr>
          <w:rFonts w:hint="eastAsia"/>
        </w:rPr>
        <w:t>主机配置方案</w:t>
      </w:r>
    </w:p>
    <w:p w14:paraId="50025188">
      <w:pPr>
        <w:pStyle w:val="6"/>
      </w:pPr>
      <w:r>
        <w:rPr>
          <w:rFonts w:hint="eastAsia"/>
        </w:rPr>
        <w:t>各应用HA部署方式说明</w:t>
      </w:r>
    </w:p>
    <w:p w14:paraId="03FEA28E">
      <w:pPr>
        <w:pStyle w:val="6"/>
      </w:pPr>
      <w:r>
        <w:rPr>
          <w:rFonts w:hint="eastAsia"/>
        </w:rPr>
        <w:t>软硬件部署方案</w:t>
      </w:r>
    </w:p>
    <w:p w14:paraId="5AAED463">
      <w:pPr>
        <w:pStyle w:val="6"/>
      </w:pPr>
      <w:r>
        <w:rPr>
          <w:rFonts w:hint="eastAsia"/>
        </w:rPr>
        <w:t>磁盘阵列及备份容量说明</w:t>
      </w:r>
    </w:p>
    <w:p w14:paraId="0016B9A7">
      <w:pPr>
        <w:pStyle w:val="6"/>
      </w:pPr>
      <w:r>
        <w:rPr>
          <w:rFonts w:hint="eastAsia"/>
        </w:rPr>
        <w:t>系统备份方案</w:t>
      </w:r>
    </w:p>
    <w:p w14:paraId="02DCED6D">
      <w:pPr>
        <w:pStyle w:val="6"/>
      </w:pPr>
      <w:r>
        <w:rPr>
          <w:rFonts w:hint="eastAsia"/>
        </w:rPr>
        <w:t>局域网交换机和光纤交换机端口要求说明</w:t>
      </w:r>
    </w:p>
    <w:p w14:paraId="708D1316">
      <w:pPr>
        <w:pStyle w:val="5"/>
        <w:rPr>
          <w:highlight w:val="yellow"/>
        </w:rPr>
      </w:pPr>
      <w:r>
        <w:rPr>
          <w:rFonts w:hint="eastAsia"/>
          <w:highlight w:val="yellow"/>
        </w:rPr>
        <w:t>系统兼容性说明（研发）</w:t>
      </w:r>
    </w:p>
    <w:p w14:paraId="6F222C18">
      <w:pPr>
        <w:rPr>
          <w:i/>
          <w:iCs/>
          <w:color w:val="FF0000"/>
        </w:rPr>
      </w:pPr>
      <w:r>
        <w:rPr>
          <w:rFonts w:hint="eastAsia" w:asciiTheme="minorEastAsia" w:hAnsiTheme="minorEastAsia"/>
          <w:i/>
          <w:iCs/>
          <w:color w:val="FF0000"/>
          <w:szCs w:val="24"/>
        </w:rPr>
        <w:t>对系统软件的兼容性进行详细说明。</w:t>
      </w:r>
    </w:p>
    <w:p w14:paraId="0D027B26">
      <w:pPr>
        <w:pStyle w:val="5"/>
      </w:pPr>
      <w:r>
        <w:rPr>
          <w:rFonts w:hint="eastAsia"/>
        </w:rPr>
        <w:t>系统管理性说明</w:t>
      </w:r>
    </w:p>
    <w:p w14:paraId="333B1FF8">
      <w:pPr>
        <w:rPr>
          <w:rFonts w:asciiTheme="minorEastAsia" w:hAnsiTheme="minorEastAsia"/>
          <w:i/>
          <w:iCs/>
          <w:color w:val="FF0000"/>
          <w:szCs w:val="24"/>
        </w:rPr>
      </w:pPr>
      <w:r>
        <w:rPr>
          <w:rFonts w:hint="eastAsia" w:asciiTheme="minorEastAsia" w:hAnsiTheme="minorEastAsia"/>
          <w:i/>
          <w:iCs/>
          <w:color w:val="FF0000"/>
          <w:szCs w:val="24"/>
        </w:rPr>
        <w:t>系统应能对系统配置和设备运行、系统安全等情况进行提供管理手段，保证系统能够安全可靠地运行。应答人所建系统应可提供有关必要的网管信息和接口，并给出支持外部网管的技术方案。</w:t>
      </w:r>
    </w:p>
    <w:p w14:paraId="7E464BA6">
      <w:pPr>
        <w:pStyle w:val="5"/>
      </w:pPr>
      <w:r>
        <w:rPr>
          <w:rFonts w:hint="eastAsia"/>
        </w:rPr>
        <w:t>系统安全解决方案</w:t>
      </w:r>
    </w:p>
    <w:p w14:paraId="69D12859">
      <w:pPr>
        <w:rPr>
          <w:rFonts w:asciiTheme="minorEastAsia" w:hAnsiTheme="minorEastAsia"/>
          <w:i/>
          <w:iCs/>
          <w:color w:val="FF0000"/>
          <w:szCs w:val="24"/>
        </w:rPr>
      </w:pPr>
      <w:r>
        <w:rPr>
          <w:rFonts w:hint="eastAsia" w:asciiTheme="minorEastAsia" w:hAnsiTheme="minorEastAsia"/>
          <w:i/>
          <w:iCs/>
          <w:color w:val="FF0000"/>
          <w:szCs w:val="24"/>
        </w:rPr>
        <w:t>应答人应详细说明对本系统的安全性分析和安全解决方案，并针对数据传输、网络安全及边界防护、用户的访问授权及身份认证、权限管理、系统管理、敏感数据存取等层面的安全保障措施等进行具体分析和描述。</w:t>
      </w:r>
    </w:p>
    <w:p w14:paraId="1805C0B7">
      <w:pPr>
        <w:pStyle w:val="5"/>
      </w:pPr>
      <w:r>
        <w:rPr>
          <w:rFonts w:hint="eastAsia"/>
        </w:rPr>
        <w:t>系统可靠性和可扩展性说明</w:t>
      </w:r>
    </w:p>
    <w:p w14:paraId="2FBEF2EA">
      <w:pPr>
        <w:rPr>
          <w:rFonts w:asciiTheme="minorEastAsia" w:hAnsiTheme="minorEastAsia"/>
          <w:i/>
          <w:iCs/>
          <w:color w:val="FF0000"/>
          <w:szCs w:val="24"/>
        </w:rPr>
      </w:pPr>
      <w:r>
        <w:rPr>
          <w:rFonts w:hint="eastAsia" w:asciiTheme="minorEastAsia" w:hAnsiTheme="minorEastAsia"/>
          <w:i/>
          <w:iCs/>
          <w:color w:val="FF0000"/>
          <w:szCs w:val="24"/>
        </w:rPr>
        <w:t>详细说明提供系统的可靠性以及可扩展性，并提出系统扩展的整体解决方案(包含容量扩展、主机服务器扩展、系统软件扩展、应用功能扩展及对现有系统的影响)；说明规模扩大时系统架构有无变化，软件有无受限条件。</w:t>
      </w:r>
    </w:p>
    <w:p w14:paraId="4B79CAF5">
      <w:pPr>
        <w:pStyle w:val="5"/>
      </w:pPr>
      <w:r>
        <w:rPr>
          <w:rFonts w:hint="eastAsia"/>
        </w:rPr>
        <w:t>合理化建议及重点难点分析</w:t>
      </w:r>
    </w:p>
    <w:p w14:paraId="1A6BEB94">
      <w:pPr>
        <w:rPr>
          <w:rFonts w:asciiTheme="minorEastAsia" w:hAnsiTheme="minorEastAsia"/>
          <w:i/>
          <w:iCs/>
          <w:color w:val="FF0000"/>
          <w:szCs w:val="24"/>
        </w:rPr>
      </w:pPr>
      <w:r>
        <w:rPr>
          <w:rFonts w:hint="eastAsia" w:asciiTheme="minorEastAsia" w:hAnsiTheme="minorEastAsia"/>
          <w:i/>
          <w:iCs/>
          <w:color w:val="FF0000"/>
          <w:szCs w:val="24"/>
        </w:rPr>
        <w:t>应答人应结合相关项目建设经验，从系统长期演进的角度，阐述对于系统架构、系统建设方式等方面的合理化建议，分析本系统建设的重点和难点。</w:t>
      </w:r>
    </w:p>
    <w:p w14:paraId="393946B0">
      <w:pPr>
        <w:pStyle w:val="5"/>
      </w:pPr>
      <w:r>
        <w:rPr>
          <w:rFonts w:hint="eastAsia"/>
        </w:rPr>
        <w:t>恶意信息解决方案</w:t>
      </w:r>
    </w:p>
    <w:p w14:paraId="65599112">
      <w:pPr>
        <w:rPr>
          <w:rFonts w:asciiTheme="minorEastAsia" w:hAnsiTheme="minorEastAsia"/>
          <w:i/>
          <w:iCs/>
          <w:color w:val="FF0000"/>
          <w:szCs w:val="24"/>
        </w:rPr>
      </w:pPr>
      <w:r>
        <w:rPr>
          <w:rFonts w:hint="eastAsia" w:asciiTheme="minorEastAsia" w:hAnsiTheme="minorEastAsia"/>
          <w:i/>
          <w:iCs/>
          <w:color w:val="FF0000"/>
          <w:szCs w:val="24"/>
        </w:rPr>
        <w:t>恶意信息解决方案：对系统用户提交的恶意信息的处理方案，确保恶意信息不会被发布扩散。</w:t>
      </w:r>
    </w:p>
    <w:p w14:paraId="381F5627">
      <w:pPr>
        <w:pStyle w:val="5"/>
        <w:rPr>
          <w:highlight w:val="yellow"/>
        </w:rPr>
      </w:pPr>
      <w:r>
        <w:rPr>
          <w:rFonts w:hint="eastAsia"/>
          <w:highlight w:val="yellow"/>
        </w:rPr>
        <w:t>技术文件清单（研发）</w:t>
      </w:r>
    </w:p>
    <w:p w14:paraId="2538DE40">
      <w:pPr>
        <w:rPr>
          <w:rFonts w:asciiTheme="minorEastAsia" w:hAnsiTheme="minorEastAsia"/>
          <w:i/>
          <w:iCs/>
          <w:color w:val="FF0000"/>
          <w:szCs w:val="24"/>
        </w:rPr>
      </w:pPr>
      <w:r>
        <w:rPr>
          <w:rFonts w:hint="eastAsia" w:asciiTheme="minorEastAsia" w:hAnsiTheme="minorEastAsia"/>
          <w:i/>
          <w:iCs/>
          <w:color w:val="FF0000"/>
          <w:szCs w:val="24"/>
        </w:rPr>
        <w:t>列出工程实施过程中及交付后向采购人提供的技术文档的种类、数量及简要内容介绍。</w:t>
      </w:r>
    </w:p>
    <w:p w14:paraId="11B30D0D">
      <w:pPr>
        <w:pStyle w:val="5"/>
        <w:rPr>
          <w:highlight w:val="yellow"/>
        </w:rPr>
      </w:pPr>
      <w:r>
        <w:rPr>
          <w:rFonts w:hint="eastAsia"/>
          <w:highlight w:val="yellow"/>
        </w:rPr>
        <w:t>软件功能清单（研发）</w:t>
      </w:r>
    </w:p>
    <w:p w14:paraId="1D08705C">
      <w:pPr>
        <w:rPr>
          <w:rFonts w:asciiTheme="minorEastAsia" w:hAnsiTheme="minorEastAsia"/>
          <w:i/>
          <w:iCs/>
          <w:color w:val="FF0000"/>
          <w:szCs w:val="24"/>
        </w:rPr>
      </w:pPr>
      <w:r>
        <w:rPr>
          <w:rFonts w:hint="eastAsia" w:asciiTheme="minorEastAsia" w:hAnsiTheme="minorEastAsia"/>
          <w:i/>
          <w:iCs/>
          <w:color w:val="FF0000"/>
          <w:szCs w:val="24"/>
        </w:rPr>
        <w:t>列出交付的应用软件的功能及简要说明。</w:t>
      </w:r>
    </w:p>
    <w:p w14:paraId="67CB3B95">
      <w:pPr>
        <w:pStyle w:val="5"/>
        <w:rPr>
          <w:highlight w:val="yellow"/>
        </w:rPr>
      </w:pPr>
      <w:r>
        <w:rPr>
          <w:rFonts w:hint="eastAsia"/>
          <w:highlight w:val="yellow"/>
        </w:rPr>
        <w:t>硬件配置说明（研发）</w:t>
      </w:r>
    </w:p>
    <w:p w14:paraId="7AB9ABE0">
      <w:pPr>
        <w:rPr>
          <w:rFonts w:asciiTheme="minorEastAsia" w:hAnsiTheme="minorEastAsia"/>
          <w:i/>
          <w:iCs/>
          <w:color w:val="FF0000"/>
          <w:szCs w:val="24"/>
        </w:rPr>
      </w:pPr>
      <w:r>
        <w:rPr>
          <w:rFonts w:hint="eastAsia" w:asciiTheme="minorEastAsia" w:hAnsiTheme="minorEastAsia"/>
          <w:i/>
          <w:iCs/>
          <w:color w:val="FF0000"/>
          <w:szCs w:val="24"/>
        </w:rPr>
        <w:t>针对本项目业务规模估算，列出交付软件部署所需硬件配置说明。</w:t>
      </w:r>
    </w:p>
    <w:p w14:paraId="4003AE08">
      <w:pPr>
        <w:pStyle w:val="5"/>
      </w:pPr>
      <w:r>
        <w:rPr>
          <w:rFonts w:hint="eastAsia"/>
        </w:rPr>
        <w:t>工程实施计划</w:t>
      </w:r>
    </w:p>
    <w:p w14:paraId="683833E8">
      <w:pPr>
        <w:rPr>
          <w:rFonts w:asciiTheme="minorEastAsia" w:hAnsiTheme="minorEastAsia"/>
          <w:i/>
          <w:iCs/>
          <w:color w:val="FF0000"/>
          <w:szCs w:val="24"/>
        </w:rPr>
      </w:pPr>
      <w:r>
        <w:rPr>
          <w:rFonts w:hint="eastAsia" w:asciiTheme="minorEastAsia" w:hAnsiTheme="minorEastAsia"/>
          <w:i/>
          <w:iCs/>
          <w:color w:val="FF0000"/>
          <w:szCs w:val="24"/>
        </w:rPr>
        <w:t>应答人充分考虑本工程时间紧任务重、实施的难度和风险，提出可行的实施计划和人员安排，实施方案至少包括以下内容：</w:t>
      </w:r>
    </w:p>
    <w:p w14:paraId="4F2C44AA">
      <w:pPr>
        <w:rPr>
          <w:rFonts w:asciiTheme="minorEastAsia" w:hAnsiTheme="minorEastAsia"/>
          <w:i/>
          <w:iCs/>
          <w:color w:val="FF0000"/>
          <w:szCs w:val="24"/>
        </w:rPr>
      </w:pPr>
      <w:r>
        <w:rPr>
          <w:rFonts w:hint="eastAsia" w:asciiTheme="minorEastAsia" w:hAnsiTheme="minorEastAsia"/>
          <w:i/>
          <w:iCs/>
          <w:color w:val="FF0000"/>
          <w:szCs w:val="24"/>
        </w:rPr>
        <w:t>(1) 实施详细步骤，并说明每个步骤中的关键工作；</w:t>
      </w:r>
    </w:p>
    <w:p w14:paraId="7053117C">
      <w:pPr>
        <w:rPr>
          <w:rFonts w:asciiTheme="minorEastAsia" w:hAnsiTheme="minorEastAsia"/>
          <w:i/>
          <w:iCs/>
          <w:color w:val="FF0000"/>
          <w:szCs w:val="24"/>
        </w:rPr>
      </w:pPr>
      <w:r>
        <w:rPr>
          <w:rFonts w:hint="eastAsia" w:asciiTheme="minorEastAsia" w:hAnsiTheme="minorEastAsia"/>
          <w:i/>
          <w:iCs/>
          <w:color w:val="FF0000"/>
          <w:szCs w:val="24"/>
        </w:rPr>
        <w:t>(2) 工程进度表：应答人需综合考虑自身的技术实力及人员力量，兼顾采购人对本工程进度要求，提出确实可行的最快时间进度安排，提供进度图表(Project和Excel两种格式文件(2013及以上版本))，起止时间应为收到成交通知书始到系统完成终验止；</w:t>
      </w:r>
    </w:p>
    <w:p w14:paraId="3DD2B92F">
      <w:pPr>
        <w:rPr>
          <w:rFonts w:asciiTheme="minorEastAsia" w:hAnsiTheme="minorEastAsia"/>
          <w:i/>
          <w:iCs/>
          <w:color w:val="FF0000"/>
          <w:szCs w:val="24"/>
        </w:rPr>
      </w:pPr>
      <w:r>
        <w:rPr>
          <w:rFonts w:hint="eastAsia" w:asciiTheme="minorEastAsia" w:hAnsiTheme="minorEastAsia"/>
          <w:i/>
          <w:iCs/>
          <w:color w:val="FF0000"/>
          <w:szCs w:val="24"/>
        </w:rPr>
        <w:t>(3) 提供软件研发情况，说明研发历史、研发地点、人员数量，请说明技术支持机构分布情况，系统技术支持队伍人员数量，说明系统后续发展路标计划；</w:t>
      </w:r>
    </w:p>
    <w:p w14:paraId="581712B8">
      <w:pPr>
        <w:rPr>
          <w:rFonts w:asciiTheme="minorEastAsia" w:hAnsiTheme="minorEastAsia"/>
          <w:i/>
          <w:iCs/>
          <w:color w:val="FF0000"/>
          <w:szCs w:val="24"/>
        </w:rPr>
      </w:pPr>
      <w:r>
        <w:rPr>
          <w:rFonts w:hint="eastAsia" w:asciiTheme="minorEastAsia" w:hAnsiTheme="minorEastAsia"/>
          <w:i/>
          <w:iCs/>
          <w:color w:val="FF0000"/>
          <w:szCs w:val="24"/>
        </w:rPr>
        <w:t>(4) 工程人员安排：提供组织结构，详细的人员名单、核心人员(包括但不限于：项目经理、产品经理人员、软件设计人员、软件开发人员、测试人员和系统实施人员)；</w:t>
      </w:r>
    </w:p>
    <w:p w14:paraId="08360419">
      <w:pPr>
        <w:rPr>
          <w:rFonts w:asciiTheme="minorEastAsia" w:hAnsiTheme="minorEastAsia"/>
          <w:i/>
          <w:iCs/>
          <w:color w:val="FF0000"/>
          <w:szCs w:val="24"/>
        </w:rPr>
      </w:pPr>
      <w:r>
        <w:rPr>
          <w:rFonts w:hint="eastAsia" w:asciiTheme="minorEastAsia" w:hAnsiTheme="minorEastAsia"/>
          <w:i/>
          <w:iCs/>
          <w:color w:val="FF0000"/>
          <w:szCs w:val="24"/>
        </w:rPr>
        <w:t>注：应答人需为本项目提供满足本项目开发需求的相关人员，各岗位人员之间不得复用且需100%服务于本项目。</w:t>
      </w:r>
    </w:p>
    <w:p w14:paraId="1B47F219">
      <w:pPr>
        <w:rPr>
          <w:rFonts w:asciiTheme="minorEastAsia" w:hAnsiTheme="minorEastAsia"/>
          <w:i/>
          <w:iCs/>
          <w:color w:val="FF0000"/>
          <w:szCs w:val="24"/>
        </w:rPr>
      </w:pPr>
      <w:r>
        <w:rPr>
          <w:rFonts w:hint="eastAsia" w:asciiTheme="minorEastAsia" w:hAnsiTheme="minorEastAsia"/>
          <w:i/>
          <w:iCs/>
          <w:color w:val="FF0000"/>
          <w:szCs w:val="24"/>
        </w:rPr>
        <w:t>(5) 提供每个实施阶段交付的成果；</w:t>
      </w:r>
    </w:p>
    <w:p w14:paraId="321F79B5">
      <w:pPr>
        <w:rPr>
          <w:rFonts w:asciiTheme="minorEastAsia" w:hAnsiTheme="minorEastAsia"/>
          <w:i/>
          <w:iCs/>
          <w:color w:val="FF0000"/>
          <w:szCs w:val="24"/>
        </w:rPr>
      </w:pPr>
      <w:r>
        <w:rPr>
          <w:rFonts w:hint="eastAsia" w:asciiTheme="minorEastAsia" w:hAnsiTheme="minorEastAsia"/>
          <w:i/>
          <w:iCs/>
          <w:color w:val="FF0000"/>
          <w:szCs w:val="24"/>
        </w:rPr>
        <w:t>(6) 提供项目实施的管理、监督和审核方案，要求项目实施责任落实到具体负责人；</w:t>
      </w:r>
    </w:p>
    <w:p w14:paraId="7C8CD94F">
      <w:pPr>
        <w:rPr>
          <w:rFonts w:asciiTheme="minorEastAsia" w:hAnsiTheme="minorEastAsia"/>
          <w:i/>
          <w:iCs/>
          <w:color w:val="FF0000"/>
          <w:szCs w:val="24"/>
        </w:rPr>
      </w:pPr>
      <w:r>
        <w:rPr>
          <w:rFonts w:hint="eastAsia" w:asciiTheme="minorEastAsia" w:hAnsiTheme="minorEastAsia"/>
          <w:i/>
          <w:iCs/>
          <w:color w:val="FF0000"/>
          <w:szCs w:val="24"/>
        </w:rPr>
        <w:t>(7) 请说明实施人员各自的工作分工；</w:t>
      </w:r>
    </w:p>
    <w:p w14:paraId="4279B39F">
      <w:pPr>
        <w:rPr>
          <w:rFonts w:asciiTheme="minorEastAsia" w:hAnsiTheme="minorEastAsia"/>
          <w:i/>
          <w:iCs/>
          <w:color w:val="FF0000"/>
          <w:szCs w:val="24"/>
        </w:rPr>
      </w:pPr>
      <w:r>
        <w:rPr>
          <w:rFonts w:hint="eastAsia" w:asciiTheme="minorEastAsia" w:hAnsiTheme="minorEastAsia"/>
          <w:i/>
          <w:iCs/>
          <w:color w:val="FF0000"/>
          <w:szCs w:val="24"/>
        </w:rPr>
        <w:t>(8) 提出本项目实施的风险分析及规避风险的措施，并说明工程建设成败的关键所在。</w:t>
      </w:r>
    </w:p>
    <w:p w14:paraId="51ECA16B">
      <w:pPr>
        <w:pStyle w:val="6"/>
        <w:rPr>
          <w:highlight w:val="cyan"/>
        </w:rPr>
      </w:pPr>
      <w:r>
        <w:rPr>
          <w:rFonts w:hint="eastAsia"/>
          <w:highlight w:val="cyan"/>
        </w:rPr>
        <w:t>实施详细步骤（售前）（伊川）（问研发步骤）</w:t>
      </w:r>
    </w:p>
    <w:p w14:paraId="7DF96AB9">
      <w:pPr>
        <w:pStyle w:val="6"/>
        <w:rPr>
          <w:highlight w:val="cyan"/>
        </w:rPr>
      </w:pPr>
      <w:r>
        <w:rPr>
          <w:rFonts w:hint="eastAsia"/>
          <w:highlight w:val="cyan"/>
        </w:rPr>
        <w:t>工程进度表（售前）（伊川）</w:t>
      </w:r>
    </w:p>
    <w:p w14:paraId="648027C7">
      <w:pPr>
        <w:rPr>
          <w:i/>
          <w:iCs/>
          <w:color w:val="FF0000"/>
        </w:rPr>
      </w:pPr>
      <w:r>
        <w:rPr>
          <w:rFonts w:hint="eastAsia"/>
          <w:i/>
          <w:iCs/>
          <w:color w:val="FF0000"/>
        </w:rPr>
        <w:t>附录1：项目进度模板</w:t>
      </w:r>
    </w:p>
    <w:p w14:paraId="2382DEC7">
      <w:pPr>
        <w:pStyle w:val="6"/>
        <w:rPr>
          <w:highlight w:val="cyan"/>
        </w:rPr>
      </w:pPr>
      <w:r>
        <w:rPr>
          <w:rFonts w:hint="eastAsia"/>
          <w:highlight w:val="cyan"/>
        </w:rPr>
        <w:t>软件研发情况说明（伟男）</w:t>
      </w:r>
    </w:p>
    <w:p w14:paraId="6EA937D4">
      <w:pPr>
        <w:pStyle w:val="7"/>
        <w:rPr>
          <w:highlight w:val="cyan"/>
        </w:rPr>
      </w:pPr>
      <w:r>
        <w:rPr>
          <w:rFonts w:hint="eastAsia"/>
          <w:highlight w:val="cyan"/>
        </w:rPr>
        <w:t>研发历史（研发提供材料，售前编制）</w:t>
      </w:r>
    </w:p>
    <w:p w14:paraId="6CCFC16A">
      <w:pPr>
        <w:pStyle w:val="7"/>
      </w:pPr>
      <w:r>
        <w:rPr>
          <w:rFonts w:hint="eastAsia"/>
        </w:rPr>
        <w:t>研发地点</w:t>
      </w:r>
    </w:p>
    <w:p w14:paraId="793BF405">
      <w:pPr>
        <w:pStyle w:val="7"/>
      </w:pPr>
      <w:r>
        <w:rPr>
          <w:rFonts w:hint="eastAsia"/>
        </w:rPr>
        <w:t>人员数量</w:t>
      </w:r>
    </w:p>
    <w:p w14:paraId="0C0D4F0B">
      <w:pPr>
        <w:pStyle w:val="7"/>
      </w:pPr>
      <w:r>
        <w:rPr>
          <w:rFonts w:hint="eastAsia"/>
        </w:rPr>
        <w:t>技术支持机构分布</w:t>
      </w:r>
    </w:p>
    <w:p w14:paraId="759E09C5">
      <w:pPr>
        <w:pStyle w:val="7"/>
      </w:pPr>
      <w:r>
        <w:rPr>
          <w:rFonts w:hint="eastAsia"/>
        </w:rPr>
        <w:t>系统技术支持队伍人员数量</w:t>
      </w:r>
    </w:p>
    <w:p w14:paraId="4AE9D449">
      <w:pPr>
        <w:pStyle w:val="7"/>
      </w:pPr>
      <w:r>
        <w:rPr>
          <w:rFonts w:hint="eastAsia"/>
        </w:rPr>
        <w:t>系统后续发展路标计划</w:t>
      </w:r>
      <w:r>
        <w:rPr>
          <w:rFonts w:hint="eastAsia"/>
          <w:highlight w:val="cyan"/>
        </w:rPr>
        <w:t>（研发提供材料，售前编制）</w:t>
      </w:r>
    </w:p>
    <w:p w14:paraId="1D694721">
      <w:pPr>
        <w:pStyle w:val="5"/>
        <w:rPr>
          <w:highlight w:val="cyan"/>
        </w:rPr>
      </w:pPr>
      <w:r>
        <w:rPr>
          <w:rFonts w:hint="eastAsia"/>
          <w:highlight w:val="cyan"/>
        </w:rPr>
        <w:t>合同双方责任和工程分工界面（售前）（张利）</w:t>
      </w:r>
    </w:p>
    <w:p w14:paraId="6ADA7ACD">
      <w:pPr>
        <w:ind w:firstLine="360" w:firstLineChars="150"/>
        <w:rPr>
          <w:rFonts w:asciiTheme="minorEastAsia" w:hAnsiTheme="minorEastAsia"/>
          <w:i/>
          <w:iCs/>
          <w:color w:val="FF0000"/>
          <w:szCs w:val="24"/>
        </w:rPr>
      </w:pPr>
      <w:r>
        <w:rPr>
          <w:rFonts w:hint="eastAsia" w:asciiTheme="minorEastAsia" w:hAnsiTheme="minorEastAsia"/>
          <w:i/>
          <w:iCs/>
          <w:color w:val="FF0000"/>
          <w:szCs w:val="24"/>
        </w:rPr>
        <w:t>要求提供图示并加以说明。</w:t>
      </w:r>
    </w:p>
    <w:p w14:paraId="5AA6050E">
      <w:pPr>
        <w:pStyle w:val="5"/>
        <w:rPr>
          <w:highlight w:val="cyan"/>
        </w:rPr>
      </w:pPr>
      <w:r>
        <w:rPr>
          <w:rFonts w:hint="eastAsia"/>
          <w:highlight w:val="cyan"/>
        </w:rPr>
        <w:t>测试及验收（售前）（王冠耘）</w:t>
      </w:r>
    </w:p>
    <w:p w14:paraId="2E1CCA38">
      <w:pPr>
        <w:ind w:firstLine="360" w:firstLineChars="150"/>
        <w:rPr>
          <w:rFonts w:asciiTheme="minorEastAsia" w:hAnsiTheme="minorEastAsia"/>
          <w:i/>
          <w:iCs/>
          <w:color w:val="FF0000"/>
          <w:szCs w:val="24"/>
        </w:rPr>
      </w:pPr>
      <w:r>
        <w:rPr>
          <w:rFonts w:hint="eastAsia" w:asciiTheme="minorEastAsia" w:hAnsiTheme="minorEastAsia"/>
          <w:i/>
          <w:iCs/>
          <w:color w:val="FF0000"/>
          <w:szCs w:val="24"/>
        </w:rPr>
        <w:t>包括系统的验收流程、测试内容、测试方法及相关测试的手册等。</w:t>
      </w:r>
    </w:p>
    <w:p w14:paraId="2186A1E9">
      <w:pPr>
        <w:pStyle w:val="6"/>
      </w:pPr>
      <w:r>
        <w:rPr>
          <w:rFonts w:hint="eastAsia"/>
        </w:rPr>
        <w:t>项目测试方案</w:t>
      </w:r>
    </w:p>
    <w:p w14:paraId="44FE19C6">
      <w:pPr>
        <w:ind w:firstLine="360" w:firstLineChars="150"/>
        <w:rPr>
          <w:rFonts w:asciiTheme="minorEastAsia" w:hAnsiTheme="minorEastAsia"/>
          <w:i/>
          <w:iCs/>
          <w:color w:val="FF0000"/>
          <w:szCs w:val="24"/>
        </w:rPr>
      </w:pPr>
      <w:r>
        <w:rPr>
          <w:rFonts w:hint="eastAsia" w:asciiTheme="minorEastAsia" w:hAnsiTheme="minorEastAsia"/>
          <w:i/>
          <w:iCs/>
          <w:color w:val="FF0000"/>
          <w:szCs w:val="24"/>
        </w:rPr>
        <w:t>包括程序的单元测试、集成测试、联调测试、用户测试、压力测试、恢复测试、灰度发布测试等。项目实施过程中，应答人需遵守采购人的质量管理规定，配合采购人的质量人员和验收人员完成项目的分析、度量、监控和验收工作。</w:t>
      </w:r>
    </w:p>
    <w:p w14:paraId="632F8842">
      <w:pPr>
        <w:ind w:firstLine="360" w:firstLineChars="150"/>
        <w:rPr>
          <w:rFonts w:asciiTheme="minorEastAsia" w:hAnsiTheme="minorEastAsia"/>
          <w:i/>
          <w:iCs/>
          <w:color w:val="FF0000"/>
          <w:szCs w:val="24"/>
        </w:rPr>
      </w:pPr>
      <w:r>
        <w:rPr>
          <w:rFonts w:hint="eastAsia" w:asciiTheme="minorEastAsia" w:hAnsiTheme="minorEastAsia"/>
          <w:i/>
          <w:iCs/>
          <w:color w:val="FF0000"/>
          <w:szCs w:val="24"/>
        </w:rPr>
        <w:t>验收流程、测试内容、测试方法及相关测试的手册等。</w:t>
      </w:r>
    </w:p>
    <w:p w14:paraId="318B492F">
      <w:pPr>
        <w:pStyle w:val="7"/>
      </w:pPr>
      <w:r>
        <w:rPr>
          <w:rFonts w:hint="eastAsia"/>
        </w:rPr>
        <w:t>项目测试计划及流程</w:t>
      </w:r>
    </w:p>
    <w:p w14:paraId="4783578E">
      <w:pPr>
        <w:pStyle w:val="52"/>
        <w:ind w:firstLine="480"/>
      </w:pPr>
      <w:r>
        <w:t>1.</w:t>
      </w:r>
      <w:r>
        <w:rPr>
          <w:rFonts w:hint="eastAsia"/>
        </w:rPr>
        <w:t>制定测试计划</w:t>
      </w:r>
    </w:p>
    <w:p w14:paraId="14C2C75E">
      <w:pPr>
        <w:pStyle w:val="52"/>
        <w:numPr>
          <w:ilvl w:val="0"/>
          <w:numId w:val="2"/>
        </w:numPr>
        <w:ind w:firstLineChars="0"/>
      </w:pPr>
      <w:r>
        <w:rPr>
          <w:rFonts w:hint="eastAsia"/>
        </w:rPr>
        <w:t>测试的说明及测试的目的。</w:t>
      </w:r>
    </w:p>
    <w:p w14:paraId="0F672064">
      <w:pPr>
        <w:pStyle w:val="52"/>
        <w:numPr>
          <w:ilvl w:val="0"/>
          <w:numId w:val="2"/>
        </w:numPr>
        <w:ind w:firstLineChars="0"/>
      </w:pPr>
      <w:r>
        <w:rPr>
          <w:rFonts w:hint="eastAsia"/>
        </w:rPr>
        <w:t>测试的方法及测试的理论依据。</w:t>
      </w:r>
    </w:p>
    <w:p w14:paraId="02525B7F">
      <w:pPr>
        <w:pStyle w:val="52"/>
        <w:numPr>
          <w:ilvl w:val="0"/>
          <w:numId w:val="2"/>
        </w:numPr>
        <w:ind w:firstLineChars="0"/>
      </w:pPr>
      <w:r>
        <w:rPr>
          <w:rFonts w:hint="eastAsia"/>
        </w:rPr>
        <w:t>观察、测试结果的环境、设备及程序。</w:t>
      </w:r>
    </w:p>
    <w:p w14:paraId="2C8CCF56">
      <w:pPr>
        <w:pStyle w:val="52"/>
        <w:numPr>
          <w:ilvl w:val="0"/>
          <w:numId w:val="2"/>
        </w:numPr>
        <w:ind w:firstLineChars="0"/>
      </w:pPr>
      <w:r>
        <w:rPr>
          <w:rFonts w:hint="eastAsia"/>
        </w:rPr>
        <w:t>各项测试所需输入的数据。</w:t>
      </w:r>
    </w:p>
    <w:p w14:paraId="30FAD290">
      <w:pPr>
        <w:pStyle w:val="52"/>
        <w:numPr>
          <w:ilvl w:val="0"/>
          <w:numId w:val="2"/>
        </w:numPr>
        <w:ind w:firstLineChars="0"/>
      </w:pPr>
      <w:r>
        <w:rPr>
          <w:rFonts w:hint="eastAsia"/>
        </w:rPr>
        <w:t>预期的结果。</w:t>
      </w:r>
    </w:p>
    <w:p w14:paraId="216CB143">
      <w:pPr>
        <w:pStyle w:val="52"/>
        <w:numPr>
          <w:ilvl w:val="0"/>
          <w:numId w:val="2"/>
        </w:numPr>
        <w:ind w:firstLineChars="0"/>
      </w:pPr>
      <w:r>
        <w:rPr>
          <w:rFonts w:hint="eastAsia"/>
        </w:rPr>
        <w:t>测试结果记录的说明。</w:t>
      </w:r>
    </w:p>
    <w:p w14:paraId="61D90DBC">
      <w:pPr>
        <w:pStyle w:val="52"/>
        <w:numPr>
          <w:ilvl w:val="0"/>
          <w:numId w:val="2"/>
        </w:numPr>
        <w:ind w:firstLineChars="0"/>
      </w:pPr>
      <w:r>
        <w:rPr>
          <w:rFonts w:hint="eastAsia"/>
        </w:rPr>
        <w:t>测试进度表。</w:t>
      </w:r>
    </w:p>
    <w:p w14:paraId="5EF0E08D">
      <w:pPr>
        <w:pStyle w:val="52"/>
        <w:numPr>
          <w:ilvl w:val="0"/>
          <w:numId w:val="2"/>
        </w:numPr>
        <w:ind w:firstLineChars="0"/>
      </w:pPr>
      <w:r>
        <w:rPr>
          <w:rFonts w:hint="eastAsia"/>
        </w:rPr>
        <w:t>使用的软件程序清单及软件流程说明。</w:t>
      </w:r>
    </w:p>
    <w:p w14:paraId="59E379B5">
      <w:pPr>
        <w:pStyle w:val="52"/>
        <w:ind w:firstLine="480"/>
      </w:pPr>
      <w:r>
        <w:rPr>
          <w:rFonts w:hint="eastAsia"/>
        </w:rPr>
        <w:t>2.制定测试方案</w:t>
      </w:r>
    </w:p>
    <w:p w14:paraId="06C0F198">
      <w:pPr>
        <w:pStyle w:val="52"/>
        <w:ind w:firstLine="480"/>
      </w:pPr>
      <w:r>
        <w:rPr>
          <w:rFonts w:hint="eastAsia"/>
        </w:rPr>
        <w:t>依据已经固化的规范和客观测试原则，制定测试方案。严格根据规范以及测试方案制定相应的测试集，在不同的测试阶段，测试集侧重点有所不同。分层测试，侧重功能；集成测试，侧重接口和模型测试以及整体功能的可用性，包括性能、稳定性等。</w:t>
      </w:r>
    </w:p>
    <w:p w14:paraId="330109B8">
      <w:pPr>
        <w:pStyle w:val="52"/>
        <w:numPr>
          <w:ilvl w:val="0"/>
          <w:numId w:val="3"/>
        </w:numPr>
        <w:ind w:firstLineChars="0"/>
      </w:pPr>
      <w:r>
        <w:rPr>
          <w:rFonts w:hint="eastAsia"/>
        </w:rPr>
        <w:t>测试的说明及测试的目的</w:t>
      </w:r>
    </w:p>
    <w:p w14:paraId="49DEA5D8">
      <w:pPr>
        <w:pStyle w:val="52"/>
        <w:numPr>
          <w:ilvl w:val="0"/>
          <w:numId w:val="3"/>
        </w:numPr>
        <w:ind w:firstLineChars="0"/>
      </w:pPr>
      <w:r>
        <w:rPr>
          <w:rFonts w:hint="eastAsia"/>
        </w:rPr>
        <w:t>测试的方法、测试策略</w:t>
      </w:r>
    </w:p>
    <w:p w14:paraId="7D8D2CAD">
      <w:pPr>
        <w:pStyle w:val="52"/>
        <w:numPr>
          <w:ilvl w:val="0"/>
          <w:numId w:val="3"/>
        </w:numPr>
        <w:ind w:firstLineChars="0"/>
      </w:pPr>
      <w:r>
        <w:rPr>
          <w:rFonts w:hint="eastAsia"/>
        </w:rPr>
        <w:t>观察、测试结果的环境、设备及程序</w:t>
      </w:r>
    </w:p>
    <w:p w14:paraId="2BF7E78E">
      <w:pPr>
        <w:pStyle w:val="52"/>
        <w:ind w:firstLine="480"/>
      </w:pPr>
      <w:r>
        <w:rPr>
          <w:rFonts w:hint="eastAsia"/>
        </w:rPr>
        <w:t>3.系统测试</w:t>
      </w:r>
    </w:p>
    <w:p w14:paraId="607AEC0E">
      <w:pPr>
        <w:pStyle w:val="52"/>
        <w:numPr>
          <w:ilvl w:val="0"/>
          <w:numId w:val="4"/>
        </w:numPr>
        <w:ind w:firstLineChars="0"/>
      </w:pPr>
      <w:r>
        <w:rPr>
          <w:rFonts w:hint="eastAsia"/>
        </w:rPr>
        <w:t>在系统测试硬件上安装软件产品</w:t>
      </w:r>
    </w:p>
    <w:p w14:paraId="66BEBB23">
      <w:pPr>
        <w:pStyle w:val="52"/>
        <w:numPr>
          <w:ilvl w:val="0"/>
          <w:numId w:val="4"/>
        </w:numPr>
        <w:ind w:firstLineChars="0"/>
      </w:pPr>
      <w:r>
        <w:rPr>
          <w:rFonts w:hint="eastAsia"/>
        </w:rPr>
        <w:t>执行每个测试用例</w:t>
      </w:r>
    </w:p>
    <w:p w14:paraId="3E1E16B1">
      <w:pPr>
        <w:pStyle w:val="52"/>
        <w:numPr>
          <w:ilvl w:val="0"/>
          <w:numId w:val="4"/>
        </w:numPr>
        <w:ind w:firstLineChars="0"/>
      </w:pPr>
      <w:r>
        <w:rPr>
          <w:rFonts w:hint="eastAsia"/>
        </w:rPr>
        <w:t>发布测试报告</w:t>
      </w:r>
    </w:p>
    <w:p w14:paraId="23594A23">
      <w:pPr>
        <w:pStyle w:val="52"/>
        <w:numPr>
          <w:ilvl w:val="0"/>
          <w:numId w:val="4"/>
        </w:numPr>
        <w:ind w:firstLineChars="0"/>
      </w:pPr>
      <w:r>
        <w:rPr>
          <w:rFonts w:hint="eastAsia"/>
        </w:rPr>
        <w:t>与开发工程师一起复查测试报告</w:t>
      </w:r>
    </w:p>
    <w:p w14:paraId="337DDF48">
      <w:pPr>
        <w:pStyle w:val="52"/>
        <w:numPr>
          <w:ilvl w:val="0"/>
          <w:numId w:val="4"/>
        </w:numPr>
        <w:ind w:firstLineChars="0"/>
      </w:pPr>
      <w:r>
        <w:rPr>
          <w:rFonts w:hint="eastAsia"/>
        </w:rPr>
        <w:t>更新测试用例和产品（如果需要）</w:t>
      </w:r>
    </w:p>
    <w:p w14:paraId="7EEB9A54">
      <w:pPr>
        <w:pStyle w:val="52"/>
        <w:numPr>
          <w:ilvl w:val="0"/>
          <w:numId w:val="4"/>
        </w:numPr>
        <w:ind w:firstLineChars="0"/>
      </w:pPr>
      <w:r>
        <w:rPr>
          <w:rFonts w:hint="eastAsia"/>
        </w:rPr>
        <w:t>重复1-5步</w:t>
      </w:r>
    </w:p>
    <w:p w14:paraId="2F8C8C2A">
      <w:pPr>
        <w:pStyle w:val="52"/>
        <w:numPr>
          <w:ilvl w:val="0"/>
          <w:numId w:val="4"/>
        </w:numPr>
        <w:ind w:firstLineChars="0"/>
      </w:pPr>
      <w:r>
        <w:rPr>
          <w:rFonts w:hint="eastAsia"/>
        </w:rPr>
        <w:t>更新软件设计文档</w:t>
      </w:r>
    </w:p>
    <w:p w14:paraId="3DEA06A4">
      <w:pPr>
        <w:pStyle w:val="52"/>
        <w:ind w:firstLine="480"/>
      </w:pPr>
      <w:r>
        <w:rPr>
          <w:rFonts w:hint="eastAsia"/>
        </w:rPr>
        <w:t>4.测试结果归档</w:t>
      </w:r>
    </w:p>
    <w:p w14:paraId="560DA42F">
      <w:pPr>
        <w:pStyle w:val="52"/>
        <w:ind w:firstLine="480"/>
      </w:pPr>
      <w:r>
        <w:rPr>
          <w:rFonts w:hint="eastAsia"/>
        </w:rPr>
        <w:t>产品各方会同测试人员，对测试结果以及测试效果进行评估并归档。</w:t>
      </w:r>
    </w:p>
    <w:p w14:paraId="64607A69">
      <w:pPr>
        <w:pStyle w:val="52"/>
        <w:ind w:firstLine="480"/>
      </w:pPr>
      <w:r>
        <w:rPr>
          <w:rFonts w:hint="eastAsia"/>
        </w:rPr>
        <w:t>详细描述每个系统测试用例</w:t>
      </w:r>
    </w:p>
    <w:p w14:paraId="6444F817">
      <w:pPr>
        <w:pStyle w:val="52"/>
        <w:numPr>
          <w:ilvl w:val="0"/>
          <w:numId w:val="5"/>
        </w:numPr>
        <w:ind w:firstLineChars="0"/>
      </w:pPr>
      <w:r>
        <w:rPr>
          <w:rFonts w:hint="eastAsia"/>
        </w:rPr>
        <w:t>输入/输出</w:t>
      </w:r>
    </w:p>
    <w:p w14:paraId="44EE846A">
      <w:pPr>
        <w:pStyle w:val="52"/>
        <w:numPr>
          <w:ilvl w:val="0"/>
          <w:numId w:val="5"/>
        </w:numPr>
        <w:ind w:firstLineChars="0"/>
      </w:pPr>
      <w:r>
        <w:rPr>
          <w:rFonts w:hint="eastAsia"/>
        </w:rPr>
        <w:t>测试步骤</w:t>
      </w:r>
    </w:p>
    <w:p w14:paraId="0D5AAC3B">
      <w:pPr>
        <w:pStyle w:val="52"/>
        <w:numPr>
          <w:ilvl w:val="0"/>
          <w:numId w:val="5"/>
        </w:numPr>
        <w:ind w:firstLineChars="0"/>
      </w:pPr>
      <w:r>
        <w:rPr>
          <w:rFonts w:hint="eastAsia"/>
        </w:rPr>
        <w:t>希望的结果</w:t>
      </w:r>
    </w:p>
    <w:p w14:paraId="6A8DFF1D">
      <w:pPr>
        <w:pStyle w:val="52"/>
        <w:numPr>
          <w:ilvl w:val="0"/>
          <w:numId w:val="5"/>
        </w:numPr>
        <w:ind w:firstLineChars="0"/>
      </w:pPr>
      <w:r>
        <w:rPr>
          <w:rFonts w:hint="eastAsia"/>
        </w:rPr>
        <w:t>假定的约束</w:t>
      </w:r>
    </w:p>
    <w:p w14:paraId="6480F7C4">
      <w:pPr>
        <w:pStyle w:val="52"/>
        <w:numPr>
          <w:ilvl w:val="0"/>
          <w:numId w:val="5"/>
        </w:numPr>
        <w:ind w:firstLineChars="0"/>
      </w:pPr>
      <w:r>
        <w:rPr>
          <w:rFonts w:hint="eastAsia"/>
        </w:rPr>
        <w:t>输入输出位置</w:t>
      </w:r>
    </w:p>
    <w:p w14:paraId="42ADFA30">
      <w:pPr>
        <w:pStyle w:val="52"/>
        <w:numPr>
          <w:ilvl w:val="0"/>
          <w:numId w:val="5"/>
        </w:numPr>
        <w:ind w:firstLineChars="0"/>
      </w:pPr>
      <w:r>
        <w:rPr>
          <w:rFonts w:hint="eastAsia"/>
        </w:rPr>
        <w:t>对草案进行复查</w:t>
      </w:r>
    </w:p>
    <w:p w14:paraId="2763D111">
      <w:pPr>
        <w:pStyle w:val="52"/>
        <w:numPr>
          <w:ilvl w:val="0"/>
          <w:numId w:val="5"/>
        </w:numPr>
        <w:ind w:firstLineChars="0"/>
      </w:pPr>
      <w:r>
        <w:rPr>
          <w:rFonts w:hint="eastAsia"/>
        </w:rPr>
        <w:t>明确问题所在并解决问题</w:t>
      </w:r>
    </w:p>
    <w:p w14:paraId="3B58338C">
      <w:pPr>
        <w:pStyle w:val="52"/>
        <w:numPr>
          <w:ilvl w:val="0"/>
          <w:numId w:val="5"/>
        </w:numPr>
        <w:ind w:firstLineChars="0"/>
      </w:pPr>
      <w:r>
        <w:rPr>
          <w:rFonts w:hint="eastAsia"/>
        </w:rPr>
        <w:t>将系统测试说明书归档</w:t>
      </w:r>
    </w:p>
    <w:p w14:paraId="41BE4871">
      <w:pPr>
        <w:pStyle w:val="52"/>
        <w:ind w:firstLine="480"/>
      </w:pPr>
      <w:r>
        <w:rPr>
          <w:rFonts w:hint="eastAsia"/>
        </w:rPr>
        <w:t>我方的测试计划和流程中包括上面各项，并提供所有用到的程序、工具、测试用例及测试结果等的书面说明即完整的测试书面报告。报告包括下列几项：</w:t>
      </w:r>
    </w:p>
    <w:p w14:paraId="3BEDF4F0">
      <w:pPr>
        <w:pStyle w:val="52"/>
        <w:numPr>
          <w:ilvl w:val="0"/>
          <w:numId w:val="6"/>
        </w:numPr>
        <w:ind w:firstLineChars="0"/>
      </w:pPr>
      <w:r>
        <w:rPr>
          <w:rFonts w:hint="eastAsia"/>
        </w:rPr>
        <w:t>测试的说明及测试的目的</w:t>
      </w:r>
    </w:p>
    <w:p w14:paraId="32DA6584">
      <w:pPr>
        <w:pStyle w:val="52"/>
        <w:numPr>
          <w:ilvl w:val="0"/>
          <w:numId w:val="6"/>
        </w:numPr>
        <w:ind w:firstLineChars="0"/>
      </w:pPr>
      <w:r>
        <w:rPr>
          <w:rFonts w:hint="eastAsia"/>
        </w:rPr>
        <w:t>各项功能测试所需输入的数据</w:t>
      </w:r>
    </w:p>
    <w:p w14:paraId="7F7559FB">
      <w:pPr>
        <w:pStyle w:val="52"/>
        <w:numPr>
          <w:ilvl w:val="0"/>
          <w:numId w:val="6"/>
        </w:numPr>
        <w:ind w:firstLineChars="0"/>
      </w:pPr>
      <w:r>
        <w:rPr>
          <w:rFonts w:hint="eastAsia"/>
        </w:rPr>
        <w:t>测试结果记录的说明</w:t>
      </w:r>
    </w:p>
    <w:p w14:paraId="5409FB00">
      <w:pPr>
        <w:pStyle w:val="52"/>
        <w:numPr>
          <w:ilvl w:val="0"/>
          <w:numId w:val="6"/>
        </w:numPr>
        <w:ind w:firstLineChars="0"/>
      </w:pPr>
      <w:r>
        <w:rPr>
          <w:rFonts w:hint="eastAsia"/>
        </w:rPr>
        <w:t>观察、测试结果的设备及程序</w:t>
      </w:r>
    </w:p>
    <w:p w14:paraId="1DEF22EB">
      <w:pPr>
        <w:pStyle w:val="52"/>
        <w:numPr>
          <w:ilvl w:val="0"/>
          <w:numId w:val="6"/>
        </w:numPr>
        <w:ind w:firstLineChars="0"/>
      </w:pPr>
      <w:r>
        <w:rPr>
          <w:rFonts w:hint="eastAsia"/>
        </w:rPr>
        <w:t>测试进度表</w:t>
      </w:r>
    </w:p>
    <w:p w14:paraId="7A1B44C5">
      <w:pPr>
        <w:pStyle w:val="52"/>
        <w:numPr>
          <w:ilvl w:val="0"/>
          <w:numId w:val="6"/>
        </w:numPr>
        <w:ind w:firstLineChars="0"/>
      </w:pPr>
      <w:r>
        <w:rPr>
          <w:rFonts w:hint="eastAsia"/>
        </w:rPr>
        <w:t>使用的软件程序清单及说明</w:t>
      </w:r>
    </w:p>
    <w:p w14:paraId="032A2AA3">
      <w:pPr>
        <w:pStyle w:val="52"/>
        <w:numPr>
          <w:ilvl w:val="0"/>
          <w:numId w:val="7"/>
        </w:numPr>
        <w:ind w:firstLineChars="0"/>
      </w:pPr>
      <w:r>
        <w:rPr>
          <w:rFonts w:hint="eastAsia"/>
        </w:rPr>
        <w:t>测试的系统性能</w:t>
      </w:r>
    </w:p>
    <w:p w14:paraId="03B26671">
      <w:pPr>
        <w:pStyle w:val="52"/>
        <w:numPr>
          <w:ilvl w:val="0"/>
          <w:numId w:val="7"/>
        </w:numPr>
        <w:ind w:firstLineChars="0"/>
      </w:pPr>
      <w:r>
        <w:rPr>
          <w:rFonts w:hint="eastAsia"/>
        </w:rPr>
        <w:t>测试的系统功能</w:t>
      </w:r>
    </w:p>
    <w:p w14:paraId="6E10AB82">
      <w:pPr>
        <w:pStyle w:val="52"/>
        <w:numPr>
          <w:ilvl w:val="0"/>
          <w:numId w:val="7"/>
        </w:numPr>
        <w:ind w:firstLineChars="0"/>
      </w:pPr>
      <w:r>
        <w:rPr>
          <w:rFonts w:hint="eastAsia"/>
        </w:rPr>
        <w:t>对系统多业务扩充能力的测试</w:t>
      </w:r>
    </w:p>
    <w:p w14:paraId="10907C60">
      <w:pPr>
        <w:pStyle w:val="52"/>
        <w:numPr>
          <w:ilvl w:val="0"/>
          <w:numId w:val="7"/>
        </w:numPr>
        <w:ind w:firstLineChars="0"/>
      </w:pPr>
      <w:r>
        <w:rPr>
          <w:rFonts w:hint="eastAsia"/>
        </w:rPr>
        <w:t>为纠正系统缺点需做的变动</w:t>
      </w:r>
    </w:p>
    <w:p w14:paraId="120037A2">
      <w:pPr>
        <w:pStyle w:val="52"/>
        <w:numPr>
          <w:ilvl w:val="0"/>
          <w:numId w:val="7"/>
        </w:numPr>
        <w:ind w:firstLineChars="0"/>
      </w:pPr>
      <w:r>
        <w:rPr>
          <w:rFonts w:hint="eastAsia"/>
        </w:rPr>
        <w:t>提高系统性能提出的建议</w:t>
      </w:r>
    </w:p>
    <w:p w14:paraId="2D6303A4">
      <w:pPr>
        <w:pStyle w:val="52"/>
        <w:ind w:firstLine="480"/>
      </w:pPr>
      <w:r>
        <w:rPr>
          <w:rFonts w:hint="eastAsia"/>
        </w:rPr>
        <w:t>相关的测试结果我方将以书面报告的形式向采购人提交。</w:t>
      </w:r>
    </w:p>
    <w:p w14:paraId="4A8F707C">
      <w:pPr>
        <w:pStyle w:val="7"/>
      </w:pPr>
      <w:r>
        <w:rPr>
          <w:rFonts w:hint="eastAsia"/>
        </w:rPr>
        <w:t>测试方案</w:t>
      </w:r>
    </w:p>
    <w:p w14:paraId="7BDB30F1">
      <w:pPr>
        <w:pStyle w:val="52"/>
        <w:ind w:firstLine="480"/>
      </w:pPr>
      <w:r>
        <w:rPr>
          <w:rFonts w:hint="eastAsia"/>
        </w:rPr>
        <w:t>我方在完成项目的过程中，都将严格按照企业规范的要求进行管理。对于系统的各项功能将按照规范及我方合同签订后的技术建议书中的内容进行验收，最终保证系统的稳定性、安全性和功能的完整性。</w:t>
      </w:r>
    </w:p>
    <w:p w14:paraId="22F17CF9">
      <w:pPr>
        <w:pStyle w:val="52"/>
        <w:ind w:firstLine="480"/>
      </w:pPr>
      <w:r>
        <w:rPr>
          <w:rFonts w:hint="eastAsia"/>
        </w:rPr>
        <w:t>我方将采取以下组织方式，来完成项目的各项测试工作，从而使项目质量得到最大限度的保证：</w:t>
      </w:r>
    </w:p>
    <w:p w14:paraId="255413D5">
      <w:pPr>
        <w:pStyle w:val="52"/>
        <w:ind w:firstLine="480"/>
      </w:pPr>
      <w:r>
        <w:rPr>
          <w:rFonts w:hint="eastAsia"/>
        </w:rPr>
        <w:t>1.我方根据合同内容相关功能指标，编制各项测试方案</w:t>
      </w:r>
    </w:p>
    <w:p w14:paraId="25898EC6">
      <w:pPr>
        <w:pStyle w:val="52"/>
        <w:ind w:firstLine="480"/>
      </w:pPr>
      <w:r>
        <w:rPr>
          <w:rFonts w:hint="eastAsia"/>
        </w:rPr>
        <w:t>2.甲方技术专家审核实施方提交的测试方案草案，提出修改建议和意见。</w:t>
      </w:r>
    </w:p>
    <w:p w14:paraId="293704D8">
      <w:pPr>
        <w:pStyle w:val="52"/>
        <w:ind w:firstLine="480"/>
      </w:pPr>
      <w:r>
        <w:rPr>
          <w:rFonts w:hint="eastAsia"/>
        </w:rPr>
        <w:t>3.我方根据甲方的建议和意见，进一步完善各项测试方案，直至双方就方案取得一致意见。</w:t>
      </w:r>
    </w:p>
    <w:p w14:paraId="3EC18DD0">
      <w:pPr>
        <w:pStyle w:val="52"/>
        <w:ind w:firstLine="480"/>
      </w:pPr>
      <w:r>
        <w:rPr>
          <w:rFonts w:hint="eastAsia"/>
        </w:rPr>
        <w:t>4.在项目施工完成后，甲方管理员与我方项目工程师配合，根据我方提供的测试方案，进行单点测试，双方对测试结果进行确认。</w:t>
      </w:r>
    </w:p>
    <w:p w14:paraId="226A3902">
      <w:pPr>
        <w:pStyle w:val="52"/>
        <w:ind w:firstLine="480"/>
      </w:pPr>
      <w:r>
        <w:rPr>
          <w:rFonts w:hint="eastAsia"/>
        </w:rPr>
        <w:t>5.综合上述各项测试结果，双方就本项目进行验收和交接。</w:t>
      </w:r>
    </w:p>
    <w:p w14:paraId="6019D066">
      <w:pPr>
        <w:pStyle w:val="7"/>
      </w:pPr>
      <w:r>
        <w:rPr>
          <w:rFonts w:hint="eastAsia"/>
        </w:rPr>
        <w:t>测试内容及测试方法</w:t>
      </w:r>
    </w:p>
    <w:p w14:paraId="595CCE9E">
      <w:pPr>
        <w:ind w:firstLine="360" w:firstLineChars="150"/>
        <w:rPr>
          <w:rFonts w:asciiTheme="minorEastAsia" w:hAnsiTheme="minorEastAsia"/>
          <w:i/>
          <w:iCs/>
          <w:color w:val="FF0000"/>
          <w:szCs w:val="24"/>
        </w:rPr>
      </w:pPr>
      <w:r>
        <w:rPr>
          <w:rFonts w:hint="eastAsia" w:asciiTheme="minorEastAsia" w:hAnsiTheme="minorEastAsia"/>
          <w:i/>
          <w:iCs/>
          <w:color w:val="FF0000"/>
          <w:szCs w:val="24"/>
        </w:rPr>
        <w:t>包括程序的单元测试、集成测试、联调测试、用户测试、压力测试、恢复测试、灰度发布测试等。项目实施过程中，应答人需遵守采购人的质量管理规定，配合采购人的质量人员和验收人员完成项目的分析、度量、监控和验收工作。</w:t>
      </w:r>
    </w:p>
    <w:p w14:paraId="586F5D03">
      <w:pPr>
        <w:pStyle w:val="8"/>
      </w:pPr>
      <w:r>
        <w:rPr>
          <w:rFonts w:hint="eastAsia"/>
        </w:rPr>
        <w:t>单元测试</w:t>
      </w:r>
    </w:p>
    <w:p w14:paraId="43501F38">
      <w:pPr>
        <w:pStyle w:val="52"/>
        <w:ind w:firstLine="480"/>
      </w:pPr>
      <w:r>
        <w:rPr>
          <w:rFonts w:hint="eastAsia"/>
        </w:rPr>
        <w:t>重点监测本项目系统单元模块内和模块之间的功能测试、容错测试、边界测试、约束测试、界面测试、重要的执行路径测试以及单元内的业务流程和数据流程等。</w:t>
      </w:r>
    </w:p>
    <w:p w14:paraId="73CA8D18">
      <w:pPr>
        <w:pStyle w:val="8"/>
      </w:pPr>
      <w:r>
        <w:rPr>
          <w:rFonts w:hint="eastAsia"/>
        </w:rPr>
        <w:t>集成测试</w:t>
      </w:r>
    </w:p>
    <w:p w14:paraId="3C93C52F">
      <w:pPr>
        <w:pStyle w:val="52"/>
        <w:ind w:firstLine="480"/>
      </w:pPr>
      <w:r>
        <w:rPr>
          <w:rFonts w:hint="eastAsia"/>
        </w:rPr>
        <w:t>单元测试完成后，我方将组织测试工程进行项目集成测试，主要检测单元和模块之间的接口，包括准备集成测试计划，确定集成测试方法的类型，设计测试用例，测试场景和测试脚本、部署所选模块并运行集成测试、跟踪缺陷并记录测试结果以及重复步骤，直到测试完整个系统</w:t>
      </w:r>
    </w:p>
    <w:p w14:paraId="0C007278">
      <w:pPr>
        <w:pStyle w:val="8"/>
      </w:pPr>
      <w:r>
        <w:rPr>
          <w:rFonts w:hint="eastAsia"/>
        </w:rPr>
        <w:t>互通性测试</w:t>
      </w:r>
    </w:p>
    <w:p w14:paraId="083429A2">
      <w:pPr>
        <w:pStyle w:val="52"/>
        <w:ind w:firstLine="480"/>
      </w:pPr>
      <w:r>
        <w:rPr>
          <w:rFonts w:hint="eastAsia"/>
        </w:rPr>
        <w:t>确保系统与外部各专业系统平台之间的互通；确保系统内各层之间的接口互通，模型互通。</w:t>
      </w:r>
    </w:p>
    <w:p w14:paraId="542DDCA1">
      <w:pPr>
        <w:pStyle w:val="8"/>
      </w:pPr>
      <w:r>
        <w:rPr>
          <w:rFonts w:hint="eastAsia"/>
        </w:rPr>
        <w:t>接口测试</w:t>
      </w:r>
    </w:p>
    <w:p w14:paraId="7E75EFD7">
      <w:pPr>
        <w:pStyle w:val="52"/>
        <w:ind w:firstLine="480"/>
      </w:pPr>
      <w:r>
        <w:rPr>
          <w:rFonts w:hint="eastAsia"/>
        </w:rPr>
        <w:t>重点测试接口协议的互通性，互操作性，重点在于接口的测试。</w:t>
      </w:r>
    </w:p>
    <w:p w14:paraId="0D7F05C4">
      <w:pPr>
        <w:pStyle w:val="8"/>
      </w:pPr>
      <w:r>
        <w:rPr>
          <w:rFonts w:hint="eastAsia"/>
        </w:rPr>
        <w:t>联调测试</w:t>
      </w:r>
    </w:p>
    <w:p w14:paraId="5D0CF104">
      <w:pPr>
        <w:pStyle w:val="52"/>
        <w:ind w:firstLine="480"/>
      </w:pPr>
      <w:r>
        <w:rPr>
          <w:rFonts w:hint="eastAsia"/>
        </w:rPr>
        <w:t>针对本项目，我方由项目经理牵头开展联调测试工作，包括编写各模块联调用例、联调用例评审、模块间互相联调、汇总项目整体联调用例、环境准备、联通性测试、执行联调用例。</w:t>
      </w:r>
    </w:p>
    <w:p w14:paraId="548704DD">
      <w:pPr>
        <w:pStyle w:val="8"/>
      </w:pPr>
      <w:r>
        <w:rPr>
          <w:rFonts w:hint="eastAsia"/>
        </w:rPr>
        <w:t>平台软件测试</w:t>
      </w:r>
    </w:p>
    <w:p w14:paraId="5AD26707">
      <w:pPr>
        <w:pStyle w:val="52"/>
        <w:ind w:firstLine="480"/>
      </w:pPr>
      <w:r>
        <w:rPr>
          <w:rFonts w:hint="eastAsia"/>
        </w:rPr>
        <w:t>平台软件测试也必须实现客观测试，这是软件系统测试的关键，测试主要包含以下内容：</w:t>
      </w:r>
    </w:p>
    <w:p w14:paraId="54C76217">
      <w:pPr>
        <w:pStyle w:val="52"/>
        <w:numPr>
          <w:ilvl w:val="0"/>
          <w:numId w:val="8"/>
        </w:numPr>
        <w:ind w:firstLineChars="0"/>
      </w:pPr>
      <w:r>
        <w:rPr>
          <w:rFonts w:hint="eastAsia"/>
        </w:rPr>
        <w:t>平台软件工具的易用性，直观性。</w:t>
      </w:r>
    </w:p>
    <w:p w14:paraId="000AF170">
      <w:pPr>
        <w:pStyle w:val="52"/>
        <w:numPr>
          <w:ilvl w:val="0"/>
          <w:numId w:val="8"/>
        </w:numPr>
        <w:ind w:firstLineChars="0"/>
      </w:pPr>
      <w:r>
        <w:rPr>
          <w:rFonts w:hint="eastAsia"/>
        </w:rPr>
        <w:t>平台软件的基础数据维护。</w:t>
      </w:r>
    </w:p>
    <w:p w14:paraId="3EDD0A70">
      <w:pPr>
        <w:pStyle w:val="52"/>
        <w:numPr>
          <w:ilvl w:val="0"/>
          <w:numId w:val="8"/>
        </w:numPr>
        <w:ind w:firstLineChars="0"/>
      </w:pPr>
      <w:r>
        <w:rPr>
          <w:rFonts w:hint="eastAsia"/>
        </w:rPr>
        <w:t>平台软件的权限管理能力。</w:t>
      </w:r>
    </w:p>
    <w:p w14:paraId="40E63FBC">
      <w:pPr>
        <w:pStyle w:val="52"/>
        <w:numPr>
          <w:ilvl w:val="0"/>
          <w:numId w:val="8"/>
        </w:numPr>
        <w:ind w:firstLineChars="0"/>
      </w:pPr>
      <w:r>
        <w:rPr>
          <w:rFonts w:hint="eastAsia"/>
        </w:rPr>
        <w:t>平台软件架构应采用“高内聚、低耦合”的模块设计，内部模块之间应能够通过标准开放的协议和接口互联。</w:t>
      </w:r>
    </w:p>
    <w:p w14:paraId="5C27D6A1">
      <w:pPr>
        <w:pStyle w:val="52"/>
        <w:numPr>
          <w:ilvl w:val="0"/>
          <w:numId w:val="8"/>
        </w:numPr>
        <w:ind w:firstLineChars="0"/>
      </w:pPr>
      <w:r>
        <w:rPr>
          <w:rFonts w:hint="eastAsia"/>
        </w:rPr>
        <w:t>平台软件的软硬件兼容性，支持业界主流的操作系统、消息中间件、数据库、硬件平台。</w:t>
      </w:r>
    </w:p>
    <w:p w14:paraId="7F61B554">
      <w:pPr>
        <w:pStyle w:val="52"/>
        <w:numPr>
          <w:ilvl w:val="0"/>
          <w:numId w:val="8"/>
        </w:numPr>
        <w:ind w:firstLineChars="0"/>
      </w:pPr>
      <w:r>
        <w:rPr>
          <w:rFonts w:hint="eastAsia"/>
        </w:rPr>
        <w:t>平台软件的接口支持，同步数据、异步数据、消息数据和大批量数据的接口能力。</w:t>
      </w:r>
    </w:p>
    <w:p w14:paraId="6276455C">
      <w:pPr>
        <w:pStyle w:val="52"/>
        <w:numPr>
          <w:ilvl w:val="0"/>
          <w:numId w:val="8"/>
        </w:numPr>
        <w:ind w:firstLineChars="0"/>
      </w:pPr>
      <w:r>
        <w:rPr>
          <w:rFonts w:hint="eastAsia"/>
        </w:rPr>
        <w:t>后续版本升级后，基于前一版本开发的应用仍然可以使用。</w:t>
      </w:r>
    </w:p>
    <w:p w14:paraId="6E4FBF59">
      <w:pPr>
        <w:pStyle w:val="52"/>
        <w:numPr>
          <w:ilvl w:val="0"/>
          <w:numId w:val="8"/>
        </w:numPr>
        <w:ind w:firstLineChars="0"/>
      </w:pPr>
      <w:r>
        <w:rPr>
          <w:rFonts w:hint="eastAsia"/>
        </w:rPr>
        <w:t>统一认证</w:t>
      </w:r>
      <w:r>
        <w:t>/</w:t>
      </w:r>
      <w:r>
        <w:rPr>
          <w:rFonts w:hint="eastAsia"/>
        </w:rPr>
        <w:t>授权；</w:t>
      </w:r>
    </w:p>
    <w:p w14:paraId="046CACE0">
      <w:pPr>
        <w:pStyle w:val="52"/>
        <w:numPr>
          <w:ilvl w:val="0"/>
          <w:numId w:val="8"/>
        </w:numPr>
        <w:ind w:firstLineChars="0"/>
      </w:pPr>
      <w:r>
        <w:rPr>
          <w:rFonts w:hint="eastAsia"/>
        </w:rPr>
        <w:t>支持一次用户登录就能使用多个子系统的功能，而无需多次登录；</w:t>
      </w:r>
    </w:p>
    <w:p w14:paraId="5830C472">
      <w:pPr>
        <w:pStyle w:val="52"/>
        <w:numPr>
          <w:ilvl w:val="0"/>
          <w:numId w:val="8"/>
        </w:numPr>
        <w:ind w:firstLineChars="0"/>
      </w:pPr>
      <w:r>
        <w:rPr>
          <w:rFonts w:hint="eastAsia"/>
        </w:rPr>
        <w:t>支持集中授权，系统内权限信息统一管理。</w:t>
      </w:r>
    </w:p>
    <w:p w14:paraId="61ED36A8">
      <w:pPr>
        <w:pStyle w:val="8"/>
      </w:pPr>
      <w:r>
        <w:rPr>
          <w:rFonts w:hint="eastAsia"/>
        </w:rPr>
        <w:t>用户测试</w:t>
      </w:r>
    </w:p>
    <w:p w14:paraId="6456C4CA">
      <w:pPr>
        <w:pStyle w:val="52"/>
        <w:ind w:firstLine="480"/>
      </w:pPr>
      <w:r>
        <w:rPr>
          <w:rFonts w:hint="eastAsia"/>
        </w:rPr>
        <w:t>我们组织测试人员针对提供系统的可用性，功能、设计和用户体验进行测试，对系统功能进行拆解，编制测试任务，在真实环境下执行特定任务。</w:t>
      </w:r>
    </w:p>
    <w:p w14:paraId="6FC85997">
      <w:pPr>
        <w:pStyle w:val="8"/>
      </w:pPr>
      <w:r>
        <w:rPr>
          <w:rFonts w:hint="eastAsia"/>
        </w:rPr>
        <w:t>平台移植性测试</w:t>
      </w:r>
    </w:p>
    <w:p w14:paraId="7421D862">
      <w:pPr>
        <w:pStyle w:val="52"/>
        <w:ind w:firstLine="480"/>
      </w:pPr>
      <w:r>
        <w:rPr>
          <w:rFonts w:hint="eastAsia"/>
        </w:rPr>
        <w:t>移植测试的用例应该包括四类：</w:t>
      </w:r>
    </w:p>
    <w:p w14:paraId="51772269">
      <w:pPr>
        <w:pStyle w:val="52"/>
        <w:numPr>
          <w:ilvl w:val="0"/>
          <w:numId w:val="9"/>
        </w:numPr>
        <w:ind w:firstLineChars="0"/>
      </w:pPr>
      <w:r>
        <w:rPr>
          <w:rFonts w:hint="eastAsia"/>
        </w:rPr>
        <w:t>代码变更测试用例；</w:t>
      </w:r>
    </w:p>
    <w:p w14:paraId="626FE4E4">
      <w:pPr>
        <w:pStyle w:val="52"/>
        <w:numPr>
          <w:ilvl w:val="0"/>
          <w:numId w:val="9"/>
        </w:numPr>
        <w:ind w:firstLineChars="0"/>
      </w:pPr>
      <w:r>
        <w:rPr>
          <w:rFonts w:hint="eastAsia"/>
        </w:rPr>
        <w:t>安装测试用例；</w:t>
      </w:r>
    </w:p>
    <w:p w14:paraId="79ACFB5B">
      <w:pPr>
        <w:pStyle w:val="52"/>
        <w:numPr>
          <w:ilvl w:val="0"/>
          <w:numId w:val="9"/>
        </w:numPr>
        <w:ind w:firstLineChars="0"/>
      </w:pPr>
      <w:r>
        <w:rPr>
          <w:rFonts w:hint="eastAsia"/>
        </w:rPr>
        <w:t>用户界面测试用例；</w:t>
      </w:r>
    </w:p>
    <w:p w14:paraId="7C33CDE9">
      <w:pPr>
        <w:pStyle w:val="52"/>
        <w:numPr>
          <w:ilvl w:val="0"/>
          <w:numId w:val="9"/>
        </w:numPr>
        <w:ind w:firstLineChars="0"/>
      </w:pPr>
      <w:r>
        <w:rPr>
          <w:rFonts w:hint="eastAsia"/>
        </w:rPr>
        <w:t>功能测试用例。</w:t>
      </w:r>
    </w:p>
    <w:p w14:paraId="6A6F6D96">
      <w:pPr>
        <w:pStyle w:val="52"/>
        <w:ind w:firstLine="480"/>
      </w:pPr>
      <w:r>
        <w:rPr>
          <w:rFonts w:hint="eastAsia"/>
        </w:rPr>
        <w:t>设计编写的测试用例尽量要覆盖这四大类，用例的多少决定于被测系统或软件的规模大小、测试需求和测试资源的充裕程度。</w:t>
      </w:r>
    </w:p>
    <w:p w14:paraId="4FCBFCC4">
      <w:pPr>
        <w:pStyle w:val="52"/>
        <w:ind w:firstLine="480"/>
      </w:pPr>
      <w:r>
        <w:rPr>
          <w:rFonts w:hint="eastAsia"/>
        </w:rPr>
        <w:t>（1）代码变更测试</w:t>
      </w:r>
    </w:p>
    <w:p w14:paraId="5FACCCE8">
      <w:pPr>
        <w:pStyle w:val="52"/>
        <w:ind w:firstLine="480"/>
      </w:pPr>
      <w:r>
        <w:rPr>
          <w:rFonts w:hint="eastAsia"/>
        </w:rPr>
        <w:t>在移植前首先要确定系统或软件要在目标环境中运行需要修改的代码行数。如果测试人员拿到的是源码包，则可以通过版本控制工具的比对功能得到修改的代码行数；如果测试人员不能拿到源码包，则必须由客户提供真实可靠的代码修改行数数据。</w:t>
      </w:r>
    </w:p>
    <w:p w14:paraId="033DDB18">
      <w:pPr>
        <w:pStyle w:val="52"/>
        <w:ind w:firstLine="480"/>
      </w:pPr>
      <w:r>
        <w:rPr>
          <w:rFonts w:hint="eastAsia"/>
        </w:rPr>
        <w:t>（2）安装测试</w:t>
      </w:r>
    </w:p>
    <w:p w14:paraId="770AD007">
      <w:pPr>
        <w:pStyle w:val="52"/>
        <w:ind w:firstLine="480"/>
      </w:pPr>
      <w:r>
        <w:rPr>
          <w:rFonts w:hint="eastAsia"/>
        </w:rPr>
        <w:t>被移植的系统或软件是否能够顺利在目标环境中进行安装配置。</w:t>
      </w:r>
    </w:p>
    <w:p w14:paraId="74DB921B">
      <w:pPr>
        <w:pStyle w:val="52"/>
        <w:ind w:firstLine="480"/>
      </w:pPr>
      <w:r>
        <w:rPr>
          <w:rFonts w:hint="eastAsia"/>
        </w:rPr>
        <w:t>（3）用户界面测试</w:t>
      </w:r>
    </w:p>
    <w:p w14:paraId="2681066D">
      <w:pPr>
        <w:pStyle w:val="52"/>
        <w:ind w:firstLine="480"/>
      </w:pPr>
      <w:r>
        <w:rPr>
          <w:rFonts w:hint="eastAsia"/>
        </w:rPr>
        <w:t>用于测试目标软件的界面与预期目标相吻合。此部分测试通常与原软件同时运行方便比较。从而更容易分辨目标软件界面中与预期目标（或原软件界面）不统一的地方。</w:t>
      </w:r>
    </w:p>
    <w:p w14:paraId="3EE05DBD">
      <w:pPr>
        <w:pStyle w:val="52"/>
        <w:ind w:firstLine="480"/>
      </w:pPr>
      <w:r>
        <w:rPr>
          <w:rFonts w:hint="eastAsia"/>
        </w:rPr>
        <w:t>（4）功能测试</w:t>
      </w:r>
    </w:p>
    <w:p w14:paraId="4078E2D8">
      <w:pPr>
        <w:pStyle w:val="52"/>
        <w:ind w:firstLine="480"/>
      </w:pPr>
      <w:r>
        <w:rPr>
          <w:rFonts w:hint="eastAsia"/>
        </w:rPr>
        <w:t>移植之前操作系统的程序应该与移植后的目标操作系统上的程序具有相同的功能。这是任何软件移植必须满足的要求。</w:t>
      </w:r>
    </w:p>
    <w:p w14:paraId="78A3415F">
      <w:pPr>
        <w:pStyle w:val="8"/>
      </w:pPr>
      <w:r>
        <w:rPr>
          <w:rFonts w:hint="eastAsia"/>
        </w:rPr>
        <w:t>可扩展性测试</w:t>
      </w:r>
    </w:p>
    <w:p w14:paraId="2A0FCF9A">
      <w:pPr>
        <w:pStyle w:val="52"/>
        <w:ind w:firstLine="480"/>
      </w:pPr>
      <w:r>
        <w:rPr>
          <w:rFonts w:hint="eastAsia"/>
        </w:rPr>
        <w:t>平台软件的模型扩展性，扩展/配置新型网络资源、资源属性、资源与资源之间的关联关系等方面的能力，模型动态修改、实体属性合法性校验的能力。</w:t>
      </w:r>
    </w:p>
    <w:p w14:paraId="3B9C049D">
      <w:pPr>
        <w:pStyle w:val="52"/>
        <w:ind w:firstLine="480"/>
      </w:pPr>
      <w:r>
        <w:rPr>
          <w:rFonts w:hint="eastAsia"/>
        </w:rPr>
        <w:t>系统设计中是否充分考虑系统功能需求扩展以及业务管理范围扩展的实际情况，我们认为，在可以预期的时间内，目标系统在应用方面、业务支撑范围方面，都会进一步发生范围上的扩展。随着业务开展的深入、市场竞争的激化、业务范围的扩张，系统的可扩展支撑能力将是保障系统应用健康以及建设价值的一个必要的因素。</w:t>
      </w:r>
    </w:p>
    <w:p w14:paraId="6B69C151">
      <w:pPr>
        <w:pStyle w:val="52"/>
        <w:ind w:firstLine="480"/>
      </w:pPr>
      <w:r>
        <w:rPr>
          <w:rFonts w:hint="eastAsia"/>
        </w:rPr>
        <w:t>系统采用分层架构、模块化设计的原则，在功能扩展的过程中，可以实际保证系统功能的扩展。系统在数据建模以及数据应用方面，充分考虑了公司现有相关数据规范，在可以预期的未来，在这样的规范框架内，对数据的加工、处理、应用，可以有效地进行扩展，从而实现业务管理范围的扩展。</w:t>
      </w:r>
    </w:p>
    <w:p w14:paraId="532A28CD">
      <w:pPr>
        <w:pStyle w:val="8"/>
      </w:pPr>
      <w:r>
        <w:rPr>
          <w:rFonts w:hint="eastAsia"/>
        </w:rPr>
        <w:t>可维护性测试</w:t>
      </w:r>
    </w:p>
    <w:p w14:paraId="136C1B5D">
      <w:pPr>
        <w:pStyle w:val="52"/>
        <w:numPr>
          <w:ilvl w:val="0"/>
          <w:numId w:val="10"/>
        </w:numPr>
        <w:ind w:firstLineChars="0"/>
      </w:pPr>
      <w:r>
        <w:rPr>
          <w:rFonts w:hint="eastAsia"/>
        </w:rPr>
        <w:t>系统是否具有自动任务调度、自动故障告警和自动任务恢复的能力</w:t>
      </w:r>
    </w:p>
    <w:p w14:paraId="35627EED">
      <w:pPr>
        <w:pStyle w:val="52"/>
        <w:numPr>
          <w:ilvl w:val="0"/>
          <w:numId w:val="10"/>
        </w:numPr>
        <w:ind w:firstLineChars="0"/>
      </w:pPr>
      <w:r>
        <w:rPr>
          <w:rFonts w:hint="eastAsia"/>
        </w:rPr>
        <w:t>在不影响系统运转的情况下，能否平滑地进行模块更新和加载</w:t>
      </w:r>
    </w:p>
    <w:p w14:paraId="1EAC1028">
      <w:pPr>
        <w:pStyle w:val="52"/>
        <w:numPr>
          <w:ilvl w:val="0"/>
          <w:numId w:val="10"/>
        </w:numPr>
        <w:ind w:firstLineChars="0"/>
      </w:pPr>
      <w:r>
        <w:rPr>
          <w:rFonts w:hint="eastAsia"/>
        </w:rPr>
        <w:t>是否提供了灵活的规则定义方式</w:t>
      </w:r>
    </w:p>
    <w:p w14:paraId="49F4A200">
      <w:pPr>
        <w:pStyle w:val="52"/>
        <w:numPr>
          <w:ilvl w:val="0"/>
          <w:numId w:val="10"/>
        </w:numPr>
        <w:ind w:firstLineChars="0"/>
      </w:pPr>
      <w:r>
        <w:rPr>
          <w:rFonts w:hint="eastAsia"/>
        </w:rPr>
        <w:t>应用软件是否具备多用户和多任务操作能力，并对用户数不加限制</w:t>
      </w:r>
    </w:p>
    <w:p w14:paraId="48F7C12D">
      <w:r>
        <w:rPr>
          <w:rFonts w:hint="eastAsia"/>
        </w:rPr>
        <w:t>是否能简便地终止运行的应用系统、数据库、主机，并在系统重启后，能简便地恢复到运行状态，不影响数据的正确处理。</w:t>
      </w:r>
    </w:p>
    <w:p w14:paraId="63BAB9C1">
      <w:pPr>
        <w:pStyle w:val="8"/>
      </w:pPr>
      <w:r>
        <w:rPr>
          <w:rFonts w:hint="eastAsia"/>
        </w:rPr>
        <w:t>可靠和坚固性测试</w:t>
      </w:r>
    </w:p>
    <w:p w14:paraId="0D751C39">
      <w:pPr>
        <w:pStyle w:val="52"/>
        <w:ind w:firstLine="480"/>
      </w:pPr>
      <w:r>
        <w:rPr>
          <w:rFonts w:hint="eastAsia"/>
        </w:rPr>
        <w:t>使用专业漏洞扫描工具对可能存在的系统安全漏洞进行扫描。扫描同时检查安全补丁加载和软件版本的安全性。</w:t>
      </w:r>
    </w:p>
    <w:p w14:paraId="60C87AE4">
      <w:pPr>
        <w:pStyle w:val="52"/>
        <w:numPr>
          <w:ilvl w:val="0"/>
          <w:numId w:val="11"/>
        </w:numPr>
        <w:ind w:firstLineChars="0"/>
      </w:pPr>
      <w:r>
        <w:rPr>
          <w:rFonts w:hint="eastAsia"/>
        </w:rPr>
        <w:t>是否对主要设备及数据库等都做到备份设置。</w:t>
      </w:r>
    </w:p>
    <w:p w14:paraId="061F61E9">
      <w:pPr>
        <w:pStyle w:val="52"/>
        <w:numPr>
          <w:ilvl w:val="0"/>
          <w:numId w:val="11"/>
        </w:numPr>
        <w:ind w:firstLineChars="0"/>
      </w:pPr>
      <w:r>
        <w:rPr>
          <w:rFonts w:hint="eastAsia"/>
        </w:rPr>
        <w:t>系统软件、数据库系统和应用软件是否具有容错能力和恢复能力。</w:t>
      </w:r>
    </w:p>
    <w:p w14:paraId="7CFBDC64">
      <w:pPr>
        <w:pStyle w:val="52"/>
        <w:numPr>
          <w:ilvl w:val="0"/>
          <w:numId w:val="11"/>
        </w:numPr>
        <w:ind w:firstLineChars="0"/>
      </w:pPr>
      <w:r>
        <w:rPr>
          <w:rFonts w:hint="eastAsia"/>
        </w:rPr>
        <w:t>系统是否提供完善的故障检测能力和良好的故障恢复能力。</w:t>
      </w:r>
    </w:p>
    <w:p w14:paraId="6542E3BC">
      <w:pPr>
        <w:pStyle w:val="52"/>
        <w:numPr>
          <w:ilvl w:val="0"/>
          <w:numId w:val="11"/>
        </w:numPr>
        <w:ind w:firstLineChars="0"/>
      </w:pPr>
      <w:r>
        <w:rPr>
          <w:rFonts w:hint="eastAsia"/>
        </w:rPr>
        <w:t>系统是否提供完善的日志管理功能。</w:t>
      </w:r>
    </w:p>
    <w:p w14:paraId="5227836E">
      <w:pPr>
        <w:pStyle w:val="52"/>
        <w:numPr>
          <w:ilvl w:val="0"/>
          <w:numId w:val="11"/>
        </w:numPr>
        <w:ind w:firstLineChars="0"/>
      </w:pPr>
      <w:r>
        <w:rPr>
          <w:rFonts w:hint="eastAsia"/>
        </w:rPr>
        <w:t>是否提供对系统非法关机的处理。</w:t>
      </w:r>
    </w:p>
    <w:p w14:paraId="50E9EE86">
      <w:pPr>
        <w:pStyle w:val="52"/>
        <w:numPr>
          <w:ilvl w:val="0"/>
          <w:numId w:val="11"/>
        </w:numPr>
        <w:ind w:firstLineChars="0"/>
      </w:pPr>
      <w:r>
        <w:rPr>
          <w:rFonts w:hint="eastAsia"/>
        </w:rPr>
        <w:t>是否提供对用户错误操作的补救程序。</w:t>
      </w:r>
    </w:p>
    <w:p w14:paraId="3970632C">
      <w:pPr>
        <w:pStyle w:val="8"/>
      </w:pPr>
      <w:r>
        <w:rPr>
          <w:rFonts w:hint="eastAsia"/>
        </w:rPr>
        <w:t>稳定性测试</w:t>
      </w:r>
    </w:p>
    <w:p w14:paraId="27995651">
      <w:pPr>
        <w:pStyle w:val="52"/>
        <w:numPr>
          <w:ilvl w:val="0"/>
          <w:numId w:val="12"/>
        </w:numPr>
        <w:ind w:firstLineChars="0"/>
      </w:pPr>
      <w:r>
        <w:rPr>
          <w:rFonts w:hint="eastAsia"/>
        </w:rPr>
        <w:t>网络稳定性测试；</w:t>
      </w:r>
    </w:p>
    <w:p w14:paraId="40913845">
      <w:pPr>
        <w:pStyle w:val="52"/>
        <w:numPr>
          <w:ilvl w:val="0"/>
          <w:numId w:val="12"/>
        </w:numPr>
        <w:ind w:firstLineChars="0"/>
      </w:pPr>
      <w:r>
        <w:rPr>
          <w:rFonts w:hint="eastAsia"/>
        </w:rPr>
        <w:t>主机稳定性测试；</w:t>
      </w:r>
    </w:p>
    <w:p w14:paraId="1E28768D">
      <w:pPr>
        <w:pStyle w:val="52"/>
        <w:numPr>
          <w:ilvl w:val="0"/>
          <w:numId w:val="12"/>
        </w:numPr>
        <w:ind w:firstLineChars="0"/>
      </w:pPr>
      <w:r>
        <w:rPr>
          <w:rFonts w:hint="eastAsia"/>
        </w:rPr>
        <w:t>系统稳定性环测试；</w:t>
      </w:r>
    </w:p>
    <w:p w14:paraId="1158BDA4">
      <w:pPr>
        <w:pStyle w:val="52"/>
        <w:numPr>
          <w:ilvl w:val="0"/>
          <w:numId w:val="12"/>
        </w:numPr>
        <w:ind w:firstLineChars="0"/>
      </w:pPr>
      <w:r>
        <w:rPr>
          <w:rFonts w:hint="eastAsia"/>
        </w:rPr>
        <w:t>数据稳定性库测试；</w:t>
      </w:r>
    </w:p>
    <w:p w14:paraId="146FFBD2">
      <w:pPr>
        <w:pStyle w:val="8"/>
      </w:pPr>
      <w:r>
        <w:rPr>
          <w:rFonts w:hint="eastAsia"/>
        </w:rPr>
        <w:t>应用软件稳定性测试。</w:t>
      </w:r>
    </w:p>
    <w:p w14:paraId="271C6675">
      <w:pPr>
        <w:pStyle w:val="8"/>
      </w:pPr>
      <w:r>
        <w:rPr>
          <w:rFonts w:hint="eastAsia"/>
        </w:rPr>
        <w:t>安全性测试</w:t>
      </w:r>
    </w:p>
    <w:p w14:paraId="07934EB4">
      <w:pPr>
        <w:pStyle w:val="52"/>
        <w:ind w:firstLine="480"/>
      </w:pPr>
      <w:r>
        <w:rPr>
          <w:rFonts w:hint="eastAsia"/>
        </w:rPr>
        <w:t>按照《技术规范书》中的相关安全性要求制定测试方案，对系统的安全性作逐一测试。</w:t>
      </w:r>
    </w:p>
    <w:p w14:paraId="393F0BB5">
      <w:pPr>
        <w:pStyle w:val="52"/>
        <w:numPr>
          <w:ilvl w:val="0"/>
          <w:numId w:val="13"/>
        </w:numPr>
        <w:ind w:firstLineChars="0"/>
      </w:pPr>
      <w:r>
        <w:rPr>
          <w:rFonts w:hint="eastAsia"/>
        </w:rPr>
        <w:t>被测试系统是否具有完善的多级授权措施，包括系统访问权限及授权控制。</w:t>
      </w:r>
    </w:p>
    <w:p w14:paraId="42B1010F">
      <w:pPr>
        <w:pStyle w:val="52"/>
        <w:numPr>
          <w:ilvl w:val="0"/>
          <w:numId w:val="13"/>
        </w:numPr>
        <w:ind w:firstLineChars="0"/>
      </w:pPr>
      <w:r>
        <w:rPr>
          <w:rFonts w:hint="eastAsia"/>
        </w:rPr>
        <w:t>在系统参数表管理时，对每次操作生成操作日志。</w:t>
      </w:r>
    </w:p>
    <w:p w14:paraId="1B828248">
      <w:pPr>
        <w:pStyle w:val="52"/>
        <w:numPr>
          <w:ilvl w:val="0"/>
          <w:numId w:val="13"/>
        </w:numPr>
        <w:ind w:firstLineChars="0"/>
      </w:pPr>
      <w:r>
        <w:rPr>
          <w:rFonts w:hint="eastAsia"/>
        </w:rPr>
        <w:t>系统是否提供详细的记录日志。</w:t>
      </w:r>
    </w:p>
    <w:p w14:paraId="78CCB1DC">
      <w:pPr>
        <w:pStyle w:val="52"/>
        <w:ind w:firstLine="480"/>
      </w:pPr>
      <w:r>
        <w:rPr>
          <w:rFonts w:hint="eastAsia"/>
        </w:rPr>
        <w:t>功能要求</w:t>
      </w:r>
    </w:p>
    <w:p w14:paraId="5FD03D7B">
      <w:pPr>
        <w:pStyle w:val="52"/>
        <w:ind w:firstLine="480"/>
      </w:pPr>
      <w:r>
        <w:rPr>
          <w:rFonts w:hint="eastAsia"/>
        </w:rPr>
        <w:t>按照项目相关规范制定测试方案，对系统功能作逐一测试。测试通过在规定时间内逐一运行系统提供的各项功能，验证系统功能的完备性、一致性。从而确认系统是否已完成需求说明书中规定的全部功能。其测试分为：</w:t>
      </w:r>
    </w:p>
    <w:p w14:paraId="52D37B90">
      <w:pPr>
        <w:pStyle w:val="52"/>
        <w:numPr>
          <w:ilvl w:val="0"/>
          <w:numId w:val="14"/>
        </w:numPr>
        <w:ind w:firstLineChars="0"/>
      </w:pPr>
      <w:r>
        <w:rPr>
          <w:rFonts w:hint="eastAsia"/>
        </w:rPr>
        <w:t>完备性测试；</w:t>
      </w:r>
    </w:p>
    <w:p w14:paraId="16382206">
      <w:pPr>
        <w:pStyle w:val="52"/>
        <w:numPr>
          <w:ilvl w:val="0"/>
          <w:numId w:val="14"/>
        </w:numPr>
        <w:ind w:firstLineChars="0"/>
      </w:pPr>
      <w:r>
        <w:rPr>
          <w:rFonts w:hint="eastAsia"/>
        </w:rPr>
        <w:t>一致性测试；</w:t>
      </w:r>
    </w:p>
    <w:p w14:paraId="027E0A70">
      <w:pPr>
        <w:pStyle w:val="52"/>
        <w:ind w:firstLine="480"/>
      </w:pPr>
      <w:r>
        <w:rPr>
          <w:rFonts w:hint="eastAsia"/>
        </w:rPr>
        <w:t>对完备性测试和一致性测试分为两种测试方法；</w:t>
      </w:r>
    </w:p>
    <w:p w14:paraId="38631E64">
      <w:pPr>
        <w:pStyle w:val="52"/>
        <w:numPr>
          <w:ilvl w:val="0"/>
          <w:numId w:val="15"/>
        </w:numPr>
        <w:ind w:firstLineChars="0"/>
      </w:pPr>
      <w:r>
        <w:rPr>
          <w:rFonts w:hint="eastAsia"/>
        </w:rPr>
        <w:t>单独功能测试；</w:t>
      </w:r>
    </w:p>
    <w:p w14:paraId="4D91A28B">
      <w:pPr>
        <w:pStyle w:val="52"/>
        <w:numPr>
          <w:ilvl w:val="0"/>
          <w:numId w:val="15"/>
        </w:numPr>
        <w:ind w:firstLineChars="0"/>
      </w:pPr>
      <w:r>
        <w:rPr>
          <w:rFonts w:hint="eastAsia"/>
        </w:rPr>
        <w:t>连续性的功能测试。</w:t>
      </w:r>
    </w:p>
    <w:p w14:paraId="67159286">
      <w:pPr>
        <w:pStyle w:val="8"/>
      </w:pPr>
      <w:r>
        <w:rPr>
          <w:rFonts w:hint="eastAsia"/>
        </w:rPr>
        <w:t>性能压力测试</w:t>
      </w:r>
    </w:p>
    <w:p w14:paraId="41A30B53">
      <w:pPr>
        <w:pStyle w:val="52"/>
        <w:ind w:firstLine="480"/>
      </w:pPr>
      <w:r>
        <w:rPr>
          <w:rFonts w:hint="eastAsia"/>
        </w:rPr>
        <w:t>按照《技术规范书》中的相关性能要求制定测试方案，对系统的性能作逐一测试。</w:t>
      </w:r>
    </w:p>
    <w:p w14:paraId="26F65788">
      <w:pPr>
        <w:pStyle w:val="52"/>
        <w:ind w:firstLine="480"/>
      </w:pPr>
      <w:r>
        <w:rPr>
          <w:rFonts w:hint="eastAsia"/>
        </w:rPr>
        <w:t>1.效率测试</w:t>
      </w:r>
    </w:p>
    <w:p w14:paraId="5388B0DB">
      <w:pPr>
        <w:pStyle w:val="52"/>
        <w:numPr>
          <w:ilvl w:val="0"/>
          <w:numId w:val="16"/>
        </w:numPr>
        <w:ind w:firstLineChars="0"/>
      </w:pPr>
      <w:r>
        <w:rPr>
          <w:rFonts w:hint="eastAsia"/>
        </w:rPr>
        <w:t>处理时限是否满足要求；</w:t>
      </w:r>
    </w:p>
    <w:p w14:paraId="3DF5A118">
      <w:pPr>
        <w:pStyle w:val="52"/>
        <w:numPr>
          <w:ilvl w:val="0"/>
          <w:numId w:val="16"/>
        </w:numPr>
        <w:ind w:firstLineChars="0"/>
      </w:pPr>
      <w:r>
        <w:rPr>
          <w:rFonts w:hint="eastAsia"/>
        </w:rPr>
        <w:t>数据存储和备份时限是否满足要求；</w:t>
      </w:r>
    </w:p>
    <w:p w14:paraId="1331DFE7">
      <w:pPr>
        <w:pStyle w:val="52"/>
        <w:numPr>
          <w:ilvl w:val="0"/>
          <w:numId w:val="17"/>
        </w:numPr>
        <w:ind w:firstLineChars="0"/>
      </w:pPr>
      <w:r>
        <w:rPr>
          <w:rFonts w:hint="eastAsia"/>
        </w:rPr>
        <w:t>系统中数据查询的速度；</w:t>
      </w:r>
    </w:p>
    <w:p w14:paraId="7B674DA6">
      <w:pPr>
        <w:pStyle w:val="52"/>
        <w:numPr>
          <w:ilvl w:val="0"/>
          <w:numId w:val="17"/>
        </w:numPr>
        <w:ind w:firstLineChars="0"/>
      </w:pPr>
      <w:r>
        <w:rPr>
          <w:rFonts w:hint="eastAsia"/>
        </w:rPr>
        <w:t>日常运作各类报表的及时性；</w:t>
      </w:r>
    </w:p>
    <w:p w14:paraId="451AC401">
      <w:pPr>
        <w:pStyle w:val="52"/>
        <w:numPr>
          <w:ilvl w:val="0"/>
          <w:numId w:val="17"/>
        </w:numPr>
        <w:ind w:firstLineChars="0"/>
      </w:pPr>
      <w:r>
        <w:rPr>
          <w:rFonts w:hint="eastAsia"/>
        </w:rPr>
        <w:t>系统处理精度。</w:t>
      </w:r>
    </w:p>
    <w:p w14:paraId="2EDE2704">
      <w:pPr>
        <w:pStyle w:val="52"/>
        <w:ind w:firstLine="480"/>
      </w:pPr>
      <w:r>
        <w:rPr>
          <w:rFonts w:hint="eastAsia"/>
        </w:rPr>
        <w:t>2.灵活性测试</w:t>
      </w:r>
    </w:p>
    <w:p w14:paraId="1B8B9754">
      <w:pPr>
        <w:pStyle w:val="52"/>
        <w:numPr>
          <w:ilvl w:val="0"/>
          <w:numId w:val="18"/>
        </w:numPr>
        <w:ind w:firstLineChars="0"/>
      </w:pPr>
      <w:r>
        <w:rPr>
          <w:rFonts w:hint="eastAsia"/>
        </w:rPr>
        <w:t>系统是否具有自动任务调度、自动故障告警和自动任务恢复的能力；</w:t>
      </w:r>
    </w:p>
    <w:p w14:paraId="553920F2">
      <w:pPr>
        <w:pStyle w:val="52"/>
        <w:numPr>
          <w:ilvl w:val="0"/>
          <w:numId w:val="18"/>
        </w:numPr>
        <w:ind w:firstLineChars="0"/>
      </w:pPr>
      <w:r>
        <w:rPr>
          <w:rFonts w:hint="eastAsia"/>
        </w:rPr>
        <w:t>在不影响系统运转的情况下，能否平滑地进行模块更新和加载；</w:t>
      </w:r>
    </w:p>
    <w:p w14:paraId="0BB1BCEF">
      <w:pPr>
        <w:pStyle w:val="52"/>
        <w:numPr>
          <w:ilvl w:val="0"/>
          <w:numId w:val="18"/>
        </w:numPr>
        <w:ind w:firstLineChars="0"/>
      </w:pPr>
      <w:r>
        <w:rPr>
          <w:rFonts w:hint="eastAsia"/>
        </w:rPr>
        <w:t>是否采用参数驱动设计思想，将不确定因素参数化；</w:t>
      </w:r>
    </w:p>
    <w:p w14:paraId="3CA9C835">
      <w:pPr>
        <w:pStyle w:val="52"/>
        <w:numPr>
          <w:ilvl w:val="0"/>
          <w:numId w:val="18"/>
        </w:numPr>
        <w:ind w:firstLineChars="0"/>
      </w:pPr>
      <w:r>
        <w:rPr>
          <w:rFonts w:hint="eastAsia"/>
        </w:rPr>
        <w:t>是否提供了灵活的优惠计算方式；</w:t>
      </w:r>
    </w:p>
    <w:p w14:paraId="5872799C">
      <w:pPr>
        <w:pStyle w:val="52"/>
        <w:numPr>
          <w:ilvl w:val="0"/>
          <w:numId w:val="18"/>
        </w:numPr>
        <w:ind w:firstLineChars="0"/>
      </w:pPr>
      <w:r>
        <w:rPr>
          <w:rFonts w:hint="eastAsia"/>
        </w:rPr>
        <w:t>是否提供了完善的报表统计生成维护工具；</w:t>
      </w:r>
    </w:p>
    <w:p w14:paraId="3AB04624">
      <w:pPr>
        <w:pStyle w:val="52"/>
        <w:numPr>
          <w:ilvl w:val="0"/>
          <w:numId w:val="18"/>
        </w:numPr>
        <w:ind w:firstLineChars="0"/>
      </w:pPr>
      <w:r>
        <w:rPr>
          <w:rFonts w:hint="eastAsia"/>
        </w:rPr>
        <w:t>是否能简便地终止运行的应用系统、数据库、主机，并在系统重启后，能简便地恢复到运行状态，不影响数据的正确处理。</w:t>
      </w:r>
    </w:p>
    <w:p w14:paraId="177F9F35">
      <w:pPr>
        <w:pStyle w:val="52"/>
        <w:ind w:firstLine="480"/>
      </w:pPr>
      <w:r>
        <w:rPr>
          <w:rFonts w:hint="eastAsia"/>
        </w:rPr>
        <w:t>3.异常性测试</w:t>
      </w:r>
      <w:r>
        <w:t>(</w:t>
      </w:r>
      <w:r>
        <w:rPr>
          <w:rFonts w:hint="eastAsia"/>
        </w:rPr>
        <w:t>容错测试</w:t>
      </w:r>
      <w:r>
        <w:t>)</w:t>
      </w:r>
    </w:p>
    <w:p w14:paraId="160B7CB6">
      <w:pPr>
        <w:pStyle w:val="52"/>
        <w:ind w:firstLine="480"/>
      </w:pPr>
      <w:r>
        <w:rPr>
          <w:rFonts w:hint="eastAsia"/>
        </w:rPr>
        <w:t>按照《技术规范书》中的相关性能要求制定异常测试方案，对系统的性能作逐一测试。</w:t>
      </w:r>
    </w:p>
    <w:p w14:paraId="51BC1E65">
      <w:pPr>
        <w:pStyle w:val="52"/>
        <w:numPr>
          <w:ilvl w:val="0"/>
          <w:numId w:val="19"/>
        </w:numPr>
        <w:ind w:firstLineChars="0"/>
      </w:pPr>
      <w:r>
        <w:rPr>
          <w:rFonts w:hint="eastAsia"/>
        </w:rPr>
        <w:t>业务模块的添加、删除测试：根据实际情况，增加或删除相关业务模块，测试系统的运行状况。</w:t>
      </w:r>
    </w:p>
    <w:p w14:paraId="38E6DF16">
      <w:pPr>
        <w:pStyle w:val="52"/>
        <w:numPr>
          <w:ilvl w:val="0"/>
          <w:numId w:val="19"/>
        </w:numPr>
        <w:ind w:firstLineChars="0"/>
      </w:pPr>
      <w:r>
        <w:rPr>
          <w:rFonts w:hint="eastAsia"/>
        </w:rPr>
        <w:t>软件服务器故障测试：在测试过程中，强行重启软件的</w:t>
      </w:r>
      <w:r>
        <w:t>web</w:t>
      </w:r>
      <w:r>
        <w:rPr>
          <w:rFonts w:hint="eastAsia"/>
        </w:rPr>
        <w:t>服务器或者中间件服务器，测试系统的恢复能力。</w:t>
      </w:r>
    </w:p>
    <w:p w14:paraId="0C091308">
      <w:pPr>
        <w:pStyle w:val="52"/>
        <w:numPr>
          <w:ilvl w:val="0"/>
          <w:numId w:val="19"/>
        </w:numPr>
        <w:ind w:firstLineChars="0"/>
      </w:pPr>
      <w:r>
        <w:rPr>
          <w:rFonts w:hint="eastAsia"/>
        </w:rPr>
        <w:t>违规操作：对现有重要业务数据的违规操作、用户越权业务操作等，测试系统是否有相关约束。如果发生类似事件，系统是否有补救措施，不会导致系统的瘫痪。</w:t>
      </w:r>
    </w:p>
    <w:p w14:paraId="532BCAAF">
      <w:pPr>
        <w:pStyle w:val="8"/>
      </w:pPr>
      <w:r>
        <w:rPr>
          <w:rFonts w:hint="eastAsia"/>
        </w:rPr>
        <w:t>恢复测试</w:t>
      </w:r>
    </w:p>
    <w:p w14:paraId="520B7EEE">
      <w:pPr>
        <w:pStyle w:val="52"/>
        <w:ind w:firstLine="480"/>
      </w:pPr>
      <w:r>
        <w:rPr>
          <w:rFonts w:hint="eastAsia"/>
        </w:rPr>
        <w:t>针对本项目恢复测试，我方对系统恢复正常需要时长，系统可以从从哪些百分比的场景中成功恢复、系统是否能够恢复所有丢失数据，用户能够成功重新连接等内容进行测试。</w:t>
      </w:r>
    </w:p>
    <w:p w14:paraId="1E1144C2">
      <w:pPr>
        <w:pStyle w:val="8"/>
      </w:pPr>
      <w:r>
        <w:rPr>
          <w:rFonts w:hint="eastAsia"/>
        </w:rPr>
        <w:t>灰度发布测试</w:t>
      </w:r>
    </w:p>
    <w:p w14:paraId="17878738">
      <w:pPr>
        <w:pStyle w:val="52"/>
        <w:ind w:firstLine="480"/>
      </w:pPr>
      <w:r>
        <w:rPr>
          <w:rFonts w:hint="eastAsia"/>
        </w:rPr>
        <w:t>针对本项目我方使用AB测试软件进行灰度发布和灰度测试，保证新版本系统的工程的正确性，同时保证系统得到科学，准备的验证，</w:t>
      </w:r>
      <w:r>
        <w:t>并且在整个生命周期里都可以持续不断的优化改进。</w:t>
      </w:r>
    </w:p>
    <w:p w14:paraId="455B206C">
      <w:pPr>
        <w:pStyle w:val="8"/>
      </w:pPr>
      <w:r>
        <w:rPr>
          <w:rFonts w:hint="eastAsia"/>
        </w:rPr>
        <w:t>文档测试</w:t>
      </w:r>
    </w:p>
    <w:p w14:paraId="53F7A819">
      <w:pPr>
        <w:pStyle w:val="52"/>
        <w:ind w:firstLine="480"/>
      </w:pPr>
      <w:r>
        <w:rPr>
          <w:rFonts w:hint="eastAsia"/>
        </w:rPr>
        <w:t>文档测试的目的在于验证应用软件系统相关文档是否完整、规范、准确以及文档与程序的一致性。</w:t>
      </w:r>
    </w:p>
    <w:p w14:paraId="5EF8B141">
      <w:pPr>
        <w:pStyle w:val="6"/>
      </w:pPr>
      <w:r>
        <w:rPr>
          <w:rFonts w:hint="eastAsia"/>
        </w:rPr>
        <w:t>项目验收方案</w:t>
      </w:r>
    </w:p>
    <w:p w14:paraId="05B4F338">
      <w:pPr>
        <w:ind w:firstLine="480" w:firstLineChars="200"/>
        <w:rPr>
          <w:rFonts w:asciiTheme="minorEastAsia" w:hAnsiTheme="minorEastAsia"/>
          <w:i/>
          <w:iCs/>
          <w:color w:val="FF0000"/>
          <w:szCs w:val="24"/>
        </w:rPr>
      </w:pPr>
      <w:r>
        <w:rPr>
          <w:rFonts w:hint="eastAsia" w:asciiTheme="minorEastAsia" w:hAnsiTheme="minorEastAsia"/>
          <w:i/>
          <w:iCs/>
          <w:color w:val="FF0000"/>
          <w:szCs w:val="24"/>
        </w:rPr>
        <w:t>系统</w:t>
      </w:r>
      <w:r>
        <w:rPr>
          <w:rFonts w:asciiTheme="minorEastAsia" w:hAnsiTheme="minorEastAsia"/>
          <w:i/>
          <w:iCs/>
          <w:color w:val="FF0000"/>
          <w:szCs w:val="24"/>
        </w:rPr>
        <w:t>试运行</w:t>
      </w:r>
      <w:r>
        <w:rPr>
          <w:rFonts w:hint="eastAsia" w:asciiTheme="minorEastAsia" w:hAnsiTheme="minorEastAsia"/>
          <w:i/>
          <w:iCs/>
          <w:color w:val="FF0000"/>
          <w:szCs w:val="24"/>
        </w:rPr>
        <w:t>结束后，双方将根据技术规范书的要求确认各阶段测试检验结果，对系统设备的各项性能进行总验收（终验）。对工程进行综合评定，签署最终验收合格证书。</w:t>
      </w:r>
    </w:p>
    <w:p w14:paraId="09E34E57">
      <w:pPr>
        <w:pStyle w:val="7"/>
      </w:pPr>
      <w:r>
        <w:rPr>
          <w:rFonts w:hint="eastAsia"/>
        </w:rPr>
        <w:t>项目验收流程与验收方案</w:t>
      </w:r>
    </w:p>
    <w:p w14:paraId="70410C69">
      <w:pPr>
        <w:pStyle w:val="8"/>
      </w:pPr>
      <w:r>
        <w:rPr>
          <w:rFonts w:hint="eastAsia"/>
        </w:rPr>
        <w:t>验收流程（改）</w:t>
      </w:r>
    </w:p>
    <w:p w14:paraId="0A8609D0">
      <w:pPr>
        <w:jc w:val="center"/>
        <w:rPr>
          <w:rFonts w:ascii="楷体_GB2312" w:hAnsi="Times New Roman" w:eastAsia="楷体_GB2312" w:cs="Times New Roman"/>
          <w:sz w:val="32"/>
          <w:szCs w:val="24"/>
        </w:rPr>
      </w:pPr>
      <w:r>
        <w:rPr>
          <w:rFonts w:ascii="楷体_GB2312" w:hAnsi="Times New Roman" w:eastAsia="楷体_GB2312" w:cs="Times New Roman"/>
          <w:sz w:val="32"/>
          <w:szCs w:val="24"/>
        </w:rPr>
        <w:object>
          <v:shape id="_x0000_i1025" o:spt="75" type="#_x0000_t75" style="height:412.2pt;width:208.8pt;" o:ole="t" filled="f" o:preferrelative="t" stroked="f" coordsize="21600,21600">
            <v:path/>
            <v:fill on="f" focussize="0,0"/>
            <v:stroke on="f" joinstyle="miter"/>
            <v:imagedata r:id="rId9" o:title=""/>
            <o:lock v:ext="edit" aspectratio="t"/>
            <w10:wrap type="none"/>
            <w10:anchorlock/>
          </v:shape>
          <o:OLEObject Type="Embed" ProgID="Visio.Drawing.11" ShapeID="_x0000_i1025" DrawAspect="Content" ObjectID="_1468075725" r:id="rId8">
            <o:LockedField>false</o:LockedField>
          </o:OLEObject>
        </w:object>
      </w:r>
    </w:p>
    <w:p w14:paraId="5333392B">
      <w:pPr>
        <w:pStyle w:val="52"/>
        <w:ind w:firstLine="480"/>
      </w:pPr>
      <w:r>
        <w:rPr>
          <w:rFonts w:hint="eastAsia"/>
        </w:rPr>
        <w:t>流程说明：</w:t>
      </w:r>
    </w:p>
    <w:p w14:paraId="6F2500D5">
      <w:pPr>
        <w:pStyle w:val="52"/>
        <w:ind w:firstLine="480"/>
      </w:pPr>
      <w:r>
        <w:rPr>
          <w:rFonts w:hint="eastAsia"/>
        </w:rPr>
        <w:t>1.</w:t>
      </w:r>
      <w:r>
        <w:rPr>
          <w:rFonts w:hint="eastAsia"/>
        </w:rPr>
        <w:tab/>
      </w:r>
      <w:r>
        <w:rPr>
          <w:rFonts w:hint="eastAsia"/>
        </w:rPr>
        <w:t>我方完成所有项目任务后，向甲方提交所有按本文档要求的提交件；</w:t>
      </w:r>
    </w:p>
    <w:p w14:paraId="799DDFE4">
      <w:pPr>
        <w:pStyle w:val="52"/>
        <w:ind w:firstLine="480"/>
      </w:pPr>
      <w:r>
        <w:rPr>
          <w:rFonts w:hint="eastAsia"/>
        </w:rPr>
        <w:t>2.</w:t>
      </w:r>
      <w:r>
        <w:rPr>
          <w:rFonts w:hint="eastAsia"/>
        </w:rPr>
        <w:tab/>
      </w:r>
      <w:r>
        <w:rPr>
          <w:rFonts w:hint="eastAsia"/>
        </w:rPr>
        <w:t>我方根据项目目标要求，编制验收方案，确定验收方法、时间、双方责任等;</w:t>
      </w:r>
    </w:p>
    <w:p w14:paraId="38A3190D">
      <w:pPr>
        <w:pStyle w:val="52"/>
        <w:ind w:firstLine="480"/>
      </w:pPr>
      <w:r>
        <w:rPr>
          <w:rFonts w:hint="eastAsia"/>
        </w:rPr>
        <w:t>3.</w:t>
      </w:r>
      <w:r>
        <w:rPr>
          <w:rFonts w:hint="eastAsia"/>
        </w:rPr>
        <w:tab/>
      </w:r>
      <w:r>
        <w:rPr>
          <w:rFonts w:hint="eastAsia"/>
        </w:rPr>
        <w:t>我方审批验收方案。如未通过，由我方进行修改;</w:t>
      </w:r>
    </w:p>
    <w:p w14:paraId="6404DEDD">
      <w:pPr>
        <w:pStyle w:val="52"/>
        <w:ind w:firstLine="480"/>
      </w:pPr>
      <w:r>
        <w:rPr>
          <w:rFonts w:hint="eastAsia"/>
        </w:rPr>
        <w:t>4.</w:t>
      </w:r>
      <w:r>
        <w:rPr>
          <w:rFonts w:hint="eastAsia"/>
        </w:rPr>
        <w:tab/>
      </w:r>
      <w:r>
        <w:rPr>
          <w:rFonts w:hint="eastAsia"/>
        </w:rPr>
        <w:t>我方协助甲方进行试运行工作，试运行期为三个月，试运行中出现的缺陷与问题作为验收的通过标准计量数据的重要组成部分；</w:t>
      </w:r>
    </w:p>
    <w:p w14:paraId="29E6A7A4">
      <w:pPr>
        <w:pStyle w:val="52"/>
        <w:ind w:firstLine="480"/>
      </w:pPr>
      <w:r>
        <w:rPr>
          <w:rFonts w:hint="eastAsia"/>
        </w:rPr>
        <w:t>5.</w:t>
      </w:r>
      <w:r>
        <w:rPr>
          <w:rFonts w:hint="eastAsia"/>
        </w:rPr>
        <w:tab/>
      </w:r>
      <w:r>
        <w:rPr>
          <w:rFonts w:hint="eastAsia"/>
        </w:rPr>
        <w:t>我方协助甲方进行推广工作，完成所有应用与运行单位的推广，推广中出现的缺陷与问题作为验收的通过标准计量数据的重要组成部分；</w:t>
      </w:r>
    </w:p>
    <w:p w14:paraId="10BA12E0">
      <w:pPr>
        <w:pStyle w:val="52"/>
        <w:ind w:firstLine="480"/>
      </w:pPr>
      <w:r>
        <w:rPr>
          <w:rFonts w:hint="eastAsia"/>
        </w:rPr>
        <w:t>6.</w:t>
      </w:r>
      <w:r>
        <w:rPr>
          <w:rFonts w:hint="eastAsia"/>
        </w:rPr>
        <w:tab/>
      </w:r>
      <w:r>
        <w:rPr>
          <w:rFonts w:hint="eastAsia"/>
        </w:rPr>
        <w:t>推广完成后，我方向甲方书面提出验收申请，甲方协助我方进行环境准备；</w:t>
      </w:r>
    </w:p>
    <w:p w14:paraId="4D72DC1D">
      <w:pPr>
        <w:pStyle w:val="52"/>
        <w:ind w:firstLine="480"/>
      </w:pPr>
      <w:r>
        <w:rPr>
          <w:rFonts w:hint="eastAsia"/>
        </w:rPr>
        <w:t>7.</w:t>
      </w:r>
      <w:r>
        <w:rPr>
          <w:rFonts w:hint="eastAsia"/>
        </w:rPr>
        <w:tab/>
      </w:r>
      <w:r>
        <w:rPr>
          <w:rFonts w:hint="eastAsia"/>
        </w:rPr>
        <w:t>甲方根据相关文档定义的标准在1个月内开始验收；</w:t>
      </w:r>
    </w:p>
    <w:p w14:paraId="4A731BFA">
      <w:pPr>
        <w:pStyle w:val="52"/>
        <w:ind w:firstLine="480"/>
      </w:pPr>
      <w:r>
        <w:rPr>
          <w:rFonts w:hint="eastAsia"/>
        </w:rPr>
        <w:t>8.</w:t>
      </w:r>
      <w:r>
        <w:rPr>
          <w:rFonts w:hint="eastAsia"/>
        </w:rPr>
        <w:tab/>
      </w:r>
      <w:r>
        <w:rPr>
          <w:rFonts w:hint="eastAsia"/>
        </w:rPr>
        <w:t>甲方根据验收方案，通过测试、确认、演示、分析等方法进行验收，综合验收结论做出验收报告；</w:t>
      </w:r>
    </w:p>
    <w:p w14:paraId="3D051EB0">
      <w:pPr>
        <w:pStyle w:val="52"/>
        <w:ind w:firstLine="480"/>
      </w:pPr>
      <w:r>
        <w:rPr>
          <w:rFonts w:hint="eastAsia"/>
        </w:rPr>
        <w:t>9.</w:t>
      </w:r>
      <w:r>
        <w:rPr>
          <w:rFonts w:hint="eastAsia"/>
        </w:rPr>
        <w:tab/>
      </w:r>
      <w:r>
        <w:rPr>
          <w:rFonts w:hint="eastAsia"/>
        </w:rPr>
        <w:t>如验收结果符合验收标准，则验收通过，甲方出具验收报告，否则我方进行修改，待修正稳定运行一个月后，重新提交验收申请，由甲方决定重新验收的时间或不再验收。</w:t>
      </w:r>
    </w:p>
    <w:p w14:paraId="087709C0">
      <w:pPr>
        <w:pStyle w:val="52"/>
        <w:ind w:firstLine="480"/>
      </w:pPr>
      <w:r>
        <w:rPr>
          <w:rFonts w:hint="eastAsia"/>
        </w:rPr>
        <w:t>10.最终工作量以甲方出具的工作量确认单为准。</w:t>
      </w:r>
    </w:p>
    <w:p w14:paraId="59BDCCFC">
      <w:pPr>
        <w:pStyle w:val="8"/>
      </w:pPr>
      <w:r>
        <w:rPr>
          <w:rFonts w:hint="eastAsia"/>
        </w:rPr>
        <w:t>验收方法</w:t>
      </w:r>
    </w:p>
    <w:p w14:paraId="616DCF43">
      <w:pPr>
        <w:pStyle w:val="52"/>
        <w:numPr>
          <w:ilvl w:val="0"/>
          <w:numId w:val="20"/>
        </w:numPr>
        <w:ind w:firstLineChars="0"/>
        <w:jc w:val="both"/>
      </w:pPr>
      <w:r>
        <w:rPr>
          <w:rFonts w:hint="eastAsia"/>
        </w:rPr>
        <w:t>测试：通过已批准的测试计划与案例进行测试，验证软件产品符合规格说明书。</w:t>
      </w:r>
    </w:p>
    <w:p w14:paraId="4CB536E0">
      <w:pPr>
        <w:pStyle w:val="52"/>
        <w:numPr>
          <w:ilvl w:val="0"/>
          <w:numId w:val="20"/>
        </w:numPr>
        <w:ind w:firstLineChars="0"/>
        <w:jc w:val="both"/>
      </w:pPr>
      <w:r>
        <w:rPr>
          <w:rFonts w:hint="eastAsia"/>
        </w:rPr>
        <w:t>确认：根据系统在实际运行环境的运行情况确认软件满足业务需求的程度，如试运行。</w:t>
      </w:r>
    </w:p>
    <w:p w14:paraId="5F06FAAD">
      <w:pPr>
        <w:pStyle w:val="52"/>
        <w:numPr>
          <w:ilvl w:val="0"/>
          <w:numId w:val="20"/>
        </w:numPr>
        <w:ind w:firstLineChars="0"/>
        <w:jc w:val="both"/>
      </w:pPr>
      <w:r>
        <w:rPr>
          <w:rFonts w:hint="eastAsia"/>
        </w:rPr>
        <w:t>演示：通过对已批准的演示计划对提交件进行演示，证明提交件符合相关规格；</w:t>
      </w:r>
    </w:p>
    <w:p w14:paraId="29CBADBE">
      <w:pPr>
        <w:pStyle w:val="52"/>
        <w:numPr>
          <w:ilvl w:val="0"/>
          <w:numId w:val="20"/>
        </w:numPr>
        <w:ind w:firstLineChars="0"/>
        <w:jc w:val="both"/>
      </w:pPr>
      <w:r>
        <w:rPr>
          <w:rFonts w:hint="eastAsia"/>
        </w:rPr>
        <w:t>分析：通过专家意见、抽样等方法对系统及提交件进行分析，验证系统及提交件满足相关标准；</w:t>
      </w:r>
    </w:p>
    <w:p w14:paraId="05D52546">
      <w:pPr>
        <w:pStyle w:val="52"/>
        <w:numPr>
          <w:ilvl w:val="0"/>
          <w:numId w:val="20"/>
        </w:numPr>
        <w:ind w:firstLineChars="0"/>
        <w:jc w:val="both"/>
      </w:pPr>
      <w:r>
        <w:rPr>
          <w:rFonts w:hint="eastAsia"/>
        </w:rPr>
        <w:t>检验：对提交件进行检查，证明提交件满足相关规格；</w:t>
      </w:r>
    </w:p>
    <w:p w14:paraId="5D039A56">
      <w:pPr>
        <w:pStyle w:val="8"/>
      </w:pPr>
      <w:r>
        <w:rPr>
          <w:rFonts w:hint="eastAsia"/>
        </w:rPr>
        <w:t>双方职责</w:t>
      </w:r>
    </w:p>
    <w:p w14:paraId="6E44C003">
      <w:pPr>
        <w:pStyle w:val="52"/>
        <w:numPr>
          <w:ilvl w:val="0"/>
          <w:numId w:val="21"/>
        </w:numPr>
        <w:ind w:firstLineChars="0"/>
        <w:jc w:val="both"/>
      </w:pPr>
      <w:r>
        <w:rPr>
          <w:rFonts w:hint="eastAsia"/>
        </w:rPr>
        <w:t>我方职责：</w:t>
      </w:r>
    </w:p>
    <w:p w14:paraId="5E872D12">
      <w:pPr>
        <w:pStyle w:val="52"/>
        <w:ind w:firstLine="480"/>
      </w:pPr>
      <w:r>
        <w:rPr>
          <w:rFonts w:hint="eastAsia"/>
        </w:rPr>
        <w:t>1．我方在系统试运行期间应积极进行运行问题的跟踪与分析工作；</w:t>
      </w:r>
    </w:p>
    <w:p w14:paraId="02D900A8">
      <w:pPr>
        <w:pStyle w:val="52"/>
        <w:ind w:firstLine="480"/>
      </w:pPr>
      <w:r>
        <w:rPr>
          <w:rFonts w:hint="eastAsia"/>
        </w:rPr>
        <w:t>2．在验收前根据规定的验收方法做好验收计划及所需环境与材料的准备；</w:t>
      </w:r>
    </w:p>
    <w:p w14:paraId="59FADCD6">
      <w:pPr>
        <w:pStyle w:val="52"/>
        <w:ind w:firstLine="480"/>
      </w:pPr>
      <w:r>
        <w:rPr>
          <w:rFonts w:hint="eastAsia"/>
        </w:rPr>
        <w:t>3．及时向甲方提交验收申请及有关材料；</w:t>
      </w:r>
    </w:p>
    <w:p w14:paraId="07F6D33E">
      <w:pPr>
        <w:pStyle w:val="52"/>
        <w:ind w:firstLine="480"/>
      </w:pPr>
      <w:r>
        <w:rPr>
          <w:rFonts w:hint="eastAsia"/>
        </w:rPr>
        <w:t>4．及时按要求对验收过程出现的问题解决；</w:t>
      </w:r>
    </w:p>
    <w:p w14:paraId="23129F4F">
      <w:pPr>
        <w:pStyle w:val="52"/>
        <w:numPr>
          <w:ilvl w:val="0"/>
          <w:numId w:val="21"/>
        </w:numPr>
        <w:ind w:firstLineChars="0"/>
        <w:jc w:val="both"/>
      </w:pPr>
      <w:r>
        <w:rPr>
          <w:rFonts w:hint="eastAsia"/>
        </w:rPr>
        <w:t>甲方职责</w:t>
      </w:r>
    </w:p>
    <w:p w14:paraId="1C764C81">
      <w:pPr>
        <w:pStyle w:val="52"/>
        <w:ind w:firstLine="480"/>
      </w:pPr>
      <w:r>
        <w:rPr>
          <w:rFonts w:hint="eastAsia"/>
        </w:rPr>
        <w:t>1．配合及最终批准我方提交的验收申请与验收计划；</w:t>
      </w:r>
    </w:p>
    <w:p w14:paraId="0161AA30">
      <w:pPr>
        <w:pStyle w:val="52"/>
        <w:ind w:firstLine="480"/>
      </w:pPr>
      <w:r>
        <w:rPr>
          <w:rFonts w:hint="eastAsia"/>
        </w:rPr>
        <w:t>2．配合我方进行验收过程；</w:t>
      </w:r>
    </w:p>
    <w:p w14:paraId="1ACAA531">
      <w:pPr>
        <w:pStyle w:val="52"/>
        <w:ind w:firstLine="480"/>
      </w:pPr>
      <w:r>
        <w:rPr>
          <w:rFonts w:hint="eastAsia"/>
        </w:rPr>
        <w:t>3．及时做出验收结论；</w:t>
      </w:r>
    </w:p>
    <w:p w14:paraId="6B3013A7">
      <w:pPr>
        <w:pStyle w:val="8"/>
      </w:pPr>
      <w:r>
        <w:rPr>
          <w:rFonts w:hint="eastAsia"/>
        </w:rPr>
        <w:t>系统功能验收</w:t>
      </w:r>
    </w:p>
    <w:p w14:paraId="2E6EE49E">
      <w:pPr>
        <w:pStyle w:val="52"/>
        <w:numPr>
          <w:ilvl w:val="0"/>
          <w:numId w:val="22"/>
        </w:numPr>
        <w:ind w:firstLineChars="0"/>
        <w:jc w:val="both"/>
      </w:pPr>
      <w:r>
        <w:rPr>
          <w:rFonts w:hint="eastAsia"/>
        </w:rPr>
        <w:t>验收方法：测试与确认</w:t>
      </w:r>
    </w:p>
    <w:p w14:paraId="6F4555B1">
      <w:pPr>
        <w:pStyle w:val="52"/>
        <w:numPr>
          <w:ilvl w:val="0"/>
          <w:numId w:val="22"/>
        </w:numPr>
        <w:ind w:firstLineChars="0"/>
        <w:jc w:val="both"/>
      </w:pPr>
      <w:r>
        <w:rPr>
          <w:rFonts w:hint="eastAsia"/>
        </w:rPr>
        <w:t>验收以需求分析和开发阶段的分析、设计文档为准。</w:t>
      </w:r>
    </w:p>
    <w:p w14:paraId="51F54E67">
      <w:pPr>
        <w:pStyle w:val="52"/>
        <w:numPr>
          <w:ilvl w:val="0"/>
          <w:numId w:val="22"/>
        </w:numPr>
        <w:ind w:firstLineChars="0"/>
        <w:jc w:val="both"/>
      </w:pPr>
      <w:r>
        <w:rPr>
          <w:rFonts w:hint="eastAsia"/>
        </w:rPr>
        <w:t>验收通过标准：在验收测试及试运行确认中，验收出现的问题应满足下表所列标准并在规定的反应时间内进行解决，在规定时间内，未能及时的问题将向上提升问题级别，直到</w:t>
      </w:r>
      <w:r>
        <w:t>A</w:t>
      </w:r>
      <w:r>
        <w:rPr>
          <w:rFonts w:hint="eastAsia"/>
        </w:rPr>
        <w:t>级。</w:t>
      </w:r>
    </w:p>
    <w:p w14:paraId="4ACD9CDC">
      <w:pPr>
        <w:pStyle w:val="52"/>
        <w:numPr>
          <w:ilvl w:val="0"/>
          <w:numId w:val="22"/>
        </w:numPr>
        <w:ind w:firstLineChars="0"/>
        <w:jc w:val="both"/>
      </w:pPr>
      <w:r>
        <w:rPr>
          <w:rFonts w:hint="eastAsia"/>
        </w:rPr>
        <w:t>通过标准（个数）的计量包括在试运行中出现的问题。</w:t>
      </w:r>
    </w:p>
    <w:p w14:paraId="4D077CC9">
      <w:pPr>
        <w:pStyle w:val="52"/>
        <w:numPr>
          <w:ilvl w:val="0"/>
          <w:numId w:val="22"/>
        </w:numPr>
        <w:ind w:firstLineChars="0"/>
        <w:jc w:val="both"/>
      </w:pPr>
      <w:r>
        <w:rPr>
          <w:rFonts w:hint="eastAsia"/>
        </w:rPr>
        <w:t>针对适合性、准确性、互操作性、依从性、安全性</w:t>
      </w:r>
    </w:p>
    <w:p w14:paraId="334B1532">
      <w:pPr>
        <w:pStyle w:val="8"/>
      </w:pPr>
      <w:r>
        <w:rPr>
          <w:rFonts w:hint="eastAsia"/>
        </w:rPr>
        <w:t>系统性能验收</w:t>
      </w:r>
    </w:p>
    <w:p w14:paraId="6278E166">
      <w:pPr>
        <w:pStyle w:val="52"/>
        <w:numPr>
          <w:ilvl w:val="0"/>
          <w:numId w:val="23"/>
        </w:numPr>
        <w:ind w:firstLineChars="0"/>
        <w:jc w:val="both"/>
      </w:pPr>
      <w:r>
        <w:rPr>
          <w:rFonts w:hint="eastAsia"/>
        </w:rPr>
        <w:t>验收方法：测试与生产确认。</w:t>
      </w:r>
    </w:p>
    <w:p w14:paraId="526BF5C6">
      <w:pPr>
        <w:pStyle w:val="52"/>
        <w:numPr>
          <w:ilvl w:val="0"/>
          <w:numId w:val="23"/>
        </w:numPr>
        <w:ind w:firstLineChars="0"/>
        <w:jc w:val="both"/>
      </w:pPr>
      <w:r>
        <w:rPr>
          <w:rFonts w:hint="eastAsia"/>
        </w:rPr>
        <w:t>验收通过标准：通过测试与生产验证系统满足以下要求：</w:t>
      </w:r>
    </w:p>
    <w:p w14:paraId="12C0801A">
      <w:pPr>
        <w:pStyle w:val="52"/>
        <w:numPr>
          <w:ilvl w:val="0"/>
          <w:numId w:val="24"/>
        </w:numPr>
        <w:ind w:firstLineChars="0"/>
        <w:jc w:val="both"/>
      </w:pPr>
      <w:r>
        <w:rPr>
          <w:rFonts w:hint="eastAsia"/>
        </w:rPr>
        <w:t>易用性</w:t>
      </w:r>
    </w:p>
    <w:p w14:paraId="7DFF30BF">
      <w:pPr>
        <w:pStyle w:val="52"/>
        <w:ind w:firstLine="480"/>
      </w:pPr>
      <w:r>
        <w:rPr>
          <w:rFonts w:hint="eastAsia"/>
        </w:rPr>
        <w:t>所有文档语言简练、前后一致、易于理解以及语句无歧义。系统的用户界面简明、实用、协调，符合用户的习惯，并应符合美学要求。</w:t>
      </w:r>
    </w:p>
    <w:p w14:paraId="41FDFE48">
      <w:pPr>
        <w:pStyle w:val="52"/>
        <w:numPr>
          <w:ilvl w:val="0"/>
          <w:numId w:val="24"/>
        </w:numPr>
        <w:ind w:firstLineChars="0"/>
        <w:jc w:val="both"/>
      </w:pPr>
      <w:r>
        <w:rPr>
          <w:rFonts w:hint="eastAsia"/>
        </w:rPr>
        <w:t>可维护性</w:t>
      </w:r>
    </w:p>
    <w:p w14:paraId="4810E367">
      <w:pPr>
        <w:pStyle w:val="52"/>
        <w:ind w:firstLine="480"/>
      </w:pPr>
      <w:r>
        <w:rPr>
          <w:rFonts w:hint="eastAsia"/>
        </w:rPr>
        <w:t>当系统出现故障时,在最短的时间内找出故障部位,并在不影响整个系统正常使用的情况下更换软件或设备,尽可能不影响其他用户的使用。并满足系统修改后的测试工作范围最小化原则。</w:t>
      </w:r>
    </w:p>
    <w:p w14:paraId="4AF0B8B0">
      <w:pPr>
        <w:pStyle w:val="52"/>
        <w:numPr>
          <w:ilvl w:val="0"/>
          <w:numId w:val="24"/>
        </w:numPr>
        <w:ind w:firstLineChars="0"/>
        <w:jc w:val="both"/>
      </w:pPr>
      <w:r>
        <w:rPr>
          <w:rFonts w:hint="eastAsia"/>
        </w:rPr>
        <w:t>可移植性</w:t>
      </w:r>
    </w:p>
    <w:p w14:paraId="0FEA22B7">
      <w:pPr>
        <w:pStyle w:val="52"/>
        <w:ind w:firstLine="480"/>
      </w:pPr>
      <w:r>
        <w:rPr>
          <w:rFonts w:hint="eastAsia"/>
        </w:rPr>
        <w:t>系统的设计遵循甲方或国家相应的技术标准，如甲方或国家没有相关标准要遵循行业的标准和最佳实践。则使用通用的规则和规范，使系统的设计和开发文档具有适应性，产品的安装简单化；代码具有多支持平台的兼容性。</w:t>
      </w:r>
    </w:p>
    <w:p w14:paraId="244273BD">
      <w:pPr>
        <w:pStyle w:val="52"/>
        <w:numPr>
          <w:ilvl w:val="0"/>
          <w:numId w:val="24"/>
        </w:numPr>
        <w:ind w:firstLineChars="0"/>
        <w:jc w:val="both"/>
      </w:pPr>
      <w:r>
        <w:rPr>
          <w:rFonts w:hint="eastAsia"/>
        </w:rPr>
        <w:t>安全性</w:t>
      </w:r>
    </w:p>
    <w:p w14:paraId="245EE869">
      <w:pPr>
        <w:pStyle w:val="52"/>
        <w:ind w:firstLine="480"/>
      </w:pPr>
      <w:r>
        <w:rPr>
          <w:rFonts w:hint="eastAsia"/>
        </w:rPr>
        <w:t>系统的代码设计安全、流程清楚；没有冗余流程和软件逻辑限制；用户的认证、权限管理符合甲方的标准和要求；数据处理流程正确、清晰，逻辑符合业务要求；系统部署满足甲方基础设施建设的标准和限制；所使用的软件符合国家相关版权要求。</w:t>
      </w:r>
    </w:p>
    <w:p w14:paraId="6806DA4F">
      <w:pPr>
        <w:pStyle w:val="52"/>
        <w:numPr>
          <w:ilvl w:val="0"/>
          <w:numId w:val="24"/>
        </w:numPr>
        <w:ind w:firstLineChars="0"/>
        <w:jc w:val="both"/>
      </w:pPr>
      <w:r>
        <w:rPr>
          <w:rFonts w:hint="eastAsia"/>
        </w:rPr>
        <w:t>稳定性</w:t>
      </w:r>
    </w:p>
    <w:p w14:paraId="69F2048E">
      <w:pPr>
        <w:pStyle w:val="52"/>
        <w:ind w:firstLine="480"/>
      </w:pPr>
      <w:r>
        <w:rPr>
          <w:rFonts w:hint="eastAsia"/>
        </w:rPr>
        <w:t>系统资源利用合理，无堵塞现象。</w:t>
      </w:r>
    </w:p>
    <w:p w14:paraId="04A59F18">
      <w:pPr>
        <w:pStyle w:val="8"/>
      </w:pPr>
      <w:r>
        <w:rPr>
          <w:rFonts w:hint="eastAsia"/>
        </w:rPr>
        <w:t>产品过程文档验收标准</w:t>
      </w:r>
    </w:p>
    <w:p w14:paraId="60D51796">
      <w:pPr>
        <w:pStyle w:val="52"/>
        <w:numPr>
          <w:ilvl w:val="0"/>
          <w:numId w:val="24"/>
        </w:numPr>
        <w:ind w:firstLineChars="0"/>
        <w:jc w:val="both"/>
      </w:pPr>
      <w:r>
        <w:rPr>
          <w:rFonts w:hint="eastAsia"/>
        </w:rPr>
        <w:t>验收方法：演示与分析</w:t>
      </w:r>
    </w:p>
    <w:p w14:paraId="69F6B459">
      <w:pPr>
        <w:pStyle w:val="52"/>
        <w:numPr>
          <w:ilvl w:val="0"/>
          <w:numId w:val="24"/>
        </w:numPr>
        <w:ind w:firstLineChars="0"/>
        <w:jc w:val="both"/>
      </w:pPr>
      <w:r>
        <w:rPr>
          <w:rFonts w:hint="eastAsia"/>
        </w:rPr>
        <w:t>验收通过标准：符合甲方提供的项目开发文档质量管理规定，所有文档提交文件完整、内容准确，并与提交的程序一致。文档验收以抽样方式进行，抽样率至少为20%。如果在验收的文档中，错误的总字数超过抽样文档总字数的0.5%，或文档关键处出现错误的描述，或描述每一独立完整的功能/章节错误，视为验收失败。</w:t>
      </w:r>
    </w:p>
    <w:p w14:paraId="3871B8E3">
      <w:pPr>
        <w:pStyle w:val="8"/>
      </w:pPr>
      <w:r>
        <w:rPr>
          <w:rFonts w:hint="eastAsia"/>
        </w:rPr>
        <w:t>源代码验收标准</w:t>
      </w:r>
    </w:p>
    <w:p w14:paraId="7DCEAE48">
      <w:pPr>
        <w:pStyle w:val="52"/>
        <w:ind w:firstLine="480"/>
      </w:pPr>
      <w:r>
        <w:rPr>
          <w:rFonts w:hint="eastAsia"/>
        </w:rPr>
        <w:t>验收方法：检验及分析</w:t>
      </w:r>
    </w:p>
    <w:p w14:paraId="7D010DD8">
      <w:pPr>
        <w:pStyle w:val="52"/>
        <w:ind w:firstLine="480"/>
      </w:pPr>
      <w:r>
        <w:rPr>
          <w:rFonts w:hint="eastAsia"/>
        </w:rPr>
        <w:t>验收以编码规范及《概要设计说明书》为依据</w:t>
      </w:r>
    </w:p>
    <w:p w14:paraId="2C7D03E4">
      <w:pPr>
        <w:pStyle w:val="52"/>
        <w:ind w:firstLine="480"/>
      </w:pPr>
      <w:r>
        <w:rPr>
          <w:rFonts w:hint="eastAsia"/>
        </w:rPr>
        <w:t>验收通过标准：甲方检查人员将组织对源代码进行检验及分析，从规范性、标准性、完整性（包括系统涉及的所有源码及相关资料）方面进行考评，必须符合配置系统管理要求，能正常构建完整系统。</w:t>
      </w:r>
    </w:p>
    <w:p w14:paraId="530B155F">
      <w:pPr>
        <w:jc w:val="center"/>
      </w:pPr>
    </w:p>
    <w:p w14:paraId="6B3FCBA7">
      <w:pPr>
        <w:pStyle w:val="5"/>
        <w:rPr>
          <w:highlight w:val="cyan"/>
        </w:rPr>
      </w:pPr>
      <w:r>
        <w:rPr>
          <w:rFonts w:hint="eastAsia"/>
          <w:highlight w:val="cyan"/>
        </w:rPr>
        <w:t>售后服务（售前）（王冠耘）</w:t>
      </w:r>
    </w:p>
    <w:p w14:paraId="0974C653">
      <w:pPr>
        <w:ind w:firstLine="360" w:firstLineChars="150"/>
        <w:rPr>
          <w:rFonts w:asciiTheme="minorEastAsia" w:hAnsiTheme="minorEastAsia"/>
          <w:i/>
          <w:iCs/>
          <w:color w:val="FF0000"/>
          <w:szCs w:val="24"/>
        </w:rPr>
      </w:pPr>
      <w:r>
        <w:rPr>
          <w:rFonts w:hint="eastAsia" w:asciiTheme="minorEastAsia" w:hAnsiTheme="minorEastAsia"/>
          <w:i/>
          <w:iCs/>
          <w:color w:val="FF0000"/>
          <w:szCs w:val="24"/>
        </w:rPr>
        <w:t>明确针对本次工程合同，应答人提供的售后服务内容、等级、相关服务指标、售后服务组织机构及人员安排情况。</w:t>
      </w:r>
    </w:p>
    <w:p w14:paraId="5FE90CFB">
      <w:pPr>
        <w:ind w:firstLine="360" w:firstLineChars="150"/>
        <w:rPr>
          <w:rFonts w:asciiTheme="minorEastAsia" w:hAnsiTheme="minorEastAsia"/>
          <w:i/>
          <w:iCs/>
          <w:color w:val="FF0000"/>
          <w:szCs w:val="24"/>
        </w:rPr>
      </w:pPr>
      <w:r>
        <w:rPr>
          <w:rFonts w:hint="eastAsia" w:asciiTheme="minorEastAsia" w:hAnsiTheme="minorEastAsia"/>
          <w:i/>
          <w:iCs/>
          <w:color w:val="FF0000"/>
          <w:szCs w:val="24"/>
        </w:rPr>
        <w:t>应答人向采购人提供平台维护期内的免费技术支持服务。技术服务内容包括平台相关的BUG修正、系统安装部署及系统优化等。</w:t>
      </w:r>
    </w:p>
    <w:p w14:paraId="0AA3E72F">
      <w:pPr>
        <w:ind w:firstLine="360" w:firstLineChars="150"/>
        <w:rPr>
          <w:rFonts w:asciiTheme="minorEastAsia" w:hAnsiTheme="minorEastAsia"/>
          <w:i/>
          <w:iCs/>
          <w:color w:val="FF0000"/>
          <w:szCs w:val="24"/>
        </w:rPr>
      </w:pPr>
      <w:r>
        <w:rPr>
          <w:rFonts w:hint="eastAsia" w:asciiTheme="minorEastAsia" w:hAnsiTheme="minorEastAsia"/>
          <w:i/>
          <w:iCs/>
          <w:color w:val="FF0000"/>
          <w:szCs w:val="24"/>
        </w:rPr>
        <w:t>应答人应该建立完善技术服务保障体系，形成闭环管理。应答人的技术服务人员资质需经过采购人认可，方可进驻现场。</w:t>
      </w:r>
      <w:r>
        <w:rPr>
          <w:rFonts w:hint="eastAsia" w:asciiTheme="minorEastAsia" w:hAnsiTheme="minorEastAsia"/>
          <w:i/>
          <w:iCs/>
          <w:color w:val="FF0000"/>
          <w:szCs w:val="24"/>
          <w:highlight w:val="yellow"/>
        </w:rPr>
        <w:t>技术服务保障体系请详细说明。</w:t>
      </w:r>
    </w:p>
    <w:p w14:paraId="4CE89C10">
      <w:pPr>
        <w:ind w:firstLine="360" w:firstLineChars="150"/>
      </w:pPr>
      <w:r>
        <w:rPr>
          <w:rFonts w:hint="eastAsia" w:asciiTheme="minorEastAsia" w:hAnsiTheme="minorEastAsia"/>
          <w:i/>
          <w:iCs/>
          <w:color w:val="FF0000"/>
          <w:szCs w:val="24"/>
        </w:rPr>
        <w:t>应答人应提供7x24技术支持服务，响应时间小于30分钟，1小时到达现场；影响采购人业务连续性的故障在半小时内协助解决，其它故障在6小时解决</w:t>
      </w:r>
      <w:r>
        <w:rPr>
          <w:rFonts w:hint="eastAsia"/>
        </w:rPr>
        <w:t>。</w:t>
      </w:r>
    </w:p>
    <w:p w14:paraId="12B7EF2D">
      <w:pPr>
        <w:pStyle w:val="6"/>
      </w:pPr>
      <w:r>
        <w:rPr>
          <w:rFonts w:hint="eastAsia"/>
        </w:rPr>
        <w:t>售后服务期限</w:t>
      </w:r>
    </w:p>
    <w:p w14:paraId="355F5143">
      <w:pPr>
        <w:ind w:firstLine="480" w:firstLineChars="200"/>
        <w:rPr>
          <w:rFonts w:asciiTheme="minorEastAsia" w:hAnsiTheme="minorEastAsia"/>
          <w:szCs w:val="24"/>
        </w:rPr>
      </w:pPr>
      <w:r>
        <w:rPr>
          <w:rStyle w:val="53"/>
          <w:rFonts w:hint="eastAsia"/>
        </w:rPr>
        <w:t>本项目售后服务期限为：最终验收后24个月</w:t>
      </w:r>
      <w:r>
        <w:rPr>
          <w:rFonts w:hint="eastAsia" w:asciiTheme="minorEastAsia" w:hAnsiTheme="minorEastAsia"/>
          <w:szCs w:val="24"/>
        </w:rPr>
        <w:t>。</w:t>
      </w:r>
    </w:p>
    <w:p w14:paraId="24BD4EDC">
      <w:pPr>
        <w:pStyle w:val="6"/>
      </w:pPr>
      <w:r>
        <w:rPr>
          <w:rFonts w:hint="eastAsia"/>
        </w:rPr>
        <w:t>技术服务保障体系</w:t>
      </w:r>
    </w:p>
    <w:p w14:paraId="0D870765">
      <w:pPr>
        <w:pStyle w:val="7"/>
      </w:pPr>
      <w:r>
        <w:rPr>
          <w:rFonts w:hint="eastAsia"/>
        </w:rPr>
        <w:t>总则</w:t>
      </w:r>
    </w:p>
    <w:p w14:paraId="10336D62">
      <w:pPr>
        <w:pStyle w:val="52"/>
        <w:ind w:firstLine="480"/>
      </w:pPr>
      <w:r>
        <w:rPr>
          <w:rFonts w:hint="eastAsia"/>
        </w:rPr>
        <w:t>在售后维护期内我方将提供完整的运行维护方案及故障分析报告，并帮助采购人构建完整的技术服务保障体系，形成闭环管理。在运行维护方案中，我方将协助甲方对本项目系统的服务标准、规范、维护、流程、策略以及岗位职责等提出建议，提交维护方案集等文档。帮助甲方运维团队解决在运行过程中发现的问题，完成对应的事件分析。</w:t>
      </w:r>
    </w:p>
    <w:p w14:paraId="1FF80B37">
      <w:pPr>
        <w:pStyle w:val="52"/>
        <w:ind w:firstLine="480"/>
      </w:pPr>
      <w:r>
        <w:rPr>
          <w:rFonts w:hint="eastAsia"/>
        </w:rPr>
        <w:t>对于不同级别的故障我方将建立不同的响应模式和支持服务，保证7*24小时的（中文）热线电话协助甲方完成应急事件处理、功能咨询服务，和重大事件的现场服务，直至问题、风险彻底解决。</w:t>
      </w:r>
    </w:p>
    <w:p w14:paraId="09D302D1">
      <w:pPr>
        <w:pStyle w:val="52"/>
        <w:ind w:firstLine="480"/>
      </w:pPr>
      <w:r>
        <w:rPr>
          <w:rFonts w:hint="eastAsia"/>
        </w:rPr>
        <w:t>为了帮助甲方管理人员、运维人员、用户更加熟悉系统的使用和运维等系统相关知识，我方还提供了培训服务，由经验丰富的管理人员、产品人员、实施人员共同承担培训工作，课程包括产品公开课以及各类运维与管理课程。</w:t>
      </w:r>
    </w:p>
    <w:p w14:paraId="7F1FCA7D">
      <w:pPr>
        <w:pStyle w:val="7"/>
      </w:pPr>
      <w:r>
        <w:rPr>
          <w:rFonts w:hint="eastAsia"/>
        </w:rPr>
        <w:t>建立技术服务团队</w:t>
      </w:r>
    </w:p>
    <w:p w14:paraId="01A810F4">
      <w:r>
        <w:drawing>
          <wp:inline distT="0" distB="0" distL="0" distR="0">
            <wp:extent cx="5759450" cy="2220595"/>
            <wp:effectExtent l="0" t="0" r="0" b="825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5759450" cy="2220595"/>
                    </a:xfrm>
                    <a:prstGeom prst="rect">
                      <a:avLst/>
                    </a:prstGeom>
                  </pic:spPr>
                </pic:pic>
              </a:graphicData>
            </a:graphic>
          </wp:inline>
        </w:drawing>
      </w:r>
    </w:p>
    <w:p w14:paraId="279F17B7">
      <w:r>
        <w:tab/>
      </w:r>
      <w:r>
        <w:rPr>
          <w:rFonts w:hint="eastAsia"/>
        </w:rPr>
        <w:t>达闼机器人股份有限公司针对本项目成立技术保障团队，本项目技术保障团队有保障组组长谢毅负责，谢毅在本项目实施阶段作为项目经理，具备对项目的全过程管理经验，充分了解项目的建设过程，在售后阶段可以更好的为用户提供优良服务。</w:t>
      </w:r>
    </w:p>
    <w:p w14:paraId="1D5D8E5E">
      <w:pPr>
        <w:pStyle w:val="52"/>
        <w:ind w:firstLine="480"/>
      </w:pPr>
      <w:r>
        <w:rPr>
          <w:rFonts w:hint="eastAsia"/>
        </w:rPr>
        <w:t>技术保障团队包括远程技术保障组和现场技术保障组构成：</w:t>
      </w:r>
    </w:p>
    <w:p w14:paraId="292B64AF">
      <w:pPr>
        <w:pStyle w:val="52"/>
        <w:ind w:firstLine="480"/>
      </w:pPr>
      <w:r>
        <w:rPr>
          <w:rFonts w:hint="eastAsia"/>
        </w:rPr>
        <w:t>（1）远程技术保障组有A，B角构成，为用户提供7</w:t>
      </w:r>
      <w:r>
        <w:t>*24</w:t>
      </w:r>
      <w:r>
        <w:rPr>
          <w:rFonts w:hint="eastAsia"/>
        </w:rPr>
        <w:t>小时运维支持服务；</w:t>
      </w:r>
    </w:p>
    <w:p w14:paraId="00C25612">
      <w:pPr>
        <w:pStyle w:val="52"/>
        <w:ind w:firstLine="480"/>
      </w:pPr>
      <w:r>
        <w:rPr>
          <w:rFonts w:hint="eastAsia"/>
        </w:rPr>
        <w:t>（2）现场保障组有3名研发与实施工程师组成，为用户提供现场运维支持服务；</w:t>
      </w:r>
    </w:p>
    <w:p w14:paraId="3A6CAD1F">
      <w:r>
        <w:tab/>
      </w:r>
      <w:r>
        <w:rPr>
          <w:rFonts w:hint="eastAsia"/>
        </w:rPr>
        <w:t>达闼机器人股份有限公司针对本项目除了技术保障团队以外，还提供技术专家组服务，技术专家组由本项目所提供系统的产品总监，研发工程师以及产品经理组成，当系统出现短期内无法解决的问题，我方技术专家组为本项目提供现场技术支持服务。</w:t>
      </w:r>
    </w:p>
    <w:p w14:paraId="763A3F69">
      <w:pPr>
        <w:pStyle w:val="7"/>
      </w:pPr>
      <w:r>
        <w:rPr>
          <w:rFonts w:hint="eastAsia"/>
        </w:rPr>
        <w:t>服务质量控制</w:t>
      </w:r>
    </w:p>
    <w:p w14:paraId="339F953C">
      <w:pPr>
        <w:pStyle w:val="52"/>
        <w:ind w:firstLine="480"/>
        <w:rPr>
          <w:rFonts w:asciiTheme="minorEastAsia" w:hAnsiTheme="minorEastAsia" w:eastAsiaTheme="minorEastAsia"/>
        </w:rPr>
      </w:pPr>
      <w:r>
        <w:rPr>
          <w:rFonts w:asciiTheme="minorEastAsia" w:hAnsiTheme="minorEastAsia" w:eastAsiaTheme="minorEastAsia"/>
        </w:rPr>
        <w:t>为保证服务质量</w:t>
      </w:r>
      <w:r>
        <w:rPr>
          <w:rFonts w:hint="eastAsia" w:asciiTheme="minorEastAsia" w:hAnsiTheme="minorEastAsia" w:eastAsiaTheme="minorEastAsia"/>
        </w:rPr>
        <w:t>，</w:t>
      </w:r>
      <w:r>
        <w:rPr>
          <w:rFonts w:asciiTheme="minorEastAsia" w:hAnsiTheme="minorEastAsia" w:eastAsiaTheme="minorEastAsia"/>
        </w:rPr>
        <w:t>我方将建立完备的售后服务流程</w:t>
      </w:r>
      <w:r>
        <w:rPr>
          <w:rFonts w:hint="eastAsia" w:asciiTheme="minorEastAsia" w:hAnsiTheme="minorEastAsia" w:eastAsiaTheme="minorEastAsia"/>
        </w:rPr>
        <w:t>，保证7*</w:t>
      </w:r>
      <w:r>
        <w:rPr>
          <w:rFonts w:asciiTheme="minorEastAsia" w:hAnsiTheme="minorEastAsia" w:eastAsiaTheme="minorEastAsia"/>
        </w:rPr>
        <w:t>24小时提供售后服务</w:t>
      </w:r>
      <w:r>
        <w:rPr>
          <w:rFonts w:hint="eastAsia" w:asciiTheme="minorEastAsia" w:hAnsiTheme="minorEastAsia" w:eastAsiaTheme="minorEastAsia"/>
        </w:rPr>
        <w:t>。我方有专人通过电话或现场支持的方式提供有关产品信息、安装配置、产品升级、故障处理、使用技巧等方面的技术支持。</w:t>
      </w:r>
    </w:p>
    <w:p w14:paraId="0C2CDC77">
      <w:pPr>
        <w:pStyle w:val="52"/>
        <w:ind w:firstLine="480"/>
        <w:rPr>
          <w:rFonts w:asciiTheme="minorEastAsia" w:hAnsiTheme="minorEastAsia" w:eastAsiaTheme="minorEastAsia"/>
        </w:rPr>
      </w:pPr>
      <w:r>
        <w:rPr>
          <w:rFonts w:hint="eastAsia" w:asciiTheme="minorEastAsia" w:hAnsiTheme="minorEastAsia" w:eastAsiaTheme="minorEastAsia"/>
        </w:rPr>
        <w:t>支持服务将遵循项目制定的质量控制标准。甲方向我方提出的所有保修要求进行记录都会被记录，并对处理结果进行记录。甲方将定期对保修记录进行检查，并向我方通报，以保证我方的服务质量。</w:t>
      </w:r>
    </w:p>
    <w:p w14:paraId="30128784">
      <w:pPr>
        <w:pStyle w:val="52"/>
        <w:ind w:firstLine="480"/>
        <w:rPr>
          <w:rFonts w:asciiTheme="minorEastAsia" w:hAnsiTheme="minorEastAsia" w:eastAsiaTheme="minorEastAsia"/>
        </w:rPr>
      </w:pPr>
      <w:r>
        <w:rPr>
          <w:rFonts w:hint="eastAsia" w:asciiTheme="minorEastAsia" w:hAnsiTheme="minorEastAsia" w:eastAsiaTheme="minorEastAsia"/>
        </w:rPr>
        <w:t>同时，在维保期间内，我方的工程师将认真解决甲方的问题，并将问题的详细情况记录在我方专有的的客户支持系统中，保证所有故障都会加以记录、追踪、解决。在故障处理过程后，只有甲方同意方可结束，并在故障解决后的3个工作日内向甲方提供详细的《故障分析报告》。</w:t>
      </w:r>
    </w:p>
    <w:p w14:paraId="51E594F7">
      <w:pPr>
        <w:pStyle w:val="7"/>
      </w:pPr>
      <w:r>
        <w:rPr>
          <w:rFonts w:hint="eastAsia"/>
        </w:rPr>
        <w:t>故障级别定义及响应时间</w:t>
      </w:r>
    </w:p>
    <w:p w14:paraId="6F90A28A">
      <w:pPr>
        <w:pStyle w:val="52"/>
        <w:ind w:firstLine="480"/>
        <w:rPr>
          <w:rFonts w:asciiTheme="minorEastAsia" w:hAnsiTheme="minorEastAsia" w:eastAsiaTheme="minorEastAsia"/>
        </w:rPr>
      </w:pPr>
      <w:r>
        <w:rPr>
          <w:rFonts w:asciiTheme="minorEastAsia" w:hAnsiTheme="minorEastAsia" w:eastAsiaTheme="minorEastAsia"/>
        </w:rPr>
        <w:t>我方将根据甲方判断的故障级别</w:t>
      </w:r>
      <w:r>
        <w:rPr>
          <w:rFonts w:hint="eastAsia" w:asciiTheme="minorEastAsia" w:hAnsiTheme="minorEastAsia" w:eastAsiaTheme="minorEastAsia"/>
        </w:rPr>
        <w:t>，</w:t>
      </w:r>
      <w:r>
        <w:rPr>
          <w:rFonts w:asciiTheme="minorEastAsia" w:hAnsiTheme="minorEastAsia" w:eastAsiaTheme="minorEastAsia"/>
        </w:rPr>
        <w:t>提出与之对应的故障处理建议和解决方案</w:t>
      </w:r>
      <w:r>
        <w:rPr>
          <w:rFonts w:hint="eastAsia" w:asciiTheme="minorEastAsia" w:hAnsiTheme="minorEastAsia" w:eastAsiaTheme="minorEastAsia"/>
        </w:rPr>
        <w:t>。严格按照技术流程进行技术支持工作，包括问题发生的现象、原因、解决措施，同时涉及到修改程序的问题必须征得甲方同意后才能修改，修改后须经过业务部门的严格测试才能下发。</w:t>
      </w:r>
    </w:p>
    <w:p w14:paraId="1AB88E08">
      <w:pPr>
        <w:pStyle w:val="52"/>
        <w:ind w:firstLine="480"/>
      </w:pPr>
      <w:r>
        <w:rPr>
          <w:rFonts w:hint="eastAsia"/>
        </w:rPr>
        <w:t>达闼机器人股份有限公司针对咪咕公司数智孪生开放平台一期工程定制开发软件项目采购包2提供7*24小时立即响应服务。接到报障后立即响应，及时进行技术支持，响应时间确保小于3</w:t>
      </w:r>
      <w:r>
        <w:t>0</w:t>
      </w:r>
      <w:r>
        <w:rPr>
          <w:rFonts w:hint="eastAsia"/>
        </w:rPr>
        <w:t>分钟，我方将保证在1小时后到达用户现场。</w:t>
      </w:r>
    </w:p>
    <w:p w14:paraId="352D9329">
      <w:pPr>
        <w:pStyle w:val="52"/>
        <w:ind w:firstLine="480"/>
      </w:pPr>
      <w:r>
        <w:rPr>
          <w:rFonts w:hint="eastAsia"/>
        </w:rPr>
        <w:t>针对一般性故障，我方确保</w:t>
      </w:r>
      <w:r>
        <w:t>6</w:t>
      </w:r>
      <w:r>
        <w:rPr>
          <w:rFonts w:hint="eastAsia"/>
        </w:rPr>
        <w:t>小时内解决问题，对于影响采购人业务连续性的故障，我公司将提供专家级服务，确保在半小时内协助解决，保证不影响用户（采购人）业务运行。</w:t>
      </w:r>
    </w:p>
    <w:p w14:paraId="307365F6">
      <w:pPr>
        <w:pStyle w:val="8"/>
      </w:pPr>
      <w:r>
        <w:rPr>
          <w:rFonts w:hint="eastAsia"/>
        </w:rPr>
        <w:t>故障级别的定义</w:t>
      </w:r>
    </w:p>
    <w:p w14:paraId="561B4E94">
      <w:pPr>
        <w:pStyle w:val="52"/>
        <w:ind w:firstLine="480"/>
        <w:rPr>
          <w:rFonts w:asciiTheme="minorEastAsia" w:hAnsiTheme="minorEastAsia" w:eastAsiaTheme="minorEastAsia"/>
        </w:rPr>
      </w:pPr>
      <w:r>
        <w:rPr>
          <w:rFonts w:hint="eastAsia" w:asciiTheme="minorEastAsia" w:hAnsiTheme="minorEastAsia" w:eastAsiaTheme="minorEastAsia"/>
        </w:rPr>
        <w:t>一级故障：系统不能运行或存在故障，导致所有或部分业务都无法运作。</w:t>
      </w:r>
    </w:p>
    <w:p w14:paraId="70A27727">
      <w:pPr>
        <w:pStyle w:val="52"/>
        <w:ind w:firstLine="480"/>
        <w:rPr>
          <w:rFonts w:asciiTheme="minorEastAsia" w:hAnsiTheme="minorEastAsia" w:eastAsiaTheme="minorEastAsia"/>
        </w:rPr>
      </w:pPr>
      <w:r>
        <w:rPr>
          <w:rFonts w:hint="eastAsia" w:asciiTheme="minorEastAsia" w:hAnsiTheme="minorEastAsia" w:eastAsiaTheme="minorEastAsia"/>
        </w:rPr>
        <w:t>二级故障：辖内部分机构的业务系统无法运行。</w:t>
      </w:r>
    </w:p>
    <w:p w14:paraId="23C208E2">
      <w:pPr>
        <w:pStyle w:val="52"/>
        <w:ind w:firstLine="480"/>
        <w:rPr>
          <w:rFonts w:asciiTheme="minorEastAsia" w:hAnsiTheme="minorEastAsia" w:eastAsiaTheme="minorEastAsia"/>
        </w:rPr>
      </w:pPr>
      <w:r>
        <w:rPr>
          <w:rFonts w:hint="eastAsia" w:asciiTheme="minorEastAsia" w:hAnsiTheme="minorEastAsia" w:eastAsiaTheme="minorEastAsia"/>
        </w:rPr>
        <w:t>三级故障：系统的运行性能严重下降。</w:t>
      </w:r>
    </w:p>
    <w:p w14:paraId="65DB875D">
      <w:pPr>
        <w:pStyle w:val="8"/>
      </w:pPr>
      <w:r>
        <w:rPr>
          <w:rFonts w:hint="eastAsia"/>
        </w:rPr>
        <w:t>故障响应方式</w:t>
      </w:r>
    </w:p>
    <w:p w14:paraId="31E4DCA5">
      <w:pPr>
        <w:pStyle w:val="52"/>
        <w:ind w:firstLine="480"/>
        <w:rPr>
          <w:rFonts w:asciiTheme="minorEastAsia" w:hAnsiTheme="minorEastAsia" w:eastAsiaTheme="minorEastAsia"/>
        </w:rPr>
      </w:pPr>
      <w:r>
        <w:rPr>
          <w:rFonts w:hint="eastAsia" w:asciiTheme="minorEastAsia" w:hAnsiTheme="minorEastAsia" w:eastAsiaTheme="minorEastAsia"/>
        </w:rPr>
        <w:t>一级故障：非现场支持，我方在接到请求后10分钟内电话响应，提供远程技术支持；如果需要现场应急支持，工程师将于接到请求后</w:t>
      </w:r>
      <w:r>
        <w:rPr>
          <w:rFonts w:asciiTheme="minorEastAsia" w:hAnsiTheme="minorEastAsia" w:eastAsiaTheme="minorEastAsia"/>
        </w:rPr>
        <w:t>1</w:t>
      </w:r>
      <w:r>
        <w:rPr>
          <w:rFonts w:hint="eastAsia" w:asciiTheme="minorEastAsia" w:hAnsiTheme="minorEastAsia" w:eastAsiaTheme="minorEastAsia"/>
        </w:rPr>
        <w:t>小时内到达甲方现场。</w:t>
      </w:r>
    </w:p>
    <w:p w14:paraId="33F161F6">
      <w:pPr>
        <w:pStyle w:val="52"/>
        <w:ind w:firstLine="480"/>
        <w:rPr>
          <w:rFonts w:asciiTheme="minorEastAsia" w:hAnsiTheme="minorEastAsia" w:eastAsiaTheme="minorEastAsia"/>
        </w:rPr>
      </w:pPr>
      <w:r>
        <w:rPr>
          <w:rFonts w:hint="eastAsia" w:asciiTheme="minorEastAsia" w:hAnsiTheme="minorEastAsia" w:eastAsiaTheme="minorEastAsia"/>
        </w:rPr>
        <w:t>二级故障：非现场支持，我方在接到请求后15分钟内电话响应，提供远程技术支持；如果需要现场应急支持，工程师将于接到请求后</w:t>
      </w:r>
      <w:r>
        <w:rPr>
          <w:rFonts w:asciiTheme="minorEastAsia" w:hAnsiTheme="minorEastAsia" w:eastAsiaTheme="minorEastAsia"/>
        </w:rPr>
        <w:t>1</w:t>
      </w:r>
      <w:r>
        <w:rPr>
          <w:rFonts w:hint="eastAsia" w:asciiTheme="minorEastAsia" w:hAnsiTheme="minorEastAsia" w:eastAsiaTheme="minorEastAsia"/>
        </w:rPr>
        <w:t>小时内到达甲方现场。</w:t>
      </w:r>
    </w:p>
    <w:p w14:paraId="4E47E0CD">
      <w:pPr>
        <w:pStyle w:val="52"/>
        <w:ind w:firstLine="480"/>
        <w:rPr>
          <w:rFonts w:asciiTheme="minorEastAsia" w:hAnsiTheme="minorEastAsia" w:eastAsiaTheme="minorEastAsia"/>
        </w:rPr>
      </w:pPr>
      <w:r>
        <w:rPr>
          <w:rFonts w:hint="eastAsia" w:asciiTheme="minorEastAsia" w:hAnsiTheme="minorEastAsia" w:eastAsiaTheme="minorEastAsia"/>
        </w:rPr>
        <w:t>三级故障：非现场支持，我方在接到请求后</w:t>
      </w:r>
      <w:r>
        <w:rPr>
          <w:rFonts w:asciiTheme="minorEastAsia" w:hAnsiTheme="minorEastAsia" w:eastAsiaTheme="minorEastAsia"/>
        </w:rPr>
        <w:t>30</w:t>
      </w:r>
      <w:r>
        <w:rPr>
          <w:rFonts w:hint="eastAsia" w:asciiTheme="minorEastAsia" w:hAnsiTheme="minorEastAsia" w:eastAsiaTheme="minorEastAsia"/>
        </w:rPr>
        <w:t>分钟内电话响应，提供远程技术支持；如果需要现场应急支持，工程师将于接到请求后</w:t>
      </w:r>
      <w:r>
        <w:rPr>
          <w:rFonts w:asciiTheme="minorEastAsia" w:hAnsiTheme="minorEastAsia" w:eastAsiaTheme="minorEastAsia"/>
        </w:rPr>
        <w:t>1</w:t>
      </w:r>
      <w:r>
        <w:rPr>
          <w:rFonts w:hint="eastAsia" w:asciiTheme="minorEastAsia" w:hAnsiTheme="minorEastAsia" w:eastAsiaTheme="minorEastAsia"/>
        </w:rPr>
        <w:t>小时内到达甲方现场。</w:t>
      </w:r>
    </w:p>
    <w:p w14:paraId="3687E86C">
      <w:pPr>
        <w:pStyle w:val="7"/>
      </w:pPr>
      <w:r>
        <w:rPr>
          <w:rFonts w:hint="eastAsia"/>
        </w:rPr>
        <w:t>服务方式</w:t>
      </w:r>
    </w:p>
    <w:p w14:paraId="16EC49CF">
      <w:pPr>
        <w:pStyle w:val="8"/>
      </w:pPr>
      <w:r>
        <w:rPr>
          <w:rFonts w:hint="eastAsia"/>
        </w:rPr>
        <w:t>现场服务</w:t>
      </w:r>
    </w:p>
    <w:p w14:paraId="01D8441F">
      <w:pPr>
        <w:pStyle w:val="52"/>
        <w:ind w:firstLine="480"/>
        <w:rPr>
          <w:rFonts w:asciiTheme="minorEastAsia" w:hAnsiTheme="minorEastAsia" w:eastAsiaTheme="minorEastAsia"/>
        </w:rPr>
      </w:pPr>
      <w:r>
        <w:rPr>
          <w:rFonts w:asciiTheme="minorEastAsia" w:hAnsiTheme="minorEastAsia" w:eastAsiaTheme="minorEastAsia"/>
        </w:rPr>
        <w:t>我方将安排专门的技术支持小组在甲方指定的地方</w:t>
      </w:r>
      <w:r>
        <w:rPr>
          <w:rFonts w:hint="eastAsia" w:asciiTheme="minorEastAsia" w:hAnsiTheme="minorEastAsia" w:eastAsiaTheme="minorEastAsia"/>
        </w:rPr>
        <w:t>进行支持维护服务，定期出具维护报告及常见问题分析报告。</w:t>
      </w:r>
    </w:p>
    <w:p w14:paraId="60BA1C65">
      <w:pPr>
        <w:pStyle w:val="52"/>
        <w:ind w:firstLine="480"/>
        <w:rPr>
          <w:rFonts w:asciiTheme="minorEastAsia" w:hAnsiTheme="minorEastAsia" w:eastAsiaTheme="minorEastAsia"/>
        </w:rPr>
      </w:pPr>
      <w:r>
        <w:rPr>
          <w:rFonts w:asciiTheme="minorEastAsia" w:hAnsiTheme="minorEastAsia" w:eastAsiaTheme="minorEastAsia"/>
        </w:rPr>
        <w:t>若需要到非</w:t>
      </w:r>
      <w:r>
        <w:rPr>
          <w:rFonts w:hint="eastAsia" w:asciiTheme="minorEastAsia" w:hAnsiTheme="minorEastAsia" w:eastAsiaTheme="minorEastAsia"/>
        </w:rPr>
        <w:t>指定地点各分行进行维护，首先通过非现场方式进行问题解决，若非现场方式确实无法解决，经双方评估认可，我方提供全程现场维护。</w:t>
      </w:r>
    </w:p>
    <w:p w14:paraId="5EE0454E">
      <w:pPr>
        <w:pStyle w:val="52"/>
        <w:ind w:firstLine="480"/>
        <w:rPr>
          <w:rFonts w:asciiTheme="minorEastAsia" w:hAnsiTheme="minorEastAsia" w:eastAsiaTheme="minorEastAsia"/>
        </w:rPr>
      </w:pPr>
      <w:r>
        <w:rPr>
          <w:rFonts w:hint="eastAsia" w:asciiTheme="minorEastAsia" w:hAnsiTheme="minorEastAsia" w:eastAsiaTheme="minorEastAsia"/>
        </w:rPr>
        <w:t>为有力保证系统上线后业务处理的平稳运行,我方应用顾问（产品经理）、技术顾问（技术专家）将在现场提供相应的支持，直至项目验收后第一个月稳定完成，从而完成一个新系统运行的完整过程。</w:t>
      </w:r>
    </w:p>
    <w:p w14:paraId="5CCFA06B">
      <w:pPr>
        <w:pStyle w:val="8"/>
      </w:pPr>
      <w:r>
        <w:rPr>
          <w:rFonts w:hint="eastAsia"/>
        </w:rPr>
        <w:t>远程服务</w:t>
      </w:r>
    </w:p>
    <w:p w14:paraId="244A15F8">
      <w:pPr>
        <w:pStyle w:val="52"/>
        <w:ind w:firstLine="480"/>
        <w:rPr>
          <w:rFonts w:asciiTheme="minorEastAsia" w:hAnsiTheme="minorEastAsia" w:eastAsiaTheme="minorEastAsia"/>
        </w:rPr>
      </w:pPr>
      <w:r>
        <w:rPr>
          <w:rFonts w:hint="eastAsia" w:asciiTheme="minorEastAsia" w:hAnsiTheme="minorEastAsia" w:eastAsiaTheme="minorEastAsia"/>
        </w:rPr>
        <w:t>利用7*24小时（中文）热线电话、电子邮件、Web支持、远程接入、巡检安排等方式提供咨询、诊断、分析和排除故障等支持服务。</w:t>
      </w:r>
    </w:p>
    <w:p w14:paraId="4939908D">
      <w:pPr>
        <w:pStyle w:val="52"/>
        <w:numPr>
          <w:ilvl w:val="0"/>
          <w:numId w:val="25"/>
        </w:numPr>
        <w:ind w:firstLineChars="0"/>
        <w:rPr>
          <w:rFonts w:asciiTheme="minorEastAsia" w:hAnsiTheme="minorEastAsia" w:eastAsiaTheme="minorEastAsia"/>
        </w:rPr>
      </w:pPr>
      <w:r>
        <w:rPr>
          <w:rFonts w:hint="eastAsia" w:asciiTheme="minorEastAsia" w:hAnsiTheme="minorEastAsia" w:eastAsiaTheme="minorEastAsia"/>
        </w:rPr>
        <w:t>（中文）</w:t>
      </w:r>
      <w:r>
        <w:rPr>
          <w:rFonts w:asciiTheme="minorEastAsia" w:hAnsiTheme="minorEastAsia" w:eastAsiaTheme="minorEastAsia"/>
        </w:rPr>
        <w:t>热线电话</w:t>
      </w:r>
      <w:r>
        <w:rPr>
          <w:rFonts w:hint="eastAsia" w:asciiTheme="minorEastAsia" w:hAnsiTheme="minorEastAsia" w:eastAsiaTheme="minorEastAsia"/>
        </w:rPr>
        <w:t>：我方提供7*</w:t>
      </w:r>
      <w:r>
        <w:rPr>
          <w:rFonts w:asciiTheme="minorEastAsia" w:hAnsiTheme="minorEastAsia" w:eastAsiaTheme="minorEastAsia"/>
        </w:rPr>
        <w:t>24小时的</w:t>
      </w:r>
      <w:r>
        <w:rPr>
          <w:rFonts w:hint="eastAsia" w:asciiTheme="minorEastAsia" w:hAnsiTheme="minorEastAsia" w:eastAsiaTheme="minorEastAsia"/>
        </w:rPr>
        <w:t>热线电话服务，为甲方提供基本的咨询和简单问题诊断服务；</w:t>
      </w:r>
    </w:p>
    <w:p w14:paraId="406B59AC">
      <w:pPr>
        <w:pStyle w:val="52"/>
        <w:numPr>
          <w:ilvl w:val="0"/>
          <w:numId w:val="25"/>
        </w:numPr>
        <w:ind w:firstLineChars="0"/>
        <w:rPr>
          <w:rFonts w:asciiTheme="minorEastAsia" w:hAnsiTheme="minorEastAsia" w:eastAsiaTheme="minorEastAsia"/>
        </w:rPr>
      </w:pPr>
      <w:r>
        <w:rPr>
          <w:rFonts w:asciiTheme="minorEastAsia" w:hAnsiTheme="minorEastAsia" w:eastAsiaTheme="minorEastAsia"/>
        </w:rPr>
        <w:t>电子邮件</w:t>
      </w:r>
      <w:r>
        <w:rPr>
          <w:rFonts w:hint="eastAsia" w:asciiTheme="minorEastAsia" w:hAnsiTheme="minorEastAsia" w:eastAsiaTheme="minorEastAsia"/>
        </w:rPr>
        <w:t>：提供责任工程师邮箱，非紧急问题和产品功能问题可通过邮件的方式进行咨询，我方随时进行解答；</w:t>
      </w:r>
    </w:p>
    <w:p w14:paraId="715BFD43">
      <w:pPr>
        <w:pStyle w:val="52"/>
        <w:numPr>
          <w:ilvl w:val="0"/>
          <w:numId w:val="25"/>
        </w:numPr>
        <w:ind w:firstLineChars="0"/>
        <w:rPr>
          <w:rFonts w:asciiTheme="minorEastAsia" w:hAnsiTheme="minorEastAsia" w:eastAsiaTheme="minorEastAsia"/>
        </w:rPr>
      </w:pPr>
      <w:r>
        <w:rPr>
          <w:rFonts w:asciiTheme="minorEastAsia" w:hAnsiTheme="minorEastAsia" w:eastAsiaTheme="minorEastAsia"/>
        </w:rPr>
        <w:t>Web支持</w:t>
      </w:r>
      <w:r>
        <w:rPr>
          <w:rFonts w:hint="eastAsia" w:asciiTheme="minorEastAsia" w:hAnsiTheme="minorEastAsia" w:eastAsiaTheme="minorEastAsia"/>
        </w:rPr>
        <w:t>：提供的Web支持，包括全面的产品手册、软件版本补丁和维护信息等；</w:t>
      </w:r>
    </w:p>
    <w:p w14:paraId="710FF51D">
      <w:pPr>
        <w:pStyle w:val="52"/>
        <w:numPr>
          <w:ilvl w:val="0"/>
          <w:numId w:val="25"/>
        </w:numPr>
        <w:ind w:firstLineChars="0"/>
        <w:rPr>
          <w:rFonts w:asciiTheme="minorEastAsia" w:hAnsiTheme="minorEastAsia" w:eastAsiaTheme="minorEastAsia"/>
        </w:rPr>
      </w:pPr>
      <w:r>
        <w:rPr>
          <w:rFonts w:hint="eastAsia" w:asciiTheme="minorEastAsia" w:hAnsiTheme="minorEastAsia" w:eastAsiaTheme="minorEastAsia"/>
        </w:rPr>
        <w:t>远程接入：在条件允许的情况下，我方提供远程接入的故障处理方式，减少排障时间；</w:t>
      </w:r>
    </w:p>
    <w:p w14:paraId="0C3B4A75">
      <w:pPr>
        <w:pStyle w:val="52"/>
        <w:numPr>
          <w:ilvl w:val="0"/>
          <w:numId w:val="25"/>
        </w:numPr>
        <w:ind w:firstLineChars="0"/>
        <w:rPr>
          <w:rFonts w:asciiTheme="minorEastAsia" w:hAnsiTheme="minorEastAsia" w:eastAsiaTheme="minorEastAsia"/>
        </w:rPr>
      </w:pPr>
      <w:r>
        <w:rPr>
          <w:rFonts w:asciiTheme="minorEastAsia" w:hAnsiTheme="minorEastAsia" w:eastAsiaTheme="minorEastAsia"/>
        </w:rPr>
        <w:t>巡检安排</w:t>
      </w:r>
      <w:r>
        <w:rPr>
          <w:rFonts w:hint="eastAsia" w:asciiTheme="minorEastAsia" w:hAnsiTheme="minorEastAsia" w:eastAsiaTheme="minorEastAsia"/>
        </w:rPr>
        <w:t>：提供对运行环境、系统软件、数据库系统等进行认真、细致的巡检服务，找出可能引起系统故障的各种问题，及时解决，将系统发生故障的概率减至最小。</w:t>
      </w:r>
    </w:p>
    <w:p w14:paraId="59A413CA">
      <w:pPr>
        <w:pStyle w:val="52"/>
        <w:ind w:firstLine="480"/>
      </w:pPr>
      <w:r>
        <w:rPr>
          <w:rFonts w:hint="eastAsia"/>
        </w:rPr>
        <w:t>为保证故障事件沟通顺利，我方派遣参与项目实施过程的工程师为责任工程师并提供责任工程师的联系方式，保证24小时响应。主要支持服务联络表：</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8"/>
        <w:gridCol w:w="1346"/>
        <w:gridCol w:w="3655"/>
        <w:gridCol w:w="2551"/>
      </w:tblGrid>
      <w:tr w14:paraId="05967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832" w:type="pct"/>
            <w:shd w:val="clear" w:color="auto" w:fill="auto"/>
          </w:tcPr>
          <w:p w14:paraId="06980973">
            <w:pPr>
              <w:spacing w:line="276" w:lineRule="auto"/>
              <w:jc w:val="center"/>
              <w:rPr>
                <w:rFonts w:asciiTheme="minorEastAsia" w:hAnsiTheme="minorEastAsia"/>
                <w:b/>
                <w:sz w:val="21"/>
              </w:rPr>
            </w:pPr>
            <w:r>
              <w:rPr>
                <w:rFonts w:hint="eastAsia" w:asciiTheme="minorEastAsia" w:hAnsiTheme="minorEastAsia"/>
                <w:b/>
                <w:sz w:val="21"/>
              </w:rPr>
              <w:t>工程师</w:t>
            </w:r>
          </w:p>
        </w:tc>
        <w:tc>
          <w:tcPr>
            <w:tcW w:w="743" w:type="pct"/>
            <w:shd w:val="clear" w:color="auto" w:fill="auto"/>
          </w:tcPr>
          <w:p w14:paraId="11AF24D2">
            <w:pPr>
              <w:spacing w:line="276" w:lineRule="auto"/>
              <w:jc w:val="center"/>
              <w:rPr>
                <w:rFonts w:asciiTheme="minorEastAsia" w:hAnsiTheme="minorEastAsia"/>
                <w:b/>
                <w:sz w:val="21"/>
              </w:rPr>
            </w:pPr>
            <w:r>
              <w:rPr>
                <w:rFonts w:hint="eastAsia" w:asciiTheme="minorEastAsia" w:hAnsiTheme="minorEastAsia"/>
                <w:b/>
                <w:sz w:val="21"/>
              </w:rPr>
              <w:t>方式</w:t>
            </w:r>
          </w:p>
        </w:tc>
        <w:tc>
          <w:tcPr>
            <w:tcW w:w="2017" w:type="pct"/>
            <w:shd w:val="clear" w:color="auto" w:fill="auto"/>
          </w:tcPr>
          <w:p w14:paraId="07244DEE">
            <w:pPr>
              <w:spacing w:line="276" w:lineRule="auto"/>
              <w:jc w:val="center"/>
              <w:rPr>
                <w:rFonts w:asciiTheme="minorEastAsia" w:hAnsiTheme="minorEastAsia"/>
                <w:b/>
                <w:sz w:val="21"/>
              </w:rPr>
            </w:pPr>
            <w:r>
              <w:rPr>
                <w:rFonts w:hint="eastAsia" w:asciiTheme="minorEastAsia" w:hAnsiTheme="minorEastAsia"/>
                <w:b/>
                <w:sz w:val="21"/>
              </w:rPr>
              <w:t>邮件</w:t>
            </w:r>
          </w:p>
        </w:tc>
        <w:tc>
          <w:tcPr>
            <w:tcW w:w="1408" w:type="pct"/>
            <w:shd w:val="clear" w:color="auto" w:fill="auto"/>
          </w:tcPr>
          <w:p w14:paraId="16CE5B6F">
            <w:pPr>
              <w:spacing w:line="276" w:lineRule="auto"/>
              <w:jc w:val="center"/>
              <w:rPr>
                <w:rFonts w:asciiTheme="minorEastAsia" w:hAnsiTheme="minorEastAsia"/>
                <w:b/>
                <w:sz w:val="21"/>
              </w:rPr>
            </w:pPr>
            <w:r>
              <w:rPr>
                <w:rFonts w:hint="eastAsia" w:asciiTheme="minorEastAsia" w:hAnsiTheme="minorEastAsia"/>
                <w:b/>
                <w:sz w:val="21"/>
              </w:rPr>
              <w:t>维护内容</w:t>
            </w:r>
          </w:p>
        </w:tc>
      </w:tr>
      <w:tr w14:paraId="50298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2" w:type="pct"/>
            <w:shd w:val="clear" w:color="auto" w:fill="auto"/>
            <w:vAlign w:val="center"/>
          </w:tcPr>
          <w:p w14:paraId="7996D0BF">
            <w:pPr>
              <w:pStyle w:val="57"/>
              <w:rPr>
                <w:rFonts w:asciiTheme="minorEastAsia" w:hAnsiTheme="minorEastAsia" w:eastAsiaTheme="minorEastAsia"/>
                <w:iCs w:val="0"/>
                <w:sz w:val="21"/>
              </w:rPr>
            </w:pPr>
            <w:r>
              <w:rPr>
                <w:rFonts w:hint="eastAsia" w:asciiTheme="minorEastAsia" w:hAnsiTheme="minorEastAsia" w:eastAsiaTheme="minorEastAsia"/>
                <w:iCs w:val="0"/>
                <w:sz w:val="21"/>
              </w:rPr>
              <w:t>光鹏飞</w:t>
            </w:r>
          </w:p>
        </w:tc>
        <w:tc>
          <w:tcPr>
            <w:tcW w:w="743" w:type="pct"/>
            <w:shd w:val="clear" w:color="auto" w:fill="auto"/>
            <w:vAlign w:val="center"/>
          </w:tcPr>
          <w:p w14:paraId="29D33A75">
            <w:pPr>
              <w:pStyle w:val="57"/>
              <w:rPr>
                <w:rFonts w:asciiTheme="minorEastAsia" w:hAnsiTheme="minorEastAsia" w:eastAsiaTheme="minorEastAsia"/>
                <w:iCs w:val="0"/>
                <w:sz w:val="21"/>
              </w:rPr>
            </w:pPr>
            <w:r>
              <w:rPr>
                <w:rFonts w:hint="eastAsia" w:asciiTheme="minorEastAsia" w:hAnsiTheme="minorEastAsia" w:eastAsiaTheme="minorEastAsia"/>
                <w:iCs w:val="0"/>
                <w:sz w:val="21"/>
              </w:rPr>
              <w:t>现场服务</w:t>
            </w:r>
          </w:p>
        </w:tc>
        <w:tc>
          <w:tcPr>
            <w:tcW w:w="2017" w:type="pct"/>
            <w:shd w:val="clear" w:color="auto" w:fill="auto"/>
            <w:vAlign w:val="center"/>
          </w:tcPr>
          <w:p w14:paraId="277652C7">
            <w:pPr>
              <w:pStyle w:val="57"/>
              <w:rPr>
                <w:rFonts w:asciiTheme="minorEastAsia" w:hAnsiTheme="minorEastAsia" w:eastAsiaTheme="minorEastAsia"/>
                <w:iCs w:val="0"/>
                <w:sz w:val="21"/>
              </w:rPr>
            </w:pPr>
            <w:r>
              <w:rPr>
                <w:rFonts w:asciiTheme="minorEastAsia" w:hAnsiTheme="minorEastAsia" w:eastAsiaTheme="minorEastAsia"/>
                <w:iCs w:val="0"/>
                <w:sz w:val="21"/>
              </w:rPr>
              <w:t>flye.guang@cloudminds.com</w:t>
            </w:r>
          </w:p>
        </w:tc>
        <w:tc>
          <w:tcPr>
            <w:tcW w:w="1408" w:type="pct"/>
            <w:shd w:val="clear" w:color="auto" w:fill="auto"/>
            <w:vAlign w:val="center"/>
          </w:tcPr>
          <w:p w14:paraId="01525F95">
            <w:pPr>
              <w:pStyle w:val="57"/>
              <w:rPr>
                <w:rFonts w:asciiTheme="minorEastAsia" w:hAnsiTheme="minorEastAsia" w:eastAsiaTheme="minorEastAsia"/>
                <w:iCs w:val="0"/>
                <w:sz w:val="21"/>
              </w:rPr>
            </w:pPr>
            <w:r>
              <w:rPr>
                <w:rFonts w:hint="eastAsia" w:asciiTheme="minorEastAsia" w:hAnsiTheme="minorEastAsia" w:eastAsiaTheme="minorEastAsia"/>
                <w:iCs w:val="0"/>
                <w:sz w:val="21"/>
              </w:rPr>
              <w:t>故障排查及处理</w:t>
            </w:r>
          </w:p>
        </w:tc>
      </w:tr>
      <w:tr w14:paraId="05BC3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2" w:type="pct"/>
            <w:shd w:val="clear" w:color="auto" w:fill="auto"/>
            <w:vAlign w:val="center"/>
          </w:tcPr>
          <w:p w14:paraId="655DE67B">
            <w:pPr>
              <w:pStyle w:val="57"/>
              <w:rPr>
                <w:rFonts w:asciiTheme="minorEastAsia" w:hAnsiTheme="minorEastAsia" w:eastAsiaTheme="minorEastAsia"/>
                <w:iCs w:val="0"/>
                <w:sz w:val="21"/>
              </w:rPr>
            </w:pPr>
            <w:r>
              <w:rPr>
                <w:rFonts w:hint="eastAsia" w:asciiTheme="minorEastAsia" w:hAnsiTheme="minorEastAsia" w:eastAsiaTheme="minorEastAsia"/>
                <w:iCs w:val="0"/>
                <w:sz w:val="21"/>
              </w:rPr>
              <w:t>赵志杰</w:t>
            </w:r>
          </w:p>
        </w:tc>
        <w:tc>
          <w:tcPr>
            <w:tcW w:w="743" w:type="pct"/>
            <w:shd w:val="clear" w:color="auto" w:fill="auto"/>
            <w:vAlign w:val="center"/>
          </w:tcPr>
          <w:p w14:paraId="5E5FD8B2">
            <w:pPr>
              <w:pStyle w:val="57"/>
              <w:rPr>
                <w:rFonts w:asciiTheme="minorEastAsia" w:hAnsiTheme="minorEastAsia" w:eastAsiaTheme="minorEastAsia"/>
                <w:iCs w:val="0"/>
                <w:sz w:val="21"/>
              </w:rPr>
            </w:pPr>
            <w:r>
              <w:rPr>
                <w:rFonts w:hint="eastAsia" w:asciiTheme="minorEastAsia" w:hAnsiTheme="minorEastAsia" w:eastAsiaTheme="minorEastAsia"/>
                <w:iCs w:val="0"/>
                <w:sz w:val="21"/>
              </w:rPr>
              <w:t>现场服务</w:t>
            </w:r>
          </w:p>
        </w:tc>
        <w:tc>
          <w:tcPr>
            <w:tcW w:w="2017" w:type="pct"/>
            <w:shd w:val="clear" w:color="auto" w:fill="auto"/>
            <w:vAlign w:val="center"/>
          </w:tcPr>
          <w:p w14:paraId="1E09009A">
            <w:pPr>
              <w:pStyle w:val="57"/>
              <w:rPr>
                <w:rFonts w:asciiTheme="minorEastAsia" w:hAnsiTheme="minorEastAsia" w:eastAsiaTheme="minorEastAsia"/>
                <w:iCs w:val="0"/>
                <w:sz w:val="21"/>
              </w:rPr>
            </w:pPr>
            <w:r>
              <w:rPr>
                <w:rFonts w:asciiTheme="minorEastAsia" w:hAnsiTheme="minorEastAsia" w:eastAsiaTheme="minorEastAsia"/>
                <w:iCs w:val="0"/>
                <w:sz w:val="21"/>
              </w:rPr>
              <w:t>teddle.zhao@cloudminds.com</w:t>
            </w:r>
          </w:p>
        </w:tc>
        <w:tc>
          <w:tcPr>
            <w:tcW w:w="1408" w:type="pct"/>
            <w:shd w:val="clear" w:color="auto" w:fill="auto"/>
            <w:vAlign w:val="center"/>
          </w:tcPr>
          <w:p w14:paraId="5A68E8EA">
            <w:pPr>
              <w:pStyle w:val="57"/>
              <w:spacing w:line="240" w:lineRule="auto"/>
              <w:rPr>
                <w:rFonts w:asciiTheme="minorEastAsia" w:hAnsiTheme="minorEastAsia" w:eastAsiaTheme="minorEastAsia"/>
                <w:iCs w:val="0"/>
                <w:sz w:val="21"/>
              </w:rPr>
            </w:pPr>
            <w:r>
              <w:rPr>
                <w:rFonts w:hint="eastAsia" w:asciiTheme="minorEastAsia" w:hAnsiTheme="minorEastAsia" w:eastAsiaTheme="minorEastAsia"/>
                <w:iCs w:val="0"/>
                <w:sz w:val="21"/>
              </w:rPr>
              <w:t>补丁包更新、现场巡检</w:t>
            </w:r>
          </w:p>
        </w:tc>
      </w:tr>
      <w:tr w14:paraId="366DC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2" w:type="pct"/>
            <w:shd w:val="clear" w:color="auto" w:fill="auto"/>
            <w:vAlign w:val="center"/>
          </w:tcPr>
          <w:p w14:paraId="1FDAC1CD">
            <w:pPr>
              <w:pStyle w:val="57"/>
              <w:rPr>
                <w:rFonts w:asciiTheme="minorEastAsia" w:hAnsiTheme="minorEastAsia" w:eastAsiaTheme="minorEastAsia"/>
                <w:iCs w:val="0"/>
                <w:sz w:val="21"/>
              </w:rPr>
            </w:pPr>
            <w:r>
              <w:rPr>
                <w:rFonts w:hint="eastAsia"/>
              </w:rPr>
              <w:t>谢毅</w:t>
            </w:r>
          </w:p>
        </w:tc>
        <w:tc>
          <w:tcPr>
            <w:tcW w:w="743" w:type="pct"/>
            <w:shd w:val="clear" w:color="auto" w:fill="auto"/>
            <w:vAlign w:val="center"/>
          </w:tcPr>
          <w:p w14:paraId="26498B59">
            <w:pPr>
              <w:pStyle w:val="57"/>
              <w:rPr>
                <w:rFonts w:asciiTheme="minorEastAsia" w:hAnsiTheme="minorEastAsia" w:eastAsiaTheme="minorEastAsia"/>
                <w:iCs w:val="0"/>
                <w:sz w:val="21"/>
              </w:rPr>
            </w:pPr>
            <w:r>
              <w:rPr>
                <w:rFonts w:hint="eastAsia" w:asciiTheme="minorEastAsia" w:hAnsiTheme="minorEastAsia" w:eastAsiaTheme="minorEastAsia"/>
                <w:iCs w:val="0"/>
                <w:sz w:val="21"/>
              </w:rPr>
              <w:t>远程服务</w:t>
            </w:r>
          </w:p>
        </w:tc>
        <w:tc>
          <w:tcPr>
            <w:tcW w:w="2017" w:type="pct"/>
            <w:shd w:val="clear" w:color="auto" w:fill="auto"/>
            <w:vAlign w:val="center"/>
          </w:tcPr>
          <w:p w14:paraId="6E739FCF">
            <w:pPr>
              <w:pStyle w:val="57"/>
              <w:rPr>
                <w:rFonts w:asciiTheme="minorEastAsia" w:hAnsiTheme="minorEastAsia" w:eastAsiaTheme="minorEastAsia"/>
                <w:iCs w:val="0"/>
                <w:sz w:val="21"/>
              </w:rPr>
            </w:pPr>
            <w:r>
              <w:rPr>
                <w:rFonts w:asciiTheme="minorEastAsia" w:hAnsiTheme="minorEastAsia" w:eastAsiaTheme="minorEastAsia"/>
                <w:iCs w:val="0"/>
                <w:sz w:val="21"/>
              </w:rPr>
              <w:t>lancelot.xie@cloudminds.com</w:t>
            </w:r>
          </w:p>
        </w:tc>
        <w:tc>
          <w:tcPr>
            <w:tcW w:w="1408" w:type="pct"/>
            <w:shd w:val="clear" w:color="auto" w:fill="auto"/>
            <w:vAlign w:val="center"/>
          </w:tcPr>
          <w:p w14:paraId="64C6B72B">
            <w:pPr>
              <w:pStyle w:val="57"/>
              <w:spacing w:line="240" w:lineRule="auto"/>
              <w:rPr>
                <w:rFonts w:asciiTheme="minorEastAsia" w:hAnsiTheme="minorEastAsia" w:eastAsiaTheme="minorEastAsia"/>
                <w:iCs w:val="0"/>
                <w:sz w:val="21"/>
              </w:rPr>
            </w:pPr>
            <w:r>
              <w:rPr>
                <w:rFonts w:hint="eastAsia" w:asciiTheme="minorEastAsia" w:hAnsiTheme="minorEastAsia" w:eastAsiaTheme="minorEastAsia"/>
                <w:iCs w:val="0"/>
                <w:sz w:val="21"/>
              </w:rPr>
              <w:t>远程接入、技术问题支持</w:t>
            </w:r>
          </w:p>
        </w:tc>
      </w:tr>
    </w:tbl>
    <w:p w14:paraId="2C74ADC4">
      <w:pPr>
        <w:pStyle w:val="7"/>
      </w:pPr>
      <w:r>
        <w:rPr>
          <w:rFonts w:hint="eastAsia"/>
        </w:rPr>
        <w:t>售后服务内容</w:t>
      </w:r>
    </w:p>
    <w:p w14:paraId="133AF8DF">
      <w:pPr>
        <w:pStyle w:val="8"/>
      </w:pPr>
      <w:r>
        <w:rPr>
          <w:rFonts w:hint="eastAsia"/>
        </w:rPr>
        <w:t>技术咨询</w:t>
      </w:r>
    </w:p>
    <w:p w14:paraId="586A2D1F">
      <w:pPr>
        <w:pStyle w:val="52"/>
        <w:ind w:firstLine="480"/>
      </w:pPr>
      <w:r>
        <w:rPr>
          <w:rFonts w:hint="eastAsia"/>
        </w:rPr>
        <w:t>达闼机器人股份有限公司针对本项目为用户提供技术咨询、功能使用指导等技术支持服务。包括系统管理、日常使用管理，协助客户做好系统维护计划，完善操作手册等，帮助用户更好的管理与使用本项目系统。</w:t>
      </w:r>
    </w:p>
    <w:p w14:paraId="7C51DB3F">
      <w:pPr>
        <w:pStyle w:val="8"/>
      </w:pPr>
      <w:r>
        <w:rPr>
          <w:rFonts w:hint="eastAsia"/>
        </w:rPr>
        <w:t>电话支持服务</w:t>
      </w:r>
    </w:p>
    <w:p w14:paraId="6B54E9AF">
      <w:pPr>
        <w:pStyle w:val="52"/>
        <w:ind w:firstLine="480"/>
      </w:pPr>
      <w:r>
        <w:rPr>
          <w:rFonts w:hint="eastAsia"/>
        </w:rPr>
        <w:t>达闼机器人股份有限公司的技术支持人员会尽量即时在电话中帮助用户解决问题，若当时不能马上解决，热线人员会记录用户单位的名称，联系电话及联系人，在得到解决方案后，立刻主动与用户联系。我方提供每周5天、每天8小时的电话支持服务。</w:t>
      </w:r>
    </w:p>
    <w:p w14:paraId="3395CAB2">
      <w:pPr>
        <w:pStyle w:val="8"/>
      </w:pPr>
      <w:r>
        <w:rPr>
          <w:rFonts w:hint="eastAsia"/>
        </w:rPr>
        <w:t>电子邮件支持服务</w:t>
      </w:r>
    </w:p>
    <w:p w14:paraId="148DECB4">
      <w:pPr>
        <w:pStyle w:val="52"/>
        <w:ind w:firstLine="480"/>
      </w:pPr>
      <w:r>
        <w:rPr>
          <w:rFonts w:hint="eastAsia"/>
        </w:rPr>
        <w:t>用户碰到问题，通过电话联系不便的情况下，为用户提供了电子邮件服务。用户可将电子邮件发到指定的电子邮箱，将有专人接收用户的邮件并及时做出解答。</w:t>
      </w:r>
    </w:p>
    <w:p w14:paraId="23BE674C">
      <w:pPr>
        <w:pStyle w:val="8"/>
      </w:pPr>
      <w:r>
        <w:rPr>
          <w:rFonts w:hint="eastAsia"/>
        </w:rPr>
        <w:t>远程联机服务</w:t>
      </w:r>
    </w:p>
    <w:p w14:paraId="5A8D8109">
      <w:pPr>
        <w:pStyle w:val="52"/>
        <w:ind w:firstLine="480"/>
      </w:pPr>
      <w:r>
        <w:rPr>
          <w:rFonts w:hint="eastAsia"/>
        </w:rPr>
        <w:t>如果能够给我方（达闼机器人股份有限公司）提供远程联机服务的相关条件，如VPN接入或拨号接入等，在发生故障或需要技术支持的情况下，我方工程技术人员能够直接远程进入用户系统，及时进行检查或进行技术支持，查找故障、分析并提出解决问题的方案</w:t>
      </w:r>
    </w:p>
    <w:p w14:paraId="019C197B">
      <w:pPr>
        <w:pStyle w:val="8"/>
      </w:pPr>
      <w:r>
        <w:rPr>
          <w:rFonts w:hint="eastAsia"/>
        </w:rPr>
        <w:t>升级服务</w:t>
      </w:r>
    </w:p>
    <w:p w14:paraId="5C8A23AD">
      <w:pPr>
        <w:pStyle w:val="52"/>
        <w:ind w:firstLine="480"/>
      </w:pPr>
      <w:r>
        <w:rPr>
          <w:rFonts w:hint="eastAsia"/>
        </w:rPr>
        <w:t>达闼机器人股份有限公司提供在本项目运行期间的免费软件版本升级及功能更新服务。当系统软件厂商如有免费新版本发布时，我方将会及时向用户作出通知并根据实际情况作出系统升级的方案，免费为用户进行升级系统、更新的版本，以确保系统一直运行在良好的状态。我公司负责升级带来的任何问题。</w:t>
      </w:r>
    </w:p>
    <w:p w14:paraId="3A879331">
      <w:pPr>
        <w:pStyle w:val="8"/>
      </w:pPr>
      <w:r>
        <w:rPr>
          <w:rFonts w:hint="eastAsia"/>
        </w:rPr>
        <w:t>巡检服务</w:t>
      </w:r>
    </w:p>
    <w:p w14:paraId="7E26A0F4">
      <w:pPr>
        <w:pStyle w:val="52"/>
        <w:ind w:firstLine="480"/>
      </w:pPr>
      <w:r>
        <w:rPr>
          <w:rFonts w:hint="eastAsia"/>
        </w:rPr>
        <w:t>达闼机器人股份有限公司针对本项目提供每年不少于4次的专业维护、巡检和健康检查服务，通过系统巡检可以对运行系统上的潜在的问题进行一个广泛的深入检查。在系统发生问题之前对系统上有关安全性、可管理性以及系统性能进行检查分析，并指出系统潜在的问题以及推荐解决方法，包括：</w:t>
      </w:r>
    </w:p>
    <w:p w14:paraId="2AF9AEE5">
      <w:pPr>
        <w:pStyle w:val="52"/>
        <w:ind w:firstLine="480"/>
      </w:pPr>
      <w:r>
        <w:rPr>
          <w:rFonts w:hint="eastAsia"/>
        </w:rPr>
        <w:t>1.对系统运行状态，系统环境进行性能检测，对设备日志、参数、性能进行分析、评估，通过检查、分析数据，排查隐患，提出网络系统高可靠运行的建议；</w:t>
      </w:r>
    </w:p>
    <w:p w14:paraId="47B76394">
      <w:pPr>
        <w:pStyle w:val="52"/>
        <w:ind w:firstLine="480"/>
      </w:pPr>
      <w:r>
        <w:rPr>
          <w:rFonts w:hint="eastAsia"/>
        </w:rPr>
        <w:t>2.系统巡检的结果将转化为简明易懂的报告；</w:t>
      </w:r>
    </w:p>
    <w:p w14:paraId="6173FD2E">
      <w:pPr>
        <w:pStyle w:val="52"/>
        <w:ind w:firstLine="480"/>
      </w:pPr>
      <w:r>
        <w:rPr>
          <w:rFonts w:hint="eastAsia"/>
        </w:rPr>
        <w:t>3.我方间在服务期内每季度前15日内，向用户提交上季度巡检维护报告</w:t>
      </w:r>
    </w:p>
    <w:p w14:paraId="39C4B470">
      <w:pPr>
        <w:pStyle w:val="52"/>
        <w:ind w:firstLine="480"/>
      </w:pPr>
      <w:r>
        <w:rPr>
          <w:rFonts w:hint="eastAsia"/>
        </w:rPr>
        <w:t>4.由专业系统健康检测的服务专家跟进；</w:t>
      </w:r>
    </w:p>
    <w:p w14:paraId="4A4B07A6">
      <w:pPr>
        <w:pStyle w:val="52"/>
        <w:ind w:firstLine="480"/>
      </w:pPr>
      <w:r>
        <w:rPr>
          <w:rFonts w:hint="eastAsia"/>
        </w:rPr>
        <w:t>5.技术工程师将对系统的历史运行记录进行导出，并带回客户服务部进行分析。可以对系统上有关系统性能和故障可能性进行检查分析，</w:t>
      </w:r>
      <w:r>
        <w:t>,</w:t>
      </w:r>
      <w:r>
        <w:rPr>
          <w:rFonts w:hint="eastAsia"/>
        </w:rPr>
        <w:t>并指出系统潜在的问题以及推荐解决方法。</w:t>
      </w:r>
    </w:p>
    <w:p w14:paraId="3B7158C7">
      <w:pPr>
        <w:pStyle w:val="8"/>
      </w:pPr>
      <w:r>
        <w:rPr>
          <w:rFonts w:hint="eastAsia"/>
        </w:rPr>
        <w:t>平台相关的BUG修正</w:t>
      </w:r>
    </w:p>
    <w:p w14:paraId="06678C3C"/>
    <w:p w14:paraId="4D7B8747">
      <w:pPr>
        <w:pStyle w:val="8"/>
      </w:pPr>
      <w:r>
        <w:rPr>
          <w:rFonts w:hint="eastAsia"/>
        </w:rPr>
        <w:t>系统安装部署</w:t>
      </w:r>
    </w:p>
    <w:p w14:paraId="17019273">
      <w:pPr>
        <w:pStyle w:val="8"/>
      </w:pPr>
      <w:r>
        <w:rPr>
          <w:rFonts w:hint="eastAsia"/>
        </w:rPr>
        <w:t>系统优化</w:t>
      </w:r>
    </w:p>
    <w:p w14:paraId="325C0F95"/>
    <w:p w14:paraId="10CE9DC0"/>
    <w:p w14:paraId="61868153"/>
    <w:p w14:paraId="001C3E4C">
      <w:pPr>
        <w:pStyle w:val="7"/>
      </w:pPr>
      <w:r>
        <w:rPr>
          <w:rFonts w:hint="eastAsia"/>
        </w:rPr>
        <w:t>应急方案</w:t>
      </w:r>
    </w:p>
    <w:p w14:paraId="568EA7B9">
      <w:pPr>
        <w:pStyle w:val="52"/>
        <w:ind w:firstLine="480"/>
        <w:rPr>
          <w:rFonts w:asciiTheme="minorEastAsia" w:hAnsiTheme="minorEastAsia" w:eastAsiaTheme="minorEastAsia"/>
        </w:rPr>
      </w:pPr>
      <w:r>
        <w:rPr>
          <w:rFonts w:hint="eastAsia" w:asciiTheme="minorEastAsia" w:hAnsiTheme="minorEastAsia" w:eastAsiaTheme="minorEastAsia"/>
        </w:rPr>
        <w:t>为保证系统能够正常上线和运行，我方将提前递交项目上线期间和上线后的应急方案，并根据建立完善的应急事件处理体系。</w:t>
      </w:r>
    </w:p>
    <w:p w14:paraId="39C5544D">
      <w:pPr>
        <w:pStyle w:val="8"/>
      </w:pPr>
      <w:r>
        <w:rPr>
          <w:rFonts w:hint="eastAsia"/>
        </w:rPr>
        <w:t>应急方案总则</w:t>
      </w:r>
    </w:p>
    <w:p w14:paraId="623FEC02">
      <w:pPr>
        <w:pStyle w:val="52"/>
        <w:ind w:firstLine="480"/>
        <w:rPr>
          <w:rFonts w:asciiTheme="minorEastAsia" w:hAnsiTheme="minorEastAsia" w:eastAsiaTheme="minorEastAsia"/>
        </w:rPr>
      </w:pPr>
      <w:r>
        <w:rPr>
          <w:rFonts w:hint="eastAsia" w:asciiTheme="minorEastAsia" w:hAnsiTheme="minorEastAsia" w:eastAsiaTheme="minorEastAsia"/>
        </w:rPr>
        <w:t>为提高应对系统在运行过程中出现的各种突发事件的应急处路能力，有效预防和最大程度地降低信息系统各类突发事件的危害和影响，保障信息系统安全、稳定运行，我方将合理编写应急方案，保证系统能够正常上线和运行。</w:t>
      </w:r>
    </w:p>
    <w:p w14:paraId="494DE0FE">
      <w:pPr>
        <w:pStyle w:val="52"/>
        <w:ind w:firstLine="480"/>
        <w:rPr>
          <w:rFonts w:asciiTheme="minorEastAsia" w:hAnsiTheme="minorEastAsia" w:eastAsiaTheme="minorEastAsia"/>
        </w:rPr>
      </w:pPr>
      <w:r>
        <w:rPr>
          <w:rFonts w:hint="eastAsia" w:asciiTheme="minorEastAsia" w:hAnsiTheme="minorEastAsia" w:eastAsiaTheme="minorEastAsia"/>
        </w:rPr>
        <w:t>还将根据国家《信息安全事件分类分级指南》、《信息技术、安全技术、信息安全事件管理指南》、《国家突发公共事件总体应急预案》及有关法律、法规的规定，结合实际，制定应急处理预案，预案具体内容如下：</w:t>
      </w:r>
    </w:p>
    <w:p w14:paraId="4BBD4910">
      <w:pPr>
        <w:pStyle w:val="8"/>
      </w:pPr>
      <w:r>
        <w:rPr>
          <w:rFonts w:hint="eastAsia"/>
        </w:rPr>
        <w:t>应急组织机构和工作职责</w:t>
      </w:r>
    </w:p>
    <w:p w14:paraId="37A8CE05">
      <w:pPr>
        <w:pStyle w:val="52"/>
        <w:ind w:firstLine="480"/>
        <w:rPr>
          <w:rFonts w:asciiTheme="minorEastAsia" w:hAnsiTheme="minorEastAsia" w:eastAsiaTheme="minorEastAsia"/>
        </w:rPr>
      </w:pPr>
      <w:r>
        <w:rPr>
          <w:rFonts w:hint="eastAsia" w:asciiTheme="minorEastAsia" w:hAnsiTheme="minorEastAsia" w:eastAsiaTheme="minorEastAsia"/>
        </w:rPr>
        <w:t>为预防和处理系统突发事件，我方建立工作协调小组(以下简称“应急小组”)负责系统应急处理工作，决定系统应急处理工作的重大事项，组织实施、业务协调和发布系统应急指令，发布系统应急故障级别、决策处理方案。应急小组组长由项目管理的领导担任，成员为项目开发、项目测试、项目实施全体人员。</w:t>
      </w:r>
    </w:p>
    <w:p w14:paraId="61F45C2C">
      <w:pPr>
        <w:pStyle w:val="52"/>
        <w:ind w:firstLine="480"/>
      </w:pPr>
      <w:r>
        <w:rPr>
          <w:rFonts w:hint="eastAsia"/>
        </w:rPr>
        <w:t>（1）有效的预警机制</w:t>
      </w:r>
    </w:p>
    <w:p w14:paraId="7680F353">
      <w:pPr>
        <w:pStyle w:val="52"/>
        <w:ind w:firstLine="480"/>
        <w:rPr>
          <w:rFonts w:asciiTheme="minorEastAsia" w:hAnsiTheme="minorEastAsia" w:eastAsiaTheme="minorEastAsia"/>
        </w:rPr>
      </w:pPr>
      <w:r>
        <w:rPr>
          <w:rFonts w:hint="eastAsia" w:asciiTheme="minorEastAsia" w:hAnsiTheme="minorEastAsia" w:eastAsiaTheme="minorEastAsia"/>
        </w:rPr>
        <w:t>预警信息分为外部预警信息和内部预警信息两类。外部预警信息指信息系统外突发的可能需要通信保障、安全防范，或可能对信息系统产生重大影响的事件警报。内部预警信息指系统服务组件状态、磁盘容量、CPU占用率等的事件警报。</w:t>
      </w:r>
    </w:p>
    <w:p w14:paraId="4C03B435">
      <w:pPr>
        <w:pStyle w:val="52"/>
        <w:ind w:firstLine="480"/>
      </w:pPr>
      <w:r>
        <w:rPr>
          <w:rFonts w:hint="eastAsia"/>
        </w:rPr>
        <w:t>（2）系统的日常监测</w:t>
      </w:r>
    </w:p>
    <w:p w14:paraId="4525353D">
      <w:pPr>
        <w:pStyle w:val="52"/>
        <w:ind w:firstLine="480"/>
        <w:rPr>
          <w:rFonts w:asciiTheme="minorEastAsia" w:hAnsiTheme="minorEastAsia" w:eastAsiaTheme="minorEastAsia"/>
        </w:rPr>
      </w:pPr>
      <w:r>
        <w:rPr>
          <w:rFonts w:hint="eastAsia" w:asciiTheme="minorEastAsia" w:hAnsiTheme="minorEastAsia" w:eastAsiaTheme="minorEastAsia"/>
        </w:rPr>
        <w:t>应急小组要加强对系统的日常监测工作。监测的内容主要包括：</w:t>
      </w:r>
    </w:p>
    <w:p w14:paraId="3F7832C9">
      <w:pPr>
        <w:pStyle w:val="52"/>
        <w:numPr>
          <w:ilvl w:val="0"/>
          <w:numId w:val="26"/>
        </w:numPr>
        <w:ind w:firstLineChars="0"/>
        <w:rPr>
          <w:rFonts w:asciiTheme="minorEastAsia" w:hAnsiTheme="minorEastAsia" w:eastAsiaTheme="minorEastAsia"/>
        </w:rPr>
      </w:pPr>
      <w:r>
        <w:rPr>
          <w:rFonts w:hint="eastAsia" w:asciiTheme="minorEastAsia" w:hAnsiTheme="minorEastAsia" w:eastAsiaTheme="minorEastAsia"/>
        </w:rPr>
        <w:t>服务器性能、数据库性能、应用系统性能等运行状态，以及备份存贮系统状态等；</w:t>
      </w:r>
    </w:p>
    <w:p w14:paraId="014129C2">
      <w:pPr>
        <w:pStyle w:val="52"/>
        <w:numPr>
          <w:ilvl w:val="0"/>
          <w:numId w:val="26"/>
        </w:numPr>
        <w:ind w:firstLineChars="0"/>
        <w:rPr>
          <w:rFonts w:asciiTheme="minorEastAsia" w:hAnsiTheme="minorEastAsia" w:eastAsiaTheme="minorEastAsia"/>
        </w:rPr>
      </w:pPr>
      <w:r>
        <w:rPr>
          <w:rFonts w:hint="eastAsia" w:asciiTheme="minorEastAsia" w:hAnsiTheme="minorEastAsia" w:eastAsiaTheme="minorEastAsia"/>
        </w:rPr>
        <w:t>服务器操作系统、数据库操作记录、系统升级变更记录。</w:t>
      </w:r>
    </w:p>
    <w:p w14:paraId="3BEB97B2">
      <w:pPr>
        <w:pStyle w:val="52"/>
        <w:ind w:firstLine="480"/>
        <w:rPr>
          <w:rFonts w:asciiTheme="minorEastAsia" w:hAnsiTheme="minorEastAsia" w:eastAsiaTheme="minorEastAsia"/>
        </w:rPr>
      </w:pPr>
      <w:r>
        <w:rPr>
          <w:rFonts w:hint="eastAsia" w:asciiTheme="minorEastAsia" w:hAnsiTheme="minorEastAsia" w:eastAsiaTheme="minorEastAsia"/>
        </w:rPr>
        <w:t>应急小组获得外部重大预警信息或通过监测获得内部预警信息后，应对预警信息加以分析，按照早发现、早报告、早处理的原则。</w:t>
      </w:r>
    </w:p>
    <w:p w14:paraId="5827658D">
      <w:pPr>
        <w:pStyle w:val="52"/>
        <w:ind w:firstLine="480"/>
      </w:pPr>
      <w:r>
        <w:rPr>
          <w:rFonts w:hint="eastAsia"/>
        </w:rPr>
        <w:t>（3）紧急故障时的判断及处理</w:t>
      </w:r>
    </w:p>
    <w:p w14:paraId="7A6FA803">
      <w:pPr>
        <w:pStyle w:val="52"/>
        <w:ind w:firstLine="480"/>
        <w:rPr>
          <w:rFonts w:asciiTheme="minorEastAsia" w:hAnsiTheme="minorEastAsia" w:eastAsiaTheme="minorEastAsia"/>
        </w:rPr>
      </w:pPr>
      <w:r>
        <w:rPr>
          <w:rFonts w:hint="eastAsia" w:asciiTheme="minorEastAsia" w:hAnsiTheme="minorEastAsia" w:eastAsiaTheme="minorEastAsia"/>
        </w:rPr>
        <w:t>在故障发生后立即査看服务器系统状态，如果是系统软件出现故障，可以清晰定位故障原因，我方协助甲方排除故障。严重时需要进行操作系统或应用系统重新安装时，我方对数据进行备份保护。</w:t>
      </w:r>
    </w:p>
    <w:p w14:paraId="288D7A78">
      <w:pPr>
        <w:pStyle w:val="8"/>
      </w:pPr>
      <w:r>
        <w:rPr>
          <w:rFonts w:hint="eastAsia"/>
        </w:rPr>
        <w:t>突发事件定义</w:t>
      </w:r>
    </w:p>
    <w:p w14:paraId="56A01F57">
      <w:pPr>
        <w:pStyle w:val="52"/>
        <w:ind w:firstLine="480"/>
        <w:rPr>
          <w:rFonts w:asciiTheme="minorEastAsia" w:hAnsiTheme="minorEastAsia" w:eastAsiaTheme="minorEastAsia"/>
        </w:rPr>
      </w:pPr>
      <w:r>
        <w:rPr>
          <w:rFonts w:hint="eastAsia" w:asciiTheme="minorEastAsia" w:hAnsiTheme="minorEastAsia" w:eastAsiaTheme="minorEastAsia"/>
        </w:rPr>
        <w:t>我方将系统突发应急事件分为网络故障事件、服务器故障事件、软件系统故障事件、灾难性事情和其他事件共五类事件。</w:t>
      </w:r>
    </w:p>
    <w:p w14:paraId="57DF2CF6">
      <w:pPr>
        <w:pStyle w:val="52"/>
        <w:numPr>
          <w:ilvl w:val="0"/>
          <w:numId w:val="27"/>
        </w:numPr>
        <w:ind w:firstLineChars="0"/>
        <w:rPr>
          <w:rFonts w:asciiTheme="minorEastAsia" w:hAnsiTheme="minorEastAsia" w:eastAsiaTheme="minorEastAsia"/>
        </w:rPr>
      </w:pPr>
      <w:r>
        <w:rPr>
          <w:rFonts w:hint="eastAsia" w:asciiTheme="minorEastAsia" w:hAnsiTheme="minorEastAsia" w:eastAsiaTheme="minorEastAsia"/>
        </w:rPr>
        <w:t>网络故障事件:因电信、网络设备等原因造成大部分网络线路中断，用户无法登录信息系统的事件；</w:t>
      </w:r>
    </w:p>
    <w:p w14:paraId="27CCC9D6">
      <w:pPr>
        <w:pStyle w:val="52"/>
        <w:numPr>
          <w:ilvl w:val="0"/>
          <w:numId w:val="27"/>
        </w:numPr>
        <w:ind w:firstLineChars="0"/>
        <w:rPr>
          <w:rFonts w:asciiTheme="minorEastAsia" w:hAnsiTheme="minorEastAsia" w:eastAsiaTheme="minorEastAsia"/>
        </w:rPr>
      </w:pPr>
      <w:r>
        <w:rPr>
          <w:rFonts w:hint="eastAsia" w:asciiTheme="minorEastAsia" w:hAnsiTheme="minorEastAsia" w:eastAsiaTheme="minorEastAsia"/>
        </w:rPr>
        <w:t>服务器故障事件:因系统服务器故障而导致的系统无法运行的事件；</w:t>
      </w:r>
    </w:p>
    <w:p w14:paraId="7667E2DE">
      <w:pPr>
        <w:pStyle w:val="52"/>
        <w:numPr>
          <w:ilvl w:val="0"/>
          <w:numId w:val="27"/>
        </w:numPr>
        <w:ind w:firstLineChars="0"/>
        <w:rPr>
          <w:rFonts w:asciiTheme="minorEastAsia" w:hAnsiTheme="minorEastAsia" w:eastAsiaTheme="minorEastAsia"/>
        </w:rPr>
      </w:pPr>
      <w:r>
        <w:rPr>
          <w:rFonts w:hint="eastAsia" w:asciiTheme="minorEastAsia" w:hAnsiTheme="minorEastAsia" w:eastAsiaTheme="minorEastAsia"/>
        </w:rPr>
        <w:t>软件故障事件:因系统软件或应用软件故障而导致的系统无法运行的事件；</w:t>
      </w:r>
    </w:p>
    <w:p w14:paraId="0A774D79">
      <w:pPr>
        <w:pStyle w:val="52"/>
        <w:numPr>
          <w:ilvl w:val="0"/>
          <w:numId w:val="27"/>
        </w:numPr>
        <w:ind w:firstLineChars="0"/>
        <w:rPr>
          <w:rFonts w:asciiTheme="minorEastAsia" w:hAnsiTheme="minorEastAsia" w:eastAsiaTheme="minorEastAsia"/>
        </w:rPr>
      </w:pPr>
      <w:r>
        <w:rPr>
          <w:rFonts w:hint="eastAsia" w:asciiTheme="minorEastAsia" w:hAnsiTheme="minorEastAsia" w:eastAsiaTheme="minorEastAsia"/>
        </w:rPr>
        <w:t>灾害性事件:因不可抗力对系统造成物理破坏而导致的事件；</w:t>
      </w:r>
    </w:p>
    <w:p w14:paraId="1DE3C0F3">
      <w:pPr>
        <w:pStyle w:val="52"/>
        <w:numPr>
          <w:ilvl w:val="0"/>
          <w:numId w:val="27"/>
        </w:numPr>
        <w:ind w:firstLineChars="0"/>
        <w:rPr>
          <w:rFonts w:asciiTheme="minorEastAsia" w:hAnsiTheme="minorEastAsia" w:eastAsiaTheme="minorEastAsia"/>
        </w:rPr>
      </w:pPr>
      <w:r>
        <w:rPr>
          <w:rFonts w:hint="eastAsia" w:asciiTheme="minorEastAsia" w:hAnsiTheme="minorEastAsia" w:eastAsiaTheme="minorEastAsia"/>
        </w:rPr>
        <w:t>其他突发事件:不能归为以上四个基本分类，并可能造成系统异常或对系统当前运行造成潜在危害的事件。</w:t>
      </w:r>
    </w:p>
    <w:p w14:paraId="456DE146">
      <w:pPr>
        <w:pStyle w:val="8"/>
      </w:pPr>
      <w:r>
        <w:rPr>
          <w:rFonts w:hint="eastAsia"/>
        </w:rPr>
        <w:t>常预防检查</w:t>
      </w:r>
    </w:p>
    <w:p w14:paraId="236820B5">
      <w:pPr>
        <w:pStyle w:val="52"/>
        <w:ind w:firstLine="480"/>
        <w:rPr>
          <w:rFonts w:asciiTheme="minorEastAsia" w:hAnsiTheme="minorEastAsia" w:eastAsiaTheme="minorEastAsia"/>
        </w:rPr>
      </w:pPr>
      <w:r>
        <w:rPr>
          <w:rFonts w:hint="eastAsia" w:asciiTheme="minorEastAsia" w:hAnsiTheme="minorEastAsia" w:eastAsiaTheme="minorEastAsia"/>
        </w:rPr>
        <w:t>日常预防检查能够大程度的减少突发事件的发生概率。所以我方还将在日常工作中完成以下日常检查：</w:t>
      </w:r>
    </w:p>
    <w:p w14:paraId="6CBB9745">
      <w:pPr>
        <w:pStyle w:val="52"/>
        <w:numPr>
          <w:ilvl w:val="0"/>
          <w:numId w:val="28"/>
        </w:numPr>
        <w:ind w:firstLineChars="0"/>
        <w:rPr>
          <w:rFonts w:asciiTheme="minorEastAsia" w:hAnsiTheme="minorEastAsia" w:eastAsiaTheme="minorEastAsia"/>
        </w:rPr>
      </w:pPr>
      <w:r>
        <w:rPr>
          <w:rFonts w:hint="eastAsia" w:asciiTheme="minorEastAsia" w:hAnsiTheme="minorEastAsia" w:eastAsiaTheme="minorEastAsia"/>
        </w:rPr>
        <w:t>操作系统和相关配置定期备份相关应用系统及数据定期备份c、必要的情况下准备备用域名；</w:t>
      </w:r>
    </w:p>
    <w:p w14:paraId="73A711E6">
      <w:pPr>
        <w:pStyle w:val="52"/>
        <w:numPr>
          <w:ilvl w:val="0"/>
          <w:numId w:val="28"/>
        </w:numPr>
        <w:ind w:firstLineChars="0"/>
        <w:rPr>
          <w:rFonts w:asciiTheme="minorEastAsia" w:hAnsiTheme="minorEastAsia" w:eastAsiaTheme="minorEastAsia"/>
        </w:rPr>
      </w:pPr>
      <w:r>
        <w:rPr>
          <w:rFonts w:hint="eastAsia" w:asciiTheme="minorEastAsia" w:hAnsiTheme="minorEastAsia" w:eastAsiaTheme="minorEastAsia"/>
        </w:rPr>
        <w:t>确保备份数据做到主备备份(本地服务器，其他服务器或本地)；</w:t>
      </w:r>
    </w:p>
    <w:p w14:paraId="6B668AAE">
      <w:pPr>
        <w:pStyle w:val="52"/>
        <w:numPr>
          <w:ilvl w:val="0"/>
          <w:numId w:val="28"/>
        </w:numPr>
        <w:ind w:firstLineChars="0"/>
        <w:rPr>
          <w:rFonts w:asciiTheme="minorEastAsia" w:hAnsiTheme="minorEastAsia" w:eastAsiaTheme="minorEastAsia"/>
        </w:rPr>
      </w:pPr>
      <w:r>
        <w:rPr>
          <w:rFonts w:hint="eastAsia" w:asciiTheme="minorEastAsia" w:hAnsiTheme="minorEastAsia" w:eastAsiaTheme="minorEastAsia"/>
        </w:rPr>
        <w:t>做好备用服务器的搭建及定期测试。</w:t>
      </w:r>
    </w:p>
    <w:p w14:paraId="57E3253A"/>
    <w:p w14:paraId="40181130"/>
    <w:p w14:paraId="76584696">
      <w:pPr>
        <w:pStyle w:val="5"/>
        <w:rPr>
          <w:highlight w:val="cyan"/>
        </w:rPr>
      </w:pPr>
      <w:r>
        <w:rPr>
          <w:rFonts w:hint="eastAsia"/>
          <w:highlight w:val="cyan"/>
        </w:rPr>
        <w:t>培训计划（售前）（王冠耘）</w:t>
      </w:r>
    </w:p>
    <w:p w14:paraId="3398D4C4">
      <w:pPr>
        <w:ind w:firstLine="360" w:firstLineChars="150"/>
        <w:rPr>
          <w:rFonts w:asciiTheme="minorEastAsia" w:hAnsiTheme="minorEastAsia"/>
          <w:i/>
          <w:iCs/>
          <w:color w:val="FF0000"/>
          <w:szCs w:val="24"/>
        </w:rPr>
      </w:pPr>
      <w:r>
        <w:rPr>
          <w:rFonts w:hint="eastAsia" w:asciiTheme="minorEastAsia" w:hAnsiTheme="minorEastAsia"/>
          <w:i/>
          <w:iCs/>
          <w:color w:val="FF0000"/>
          <w:szCs w:val="24"/>
        </w:rPr>
        <w:t>包含培训名称、等级、对象、课程安排及相关描述、人员数量、</w:t>
      </w:r>
      <w:r>
        <w:rPr>
          <w:rFonts w:hint="eastAsia" w:asciiTheme="minorEastAsia" w:hAnsiTheme="minorEastAsia"/>
          <w:i/>
          <w:iCs/>
          <w:color w:val="FF0000"/>
          <w:szCs w:val="24"/>
          <w:highlight w:val="yellow"/>
        </w:rPr>
        <w:t>地点及相关费用标准等。</w:t>
      </w:r>
      <w:r>
        <w:rPr>
          <w:rFonts w:hint="eastAsia" w:asciiTheme="minorEastAsia" w:hAnsiTheme="minorEastAsia"/>
          <w:i/>
          <w:iCs/>
          <w:color w:val="FF0000"/>
          <w:szCs w:val="24"/>
        </w:rPr>
        <w:t>具体培训要求详见第七章节“技术服务和培训及技术文件”。</w:t>
      </w:r>
    </w:p>
    <w:p w14:paraId="092728D1">
      <w:pPr>
        <w:ind w:firstLine="360" w:firstLineChars="150"/>
        <w:rPr>
          <w:rFonts w:asciiTheme="minorEastAsia" w:hAnsiTheme="minorEastAsia"/>
          <w:i/>
          <w:iCs/>
          <w:color w:val="FF0000"/>
          <w:szCs w:val="24"/>
        </w:rPr>
      </w:pPr>
      <w:r>
        <w:rPr>
          <w:rFonts w:hint="eastAsia" w:asciiTheme="minorEastAsia" w:hAnsiTheme="minorEastAsia"/>
          <w:i/>
          <w:iCs/>
          <w:color w:val="FF0000"/>
          <w:szCs w:val="24"/>
        </w:rPr>
        <w:t>培训</w:t>
      </w:r>
      <w:r>
        <w:rPr>
          <w:rFonts w:asciiTheme="minorEastAsia" w:hAnsiTheme="minorEastAsia"/>
          <w:i/>
          <w:iCs/>
          <w:color w:val="FF0000"/>
          <w:szCs w:val="24"/>
        </w:rPr>
        <w:t>10</w:t>
      </w:r>
      <w:r>
        <w:rPr>
          <w:rFonts w:hint="eastAsia" w:asciiTheme="minorEastAsia" w:hAnsiTheme="minorEastAsia"/>
          <w:i/>
          <w:iCs/>
          <w:color w:val="FF0000"/>
          <w:szCs w:val="24"/>
        </w:rPr>
        <w:t>名系统管理人员，包括软硬件培训、使用配置培训、系统维护管理等培训，每人培训时间不少于一周（</w:t>
      </w:r>
      <w:r>
        <w:rPr>
          <w:rFonts w:asciiTheme="minorEastAsia" w:hAnsiTheme="minorEastAsia"/>
          <w:i/>
          <w:iCs/>
          <w:color w:val="FF0000"/>
          <w:szCs w:val="24"/>
        </w:rPr>
        <w:t>5</w:t>
      </w:r>
      <w:r>
        <w:rPr>
          <w:rFonts w:hint="eastAsia" w:asciiTheme="minorEastAsia" w:hAnsiTheme="minorEastAsia"/>
          <w:i/>
          <w:iCs/>
          <w:color w:val="FF0000"/>
          <w:szCs w:val="24"/>
        </w:rPr>
        <w:t>个工作日）；</w:t>
      </w:r>
    </w:p>
    <w:p w14:paraId="3E558396">
      <w:pPr>
        <w:ind w:firstLine="360" w:firstLineChars="150"/>
        <w:rPr>
          <w:rFonts w:asciiTheme="minorEastAsia" w:hAnsiTheme="minorEastAsia"/>
          <w:i/>
          <w:iCs/>
          <w:color w:val="FF0000"/>
          <w:szCs w:val="24"/>
        </w:rPr>
      </w:pPr>
      <w:r>
        <w:rPr>
          <w:rFonts w:hint="eastAsia" w:asciiTheme="minorEastAsia" w:hAnsiTheme="minorEastAsia"/>
          <w:i/>
          <w:iCs/>
          <w:color w:val="FF0000"/>
          <w:szCs w:val="24"/>
        </w:rPr>
        <w:t>培训</w:t>
      </w:r>
      <w:r>
        <w:rPr>
          <w:rFonts w:asciiTheme="minorEastAsia" w:hAnsiTheme="minorEastAsia"/>
          <w:i/>
          <w:iCs/>
          <w:color w:val="FF0000"/>
          <w:szCs w:val="24"/>
        </w:rPr>
        <w:t>10</w:t>
      </w:r>
      <w:r>
        <w:rPr>
          <w:rFonts w:hint="eastAsia" w:asciiTheme="minorEastAsia" w:hAnsiTheme="minorEastAsia"/>
          <w:i/>
          <w:iCs/>
          <w:color w:val="FF0000"/>
          <w:szCs w:val="24"/>
        </w:rPr>
        <w:t>名美术制作人员，含结合本系统实际情况的美术制作需求培训，每人培训时间不少于一周（</w:t>
      </w:r>
      <w:r>
        <w:rPr>
          <w:rFonts w:asciiTheme="minorEastAsia" w:hAnsiTheme="minorEastAsia"/>
          <w:i/>
          <w:iCs/>
          <w:color w:val="FF0000"/>
          <w:szCs w:val="24"/>
        </w:rPr>
        <w:t>5</w:t>
      </w:r>
      <w:r>
        <w:rPr>
          <w:rFonts w:hint="eastAsia" w:asciiTheme="minorEastAsia" w:hAnsiTheme="minorEastAsia"/>
          <w:i/>
          <w:iCs/>
          <w:color w:val="FF0000"/>
          <w:szCs w:val="24"/>
        </w:rPr>
        <w:t>个工作日）。</w:t>
      </w:r>
    </w:p>
    <w:p w14:paraId="71A5EB07">
      <w:pPr>
        <w:pStyle w:val="6"/>
      </w:pPr>
      <w:r>
        <w:rPr>
          <w:rFonts w:hint="eastAsia"/>
        </w:rPr>
        <w:t>培训原则</w:t>
      </w:r>
    </w:p>
    <w:p w14:paraId="05366E12">
      <w:pPr>
        <w:pStyle w:val="52"/>
        <w:ind w:firstLine="480"/>
      </w:pPr>
      <w:r>
        <w:rPr>
          <w:rFonts w:hint="eastAsia"/>
        </w:rPr>
        <w:t>针对本项目，在培训过程中将遵循如下原则：</w:t>
      </w:r>
    </w:p>
    <w:p w14:paraId="14296C34">
      <w:pPr>
        <w:pStyle w:val="52"/>
        <w:ind w:firstLine="480"/>
      </w:pPr>
      <w:r>
        <w:rPr>
          <w:rFonts w:hint="eastAsia"/>
        </w:rPr>
        <w:t>1.提供全面的专业技术培训；</w:t>
      </w:r>
    </w:p>
    <w:p w14:paraId="1428BB32">
      <w:pPr>
        <w:pStyle w:val="52"/>
        <w:ind w:firstLine="480"/>
      </w:pPr>
      <w:r>
        <w:rPr>
          <w:rFonts w:hint="eastAsia"/>
        </w:rPr>
        <w:t>2.培训内容包括但不局限于本项目中所涉及产品的原理、安装、配置、维护和管理等相关专业技术培训；</w:t>
      </w:r>
    </w:p>
    <w:p w14:paraId="79A21865">
      <w:pPr>
        <w:pStyle w:val="52"/>
        <w:ind w:firstLine="480"/>
      </w:pPr>
      <w:r>
        <w:rPr>
          <w:rFonts w:hint="eastAsia"/>
        </w:rPr>
        <w:t>3.培训讲师具有丰富的培训经验；</w:t>
      </w:r>
    </w:p>
    <w:p w14:paraId="5A8ED379">
      <w:pPr>
        <w:pStyle w:val="52"/>
        <w:ind w:firstLine="480"/>
      </w:pPr>
      <w:r>
        <w:rPr>
          <w:rFonts w:hint="eastAsia"/>
        </w:rPr>
        <w:t>4.提供详细的培训方案，对服务方式、培训计划、地点和内容等进行详细说明；为所有被培训人员提供培训用文字资料和讲义等相关用品。</w:t>
      </w:r>
    </w:p>
    <w:p w14:paraId="3453C1AB">
      <w:pPr>
        <w:pStyle w:val="6"/>
      </w:pPr>
      <w:r>
        <w:rPr>
          <w:rFonts w:hint="eastAsia"/>
        </w:rPr>
        <w:t>培训地点</w:t>
      </w:r>
    </w:p>
    <w:p w14:paraId="0C398881">
      <w:pPr>
        <w:pStyle w:val="52"/>
        <w:ind w:firstLine="480"/>
      </w:pPr>
      <w:r>
        <w:rPr>
          <w:rFonts w:hint="eastAsia"/>
        </w:rPr>
        <w:t>我方将于用户沟通协商培训提供，保证培训效果。</w:t>
      </w:r>
    </w:p>
    <w:p w14:paraId="16366600">
      <w:pPr>
        <w:pStyle w:val="6"/>
      </w:pPr>
      <w:r>
        <w:rPr>
          <w:rFonts w:hint="eastAsia"/>
        </w:rPr>
        <w:t>培训内容</w:t>
      </w:r>
    </w:p>
    <w:p w14:paraId="3FF3DD20">
      <w:pPr>
        <w:pStyle w:val="7"/>
      </w:pPr>
      <w:r>
        <w:rPr>
          <w:rFonts w:hint="eastAsia"/>
        </w:rPr>
        <w:t>培训受众</w:t>
      </w:r>
    </w:p>
    <w:p w14:paraId="0976E746">
      <w:pPr>
        <w:pStyle w:val="52"/>
        <w:ind w:firstLine="480"/>
        <w:rPr>
          <w:rFonts w:asciiTheme="minorEastAsia" w:hAnsiTheme="minorEastAsia" w:eastAsiaTheme="minorEastAsia"/>
        </w:rPr>
      </w:pPr>
      <w:r>
        <w:rPr>
          <w:rFonts w:hint="eastAsia" w:asciiTheme="minorEastAsia" w:hAnsiTheme="minorEastAsia" w:eastAsiaTheme="minorEastAsia"/>
        </w:rPr>
        <w:t>培训适用于运维人员、系</w:t>
      </w:r>
      <w:r>
        <w:rPr>
          <w:rFonts w:asciiTheme="minorEastAsia" w:hAnsiTheme="minorEastAsia" w:eastAsiaTheme="minorEastAsia"/>
        </w:rPr>
        <w:t>统</w:t>
      </w:r>
      <w:r>
        <w:rPr>
          <w:rFonts w:hint="eastAsia" w:asciiTheme="minorEastAsia" w:hAnsiTheme="minorEastAsia" w:eastAsiaTheme="minorEastAsia"/>
        </w:rPr>
        <w:t>管理</w:t>
      </w:r>
      <w:r>
        <w:rPr>
          <w:rFonts w:asciiTheme="minorEastAsia" w:hAnsiTheme="minorEastAsia" w:eastAsiaTheme="minorEastAsia"/>
        </w:rPr>
        <w:t>员</w:t>
      </w:r>
      <w:r>
        <w:rPr>
          <w:rFonts w:hint="eastAsia" w:asciiTheme="minorEastAsia" w:hAnsiTheme="minorEastAsia" w:eastAsiaTheme="minorEastAsia"/>
        </w:rPr>
        <w:t>、开发人员、美术制作人员以及用户。通过讲师授课和模拟操作实践的方式，</w:t>
      </w:r>
      <w:r>
        <w:rPr>
          <w:rFonts w:asciiTheme="minorEastAsia" w:hAnsiTheme="minorEastAsia" w:eastAsiaTheme="minorEastAsia"/>
        </w:rPr>
        <w:t>实现知识转移，保证不同用户能独立使用和承担日常的</w:t>
      </w:r>
      <w:r>
        <w:rPr>
          <w:rFonts w:hint="eastAsia" w:asciiTheme="minorEastAsia" w:hAnsiTheme="minorEastAsia" w:eastAsiaTheme="minorEastAsia"/>
        </w:rPr>
        <w:t>相关业务工作</w:t>
      </w:r>
      <w:r>
        <w:rPr>
          <w:rFonts w:asciiTheme="minorEastAsia" w:hAnsiTheme="minorEastAsia" w:eastAsiaTheme="minorEastAsia"/>
        </w:rPr>
        <w:t>。</w:t>
      </w:r>
    </w:p>
    <w:p w14:paraId="31932952">
      <w:pPr>
        <w:pStyle w:val="52"/>
        <w:ind w:firstLine="480"/>
        <w:rPr>
          <w:rFonts w:asciiTheme="minorEastAsia" w:hAnsiTheme="minorEastAsia" w:eastAsiaTheme="minorEastAsia"/>
        </w:rPr>
      </w:pPr>
      <w:r>
        <w:rPr>
          <w:rFonts w:hint="eastAsia" w:asciiTheme="minorEastAsia" w:hAnsiTheme="minorEastAsia" w:eastAsiaTheme="minorEastAsia"/>
        </w:rPr>
        <w:t>本次培训主要针对系统管理人员1</w:t>
      </w:r>
      <w:r>
        <w:rPr>
          <w:rFonts w:asciiTheme="minorEastAsia" w:hAnsiTheme="minorEastAsia" w:eastAsiaTheme="minorEastAsia"/>
        </w:rPr>
        <w:t>0</w:t>
      </w:r>
      <w:r>
        <w:rPr>
          <w:rFonts w:hint="eastAsia" w:asciiTheme="minorEastAsia" w:hAnsiTheme="minorEastAsia" w:eastAsiaTheme="minorEastAsia"/>
        </w:rPr>
        <w:t>名以及美术制作人员1</w:t>
      </w:r>
      <w:r>
        <w:rPr>
          <w:rFonts w:asciiTheme="minorEastAsia" w:hAnsiTheme="minorEastAsia" w:eastAsiaTheme="minorEastAsia"/>
        </w:rPr>
        <w:t>0</w:t>
      </w:r>
      <w:r>
        <w:rPr>
          <w:rFonts w:hint="eastAsia" w:asciiTheme="minorEastAsia" w:hAnsiTheme="minorEastAsia" w:eastAsiaTheme="minorEastAsia"/>
        </w:rPr>
        <w:t>名，其他相关人员也可参与本次培训内容</w:t>
      </w:r>
    </w:p>
    <w:p w14:paraId="75A4EDCD">
      <w:pPr>
        <w:pStyle w:val="7"/>
      </w:pPr>
      <w:r>
        <w:rPr>
          <w:rFonts w:hint="eastAsia"/>
        </w:rPr>
        <w:t>培训内容</w:t>
      </w:r>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8"/>
        <w:gridCol w:w="1709"/>
        <w:gridCol w:w="2551"/>
        <w:gridCol w:w="2127"/>
        <w:gridCol w:w="1975"/>
      </w:tblGrid>
      <w:tr w14:paraId="6893F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85" w:type="pct"/>
            <w:shd w:val="clear" w:color="auto" w:fill="auto"/>
            <w:noWrap/>
            <w:vAlign w:val="center"/>
          </w:tcPr>
          <w:p w14:paraId="5343C875">
            <w:pPr>
              <w:spacing w:after="120"/>
              <w:jc w:val="center"/>
              <w:rPr>
                <w:rFonts w:asciiTheme="minorEastAsia" w:hAnsiTheme="minorEastAsia"/>
                <w:b/>
                <w:sz w:val="21"/>
              </w:rPr>
            </w:pPr>
            <w:bookmarkStart w:id="5" w:name="_Hlk105493018"/>
            <w:r>
              <w:rPr>
                <w:rFonts w:hint="eastAsia" w:asciiTheme="minorEastAsia" w:hAnsiTheme="minorEastAsia"/>
                <w:b/>
                <w:sz w:val="21"/>
              </w:rPr>
              <w:t>序号</w:t>
            </w:r>
          </w:p>
        </w:tc>
        <w:tc>
          <w:tcPr>
            <w:tcW w:w="943" w:type="pct"/>
            <w:shd w:val="clear" w:color="auto" w:fill="auto"/>
            <w:vAlign w:val="center"/>
          </w:tcPr>
          <w:p w14:paraId="6A6E1B6D">
            <w:pPr>
              <w:spacing w:after="120"/>
              <w:jc w:val="center"/>
              <w:rPr>
                <w:rFonts w:asciiTheme="minorEastAsia" w:hAnsiTheme="minorEastAsia"/>
                <w:b/>
                <w:sz w:val="21"/>
              </w:rPr>
            </w:pPr>
            <w:r>
              <w:rPr>
                <w:rFonts w:hint="eastAsia" w:asciiTheme="minorEastAsia" w:hAnsiTheme="minorEastAsia"/>
                <w:b/>
                <w:sz w:val="21"/>
              </w:rPr>
              <w:t>培训项目名称</w:t>
            </w:r>
          </w:p>
        </w:tc>
        <w:tc>
          <w:tcPr>
            <w:tcW w:w="1408" w:type="pct"/>
            <w:shd w:val="clear" w:color="auto" w:fill="auto"/>
            <w:vAlign w:val="center"/>
          </w:tcPr>
          <w:p w14:paraId="1D1F0628">
            <w:pPr>
              <w:spacing w:after="120"/>
              <w:jc w:val="center"/>
              <w:rPr>
                <w:rFonts w:asciiTheme="minorEastAsia" w:hAnsiTheme="minorEastAsia"/>
                <w:b/>
                <w:sz w:val="21"/>
              </w:rPr>
            </w:pPr>
            <w:r>
              <w:rPr>
                <w:rFonts w:hint="eastAsia" w:asciiTheme="minorEastAsia" w:hAnsiTheme="minorEastAsia"/>
                <w:b/>
                <w:sz w:val="21"/>
              </w:rPr>
              <w:t>培训内容说明</w:t>
            </w:r>
          </w:p>
        </w:tc>
        <w:tc>
          <w:tcPr>
            <w:tcW w:w="1174" w:type="pct"/>
            <w:shd w:val="clear" w:color="auto" w:fill="auto"/>
            <w:vAlign w:val="center"/>
          </w:tcPr>
          <w:p w14:paraId="4A3BF30A">
            <w:pPr>
              <w:spacing w:after="120"/>
              <w:jc w:val="center"/>
              <w:rPr>
                <w:rFonts w:asciiTheme="minorEastAsia" w:hAnsiTheme="minorEastAsia"/>
                <w:b/>
                <w:sz w:val="21"/>
              </w:rPr>
            </w:pPr>
            <w:r>
              <w:rPr>
                <w:rFonts w:hint="eastAsia" w:asciiTheme="minorEastAsia" w:hAnsiTheme="minorEastAsia"/>
                <w:b/>
                <w:sz w:val="21"/>
              </w:rPr>
              <w:t>人数</w:t>
            </w:r>
          </w:p>
        </w:tc>
        <w:tc>
          <w:tcPr>
            <w:tcW w:w="1090" w:type="pct"/>
            <w:shd w:val="clear" w:color="auto" w:fill="auto"/>
            <w:vAlign w:val="center"/>
          </w:tcPr>
          <w:p w14:paraId="78E79D8C">
            <w:pPr>
              <w:spacing w:after="120"/>
              <w:jc w:val="center"/>
              <w:rPr>
                <w:rFonts w:asciiTheme="minorEastAsia" w:hAnsiTheme="minorEastAsia"/>
                <w:b/>
                <w:sz w:val="21"/>
              </w:rPr>
            </w:pPr>
            <w:r>
              <w:rPr>
                <w:rFonts w:hint="eastAsia" w:asciiTheme="minorEastAsia" w:hAnsiTheme="minorEastAsia"/>
                <w:b/>
                <w:sz w:val="21"/>
              </w:rPr>
              <w:t>备注</w:t>
            </w:r>
          </w:p>
        </w:tc>
      </w:tr>
      <w:tr w14:paraId="35F89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85" w:type="pct"/>
            <w:shd w:val="clear" w:color="auto" w:fill="auto"/>
            <w:noWrap/>
            <w:vAlign w:val="center"/>
          </w:tcPr>
          <w:p w14:paraId="0FB7BF38">
            <w:pPr>
              <w:spacing w:after="120"/>
              <w:jc w:val="center"/>
              <w:rPr>
                <w:rFonts w:asciiTheme="minorEastAsia" w:hAnsiTheme="minorEastAsia"/>
                <w:color w:val="000000"/>
                <w:sz w:val="21"/>
              </w:rPr>
            </w:pPr>
            <w:r>
              <w:rPr>
                <w:rFonts w:hint="eastAsia" w:asciiTheme="minorEastAsia" w:hAnsiTheme="minorEastAsia"/>
                <w:color w:val="000000"/>
                <w:sz w:val="21"/>
              </w:rPr>
              <w:t>1</w:t>
            </w:r>
          </w:p>
        </w:tc>
        <w:tc>
          <w:tcPr>
            <w:tcW w:w="943" w:type="pct"/>
            <w:shd w:val="clear" w:color="auto" w:fill="auto"/>
            <w:vAlign w:val="center"/>
          </w:tcPr>
          <w:p w14:paraId="172F8DEE">
            <w:pPr>
              <w:spacing w:after="120"/>
              <w:jc w:val="center"/>
              <w:rPr>
                <w:rFonts w:cs="Calibri" w:asciiTheme="minorEastAsia" w:hAnsiTheme="minorEastAsia"/>
                <w:color w:val="000000"/>
                <w:sz w:val="21"/>
              </w:rPr>
            </w:pPr>
            <w:r>
              <w:rPr>
                <w:rFonts w:hint="eastAsia" w:cs="Calibri" w:asciiTheme="minorEastAsia" w:hAnsiTheme="minorEastAsia"/>
                <w:color w:val="000000"/>
                <w:sz w:val="21"/>
              </w:rPr>
              <w:t>产品公开课</w:t>
            </w:r>
          </w:p>
        </w:tc>
        <w:tc>
          <w:tcPr>
            <w:tcW w:w="1408" w:type="pct"/>
            <w:shd w:val="clear" w:color="auto" w:fill="auto"/>
            <w:vAlign w:val="center"/>
          </w:tcPr>
          <w:p w14:paraId="16649AFC">
            <w:pPr>
              <w:spacing w:after="120"/>
              <w:rPr>
                <w:rFonts w:cs="Calibri" w:asciiTheme="minorEastAsia" w:hAnsiTheme="minorEastAsia"/>
                <w:color w:val="000000"/>
                <w:sz w:val="21"/>
              </w:rPr>
            </w:pPr>
            <w:r>
              <w:rPr>
                <w:rFonts w:hint="eastAsia" w:cs="Calibri" w:asciiTheme="minorEastAsia" w:hAnsiTheme="minorEastAsia"/>
                <w:color w:val="000000"/>
                <w:sz w:val="21"/>
              </w:rPr>
              <w:t>通过产品功能特性、产品工作流程，、实施工艺、项目管理流程以及产品支持渠道等内容的深入讲解，结合实际案例动手实践，使被公开课人员快速具备产品实施能力。确保参与配置人员可以充分掌握产品特性</w:t>
            </w:r>
          </w:p>
        </w:tc>
        <w:tc>
          <w:tcPr>
            <w:tcW w:w="1174" w:type="pct"/>
            <w:shd w:val="clear" w:color="auto" w:fill="auto"/>
            <w:vAlign w:val="center"/>
          </w:tcPr>
          <w:p w14:paraId="2C9A7FE1">
            <w:pPr>
              <w:spacing w:after="120"/>
              <w:rPr>
                <w:rFonts w:cs="Calibri" w:asciiTheme="minorEastAsia" w:hAnsiTheme="minorEastAsia"/>
                <w:color w:val="000000"/>
                <w:sz w:val="21"/>
              </w:rPr>
            </w:pPr>
            <w:r>
              <w:rPr>
                <w:rFonts w:hint="eastAsia" w:cs="Calibri" w:asciiTheme="minorEastAsia" w:hAnsiTheme="minorEastAsia"/>
                <w:color w:val="000000"/>
                <w:sz w:val="21"/>
              </w:rPr>
              <w:t>包含系统管理人员1</w:t>
            </w:r>
            <w:r>
              <w:rPr>
                <w:rFonts w:cs="Calibri" w:asciiTheme="minorEastAsia" w:hAnsiTheme="minorEastAsia"/>
                <w:color w:val="000000"/>
                <w:sz w:val="21"/>
              </w:rPr>
              <w:t>0</w:t>
            </w:r>
            <w:r>
              <w:rPr>
                <w:rFonts w:hint="eastAsia" w:cs="Calibri" w:asciiTheme="minorEastAsia" w:hAnsiTheme="minorEastAsia"/>
                <w:color w:val="000000"/>
                <w:sz w:val="21"/>
              </w:rPr>
              <w:t>名，美术制作人员1</w:t>
            </w:r>
            <w:r>
              <w:rPr>
                <w:rFonts w:cs="Calibri" w:asciiTheme="minorEastAsia" w:hAnsiTheme="minorEastAsia"/>
                <w:color w:val="000000"/>
                <w:sz w:val="21"/>
              </w:rPr>
              <w:t>0</w:t>
            </w:r>
            <w:r>
              <w:rPr>
                <w:rFonts w:hint="eastAsia" w:cs="Calibri" w:asciiTheme="minorEastAsia" w:hAnsiTheme="minorEastAsia"/>
                <w:color w:val="000000"/>
                <w:sz w:val="21"/>
              </w:rPr>
              <w:t>名以及若干其他人员</w:t>
            </w:r>
          </w:p>
        </w:tc>
        <w:tc>
          <w:tcPr>
            <w:tcW w:w="1090" w:type="pct"/>
            <w:shd w:val="clear" w:color="auto" w:fill="auto"/>
            <w:noWrap/>
            <w:vAlign w:val="center"/>
          </w:tcPr>
          <w:p w14:paraId="3E289568">
            <w:pPr>
              <w:spacing w:after="120"/>
              <w:jc w:val="center"/>
              <w:rPr>
                <w:rFonts w:cs="Calibri" w:asciiTheme="minorEastAsia" w:hAnsiTheme="minorEastAsia"/>
                <w:color w:val="000000"/>
                <w:sz w:val="21"/>
              </w:rPr>
            </w:pPr>
            <w:r>
              <w:rPr>
                <w:rFonts w:hint="eastAsia" w:cs="Calibri" w:asciiTheme="minorEastAsia" w:hAnsiTheme="minorEastAsia"/>
                <w:color w:val="000000"/>
                <w:sz w:val="21"/>
              </w:rPr>
              <w:t>根据用户要求可进行</w:t>
            </w:r>
            <w:r>
              <w:rPr>
                <w:rFonts w:cs="Calibri" w:asciiTheme="minorEastAsia" w:hAnsiTheme="minorEastAsia"/>
                <w:color w:val="000000"/>
                <w:sz w:val="21"/>
              </w:rPr>
              <w:t>分批培训</w:t>
            </w:r>
          </w:p>
        </w:tc>
      </w:tr>
      <w:tr w14:paraId="7A82A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85" w:type="pct"/>
            <w:shd w:val="clear" w:color="auto" w:fill="auto"/>
            <w:noWrap/>
            <w:vAlign w:val="center"/>
          </w:tcPr>
          <w:p w14:paraId="1D1B8690">
            <w:pPr>
              <w:spacing w:after="120"/>
              <w:jc w:val="center"/>
              <w:rPr>
                <w:rFonts w:asciiTheme="minorEastAsia" w:hAnsiTheme="minorEastAsia"/>
                <w:color w:val="000000"/>
                <w:sz w:val="21"/>
              </w:rPr>
            </w:pPr>
            <w:r>
              <w:rPr>
                <w:rFonts w:hint="eastAsia" w:asciiTheme="minorEastAsia" w:hAnsiTheme="minorEastAsia"/>
                <w:color w:val="000000"/>
                <w:sz w:val="21"/>
              </w:rPr>
              <w:t>2</w:t>
            </w:r>
          </w:p>
        </w:tc>
        <w:tc>
          <w:tcPr>
            <w:tcW w:w="943" w:type="pct"/>
            <w:shd w:val="clear" w:color="auto" w:fill="auto"/>
            <w:vAlign w:val="center"/>
          </w:tcPr>
          <w:p w14:paraId="44060E24">
            <w:pPr>
              <w:spacing w:after="120"/>
              <w:rPr>
                <w:rFonts w:cs="Calibri" w:asciiTheme="minorEastAsia" w:hAnsiTheme="minorEastAsia"/>
                <w:color w:val="000000"/>
                <w:sz w:val="21"/>
              </w:rPr>
            </w:pPr>
            <w:r>
              <w:rPr>
                <w:rFonts w:hint="eastAsia" w:cs="Calibri" w:asciiTheme="minorEastAsia" w:hAnsiTheme="minorEastAsia"/>
                <w:color w:val="000000"/>
                <w:sz w:val="21"/>
              </w:rPr>
              <w:t>系统安装部署培训</w:t>
            </w:r>
          </w:p>
        </w:tc>
        <w:tc>
          <w:tcPr>
            <w:tcW w:w="1408" w:type="pct"/>
            <w:shd w:val="clear" w:color="auto" w:fill="auto"/>
            <w:vAlign w:val="center"/>
          </w:tcPr>
          <w:p w14:paraId="37594E06">
            <w:pPr>
              <w:spacing w:after="120"/>
              <w:rPr>
                <w:rFonts w:cs="Calibri" w:asciiTheme="minorEastAsia" w:hAnsiTheme="minorEastAsia"/>
                <w:color w:val="000000"/>
                <w:sz w:val="21"/>
              </w:rPr>
            </w:pPr>
            <w:r>
              <w:rPr>
                <w:rFonts w:hint="eastAsia" w:cs="Calibri" w:asciiTheme="minorEastAsia" w:hAnsiTheme="minorEastAsia"/>
                <w:color w:val="000000"/>
                <w:sz w:val="21"/>
              </w:rPr>
              <w:t>针对产品的安装部署进行培训，包含产品所需硬件资源条件，硬件资源配置，系统安装流程，系统安装注意点，系统各组件部署关系等内容；</w:t>
            </w:r>
          </w:p>
          <w:p w14:paraId="781318F0">
            <w:pPr>
              <w:spacing w:after="120"/>
              <w:rPr>
                <w:rFonts w:cs="Calibri" w:asciiTheme="minorEastAsia" w:hAnsiTheme="minorEastAsia"/>
                <w:color w:val="000000"/>
                <w:sz w:val="21"/>
              </w:rPr>
            </w:pPr>
            <w:r>
              <w:rPr>
                <w:rFonts w:hint="eastAsia" w:cs="Calibri" w:asciiTheme="minorEastAsia" w:hAnsiTheme="minorEastAsia"/>
                <w:color w:val="000000"/>
                <w:sz w:val="21"/>
              </w:rPr>
              <w:t>系统管理员可在系统安装时参与系统安装，并进行实际的安装培训；</w:t>
            </w:r>
          </w:p>
        </w:tc>
        <w:tc>
          <w:tcPr>
            <w:tcW w:w="1174" w:type="pct"/>
            <w:shd w:val="clear" w:color="auto" w:fill="auto"/>
            <w:vAlign w:val="center"/>
          </w:tcPr>
          <w:p w14:paraId="0FB0AA73">
            <w:pPr>
              <w:spacing w:after="120"/>
              <w:rPr>
                <w:rFonts w:cs="Calibri" w:asciiTheme="minorEastAsia" w:hAnsiTheme="minorEastAsia"/>
                <w:color w:val="000000"/>
                <w:sz w:val="21"/>
              </w:rPr>
            </w:pPr>
            <w:r>
              <w:rPr>
                <w:rFonts w:hint="eastAsia" w:cs="Calibri" w:asciiTheme="minorEastAsia" w:hAnsiTheme="minorEastAsia"/>
                <w:color w:val="000000"/>
                <w:sz w:val="21"/>
              </w:rPr>
              <w:t>包含系统管理人员1</w:t>
            </w:r>
            <w:r>
              <w:rPr>
                <w:rFonts w:cs="Calibri" w:asciiTheme="minorEastAsia" w:hAnsiTheme="minorEastAsia"/>
                <w:color w:val="000000"/>
                <w:sz w:val="21"/>
              </w:rPr>
              <w:t>0</w:t>
            </w:r>
            <w:r>
              <w:rPr>
                <w:rFonts w:hint="eastAsia" w:cs="Calibri" w:asciiTheme="minorEastAsia" w:hAnsiTheme="minorEastAsia"/>
                <w:color w:val="000000"/>
                <w:sz w:val="21"/>
              </w:rPr>
              <w:t>名，以及若干其他人员</w:t>
            </w:r>
          </w:p>
        </w:tc>
        <w:tc>
          <w:tcPr>
            <w:tcW w:w="1090" w:type="pct"/>
            <w:shd w:val="clear" w:color="auto" w:fill="auto"/>
            <w:noWrap/>
            <w:vAlign w:val="center"/>
          </w:tcPr>
          <w:p w14:paraId="0787A99D">
            <w:pPr>
              <w:spacing w:after="120"/>
              <w:rPr>
                <w:rFonts w:cs="Calibri" w:asciiTheme="minorEastAsia" w:hAnsiTheme="minorEastAsia"/>
                <w:color w:val="000000"/>
                <w:sz w:val="21"/>
              </w:rPr>
            </w:pPr>
            <w:r>
              <w:rPr>
                <w:rFonts w:hint="eastAsia" w:cs="Calibri" w:asciiTheme="minorEastAsia" w:hAnsiTheme="minorEastAsia"/>
                <w:color w:val="000000"/>
                <w:sz w:val="21"/>
              </w:rPr>
              <w:t>根据用户要求可进行</w:t>
            </w:r>
            <w:r>
              <w:rPr>
                <w:rFonts w:cs="Calibri" w:asciiTheme="minorEastAsia" w:hAnsiTheme="minorEastAsia"/>
                <w:color w:val="000000"/>
                <w:sz w:val="21"/>
              </w:rPr>
              <w:t>分批培训</w:t>
            </w:r>
          </w:p>
        </w:tc>
      </w:tr>
      <w:tr w14:paraId="3E17B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85" w:type="pct"/>
            <w:shd w:val="clear" w:color="auto" w:fill="auto"/>
            <w:noWrap/>
            <w:vAlign w:val="center"/>
          </w:tcPr>
          <w:p w14:paraId="01AC8511">
            <w:pPr>
              <w:spacing w:after="120"/>
              <w:jc w:val="center"/>
              <w:rPr>
                <w:rFonts w:asciiTheme="minorEastAsia" w:hAnsiTheme="minorEastAsia"/>
                <w:color w:val="000000"/>
                <w:sz w:val="21"/>
              </w:rPr>
            </w:pPr>
            <w:r>
              <w:rPr>
                <w:rFonts w:hint="eastAsia" w:asciiTheme="minorEastAsia" w:hAnsiTheme="minorEastAsia"/>
                <w:color w:val="000000"/>
                <w:sz w:val="21"/>
              </w:rPr>
              <w:t>3</w:t>
            </w:r>
          </w:p>
        </w:tc>
        <w:tc>
          <w:tcPr>
            <w:tcW w:w="943" w:type="pct"/>
            <w:shd w:val="clear" w:color="auto" w:fill="auto"/>
            <w:vAlign w:val="center"/>
          </w:tcPr>
          <w:p w14:paraId="52798543">
            <w:pPr>
              <w:spacing w:after="120"/>
              <w:rPr>
                <w:rFonts w:cs="Calibri" w:asciiTheme="minorEastAsia" w:hAnsiTheme="minorEastAsia"/>
                <w:color w:val="000000"/>
                <w:sz w:val="21"/>
              </w:rPr>
            </w:pPr>
            <w:r>
              <w:rPr>
                <w:rFonts w:hint="eastAsia" w:cs="Calibri" w:asciiTheme="minorEastAsia" w:hAnsiTheme="minorEastAsia"/>
                <w:color w:val="000000"/>
                <w:sz w:val="21"/>
              </w:rPr>
              <w:t>系统管理培训</w:t>
            </w:r>
          </w:p>
        </w:tc>
        <w:tc>
          <w:tcPr>
            <w:tcW w:w="1408" w:type="pct"/>
            <w:shd w:val="clear" w:color="auto" w:fill="auto"/>
            <w:vAlign w:val="center"/>
          </w:tcPr>
          <w:p w14:paraId="1AFA3C01">
            <w:pPr>
              <w:spacing w:after="120"/>
              <w:rPr>
                <w:rFonts w:cs="Calibri" w:asciiTheme="minorEastAsia" w:hAnsiTheme="minorEastAsia"/>
                <w:color w:val="000000"/>
                <w:sz w:val="21"/>
              </w:rPr>
            </w:pPr>
            <w:r>
              <w:rPr>
                <w:rFonts w:hint="eastAsia" w:cs="Calibri" w:asciiTheme="minorEastAsia" w:hAnsiTheme="minorEastAsia"/>
                <w:color w:val="000000"/>
                <w:sz w:val="21"/>
              </w:rPr>
              <w:t>能够熟练使用本项目系统进行相关的操作使用及运维工作，了解各功能模块设定的指标及参数的意义，能够完成系统的各类配置工作包括用户，角色，权限等内容</w:t>
            </w:r>
            <w:r>
              <w:rPr>
                <w:rFonts w:cs="Calibri" w:asciiTheme="minorEastAsia" w:hAnsiTheme="minorEastAsia"/>
                <w:color w:val="000000"/>
                <w:sz w:val="21"/>
              </w:rPr>
              <w:t xml:space="preserve"> </w:t>
            </w:r>
          </w:p>
        </w:tc>
        <w:tc>
          <w:tcPr>
            <w:tcW w:w="1174" w:type="pct"/>
            <w:shd w:val="clear" w:color="auto" w:fill="auto"/>
            <w:vAlign w:val="center"/>
          </w:tcPr>
          <w:p w14:paraId="0CDCA29F">
            <w:pPr>
              <w:spacing w:after="120"/>
              <w:rPr>
                <w:rFonts w:cs="Calibri" w:asciiTheme="minorEastAsia" w:hAnsiTheme="minorEastAsia"/>
                <w:color w:val="000000"/>
                <w:sz w:val="21"/>
              </w:rPr>
            </w:pPr>
            <w:r>
              <w:rPr>
                <w:rFonts w:hint="eastAsia" w:cs="Calibri" w:asciiTheme="minorEastAsia" w:hAnsiTheme="minorEastAsia"/>
                <w:color w:val="000000"/>
                <w:sz w:val="21"/>
              </w:rPr>
              <w:t>包含系统管理人员1</w:t>
            </w:r>
            <w:r>
              <w:rPr>
                <w:rFonts w:cs="Calibri" w:asciiTheme="minorEastAsia" w:hAnsiTheme="minorEastAsia"/>
                <w:color w:val="000000"/>
                <w:sz w:val="21"/>
              </w:rPr>
              <w:t>0</w:t>
            </w:r>
            <w:r>
              <w:rPr>
                <w:rFonts w:hint="eastAsia" w:cs="Calibri" w:asciiTheme="minorEastAsia" w:hAnsiTheme="minorEastAsia"/>
                <w:color w:val="000000"/>
                <w:sz w:val="21"/>
              </w:rPr>
              <w:t>名，以及若干其他人员</w:t>
            </w:r>
          </w:p>
        </w:tc>
        <w:tc>
          <w:tcPr>
            <w:tcW w:w="1090" w:type="pct"/>
            <w:shd w:val="clear" w:color="auto" w:fill="auto"/>
            <w:noWrap/>
            <w:vAlign w:val="center"/>
          </w:tcPr>
          <w:p w14:paraId="07576058">
            <w:pPr>
              <w:spacing w:after="120"/>
              <w:rPr>
                <w:rFonts w:cs="Calibri" w:asciiTheme="minorEastAsia" w:hAnsiTheme="minorEastAsia"/>
                <w:color w:val="000000"/>
                <w:sz w:val="21"/>
              </w:rPr>
            </w:pPr>
            <w:r>
              <w:rPr>
                <w:rFonts w:hint="eastAsia" w:cs="Calibri" w:asciiTheme="minorEastAsia" w:hAnsiTheme="minorEastAsia"/>
                <w:color w:val="000000"/>
                <w:sz w:val="21"/>
              </w:rPr>
              <w:t>统一培训</w:t>
            </w:r>
          </w:p>
        </w:tc>
      </w:tr>
      <w:tr w14:paraId="49E69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85" w:type="pct"/>
            <w:shd w:val="clear" w:color="auto" w:fill="auto"/>
            <w:noWrap/>
            <w:vAlign w:val="center"/>
          </w:tcPr>
          <w:p w14:paraId="2E6FF815">
            <w:pPr>
              <w:spacing w:after="120"/>
              <w:jc w:val="center"/>
              <w:rPr>
                <w:rFonts w:asciiTheme="minorEastAsia" w:hAnsiTheme="minorEastAsia"/>
                <w:color w:val="000000"/>
                <w:sz w:val="21"/>
              </w:rPr>
            </w:pPr>
            <w:r>
              <w:rPr>
                <w:rFonts w:hint="eastAsia" w:asciiTheme="minorEastAsia" w:hAnsiTheme="minorEastAsia"/>
                <w:color w:val="000000"/>
                <w:sz w:val="21"/>
              </w:rPr>
              <w:t>4</w:t>
            </w:r>
          </w:p>
        </w:tc>
        <w:tc>
          <w:tcPr>
            <w:tcW w:w="943" w:type="pct"/>
            <w:shd w:val="clear" w:color="auto" w:fill="auto"/>
            <w:vAlign w:val="center"/>
          </w:tcPr>
          <w:p w14:paraId="188D075C">
            <w:pPr>
              <w:spacing w:after="120"/>
              <w:rPr>
                <w:rFonts w:cs="Calibri" w:asciiTheme="minorEastAsia" w:hAnsiTheme="minorEastAsia"/>
                <w:color w:val="000000"/>
                <w:sz w:val="21"/>
              </w:rPr>
            </w:pPr>
            <w:r>
              <w:rPr>
                <w:rFonts w:hint="eastAsia" w:cs="Calibri" w:asciiTheme="minorEastAsia" w:hAnsiTheme="minorEastAsia"/>
                <w:color w:val="000000"/>
                <w:sz w:val="21"/>
              </w:rPr>
              <w:t>系统维护培训</w:t>
            </w:r>
          </w:p>
        </w:tc>
        <w:tc>
          <w:tcPr>
            <w:tcW w:w="1408" w:type="pct"/>
            <w:shd w:val="clear" w:color="auto" w:fill="auto"/>
            <w:vAlign w:val="center"/>
          </w:tcPr>
          <w:p w14:paraId="75602411">
            <w:pPr>
              <w:spacing w:after="120"/>
              <w:rPr>
                <w:rFonts w:cs="Calibri" w:asciiTheme="minorEastAsia" w:hAnsiTheme="minorEastAsia"/>
                <w:color w:val="000000"/>
                <w:sz w:val="21"/>
              </w:rPr>
            </w:pPr>
            <w:r>
              <w:rPr>
                <w:rFonts w:hint="eastAsia" w:cs="Calibri" w:asciiTheme="minorEastAsia" w:hAnsiTheme="minorEastAsia"/>
                <w:color w:val="000000"/>
                <w:sz w:val="21"/>
              </w:rPr>
              <w:t>系统维护操作主要包含系统的日常维护和故障排查等内容，帮助运维人员可以完成系统的一般故障进行处理，以进行系统的维护支持工作</w:t>
            </w:r>
          </w:p>
        </w:tc>
        <w:tc>
          <w:tcPr>
            <w:tcW w:w="1174" w:type="pct"/>
            <w:shd w:val="clear" w:color="auto" w:fill="auto"/>
            <w:vAlign w:val="center"/>
          </w:tcPr>
          <w:p w14:paraId="0454A39B">
            <w:pPr>
              <w:spacing w:after="120"/>
              <w:rPr>
                <w:rFonts w:cs="Calibri" w:asciiTheme="minorEastAsia" w:hAnsiTheme="minorEastAsia"/>
                <w:color w:val="000000"/>
                <w:sz w:val="21"/>
              </w:rPr>
            </w:pPr>
            <w:r>
              <w:rPr>
                <w:rFonts w:hint="eastAsia" w:cs="Calibri" w:asciiTheme="minorEastAsia" w:hAnsiTheme="minorEastAsia"/>
                <w:color w:val="000000"/>
                <w:sz w:val="21"/>
              </w:rPr>
              <w:t>包含系统管理人员1</w:t>
            </w:r>
            <w:r>
              <w:rPr>
                <w:rFonts w:cs="Calibri" w:asciiTheme="minorEastAsia" w:hAnsiTheme="minorEastAsia"/>
                <w:color w:val="000000"/>
                <w:sz w:val="21"/>
              </w:rPr>
              <w:t>0</w:t>
            </w:r>
            <w:r>
              <w:rPr>
                <w:rFonts w:hint="eastAsia" w:cs="Calibri" w:asciiTheme="minorEastAsia" w:hAnsiTheme="minorEastAsia"/>
                <w:color w:val="000000"/>
                <w:sz w:val="21"/>
              </w:rPr>
              <w:t>名，以及若干其他人员</w:t>
            </w:r>
          </w:p>
        </w:tc>
        <w:tc>
          <w:tcPr>
            <w:tcW w:w="1090" w:type="pct"/>
            <w:shd w:val="clear" w:color="auto" w:fill="auto"/>
            <w:noWrap/>
            <w:vAlign w:val="center"/>
          </w:tcPr>
          <w:p w14:paraId="3E151580">
            <w:pPr>
              <w:spacing w:after="120"/>
              <w:rPr>
                <w:rFonts w:cs="Calibri" w:asciiTheme="minorEastAsia" w:hAnsiTheme="minorEastAsia"/>
                <w:color w:val="000000"/>
                <w:sz w:val="21"/>
              </w:rPr>
            </w:pPr>
            <w:r>
              <w:rPr>
                <w:rFonts w:hint="eastAsia" w:cs="Calibri" w:asciiTheme="minorEastAsia" w:hAnsiTheme="minorEastAsia"/>
                <w:color w:val="000000"/>
                <w:sz w:val="21"/>
              </w:rPr>
              <w:t>根据用户要求可进行</w:t>
            </w:r>
            <w:r>
              <w:rPr>
                <w:rFonts w:cs="Calibri" w:asciiTheme="minorEastAsia" w:hAnsiTheme="minorEastAsia"/>
                <w:color w:val="000000"/>
                <w:sz w:val="21"/>
              </w:rPr>
              <w:t>分批培训</w:t>
            </w:r>
          </w:p>
        </w:tc>
      </w:tr>
      <w:tr w14:paraId="3D086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85" w:type="pct"/>
            <w:shd w:val="clear" w:color="auto" w:fill="auto"/>
            <w:noWrap/>
            <w:vAlign w:val="center"/>
          </w:tcPr>
          <w:p w14:paraId="2F7171FF">
            <w:pPr>
              <w:spacing w:after="120"/>
              <w:jc w:val="center"/>
              <w:rPr>
                <w:rFonts w:asciiTheme="minorEastAsia" w:hAnsiTheme="minorEastAsia"/>
                <w:color w:val="000000"/>
                <w:sz w:val="21"/>
              </w:rPr>
            </w:pPr>
            <w:r>
              <w:rPr>
                <w:rFonts w:hint="eastAsia" w:asciiTheme="minorEastAsia" w:hAnsiTheme="minorEastAsia"/>
                <w:color w:val="000000"/>
                <w:sz w:val="21"/>
              </w:rPr>
              <w:t>5</w:t>
            </w:r>
          </w:p>
        </w:tc>
        <w:tc>
          <w:tcPr>
            <w:tcW w:w="943" w:type="pct"/>
            <w:shd w:val="clear" w:color="auto" w:fill="auto"/>
            <w:vAlign w:val="center"/>
          </w:tcPr>
          <w:p w14:paraId="2E2F122A">
            <w:pPr>
              <w:spacing w:after="120"/>
              <w:rPr>
                <w:rFonts w:cs="Calibri" w:asciiTheme="minorEastAsia" w:hAnsiTheme="minorEastAsia"/>
                <w:color w:val="000000"/>
                <w:sz w:val="21"/>
              </w:rPr>
            </w:pPr>
            <w:r>
              <w:rPr>
                <w:rFonts w:hint="eastAsia" w:cs="Calibri" w:asciiTheme="minorEastAsia" w:hAnsiTheme="minorEastAsia"/>
                <w:color w:val="000000"/>
                <w:sz w:val="21"/>
              </w:rPr>
              <w:t>使用操作培训</w:t>
            </w:r>
          </w:p>
        </w:tc>
        <w:tc>
          <w:tcPr>
            <w:tcW w:w="1408" w:type="pct"/>
            <w:shd w:val="clear" w:color="auto" w:fill="auto"/>
            <w:vAlign w:val="center"/>
          </w:tcPr>
          <w:p w14:paraId="5ED89685">
            <w:pPr>
              <w:spacing w:after="120"/>
              <w:rPr>
                <w:rFonts w:cs="Calibri" w:asciiTheme="minorEastAsia" w:hAnsiTheme="minorEastAsia"/>
                <w:color w:val="000000"/>
                <w:sz w:val="21"/>
              </w:rPr>
            </w:pPr>
            <w:r>
              <w:rPr>
                <w:rFonts w:hint="eastAsia" w:cs="Calibri" w:asciiTheme="minorEastAsia" w:hAnsiTheme="minorEastAsia"/>
                <w:color w:val="000000"/>
                <w:sz w:val="21"/>
              </w:rPr>
              <w:t>使用操作培训主要针对系统业务功能的使用，包含数智人云端形成生成，形象驱动，流化处理，数智人交互等；</w:t>
            </w:r>
          </w:p>
        </w:tc>
        <w:tc>
          <w:tcPr>
            <w:tcW w:w="1174" w:type="pct"/>
            <w:shd w:val="clear" w:color="auto" w:fill="auto"/>
            <w:vAlign w:val="center"/>
          </w:tcPr>
          <w:p w14:paraId="36134E2C">
            <w:pPr>
              <w:spacing w:after="120"/>
              <w:rPr>
                <w:rFonts w:cs="Calibri" w:asciiTheme="minorEastAsia" w:hAnsiTheme="minorEastAsia"/>
                <w:color w:val="000000"/>
                <w:sz w:val="21"/>
              </w:rPr>
            </w:pPr>
            <w:r>
              <w:rPr>
                <w:rFonts w:hint="eastAsia" w:cs="Calibri" w:asciiTheme="minorEastAsia" w:hAnsiTheme="minorEastAsia"/>
                <w:color w:val="000000"/>
                <w:sz w:val="21"/>
              </w:rPr>
              <w:t>包含系统管理人员1</w:t>
            </w:r>
            <w:r>
              <w:rPr>
                <w:rFonts w:cs="Calibri" w:asciiTheme="minorEastAsia" w:hAnsiTheme="minorEastAsia"/>
                <w:color w:val="000000"/>
                <w:sz w:val="21"/>
              </w:rPr>
              <w:t>0</w:t>
            </w:r>
            <w:r>
              <w:rPr>
                <w:rFonts w:hint="eastAsia" w:cs="Calibri" w:asciiTheme="minorEastAsia" w:hAnsiTheme="minorEastAsia"/>
                <w:color w:val="000000"/>
                <w:sz w:val="21"/>
              </w:rPr>
              <w:t>名，美术制作人员1</w:t>
            </w:r>
            <w:r>
              <w:rPr>
                <w:rFonts w:cs="Calibri" w:asciiTheme="minorEastAsia" w:hAnsiTheme="minorEastAsia"/>
                <w:color w:val="000000"/>
                <w:sz w:val="21"/>
              </w:rPr>
              <w:t>0</w:t>
            </w:r>
            <w:r>
              <w:rPr>
                <w:rFonts w:hint="eastAsia" w:cs="Calibri" w:asciiTheme="minorEastAsia" w:hAnsiTheme="minorEastAsia"/>
                <w:color w:val="000000"/>
                <w:sz w:val="21"/>
              </w:rPr>
              <w:t>名以及若干其他人员</w:t>
            </w:r>
          </w:p>
        </w:tc>
        <w:tc>
          <w:tcPr>
            <w:tcW w:w="1090" w:type="pct"/>
            <w:shd w:val="clear" w:color="auto" w:fill="auto"/>
            <w:noWrap/>
            <w:vAlign w:val="center"/>
          </w:tcPr>
          <w:p w14:paraId="1DAAD05E">
            <w:pPr>
              <w:spacing w:after="120"/>
              <w:rPr>
                <w:rFonts w:cs="Calibri" w:asciiTheme="minorEastAsia" w:hAnsiTheme="minorEastAsia"/>
                <w:color w:val="000000"/>
                <w:sz w:val="21"/>
              </w:rPr>
            </w:pPr>
            <w:r>
              <w:rPr>
                <w:rFonts w:hint="eastAsia" w:cs="Calibri" w:asciiTheme="minorEastAsia" w:hAnsiTheme="minorEastAsia"/>
                <w:color w:val="000000"/>
                <w:sz w:val="21"/>
              </w:rPr>
              <w:t>根据用户要求可进行</w:t>
            </w:r>
            <w:r>
              <w:rPr>
                <w:rFonts w:cs="Calibri" w:asciiTheme="minorEastAsia" w:hAnsiTheme="minorEastAsia"/>
                <w:color w:val="000000"/>
                <w:sz w:val="21"/>
              </w:rPr>
              <w:t>分批培训</w:t>
            </w:r>
          </w:p>
        </w:tc>
      </w:tr>
      <w:tr w14:paraId="1E17A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385" w:type="pct"/>
            <w:shd w:val="clear" w:color="auto" w:fill="auto"/>
            <w:noWrap/>
            <w:vAlign w:val="center"/>
          </w:tcPr>
          <w:p w14:paraId="073A6015">
            <w:pPr>
              <w:spacing w:after="120"/>
              <w:jc w:val="center"/>
              <w:rPr>
                <w:rFonts w:asciiTheme="minorEastAsia" w:hAnsiTheme="minorEastAsia"/>
                <w:color w:val="000000"/>
                <w:sz w:val="21"/>
              </w:rPr>
            </w:pPr>
            <w:r>
              <w:rPr>
                <w:rFonts w:hint="eastAsia" w:asciiTheme="minorEastAsia" w:hAnsiTheme="minorEastAsia"/>
                <w:color w:val="000000"/>
                <w:sz w:val="21"/>
              </w:rPr>
              <w:t>6</w:t>
            </w:r>
          </w:p>
        </w:tc>
        <w:tc>
          <w:tcPr>
            <w:tcW w:w="943" w:type="pct"/>
            <w:shd w:val="clear" w:color="auto" w:fill="auto"/>
            <w:vAlign w:val="center"/>
          </w:tcPr>
          <w:p w14:paraId="6584B1D6">
            <w:pPr>
              <w:spacing w:after="120"/>
              <w:rPr>
                <w:rFonts w:cs="Calibri" w:asciiTheme="minorEastAsia" w:hAnsiTheme="minorEastAsia"/>
                <w:color w:val="000000"/>
                <w:sz w:val="21"/>
              </w:rPr>
            </w:pPr>
            <w:r>
              <w:rPr>
                <w:rFonts w:hint="eastAsia" w:cs="Calibri" w:asciiTheme="minorEastAsia" w:hAnsiTheme="minorEastAsia"/>
                <w:color w:val="000000"/>
                <w:sz w:val="21"/>
              </w:rPr>
              <w:t>美术制作培训</w:t>
            </w:r>
          </w:p>
        </w:tc>
        <w:tc>
          <w:tcPr>
            <w:tcW w:w="1408" w:type="pct"/>
            <w:shd w:val="clear" w:color="auto" w:fill="auto"/>
            <w:vAlign w:val="center"/>
          </w:tcPr>
          <w:p w14:paraId="2EA73F07">
            <w:pPr>
              <w:spacing w:after="120"/>
              <w:rPr>
                <w:rFonts w:cs="Calibri" w:asciiTheme="minorEastAsia" w:hAnsiTheme="minorEastAsia"/>
                <w:color w:val="000000"/>
                <w:sz w:val="21"/>
              </w:rPr>
            </w:pPr>
            <w:r>
              <w:rPr>
                <w:rFonts w:hint="eastAsia" w:cs="Calibri" w:asciiTheme="minorEastAsia" w:hAnsiTheme="minorEastAsia"/>
                <w:color w:val="000000"/>
                <w:sz w:val="21"/>
              </w:rPr>
              <w:t>美术制作配置课程主要内容包括人员形象设计，人员形象细化和上色，3D建模、材质贴图、骨骼绑定、动作设计和动作制作等内容</w:t>
            </w:r>
          </w:p>
        </w:tc>
        <w:tc>
          <w:tcPr>
            <w:tcW w:w="1174" w:type="pct"/>
            <w:shd w:val="clear" w:color="auto" w:fill="auto"/>
            <w:vAlign w:val="center"/>
          </w:tcPr>
          <w:p w14:paraId="6129B2AD">
            <w:pPr>
              <w:spacing w:after="120"/>
              <w:rPr>
                <w:rFonts w:cs="Calibri" w:asciiTheme="minorEastAsia" w:hAnsiTheme="minorEastAsia"/>
                <w:color w:val="000000"/>
                <w:sz w:val="21"/>
              </w:rPr>
            </w:pPr>
            <w:r>
              <w:rPr>
                <w:rFonts w:hint="eastAsia" w:cs="Calibri" w:asciiTheme="minorEastAsia" w:hAnsiTheme="minorEastAsia"/>
                <w:color w:val="000000"/>
                <w:sz w:val="21"/>
              </w:rPr>
              <w:t>美术制作人员1</w:t>
            </w:r>
            <w:r>
              <w:rPr>
                <w:rFonts w:cs="Calibri" w:asciiTheme="minorEastAsia" w:hAnsiTheme="minorEastAsia"/>
                <w:color w:val="000000"/>
                <w:sz w:val="21"/>
              </w:rPr>
              <w:t>0</w:t>
            </w:r>
            <w:r>
              <w:rPr>
                <w:rFonts w:hint="eastAsia" w:cs="Calibri" w:asciiTheme="minorEastAsia" w:hAnsiTheme="minorEastAsia"/>
                <w:color w:val="000000"/>
                <w:sz w:val="21"/>
              </w:rPr>
              <w:t>名以及若干其他人员</w:t>
            </w:r>
          </w:p>
        </w:tc>
        <w:tc>
          <w:tcPr>
            <w:tcW w:w="1090" w:type="pct"/>
            <w:shd w:val="clear" w:color="auto" w:fill="auto"/>
            <w:noWrap/>
            <w:vAlign w:val="center"/>
          </w:tcPr>
          <w:p w14:paraId="17B88D76">
            <w:pPr>
              <w:spacing w:after="120"/>
              <w:rPr>
                <w:rFonts w:cs="Calibri" w:asciiTheme="minorEastAsia" w:hAnsiTheme="minorEastAsia"/>
                <w:color w:val="000000"/>
                <w:sz w:val="21"/>
              </w:rPr>
            </w:pPr>
            <w:r>
              <w:rPr>
                <w:rFonts w:hint="eastAsia" w:cs="Calibri" w:asciiTheme="minorEastAsia" w:hAnsiTheme="minorEastAsia"/>
                <w:color w:val="000000"/>
                <w:sz w:val="21"/>
              </w:rPr>
              <w:t>根据用户要求可进行</w:t>
            </w:r>
            <w:r>
              <w:rPr>
                <w:rFonts w:cs="Calibri" w:asciiTheme="minorEastAsia" w:hAnsiTheme="minorEastAsia"/>
                <w:color w:val="000000"/>
                <w:sz w:val="21"/>
              </w:rPr>
              <w:t>分批培训</w:t>
            </w:r>
          </w:p>
        </w:tc>
      </w:tr>
      <w:bookmarkEnd w:id="5"/>
    </w:tbl>
    <w:p w14:paraId="0DC5CD14">
      <w:pPr>
        <w:pStyle w:val="7"/>
      </w:pPr>
      <w:r>
        <w:rPr>
          <w:rFonts w:hint="eastAsia"/>
        </w:rPr>
        <w:t>培训教材</w:t>
      </w:r>
    </w:p>
    <w:p w14:paraId="78593CE6">
      <w:pPr>
        <w:pStyle w:val="52"/>
        <w:ind w:firstLine="480"/>
        <w:rPr>
          <w:rFonts w:asciiTheme="minorEastAsia" w:hAnsiTheme="minorEastAsia" w:eastAsiaTheme="minorEastAsia"/>
        </w:rPr>
      </w:pPr>
      <w:r>
        <w:rPr>
          <w:rFonts w:hint="eastAsia" w:asciiTheme="minorEastAsia" w:hAnsiTheme="minorEastAsia" w:eastAsiaTheme="minorEastAsia"/>
        </w:rPr>
        <w:t>《产品技术手册》</w:t>
      </w:r>
    </w:p>
    <w:p w14:paraId="12822C15">
      <w:pPr>
        <w:pStyle w:val="52"/>
        <w:ind w:firstLine="480"/>
        <w:rPr>
          <w:rFonts w:asciiTheme="minorEastAsia" w:hAnsiTheme="minorEastAsia" w:eastAsiaTheme="minorEastAsia"/>
        </w:rPr>
      </w:pPr>
      <w:r>
        <w:rPr>
          <w:rFonts w:hint="eastAsia" w:asciiTheme="minorEastAsia" w:hAnsiTheme="minorEastAsia" w:eastAsiaTheme="minorEastAsia"/>
        </w:rPr>
        <w:t>《数智人美术培训手册》</w:t>
      </w:r>
    </w:p>
    <w:p w14:paraId="26E1E418">
      <w:pPr>
        <w:pStyle w:val="52"/>
        <w:ind w:firstLine="480"/>
        <w:rPr>
          <w:rFonts w:asciiTheme="minorEastAsia" w:hAnsiTheme="minorEastAsia" w:eastAsiaTheme="minorEastAsia"/>
        </w:rPr>
      </w:pPr>
      <w:r>
        <w:rPr>
          <w:rFonts w:hint="eastAsia" w:asciiTheme="minorEastAsia" w:hAnsiTheme="minorEastAsia" w:eastAsiaTheme="minorEastAsia"/>
        </w:rPr>
        <w:t>《系统设计说明书》</w:t>
      </w:r>
    </w:p>
    <w:p w14:paraId="42F8249E">
      <w:pPr>
        <w:pStyle w:val="52"/>
        <w:ind w:firstLine="480"/>
        <w:rPr>
          <w:rFonts w:asciiTheme="minorEastAsia" w:hAnsiTheme="minorEastAsia" w:eastAsiaTheme="minorEastAsia"/>
        </w:rPr>
      </w:pPr>
      <w:r>
        <w:rPr>
          <w:rFonts w:hint="eastAsia" w:asciiTheme="minorEastAsia" w:hAnsiTheme="minorEastAsia" w:eastAsiaTheme="minorEastAsia"/>
        </w:rPr>
        <w:t>《系统操作手册》</w:t>
      </w:r>
    </w:p>
    <w:p w14:paraId="44A18835">
      <w:pPr>
        <w:pStyle w:val="52"/>
        <w:ind w:firstLine="480"/>
        <w:rPr>
          <w:rFonts w:asciiTheme="minorEastAsia" w:hAnsiTheme="minorEastAsia" w:eastAsiaTheme="minorEastAsia"/>
        </w:rPr>
      </w:pPr>
      <w:r>
        <w:rPr>
          <w:rFonts w:hint="eastAsia" w:asciiTheme="minorEastAsia" w:hAnsiTheme="minorEastAsia" w:eastAsiaTheme="minorEastAsia"/>
        </w:rPr>
        <w:t>《用户操作手册》</w:t>
      </w:r>
    </w:p>
    <w:p w14:paraId="03F325AF">
      <w:pPr>
        <w:pStyle w:val="52"/>
        <w:ind w:firstLine="480"/>
        <w:rPr>
          <w:rFonts w:asciiTheme="minorEastAsia" w:hAnsiTheme="minorEastAsia" w:eastAsiaTheme="minorEastAsia"/>
        </w:rPr>
      </w:pPr>
      <w:r>
        <w:rPr>
          <w:rFonts w:hint="eastAsia" w:asciiTheme="minorEastAsia" w:hAnsiTheme="minorEastAsia" w:eastAsiaTheme="minorEastAsia"/>
        </w:rPr>
        <w:t>《系统部署手册》</w:t>
      </w:r>
    </w:p>
    <w:p w14:paraId="21F9688B">
      <w:pPr>
        <w:pStyle w:val="52"/>
        <w:ind w:firstLine="480"/>
        <w:rPr>
          <w:rFonts w:asciiTheme="minorEastAsia" w:hAnsiTheme="minorEastAsia" w:eastAsiaTheme="minorEastAsia"/>
        </w:rPr>
      </w:pPr>
      <w:r>
        <w:rPr>
          <w:rFonts w:hint="eastAsia" w:asciiTheme="minorEastAsia" w:hAnsiTheme="minorEastAsia" w:eastAsiaTheme="minorEastAsia"/>
        </w:rPr>
        <w:t>《系统运维手册》</w:t>
      </w:r>
    </w:p>
    <w:p w14:paraId="782C5849">
      <w:pPr>
        <w:pStyle w:val="7"/>
      </w:pPr>
      <w:r>
        <w:rPr>
          <w:rFonts w:hint="eastAsia"/>
        </w:rPr>
        <w:t>培训目标</w:t>
      </w:r>
    </w:p>
    <w:p w14:paraId="5843E6C6">
      <w:pPr>
        <w:pStyle w:val="52"/>
        <w:ind w:firstLine="480"/>
        <w:rPr>
          <w:rFonts w:asciiTheme="minorEastAsia" w:hAnsiTheme="minorEastAsia" w:eastAsiaTheme="minorEastAsia"/>
        </w:rPr>
      </w:pPr>
      <w:r>
        <w:rPr>
          <w:rFonts w:hint="eastAsia" w:asciiTheme="minorEastAsia" w:hAnsiTheme="minorEastAsia" w:eastAsiaTheme="minorEastAsia"/>
        </w:rPr>
        <w:t>我方提供本项目平台的实施方案、代码设计、代码开发、技术文档、标准、规范、维护、流程、相关的理论知识、最终交付产品的操作与使用等培训，在甲方指定的地点进行相关培训，并提供培训录像和自学课程等资料。通过培训，使接受培训的人员能够达到以下水平：</w:t>
      </w:r>
    </w:p>
    <w:p w14:paraId="3FF91651">
      <w:pPr>
        <w:pStyle w:val="52"/>
        <w:numPr>
          <w:ilvl w:val="0"/>
          <w:numId w:val="29"/>
        </w:numPr>
        <w:ind w:firstLineChars="0"/>
        <w:rPr>
          <w:rFonts w:asciiTheme="minorEastAsia" w:hAnsiTheme="minorEastAsia" w:eastAsiaTheme="minorEastAsia"/>
        </w:rPr>
      </w:pPr>
      <w:r>
        <w:rPr>
          <w:rFonts w:hint="eastAsia" w:asciiTheme="minorEastAsia" w:hAnsiTheme="minorEastAsia" w:eastAsiaTheme="minorEastAsia"/>
        </w:rPr>
        <w:t>能够独立安装软件产品；</w:t>
      </w:r>
    </w:p>
    <w:p w14:paraId="51D9F9D7">
      <w:pPr>
        <w:pStyle w:val="52"/>
        <w:numPr>
          <w:ilvl w:val="0"/>
          <w:numId w:val="29"/>
        </w:numPr>
        <w:ind w:firstLineChars="0"/>
        <w:rPr>
          <w:rFonts w:asciiTheme="minorEastAsia" w:hAnsiTheme="minorEastAsia" w:eastAsiaTheme="minorEastAsia"/>
        </w:rPr>
      </w:pPr>
      <w:r>
        <w:rPr>
          <w:rFonts w:hint="eastAsia" w:asciiTheme="minorEastAsia" w:hAnsiTheme="minorEastAsia" w:eastAsiaTheme="minorEastAsia"/>
        </w:rPr>
        <w:t>能够熟练使用、维护软件产品；</w:t>
      </w:r>
    </w:p>
    <w:p w14:paraId="325293D5">
      <w:pPr>
        <w:pStyle w:val="52"/>
        <w:numPr>
          <w:ilvl w:val="0"/>
          <w:numId w:val="29"/>
        </w:numPr>
        <w:ind w:firstLineChars="0"/>
        <w:rPr>
          <w:rFonts w:asciiTheme="minorEastAsia" w:hAnsiTheme="minorEastAsia" w:eastAsiaTheme="minorEastAsia"/>
        </w:rPr>
      </w:pPr>
      <w:r>
        <w:rPr>
          <w:rFonts w:hint="eastAsia" w:asciiTheme="minorEastAsia" w:hAnsiTheme="minorEastAsia" w:eastAsiaTheme="minorEastAsia"/>
        </w:rPr>
        <w:t>掌握该产品的工作原理以及基于该产品的开发方法；</w:t>
      </w:r>
    </w:p>
    <w:p w14:paraId="24FE2D58">
      <w:pPr>
        <w:pStyle w:val="52"/>
        <w:numPr>
          <w:ilvl w:val="0"/>
          <w:numId w:val="29"/>
        </w:numPr>
        <w:ind w:firstLineChars="0"/>
        <w:rPr>
          <w:rFonts w:asciiTheme="minorEastAsia" w:hAnsiTheme="minorEastAsia" w:eastAsiaTheme="minorEastAsia"/>
        </w:rPr>
      </w:pPr>
      <w:r>
        <w:rPr>
          <w:rFonts w:hint="eastAsia" w:asciiTheme="minorEastAsia" w:hAnsiTheme="minorEastAsia" w:eastAsiaTheme="minorEastAsia"/>
        </w:rPr>
        <w:t>具有熟练查阅各种相关技术文件及维护手册的能力。</w:t>
      </w:r>
    </w:p>
    <w:p w14:paraId="461E5013">
      <w:pPr>
        <w:pStyle w:val="52"/>
        <w:numPr>
          <w:ilvl w:val="0"/>
          <w:numId w:val="29"/>
        </w:numPr>
        <w:ind w:firstLineChars="0"/>
        <w:rPr>
          <w:rFonts w:asciiTheme="minorEastAsia" w:hAnsiTheme="minorEastAsia" w:eastAsiaTheme="minorEastAsia"/>
        </w:rPr>
      </w:pPr>
      <w:r>
        <w:rPr>
          <w:rFonts w:hint="eastAsia" w:asciiTheme="minorEastAsia" w:hAnsiTheme="minorEastAsia" w:eastAsiaTheme="minorEastAsia"/>
        </w:rPr>
        <w:t>具备基本的数智人美术设计能力</w:t>
      </w:r>
    </w:p>
    <w:p w14:paraId="13F2D135">
      <w:pPr>
        <w:pStyle w:val="7"/>
      </w:pPr>
      <w:r>
        <w:rPr>
          <w:rFonts w:hint="eastAsia"/>
        </w:rPr>
        <w:t>培训讲师</w:t>
      </w:r>
    </w:p>
    <w:p w14:paraId="65508BBC">
      <w:pPr>
        <w:pStyle w:val="52"/>
        <w:ind w:firstLine="480"/>
      </w:pPr>
      <w:r>
        <w:t>我方将派遣三名经验丰富的培训讲师</w:t>
      </w:r>
      <w:r>
        <w:rPr>
          <w:rFonts w:hint="eastAsia"/>
        </w:rPr>
        <w:t>，对本项目相关内容进行培训，</w:t>
      </w:r>
      <w:r>
        <w:t>具体简历如下</w:t>
      </w:r>
      <w:r>
        <w:rPr>
          <w:rFonts w:hint="eastAsia"/>
        </w:rPr>
        <w:t>：</w:t>
      </w:r>
    </w:p>
    <w:p w14:paraId="5E0D8EF3">
      <w:pPr>
        <w:pStyle w:val="8"/>
      </w:pPr>
      <w:r>
        <w:rPr>
          <w:rFonts w:hint="eastAsia"/>
        </w:rPr>
        <w:t>讲师-谢毅</w:t>
      </w:r>
    </w:p>
    <w:tbl>
      <w:tblPr>
        <w:tblStyle w:val="32"/>
        <w:tblW w:w="96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1"/>
        <w:gridCol w:w="1453"/>
        <w:gridCol w:w="73"/>
        <w:gridCol w:w="1628"/>
        <w:gridCol w:w="1936"/>
        <w:gridCol w:w="899"/>
        <w:gridCol w:w="567"/>
        <w:gridCol w:w="1383"/>
      </w:tblGrid>
      <w:tr w14:paraId="52A76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661" w:type="dxa"/>
            <w:shd w:val="clear" w:color="auto" w:fill="auto"/>
            <w:vAlign w:val="center"/>
          </w:tcPr>
          <w:p w14:paraId="4931F072">
            <w:pPr>
              <w:widowControl/>
              <w:spacing w:line="240" w:lineRule="auto"/>
              <w:jc w:val="both"/>
              <w:rPr>
                <w:rFonts w:cs="宋体" w:asciiTheme="minorEastAsia" w:hAnsiTheme="minorEastAsia"/>
                <w:color w:val="000000"/>
                <w:kern w:val="0"/>
                <w:sz w:val="21"/>
              </w:rPr>
            </w:pPr>
            <w:r>
              <w:rPr>
                <w:rFonts w:hint="eastAsia" w:cs="宋体" w:asciiTheme="minorEastAsia" w:hAnsiTheme="minorEastAsia"/>
                <w:color w:val="000000"/>
                <w:kern w:val="0"/>
                <w:sz w:val="21"/>
              </w:rPr>
              <w:t>姓名</w:t>
            </w:r>
          </w:p>
        </w:tc>
        <w:tc>
          <w:tcPr>
            <w:tcW w:w="1526" w:type="dxa"/>
            <w:gridSpan w:val="2"/>
            <w:shd w:val="clear" w:color="auto" w:fill="auto"/>
            <w:vAlign w:val="center"/>
          </w:tcPr>
          <w:p w14:paraId="1BE21C09">
            <w:pPr>
              <w:widowControl/>
              <w:spacing w:line="240" w:lineRule="auto"/>
              <w:rPr>
                <w:rFonts w:cs="宋体" w:asciiTheme="minorEastAsia" w:hAnsiTheme="minorEastAsia"/>
                <w:color w:val="000000"/>
                <w:kern w:val="0"/>
                <w:sz w:val="21"/>
              </w:rPr>
            </w:pPr>
            <w:r>
              <w:rPr>
                <w:rFonts w:hint="eastAsia"/>
              </w:rPr>
              <w:t>谢毅</w:t>
            </w:r>
          </w:p>
        </w:tc>
        <w:tc>
          <w:tcPr>
            <w:tcW w:w="1628" w:type="dxa"/>
            <w:shd w:val="clear" w:color="auto" w:fill="auto"/>
            <w:vAlign w:val="center"/>
          </w:tcPr>
          <w:p w14:paraId="4C5A37D9">
            <w:pPr>
              <w:widowControl/>
              <w:spacing w:line="240" w:lineRule="auto"/>
              <w:jc w:val="both"/>
              <w:rPr>
                <w:rFonts w:cs="宋体" w:asciiTheme="minorEastAsia" w:hAnsiTheme="minorEastAsia"/>
                <w:color w:val="000000"/>
                <w:kern w:val="0"/>
                <w:sz w:val="21"/>
              </w:rPr>
            </w:pPr>
            <w:r>
              <w:rPr>
                <w:rFonts w:hint="eastAsia" w:cs="宋体" w:asciiTheme="minorEastAsia" w:hAnsiTheme="minorEastAsia"/>
                <w:color w:val="000000"/>
                <w:kern w:val="0"/>
                <w:sz w:val="21"/>
              </w:rPr>
              <w:t>性别</w:t>
            </w:r>
          </w:p>
        </w:tc>
        <w:tc>
          <w:tcPr>
            <w:tcW w:w="1936" w:type="dxa"/>
            <w:shd w:val="clear" w:color="auto" w:fill="auto"/>
            <w:vAlign w:val="center"/>
          </w:tcPr>
          <w:p w14:paraId="3C1D4A9C">
            <w:pPr>
              <w:widowControl/>
              <w:spacing w:line="240" w:lineRule="auto"/>
              <w:jc w:val="both"/>
              <w:rPr>
                <w:rFonts w:cs="宋体" w:asciiTheme="minorEastAsia" w:hAnsiTheme="minorEastAsia"/>
                <w:color w:val="000000"/>
                <w:kern w:val="0"/>
                <w:sz w:val="21"/>
              </w:rPr>
            </w:pPr>
            <w:r>
              <w:rPr>
                <w:rFonts w:cs="宋体" w:asciiTheme="minorEastAsia" w:hAnsiTheme="minorEastAsia"/>
                <w:color w:val="000000"/>
                <w:kern w:val="0"/>
                <w:sz w:val="21"/>
              </w:rPr>
              <w:t>男</w:t>
            </w:r>
          </w:p>
        </w:tc>
        <w:tc>
          <w:tcPr>
            <w:tcW w:w="1466" w:type="dxa"/>
            <w:gridSpan w:val="2"/>
            <w:shd w:val="clear" w:color="auto" w:fill="auto"/>
            <w:vAlign w:val="center"/>
          </w:tcPr>
          <w:p w14:paraId="4AC42726">
            <w:pPr>
              <w:widowControl/>
              <w:spacing w:line="240" w:lineRule="auto"/>
              <w:jc w:val="both"/>
              <w:rPr>
                <w:rFonts w:cs="宋体" w:asciiTheme="minorEastAsia" w:hAnsiTheme="minorEastAsia"/>
                <w:color w:val="000000"/>
                <w:kern w:val="0"/>
                <w:sz w:val="21"/>
              </w:rPr>
            </w:pPr>
            <w:r>
              <w:rPr>
                <w:rFonts w:hint="eastAsia" w:cs="宋体" w:asciiTheme="minorEastAsia" w:hAnsiTheme="minorEastAsia"/>
                <w:color w:val="000000"/>
                <w:kern w:val="0"/>
                <w:sz w:val="21"/>
              </w:rPr>
              <w:t>年龄</w:t>
            </w:r>
          </w:p>
        </w:tc>
        <w:tc>
          <w:tcPr>
            <w:tcW w:w="1383" w:type="dxa"/>
            <w:shd w:val="clear" w:color="auto" w:fill="auto"/>
            <w:vAlign w:val="center"/>
          </w:tcPr>
          <w:p w14:paraId="621ECCE5">
            <w:pPr>
              <w:widowControl/>
              <w:spacing w:line="240" w:lineRule="auto"/>
              <w:jc w:val="both"/>
              <w:rPr>
                <w:rFonts w:cs="宋体" w:asciiTheme="minorEastAsia" w:hAnsiTheme="minorEastAsia"/>
                <w:color w:val="000000"/>
                <w:kern w:val="0"/>
                <w:sz w:val="21"/>
              </w:rPr>
            </w:pPr>
            <w:r>
              <w:rPr>
                <w:rFonts w:cs="宋体" w:asciiTheme="minorEastAsia" w:hAnsiTheme="minorEastAsia"/>
                <w:color w:val="000000"/>
                <w:kern w:val="0"/>
                <w:sz w:val="21"/>
              </w:rPr>
              <w:t>31</w:t>
            </w:r>
          </w:p>
        </w:tc>
      </w:tr>
      <w:tr w14:paraId="523B4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661" w:type="dxa"/>
            <w:shd w:val="clear" w:color="auto" w:fill="auto"/>
            <w:vAlign w:val="center"/>
          </w:tcPr>
          <w:p w14:paraId="7A959EF3">
            <w:pPr>
              <w:widowControl/>
              <w:spacing w:line="240" w:lineRule="auto"/>
              <w:jc w:val="both"/>
              <w:rPr>
                <w:rFonts w:cs="宋体" w:asciiTheme="minorEastAsia" w:hAnsiTheme="minorEastAsia"/>
                <w:color w:val="000000"/>
                <w:kern w:val="0"/>
                <w:sz w:val="21"/>
              </w:rPr>
            </w:pPr>
            <w:r>
              <w:rPr>
                <w:rFonts w:hint="eastAsia" w:cs="宋体" w:asciiTheme="minorEastAsia" w:hAnsiTheme="minorEastAsia"/>
                <w:color w:val="000000"/>
                <w:kern w:val="0"/>
                <w:sz w:val="21"/>
              </w:rPr>
              <w:t>职位</w:t>
            </w:r>
          </w:p>
        </w:tc>
        <w:tc>
          <w:tcPr>
            <w:tcW w:w="1526" w:type="dxa"/>
            <w:gridSpan w:val="2"/>
            <w:shd w:val="clear" w:color="auto" w:fill="auto"/>
            <w:vAlign w:val="center"/>
          </w:tcPr>
          <w:p w14:paraId="58FFC10B">
            <w:pPr>
              <w:widowControl/>
              <w:spacing w:line="240" w:lineRule="auto"/>
              <w:rPr>
                <w:rFonts w:cs="宋体" w:asciiTheme="minorEastAsia" w:hAnsiTheme="minorEastAsia"/>
                <w:color w:val="000000"/>
                <w:kern w:val="0"/>
                <w:sz w:val="21"/>
              </w:rPr>
            </w:pPr>
            <w:r>
              <w:rPr>
                <w:rFonts w:hint="eastAsia" w:cs="宋体" w:asciiTheme="minorEastAsia" w:hAnsiTheme="minorEastAsia"/>
                <w:color w:val="000000"/>
                <w:kern w:val="0"/>
                <w:sz w:val="21"/>
              </w:rPr>
              <w:t>项目经理</w:t>
            </w:r>
          </w:p>
        </w:tc>
        <w:tc>
          <w:tcPr>
            <w:tcW w:w="1628" w:type="dxa"/>
            <w:shd w:val="clear" w:color="auto" w:fill="auto"/>
            <w:vAlign w:val="center"/>
          </w:tcPr>
          <w:p w14:paraId="669DAB12">
            <w:pPr>
              <w:widowControl/>
              <w:spacing w:line="240" w:lineRule="auto"/>
              <w:jc w:val="both"/>
              <w:rPr>
                <w:rFonts w:cs="宋体" w:asciiTheme="minorEastAsia" w:hAnsiTheme="minorEastAsia"/>
                <w:color w:val="000000"/>
                <w:kern w:val="0"/>
                <w:sz w:val="21"/>
              </w:rPr>
            </w:pPr>
            <w:r>
              <w:rPr>
                <w:rFonts w:hint="eastAsia" w:cs="宋体" w:asciiTheme="minorEastAsia" w:hAnsiTheme="minorEastAsia"/>
                <w:color w:val="000000"/>
                <w:kern w:val="0"/>
                <w:sz w:val="21"/>
              </w:rPr>
              <w:t>职称</w:t>
            </w:r>
          </w:p>
        </w:tc>
        <w:tc>
          <w:tcPr>
            <w:tcW w:w="1936" w:type="dxa"/>
            <w:shd w:val="clear" w:color="auto" w:fill="auto"/>
            <w:vAlign w:val="center"/>
          </w:tcPr>
          <w:p w14:paraId="49B8B6D8">
            <w:pPr>
              <w:widowControl/>
              <w:spacing w:line="240" w:lineRule="auto"/>
              <w:jc w:val="both"/>
              <w:rPr>
                <w:rFonts w:cs="宋体" w:asciiTheme="minorEastAsia" w:hAnsiTheme="minorEastAsia"/>
                <w:color w:val="000000"/>
                <w:kern w:val="0"/>
                <w:sz w:val="21"/>
              </w:rPr>
            </w:pPr>
            <w:r>
              <w:rPr>
                <w:rFonts w:cs="宋体" w:asciiTheme="minorEastAsia" w:hAnsiTheme="minorEastAsia"/>
                <w:color w:val="000000"/>
                <w:kern w:val="0"/>
                <w:sz w:val="21"/>
              </w:rPr>
              <w:t>/</w:t>
            </w:r>
          </w:p>
        </w:tc>
        <w:tc>
          <w:tcPr>
            <w:tcW w:w="1466" w:type="dxa"/>
            <w:gridSpan w:val="2"/>
            <w:shd w:val="clear" w:color="auto" w:fill="auto"/>
            <w:vAlign w:val="center"/>
          </w:tcPr>
          <w:p w14:paraId="4E4B461F">
            <w:pPr>
              <w:widowControl/>
              <w:spacing w:line="240" w:lineRule="auto"/>
              <w:jc w:val="both"/>
              <w:rPr>
                <w:rFonts w:cs="宋体" w:asciiTheme="minorEastAsia" w:hAnsiTheme="minorEastAsia"/>
                <w:color w:val="000000"/>
                <w:kern w:val="0"/>
                <w:sz w:val="21"/>
              </w:rPr>
            </w:pPr>
            <w:r>
              <w:rPr>
                <w:rFonts w:hint="eastAsia" w:cs="宋体" w:asciiTheme="minorEastAsia" w:hAnsiTheme="minorEastAsia"/>
                <w:color w:val="000000"/>
                <w:kern w:val="0"/>
                <w:sz w:val="21"/>
              </w:rPr>
              <w:t>学历</w:t>
            </w:r>
          </w:p>
        </w:tc>
        <w:tc>
          <w:tcPr>
            <w:tcW w:w="1383" w:type="dxa"/>
            <w:shd w:val="clear" w:color="auto" w:fill="auto"/>
            <w:vAlign w:val="center"/>
          </w:tcPr>
          <w:p w14:paraId="38CE024E">
            <w:pPr>
              <w:widowControl/>
              <w:spacing w:line="240" w:lineRule="auto"/>
              <w:jc w:val="both"/>
              <w:rPr>
                <w:rFonts w:cs="宋体" w:asciiTheme="minorEastAsia" w:hAnsiTheme="minorEastAsia"/>
                <w:color w:val="000000"/>
                <w:kern w:val="0"/>
                <w:sz w:val="21"/>
              </w:rPr>
            </w:pPr>
            <w:r>
              <w:rPr>
                <w:rFonts w:cs="宋体" w:asciiTheme="minorEastAsia" w:hAnsiTheme="minorEastAsia"/>
                <w:color w:val="000000"/>
                <w:kern w:val="0"/>
                <w:sz w:val="21"/>
              </w:rPr>
              <w:t>本科</w:t>
            </w:r>
          </w:p>
        </w:tc>
      </w:tr>
      <w:tr w14:paraId="6A56D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1661" w:type="dxa"/>
            <w:shd w:val="clear" w:color="auto" w:fill="auto"/>
            <w:vAlign w:val="center"/>
          </w:tcPr>
          <w:p w14:paraId="47CCF758">
            <w:pPr>
              <w:widowControl/>
              <w:spacing w:line="240" w:lineRule="auto"/>
              <w:jc w:val="both"/>
              <w:rPr>
                <w:rFonts w:cs="宋体" w:asciiTheme="minorEastAsia" w:hAnsiTheme="minorEastAsia"/>
                <w:color w:val="000000"/>
                <w:kern w:val="0"/>
                <w:sz w:val="21"/>
              </w:rPr>
            </w:pPr>
            <w:r>
              <w:rPr>
                <w:rFonts w:hint="eastAsia" w:cs="宋体" w:asciiTheme="minorEastAsia" w:hAnsiTheme="minorEastAsia"/>
                <w:color w:val="000000"/>
                <w:kern w:val="0"/>
                <w:sz w:val="21"/>
              </w:rPr>
              <w:t>相关证书</w:t>
            </w:r>
          </w:p>
        </w:tc>
        <w:tc>
          <w:tcPr>
            <w:tcW w:w="1526" w:type="dxa"/>
            <w:gridSpan w:val="2"/>
            <w:shd w:val="clear" w:color="auto" w:fill="auto"/>
            <w:vAlign w:val="center"/>
          </w:tcPr>
          <w:p w14:paraId="1D39D67E">
            <w:pPr>
              <w:widowControl/>
              <w:spacing w:line="240" w:lineRule="auto"/>
              <w:jc w:val="both"/>
              <w:rPr>
                <w:rFonts w:cs="宋体" w:asciiTheme="minorEastAsia" w:hAnsiTheme="minorEastAsia"/>
                <w:color w:val="000000"/>
                <w:kern w:val="0"/>
                <w:sz w:val="21"/>
              </w:rPr>
            </w:pPr>
            <w:r>
              <w:rPr>
                <w:rFonts w:hint="eastAsia" w:cs="宋体" w:asciiTheme="minorEastAsia" w:hAnsiTheme="minorEastAsia"/>
                <w:color w:val="000000"/>
                <w:kern w:val="0"/>
                <w:sz w:val="21"/>
              </w:rPr>
              <w:t>PMP</w:t>
            </w:r>
          </w:p>
        </w:tc>
        <w:tc>
          <w:tcPr>
            <w:tcW w:w="1628" w:type="dxa"/>
            <w:shd w:val="clear" w:color="auto" w:fill="auto"/>
            <w:vAlign w:val="center"/>
          </w:tcPr>
          <w:p w14:paraId="4EE66C59">
            <w:pPr>
              <w:widowControl/>
              <w:spacing w:line="240" w:lineRule="auto"/>
              <w:jc w:val="both"/>
              <w:rPr>
                <w:rFonts w:cs="宋体" w:asciiTheme="minorEastAsia" w:hAnsiTheme="minorEastAsia"/>
                <w:color w:val="000000"/>
                <w:kern w:val="0"/>
                <w:sz w:val="21"/>
              </w:rPr>
            </w:pPr>
            <w:r>
              <w:rPr>
                <w:rFonts w:hint="eastAsia" w:cs="宋体" w:asciiTheme="minorEastAsia" w:hAnsiTheme="minorEastAsia"/>
                <w:color w:val="000000"/>
                <w:kern w:val="0"/>
                <w:sz w:val="21"/>
              </w:rPr>
              <w:t>毕业院校</w:t>
            </w:r>
          </w:p>
        </w:tc>
        <w:tc>
          <w:tcPr>
            <w:tcW w:w="1936" w:type="dxa"/>
            <w:shd w:val="clear" w:color="auto" w:fill="auto"/>
            <w:vAlign w:val="center"/>
          </w:tcPr>
          <w:p w14:paraId="78D78498">
            <w:pPr>
              <w:widowControl/>
              <w:spacing w:line="240" w:lineRule="auto"/>
              <w:jc w:val="both"/>
              <w:rPr>
                <w:rFonts w:cs="宋体" w:asciiTheme="minorEastAsia" w:hAnsiTheme="minorEastAsia"/>
                <w:color w:val="000000"/>
                <w:kern w:val="0"/>
                <w:sz w:val="21"/>
              </w:rPr>
            </w:pPr>
            <w:r>
              <w:rPr>
                <w:rFonts w:hint="eastAsia" w:cs="宋体" w:asciiTheme="minorEastAsia" w:hAnsiTheme="minorEastAsia"/>
                <w:color w:val="000000"/>
                <w:kern w:val="0"/>
                <w:sz w:val="21"/>
              </w:rPr>
              <w:t>南京理工大学</w:t>
            </w:r>
          </w:p>
        </w:tc>
        <w:tc>
          <w:tcPr>
            <w:tcW w:w="1466" w:type="dxa"/>
            <w:gridSpan w:val="2"/>
            <w:shd w:val="clear" w:color="auto" w:fill="auto"/>
            <w:vAlign w:val="center"/>
          </w:tcPr>
          <w:p w14:paraId="7F06BB7E">
            <w:pPr>
              <w:widowControl/>
              <w:spacing w:line="240" w:lineRule="auto"/>
              <w:jc w:val="both"/>
              <w:rPr>
                <w:rFonts w:cs="宋体" w:asciiTheme="minorEastAsia" w:hAnsiTheme="minorEastAsia"/>
                <w:color w:val="000000"/>
                <w:kern w:val="0"/>
                <w:sz w:val="21"/>
              </w:rPr>
            </w:pPr>
            <w:r>
              <w:rPr>
                <w:rFonts w:hint="eastAsia" w:cs="宋体" w:asciiTheme="minorEastAsia" w:hAnsiTheme="minorEastAsia"/>
                <w:color w:val="000000"/>
                <w:kern w:val="0"/>
                <w:sz w:val="21"/>
              </w:rPr>
              <w:t>专业</w:t>
            </w:r>
          </w:p>
        </w:tc>
        <w:tc>
          <w:tcPr>
            <w:tcW w:w="1383" w:type="dxa"/>
            <w:shd w:val="clear" w:color="auto" w:fill="auto"/>
            <w:vAlign w:val="center"/>
          </w:tcPr>
          <w:p w14:paraId="4053CFC7">
            <w:pPr>
              <w:widowControl/>
              <w:spacing w:line="240" w:lineRule="auto"/>
              <w:jc w:val="both"/>
              <w:rPr>
                <w:rFonts w:cs="宋体" w:asciiTheme="minorEastAsia" w:hAnsiTheme="minorEastAsia"/>
                <w:color w:val="000000"/>
                <w:kern w:val="0"/>
                <w:sz w:val="21"/>
              </w:rPr>
            </w:pPr>
            <w:r>
              <w:rPr>
                <w:rFonts w:hint="eastAsia" w:cs="宋体" w:asciiTheme="minorEastAsia" w:hAnsiTheme="minorEastAsia"/>
                <w:color w:val="000000"/>
                <w:kern w:val="0"/>
                <w:sz w:val="21"/>
              </w:rPr>
              <w:t>武器系统与工程</w:t>
            </w:r>
          </w:p>
        </w:tc>
      </w:tr>
      <w:tr w14:paraId="6EC9D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2" w:hRule="atLeast"/>
        </w:trPr>
        <w:tc>
          <w:tcPr>
            <w:tcW w:w="1661" w:type="dxa"/>
            <w:shd w:val="clear" w:color="auto" w:fill="auto"/>
            <w:vAlign w:val="center"/>
          </w:tcPr>
          <w:p w14:paraId="210E74C9">
            <w:pPr>
              <w:widowControl/>
              <w:spacing w:line="240" w:lineRule="auto"/>
              <w:jc w:val="both"/>
              <w:rPr>
                <w:rFonts w:cs="宋体" w:asciiTheme="minorEastAsia" w:hAnsiTheme="minorEastAsia"/>
                <w:color w:val="000000"/>
                <w:kern w:val="0"/>
                <w:sz w:val="21"/>
              </w:rPr>
            </w:pPr>
            <w:r>
              <w:rPr>
                <w:rFonts w:hint="eastAsia" w:cs="宋体" w:asciiTheme="minorEastAsia" w:hAnsiTheme="minorEastAsia"/>
                <w:color w:val="000000"/>
                <w:kern w:val="0"/>
                <w:sz w:val="21"/>
              </w:rPr>
              <w:t>所具备的资质认证及技能</w:t>
            </w:r>
          </w:p>
        </w:tc>
        <w:tc>
          <w:tcPr>
            <w:tcW w:w="7939" w:type="dxa"/>
            <w:gridSpan w:val="7"/>
            <w:shd w:val="clear" w:color="auto" w:fill="auto"/>
            <w:vAlign w:val="center"/>
          </w:tcPr>
          <w:p w14:paraId="42A30721">
            <w:pPr>
              <w:widowControl/>
              <w:spacing w:line="240" w:lineRule="atLeast"/>
              <w:rPr>
                <w:rFonts w:cs="宋体" w:asciiTheme="majorEastAsia" w:hAnsiTheme="majorEastAsia" w:eastAsiaTheme="majorEastAsia"/>
                <w:color w:val="000000"/>
                <w:kern w:val="0"/>
                <w:sz w:val="21"/>
              </w:rPr>
            </w:pPr>
            <w:r>
              <w:rPr>
                <w:rFonts w:hint="eastAsia" w:cs="宋体" w:asciiTheme="majorEastAsia" w:hAnsiTheme="majorEastAsia" w:eastAsiaTheme="majorEastAsia"/>
                <w:color w:val="000000"/>
                <w:kern w:val="0"/>
                <w:sz w:val="21"/>
              </w:rPr>
              <w:t>1）具备数字孪生，数字人相关领域多年产品或服务实战经验，掌握本项目系统产品架构，产品部署和产品运维，</w:t>
            </w:r>
          </w:p>
          <w:p w14:paraId="03555B1A">
            <w:pPr>
              <w:widowControl/>
              <w:spacing w:line="240" w:lineRule="atLeast"/>
              <w:rPr>
                <w:rFonts w:cs="宋体" w:asciiTheme="majorEastAsia" w:hAnsiTheme="majorEastAsia" w:eastAsiaTheme="majorEastAsia"/>
                <w:color w:val="000000"/>
                <w:kern w:val="0"/>
                <w:sz w:val="21"/>
              </w:rPr>
            </w:pPr>
            <w:r>
              <w:rPr>
                <w:rFonts w:cs="宋体" w:asciiTheme="majorEastAsia" w:hAnsiTheme="majorEastAsia" w:eastAsiaTheme="majorEastAsia"/>
                <w:color w:val="000000"/>
                <w:kern w:val="0"/>
                <w:sz w:val="21"/>
              </w:rPr>
              <w:t>2</w:t>
            </w:r>
            <w:r>
              <w:rPr>
                <w:rFonts w:hint="eastAsia" w:cs="宋体" w:asciiTheme="majorEastAsia" w:hAnsiTheme="majorEastAsia" w:eastAsiaTheme="majorEastAsia"/>
                <w:color w:val="000000"/>
                <w:kern w:val="0"/>
                <w:sz w:val="21"/>
              </w:rPr>
              <w:t>）具备对用户需求出色的理解力和判断力，具备严谨的逻辑思维和架构思维：能够从纷繁复杂的业务需求和技术细节中，快速给出清晰合理的解决方案；</w:t>
            </w:r>
          </w:p>
          <w:p w14:paraId="7C94AD50">
            <w:pPr>
              <w:widowControl/>
              <w:spacing w:line="240" w:lineRule="auto"/>
              <w:jc w:val="both"/>
            </w:pPr>
            <w:r>
              <w:rPr>
                <w:rFonts w:asciiTheme="majorEastAsia" w:hAnsiTheme="majorEastAsia" w:eastAsiaTheme="majorEastAsia"/>
                <w:color w:val="000000"/>
                <w:kern w:val="0"/>
                <w:sz w:val="21"/>
              </w:rPr>
              <w:t>3</w:t>
            </w:r>
            <w:r>
              <w:rPr>
                <w:rFonts w:hint="eastAsia" w:asciiTheme="majorEastAsia" w:hAnsiTheme="majorEastAsia" w:eastAsiaTheme="majorEastAsia"/>
                <w:color w:val="000000"/>
                <w:kern w:val="0"/>
                <w:sz w:val="21"/>
              </w:rPr>
              <w:t>）具备出色的跨团队沟通协作能力和高效的执行力，善于沟通谈判、团队协作、资源整合。</w:t>
            </w:r>
          </w:p>
        </w:tc>
      </w:tr>
      <w:tr w14:paraId="50B4C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9600" w:type="dxa"/>
            <w:gridSpan w:val="8"/>
            <w:shd w:val="clear" w:color="auto" w:fill="auto"/>
            <w:vAlign w:val="center"/>
          </w:tcPr>
          <w:p w14:paraId="4F678060">
            <w:pPr>
              <w:widowControl/>
              <w:spacing w:line="240" w:lineRule="auto"/>
              <w:jc w:val="both"/>
              <w:rPr>
                <w:rFonts w:cs="宋体" w:asciiTheme="minorEastAsia" w:hAnsiTheme="minorEastAsia"/>
                <w:color w:val="000000"/>
                <w:kern w:val="0"/>
                <w:sz w:val="21"/>
              </w:rPr>
            </w:pPr>
            <w:r>
              <w:rPr>
                <w:rFonts w:hint="eastAsia" w:cs="宋体" w:asciiTheme="minorEastAsia" w:hAnsiTheme="minorEastAsia"/>
                <w:color w:val="000000"/>
                <w:kern w:val="0"/>
                <w:sz w:val="21"/>
              </w:rPr>
              <w:t>在执行或已完成类似项目情况</w:t>
            </w:r>
          </w:p>
        </w:tc>
      </w:tr>
      <w:tr w14:paraId="7205C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3114" w:type="dxa"/>
            <w:gridSpan w:val="2"/>
            <w:shd w:val="clear" w:color="auto" w:fill="auto"/>
            <w:vAlign w:val="center"/>
          </w:tcPr>
          <w:p w14:paraId="42B83322">
            <w:pPr>
              <w:widowControl/>
              <w:spacing w:line="240" w:lineRule="auto"/>
              <w:jc w:val="both"/>
              <w:rPr>
                <w:rFonts w:cs="宋体" w:asciiTheme="minorEastAsia" w:hAnsiTheme="minorEastAsia"/>
                <w:color w:val="000000"/>
                <w:kern w:val="0"/>
                <w:sz w:val="21"/>
              </w:rPr>
            </w:pPr>
            <w:r>
              <w:rPr>
                <w:rFonts w:hint="eastAsia" w:cs="宋体" w:asciiTheme="minorEastAsia" w:hAnsiTheme="minorEastAsia"/>
                <w:color w:val="000000"/>
                <w:kern w:val="0"/>
                <w:sz w:val="21"/>
              </w:rPr>
              <w:t>项目名称</w:t>
            </w:r>
          </w:p>
        </w:tc>
        <w:tc>
          <w:tcPr>
            <w:tcW w:w="4536" w:type="dxa"/>
            <w:gridSpan w:val="4"/>
            <w:shd w:val="clear" w:color="auto" w:fill="auto"/>
            <w:vAlign w:val="center"/>
          </w:tcPr>
          <w:p w14:paraId="2F8E7419">
            <w:pPr>
              <w:widowControl/>
              <w:spacing w:line="240" w:lineRule="auto"/>
              <w:jc w:val="both"/>
              <w:rPr>
                <w:rFonts w:cs="宋体" w:asciiTheme="minorEastAsia" w:hAnsiTheme="minorEastAsia"/>
                <w:color w:val="000000"/>
                <w:kern w:val="0"/>
                <w:sz w:val="21"/>
              </w:rPr>
            </w:pPr>
            <w:r>
              <w:rPr>
                <w:rFonts w:hint="eastAsia" w:cs="宋体" w:asciiTheme="minorEastAsia" w:hAnsiTheme="minorEastAsia"/>
                <w:color w:val="000000"/>
                <w:kern w:val="0"/>
                <w:sz w:val="21"/>
              </w:rPr>
              <w:t>项目甲方用户</w:t>
            </w:r>
          </w:p>
        </w:tc>
        <w:tc>
          <w:tcPr>
            <w:tcW w:w="1950" w:type="dxa"/>
            <w:gridSpan w:val="2"/>
            <w:shd w:val="clear" w:color="auto" w:fill="auto"/>
            <w:vAlign w:val="center"/>
          </w:tcPr>
          <w:p w14:paraId="0708A745">
            <w:pPr>
              <w:widowControl/>
              <w:spacing w:line="240" w:lineRule="auto"/>
              <w:jc w:val="both"/>
              <w:rPr>
                <w:rFonts w:cs="宋体" w:asciiTheme="minorEastAsia" w:hAnsiTheme="minorEastAsia"/>
                <w:color w:val="000000"/>
                <w:kern w:val="0"/>
                <w:sz w:val="21"/>
              </w:rPr>
            </w:pPr>
            <w:r>
              <w:rPr>
                <w:rFonts w:hint="eastAsia" w:cs="宋体" w:asciiTheme="minorEastAsia" w:hAnsiTheme="minorEastAsia"/>
                <w:color w:val="000000"/>
                <w:kern w:val="0"/>
                <w:sz w:val="21"/>
              </w:rPr>
              <w:t>担任的角色</w:t>
            </w:r>
          </w:p>
        </w:tc>
      </w:tr>
      <w:tr w14:paraId="6426A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3114" w:type="dxa"/>
            <w:gridSpan w:val="2"/>
            <w:shd w:val="clear" w:color="auto" w:fill="auto"/>
            <w:vAlign w:val="center"/>
          </w:tcPr>
          <w:p w14:paraId="61C193C4">
            <w:pPr>
              <w:widowControl/>
              <w:spacing w:line="240" w:lineRule="auto"/>
              <w:jc w:val="both"/>
              <w:rPr>
                <w:rFonts w:cs="宋体" w:asciiTheme="minorEastAsia" w:hAnsiTheme="minorEastAsia"/>
                <w:b/>
                <w:bCs/>
                <w:color w:val="FF0000"/>
                <w:kern w:val="0"/>
                <w:sz w:val="21"/>
              </w:rPr>
            </w:pPr>
            <w:r>
              <w:rPr>
                <w:rFonts w:ascii="宋体" w:hAnsi="宋体" w:cs="宋体"/>
                <w:b/>
                <w:bCs/>
                <w:color w:val="FF0000"/>
                <w:kern w:val="0"/>
                <w:sz w:val="21"/>
              </w:rPr>
              <w:t>中国联通总部级电子运维</w:t>
            </w:r>
          </w:p>
        </w:tc>
        <w:tc>
          <w:tcPr>
            <w:tcW w:w="4536" w:type="dxa"/>
            <w:gridSpan w:val="4"/>
            <w:shd w:val="clear" w:color="auto" w:fill="auto"/>
            <w:vAlign w:val="center"/>
          </w:tcPr>
          <w:p w14:paraId="5A4EC19C">
            <w:pPr>
              <w:widowControl/>
              <w:spacing w:line="240" w:lineRule="auto"/>
              <w:jc w:val="both"/>
              <w:rPr>
                <w:rFonts w:cs="宋体" w:asciiTheme="minorEastAsia" w:hAnsiTheme="minorEastAsia"/>
                <w:b/>
                <w:bCs/>
                <w:color w:val="FF0000"/>
                <w:kern w:val="0"/>
                <w:sz w:val="21"/>
              </w:rPr>
            </w:pPr>
            <w:r>
              <w:rPr>
                <w:rFonts w:ascii="宋体" w:hAnsi="宋体" w:cs="宋体"/>
                <w:b/>
                <w:bCs/>
                <w:color w:val="FF0000"/>
                <w:kern w:val="0"/>
                <w:sz w:val="21"/>
              </w:rPr>
              <w:t>中国联通</w:t>
            </w:r>
          </w:p>
        </w:tc>
        <w:tc>
          <w:tcPr>
            <w:tcW w:w="1950" w:type="dxa"/>
            <w:gridSpan w:val="2"/>
            <w:shd w:val="clear" w:color="auto" w:fill="auto"/>
            <w:vAlign w:val="center"/>
          </w:tcPr>
          <w:p w14:paraId="1A665DBC">
            <w:pPr>
              <w:widowControl/>
              <w:spacing w:line="240" w:lineRule="auto"/>
              <w:jc w:val="both"/>
              <w:rPr>
                <w:rFonts w:cs="宋体" w:asciiTheme="minorEastAsia" w:hAnsiTheme="minorEastAsia"/>
                <w:b/>
                <w:bCs/>
                <w:color w:val="FF0000"/>
                <w:kern w:val="0"/>
                <w:sz w:val="21"/>
              </w:rPr>
            </w:pPr>
            <w:r>
              <w:rPr>
                <w:rFonts w:cs="宋体" w:asciiTheme="minorEastAsia" w:hAnsiTheme="minorEastAsia"/>
                <w:b/>
                <w:bCs/>
                <w:color w:val="FF0000"/>
                <w:kern w:val="0"/>
                <w:sz w:val="21"/>
              </w:rPr>
              <w:t>项目经理</w:t>
            </w:r>
          </w:p>
        </w:tc>
      </w:tr>
      <w:tr w14:paraId="2D90D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3114" w:type="dxa"/>
            <w:gridSpan w:val="2"/>
            <w:shd w:val="clear" w:color="auto" w:fill="auto"/>
            <w:vAlign w:val="center"/>
          </w:tcPr>
          <w:p w14:paraId="395C4EA8">
            <w:pPr>
              <w:widowControl/>
              <w:spacing w:line="240" w:lineRule="auto"/>
              <w:jc w:val="both"/>
              <w:rPr>
                <w:rFonts w:cs="宋体" w:asciiTheme="minorEastAsia" w:hAnsiTheme="minorEastAsia"/>
                <w:b/>
                <w:bCs/>
                <w:color w:val="FF0000"/>
                <w:kern w:val="0"/>
                <w:sz w:val="21"/>
              </w:rPr>
            </w:pPr>
            <w:r>
              <w:rPr>
                <w:rFonts w:ascii="宋体" w:hAnsi="宋体" w:cs="宋体"/>
                <w:b/>
                <w:bCs/>
                <w:color w:val="FF0000"/>
                <w:kern w:val="0"/>
                <w:sz w:val="21"/>
              </w:rPr>
              <w:t>中国联通长途传输网综合网管</w:t>
            </w:r>
          </w:p>
        </w:tc>
        <w:tc>
          <w:tcPr>
            <w:tcW w:w="4536" w:type="dxa"/>
            <w:gridSpan w:val="4"/>
            <w:shd w:val="clear" w:color="auto" w:fill="auto"/>
            <w:vAlign w:val="center"/>
          </w:tcPr>
          <w:p w14:paraId="254249FE">
            <w:pPr>
              <w:widowControl/>
              <w:spacing w:line="240" w:lineRule="auto"/>
              <w:jc w:val="both"/>
              <w:rPr>
                <w:rFonts w:cs="宋体" w:asciiTheme="minorEastAsia" w:hAnsiTheme="minorEastAsia"/>
                <w:b/>
                <w:bCs/>
                <w:color w:val="FF0000"/>
                <w:kern w:val="0"/>
                <w:sz w:val="21"/>
              </w:rPr>
            </w:pPr>
            <w:r>
              <w:rPr>
                <w:rFonts w:ascii="宋体" w:hAnsi="宋体" w:cs="宋体"/>
                <w:b/>
                <w:bCs/>
                <w:color w:val="FF0000"/>
                <w:kern w:val="0"/>
                <w:sz w:val="21"/>
              </w:rPr>
              <w:t>中国联通</w:t>
            </w:r>
          </w:p>
        </w:tc>
        <w:tc>
          <w:tcPr>
            <w:tcW w:w="1950" w:type="dxa"/>
            <w:gridSpan w:val="2"/>
            <w:shd w:val="clear" w:color="auto" w:fill="auto"/>
            <w:vAlign w:val="center"/>
          </w:tcPr>
          <w:p w14:paraId="7B1D4945">
            <w:pPr>
              <w:widowControl/>
              <w:spacing w:line="240" w:lineRule="auto"/>
              <w:jc w:val="both"/>
              <w:rPr>
                <w:rFonts w:cs="宋体" w:asciiTheme="minorEastAsia" w:hAnsiTheme="minorEastAsia"/>
                <w:b/>
                <w:bCs/>
                <w:color w:val="FF0000"/>
                <w:kern w:val="0"/>
                <w:sz w:val="21"/>
              </w:rPr>
            </w:pPr>
            <w:r>
              <w:rPr>
                <w:rFonts w:cs="宋体" w:asciiTheme="minorEastAsia" w:hAnsiTheme="minorEastAsia"/>
                <w:b/>
                <w:bCs/>
                <w:color w:val="FF0000"/>
                <w:kern w:val="0"/>
                <w:sz w:val="21"/>
              </w:rPr>
              <w:t>项目经理</w:t>
            </w:r>
          </w:p>
        </w:tc>
      </w:tr>
    </w:tbl>
    <w:p w14:paraId="29B550EF">
      <w:pPr>
        <w:pStyle w:val="8"/>
      </w:pPr>
      <w:r>
        <w:rPr>
          <w:rFonts w:hint="eastAsia"/>
        </w:rPr>
        <w:t>讲师-李腾楠</w:t>
      </w:r>
    </w:p>
    <w:tbl>
      <w:tblPr>
        <w:tblStyle w:val="32"/>
        <w:tblW w:w="96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1"/>
        <w:gridCol w:w="1453"/>
        <w:gridCol w:w="73"/>
        <w:gridCol w:w="1628"/>
        <w:gridCol w:w="1936"/>
        <w:gridCol w:w="899"/>
        <w:gridCol w:w="567"/>
        <w:gridCol w:w="1383"/>
      </w:tblGrid>
      <w:tr w14:paraId="0BF61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90" w:hRule="atLeast"/>
        </w:trPr>
        <w:tc>
          <w:tcPr>
            <w:tcW w:w="1661" w:type="dxa"/>
            <w:shd w:val="clear" w:color="auto" w:fill="auto"/>
            <w:vAlign w:val="center"/>
          </w:tcPr>
          <w:p w14:paraId="2BEEB8A4">
            <w:pPr>
              <w:widowControl/>
              <w:spacing w:line="240" w:lineRule="auto"/>
              <w:jc w:val="both"/>
              <w:rPr>
                <w:rFonts w:cs="宋体" w:asciiTheme="minorEastAsia" w:hAnsiTheme="minorEastAsia"/>
                <w:color w:val="000000"/>
                <w:kern w:val="0"/>
                <w:sz w:val="21"/>
              </w:rPr>
            </w:pPr>
            <w:r>
              <w:rPr>
                <w:rFonts w:hint="eastAsia" w:cs="宋体" w:asciiTheme="minorEastAsia" w:hAnsiTheme="minorEastAsia"/>
                <w:color w:val="000000"/>
                <w:kern w:val="0"/>
                <w:sz w:val="21"/>
              </w:rPr>
              <w:t>姓名</w:t>
            </w:r>
          </w:p>
        </w:tc>
        <w:tc>
          <w:tcPr>
            <w:tcW w:w="1526" w:type="dxa"/>
            <w:gridSpan w:val="2"/>
            <w:shd w:val="clear" w:color="auto" w:fill="auto"/>
            <w:vAlign w:val="center"/>
          </w:tcPr>
          <w:p w14:paraId="002E40ED">
            <w:pPr>
              <w:widowControl/>
              <w:spacing w:line="240" w:lineRule="auto"/>
              <w:jc w:val="both"/>
              <w:rPr>
                <w:rFonts w:cs="宋体" w:asciiTheme="minorEastAsia" w:hAnsiTheme="minorEastAsia"/>
                <w:color w:val="000000"/>
                <w:kern w:val="0"/>
                <w:sz w:val="21"/>
              </w:rPr>
            </w:pPr>
            <w:r>
              <w:rPr>
                <w:rFonts w:hint="eastAsia" w:cs="宋体" w:asciiTheme="minorEastAsia" w:hAnsiTheme="minorEastAsia"/>
                <w:color w:val="000000"/>
                <w:kern w:val="0"/>
                <w:sz w:val="21"/>
              </w:rPr>
              <w:t>李腾楠</w:t>
            </w:r>
          </w:p>
        </w:tc>
        <w:tc>
          <w:tcPr>
            <w:tcW w:w="1628" w:type="dxa"/>
            <w:shd w:val="clear" w:color="auto" w:fill="auto"/>
            <w:vAlign w:val="center"/>
          </w:tcPr>
          <w:p w14:paraId="097D734E">
            <w:pPr>
              <w:widowControl/>
              <w:spacing w:line="240" w:lineRule="auto"/>
              <w:jc w:val="both"/>
              <w:rPr>
                <w:rFonts w:cs="宋体" w:asciiTheme="minorEastAsia" w:hAnsiTheme="minorEastAsia"/>
                <w:color w:val="000000"/>
                <w:kern w:val="0"/>
                <w:sz w:val="21"/>
              </w:rPr>
            </w:pPr>
            <w:r>
              <w:rPr>
                <w:rFonts w:hint="eastAsia" w:cs="宋体" w:asciiTheme="minorEastAsia" w:hAnsiTheme="minorEastAsia"/>
                <w:color w:val="000000"/>
                <w:kern w:val="0"/>
                <w:sz w:val="21"/>
              </w:rPr>
              <w:t>性别</w:t>
            </w:r>
          </w:p>
        </w:tc>
        <w:tc>
          <w:tcPr>
            <w:tcW w:w="1936" w:type="dxa"/>
            <w:shd w:val="clear" w:color="auto" w:fill="auto"/>
            <w:vAlign w:val="center"/>
          </w:tcPr>
          <w:p w14:paraId="2CBD3B73">
            <w:pPr>
              <w:widowControl/>
              <w:spacing w:line="240" w:lineRule="auto"/>
              <w:jc w:val="both"/>
              <w:rPr>
                <w:rFonts w:cs="宋体" w:asciiTheme="minorEastAsia" w:hAnsiTheme="minorEastAsia"/>
                <w:color w:val="000000"/>
                <w:kern w:val="0"/>
                <w:sz w:val="21"/>
              </w:rPr>
            </w:pPr>
            <w:r>
              <w:rPr>
                <w:rFonts w:cs="宋体" w:asciiTheme="minorEastAsia" w:hAnsiTheme="minorEastAsia"/>
                <w:color w:val="000000"/>
                <w:kern w:val="0"/>
                <w:sz w:val="21"/>
              </w:rPr>
              <w:t>男</w:t>
            </w:r>
          </w:p>
        </w:tc>
        <w:tc>
          <w:tcPr>
            <w:tcW w:w="1466" w:type="dxa"/>
            <w:gridSpan w:val="2"/>
            <w:shd w:val="clear" w:color="auto" w:fill="auto"/>
            <w:vAlign w:val="center"/>
          </w:tcPr>
          <w:p w14:paraId="729E70E6">
            <w:pPr>
              <w:widowControl/>
              <w:spacing w:line="240" w:lineRule="auto"/>
              <w:jc w:val="both"/>
              <w:rPr>
                <w:rFonts w:cs="宋体" w:asciiTheme="minorEastAsia" w:hAnsiTheme="minorEastAsia"/>
                <w:color w:val="000000"/>
                <w:kern w:val="0"/>
                <w:sz w:val="21"/>
              </w:rPr>
            </w:pPr>
            <w:r>
              <w:rPr>
                <w:rFonts w:hint="eastAsia" w:cs="宋体" w:asciiTheme="minorEastAsia" w:hAnsiTheme="minorEastAsia"/>
                <w:color w:val="000000"/>
                <w:kern w:val="0"/>
                <w:sz w:val="21"/>
              </w:rPr>
              <w:t>年龄</w:t>
            </w:r>
          </w:p>
        </w:tc>
        <w:tc>
          <w:tcPr>
            <w:tcW w:w="1383" w:type="dxa"/>
            <w:shd w:val="clear" w:color="auto" w:fill="auto"/>
            <w:vAlign w:val="center"/>
          </w:tcPr>
          <w:p w14:paraId="435E191C">
            <w:pPr>
              <w:widowControl/>
              <w:spacing w:line="240" w:lineRule="auto"/>
              <w:jc w:val="both"/>
              <w:rPr>
                <w:rFonts w:cs="宋体" w:asciiTheme="minorEastAsia" w:hAnsiTheme="minorEastAsia"/>
                <w:color w:val="000000"/>
                <w:kern w:val="0"/>
                <w:sz w:val="21"/>
              </w:rPr>
            </w:pPr>
            <w:r>
              <w:rPr>
                <w:rFonts w:cs="宋体" w:asciiTheme="minorEastAsia" w:hAnsiTheme="minorEastAsia"/>
                <w:color w:val="000000"/>
                <w:kern w:val="0"/>
                <w:sz w:val="21"/>
              </w:rPr>
              <w:t>30</w:t>
            </w:r>
          </w:p>
        </w:tc>
      </w:tr>
      <w:tr w14:paraId="5F76A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661" w:type="dxa"/>
            <w:shd w:val="clear" w:color="auto" w:fill="auto"/>
            <w:vAlign w:val="center"/>
          </w:tcPr>
          <w:p w14:paraId="7B159080">
            <w:pPr>
              <w:widowControl/>
              <w:spacing w:line="240" w:lineRule="auto"/>
              <w:jc w:val="both"/>
              <w:rPr>
                <w:rFonts w:cs="宋体" w:asciiTheme="minorEastAsia" w:hAnsiTheme="minorEastAsia"/>
                <w:color w:val="000000"/>
                <w:kern w:val="0"/>
                <w:sz w:val="21"/>
              </w:rPr>
            </w:pPr>
            <w:r>
              <w:rPr>
                <w:rFonts w:hint="eastAsia" w:cs="宋体" w:asciiTheme="minorEastAsia" w:hAnsiTheme="minorEastAsia"/>
                <w:color w:val="000000"/>
                <w:kern w:val="0"/>
                <w:sz w:val="21"/>
              </w:rPr>
              <w:t>职位</w:t>
            </w:r>
          </w:p>
        </w:tc>
        <w:tc>
          <w:tcPr>
            <w:tcW w:w="1526" w:type="dxa"/>
            <w:gridSpan w:val="2"/>
            <w:shd w:val="clear" w:color="auto" w:fill="auto"/>
            <w:vAlign w:val="center"/>
          </w:tcPr>
          <w:p w14:paraId="055587B3">
            <w:pPr>
              <w:widowControl/>
              <w:spacing w:line="240" w:lineRule="auto"/>
              <w:jc w:val="both"/>
              <w:rPr>
                <w:rFonts w:cs="宋体" w:asciiTheme="minorEastAsia" w:hAnsiTheme="minorEastAsia"/>
                <w:color w:val="000000"/>
                <w:kern w:val="0"/>
                <w:sz w:val="21"/>
              </w:rPr>
            </w:pPr>
            <w:r>
              <w:rPr>
                <w:rFonts w:hint="eastAsia" w:cs="宋体" w:asciiTheme="minorEastAsia" w:hAnsiTheme="minorEastAsia"/>
                <w:color w:val="000000"/>
                <w:kern w:val="0"/>
                <w:sz w:val="21"/>
              </w:rPr>
              <w:t>产品经理</w:t>
            </w:r>
          </w:p>
        </w:tc>
        <w:tc>
          <w:tcPr>
            <w:tcW w:w="1628" w:type="dxa"/>
            <w:shd w:val="clear" w:color="auto" w:fill="auto"/>
            <w:vAlign w:val="center"/>
          </w:tcPr>
          <w:p w14:paraId="3D43819E">
            <w:pPr>
              <w:widowControl/>
              <w:spacing w:line="240" w:lineRule="auto"/>
              <w:jc w:val="both"/>
              <w:rPr>
                <w:rFonts w:cs="宋体" w:asciiTheme="minorEastAsia" w:hAnsiTheme="minorEastAsia"/>
                <w:color w:val="000000"/>
                <w:kern w:val="0"/>
                <w:sz w:val="21"/>
              </w:rPr>
            </w:pPr>
            <w:r>
              <w:rPr>
                <w:rFonts w:hint="eastAsia" w:cs="宋体" w:asciiTheme="minorEastAsia" w:hAnsiTheme="minorEastAsia"/>
                <w:color w:val="000000"/>
                <w:kern w:val="0"/>
                <w:sz w:val="21"/>
              </w:rPr>
              <w:t>职称</w:t>
            </w:r>
          </w:p>
        </w:tc>
        <w:tc>
          <w:tcPr>
            <w:tcW w:w="1936" w:type="dxa"/>
            <w:shd w:val="clear" w:color="auto" w:fill="auto"/>
            <w:vAlign w:val="center"/>
          </w:tcPr>
          <w:p w14:paraId="61D06EF3">
            <w:pPr>
              <w:widowControl/>
              <w:spacing w:line="240" w:lineRule="auto"/>
              <w:jc w:val="both"/>
              <w:rPr>
                <w:rFonts w:cs="宋体" w:asciiTheme="minorEastAsia" w:hAnsiTheme="minorEastAsia"/>
                <w:color w:val="000000"/>
                <w:kern w:val="0"/>
                <w:sz w:val="21"/>
              </w:rPr>
            </w:pPr>
            <w:r>
              <w:rPr>
                <w:rFonts w:cs="宋体" w:asciiTheme="minorEastAsia" w:hAnsiTheme="minorEastAsia"/>
                <w:color w:val="000000"/>
                <w:kern w:val="0"/>
                <w:sz w:val="21"/>
              </w:rPr>
              <w:t>/</w:t>
            </w:r>
          </w:p>
        </w:tc>
        <w:tc>
          <w:tcPr>
            <w:tcW w:w="1466" w:type="dxa"/>
            <w:gridSpan w:val="2"/>
            <w:shd w:val="clear" w:color="auto" w:fill="auto"/>
            <w:vAlign w:val="center"/>
          </w:tcPr>
          <w:p w14:paraId="143D5757">
            <w:pPr>
              <w:widowControl/>
              <w:spacing w:line="240" w:lineRule="auto"/>
              <w:jc w:val="both"/>
              <w:rPr>
                <w:rFonts w:cs="宋体" w:asciiTheme="minorEastAsia" w:hAnsiTheme="minorEastAsia"/>
                <w:color w:val="000000"/>
                <w:kern w:val="0"/>
                <w:sz w:val="21"/>
              </w:rPr>
            </w:pPr>
            <w:r>
              <w:rPr>
                <w:rFonts w:hint="eastAsia" w:cs="宋体" w:asciiTheme="minorEastAsia" w:hAnsiTheme="minorEastAsia"/>
                <w:color w:val="000000"/>
                <w:kern w:val="0"/>
                <w:sz w:val="21"/>
              </w:rPr>
              <w:t>学历</w:t>
            </w:r>
          </w:p>
        </w:tc>
        <w:tc>
          <w:tcPr>
            <w:tcW w:w="1383" w:type="dxa"/>
            <w:shd w:val="clear" w:color="auto" w:fill="auto"/>
            <w:vAlign w:val="center"/>
          </w:tcPr>
          <w:p w14:paraId="104C7023">
            <w:pPr>
              <w:widowControl/>
              <w:spacing w:line="240" w:lineRule="auto"/>
              <w:jc w:val="both"/>
              <w:rPr>
                <w:rFonts w:cs="宋体" w:asciiTheme="minorEastAsia" w:hAnsiTheme="minorEastAsia"/>
                <w:color w:val="000000"/>
                <w:kern w:val="0"/>
                <w:sz w:val="21"/>
              </w:rPr>
            </w:pPr>
            <w:r>
              <w:rPr>
                <w:rFonts w:cs="宋体" w:asciiTheme="minorEastAsia" w:hAnsiTheme="minorEastAsia"/>
                <w:color w:val="000000"/>
                <w:kern w:val="0"/>
                <w:sz w:val="21"/>
              </w:rPr>
              <w:t>本科</w:t>
            </w:r>
          </w:p>
        </w:tc>
      </w:tr>
      <w:tr w14:paraId="3D6F7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1661" w:type="dxa"/>
            <w:shd w:val="clear" w:color="auto" w:fill="auto"/>
            <w:vAlign w:val="center"/>
          </w:tcPr>
          <w:p w14:paraId="65C2FD43">
            <w:pPr>
              <w:widowControl/>
              <w:spacing w:line="240" w:lineRule="auto"/>
              <w:jc w:val="both"/>
              <w:rPr>
                <w:rFonts w:cs="宋体" w:asciiTheme="minorEastAsia" w:hAnsiTheme="minorEastAsia"/>
                <w:color w:val="000000"/>
                <w:kern w:val="0"/>
                <w:sz w:val="21"/>
              </w:rPr>
            </w:pPr>
            <w:r>
              <w:rPr>
                <w:rFonts w:hint="eastAsia" w:cs="宋体" w:asciiTheme="minorEastAsia" w:hAnsiTheme="minorEastAsia"/>
                <w:color w:val="000000"/>
                <w:kern w:val="0"/>
                <w:sz w:val="21"/>
              </w:rPr>
              <w:t>相关证书</w:t>
            </w:r>
          </w:p>
        </w:tc>
        <w:tc>
          <w:tcPr>
            <w:tcW w:w="1526" w:type="dxa"/>
            <w:gridSpan w:val="2"/>
            <w:shd w:val="clear" w:color="auto" w:fill="auto"/>
            <w:vAlign w:val="center"/>
          </w:tcPr>
          <w:p w14:paraId="047AED1A">
            <w:pPr>
              <w:widowControl/>
              <w:spacing w:line="240" w:lineRule="auto"/>
              <w:jc w:val="both"/>
              <w:rPr>
                <w:rFonts w:cs="宋体" w:asciiTheme="minorEastAsia" w:hAnsiTheme="minorEastAsia"/>
                <w:color w:val="000000"/>
                <w:kern w:val="0"/>
                <w:sz w:val="21"/>
              </w:rPr>
            </w:pPr>
            <w:r>
              <w:rPr>
                <w:rFonts w:cs="宋体" w:asciiTheme="minorEastAsia" w:hAnsiTheme="minorEastAsia"/>
                <w:color w:val="000000"/>
                <w:kern w:val="0"/>
                <w:sz w:val="21"/>
              </w:rPr>
              <w:t>/</w:t>
            </w:r>
          </w:p>
        </w:tc>
        <w:tc>
          <w:tcPr>
            <w:tcW w:w="1628" w:type="dxa"/>
            <w:shd w:val="clear" w:color="auto" w:fill="auto"/>
            <w:vAlign w:val="center"/>
          </w:tcPr>
          <w:p w14:paraId="7AE6B849">
            <w:pPr>
              <w:widowControl/>
              <w:spacing w:line="240" w:lineRule="auto"/>
              <w:jc w:val="both"/>
              <w:rPr>
                <w:rFonts w:cs="宋体" w:asciiTheme="minorEastAsia" w:hAnsiTheme="minorEastAsia"/>
                <w:color w:val="000000"/>
                <w:kern w:val="0"/>
                <w:sz w:val="21"/>
              </w:rPr>
            </w:pPr>
            <w:r>
              <w:rPr>
                <w:rFonts w:hint="eastAsia" w:cs="宋体" w:asciiTheme="minorEastAsia" w:hAnsiTheme="minorEastAsia"/>
                <w:color w:val="000000"/>
                <w:kern w:val="0"/>
                <w:sz w:val="21"/>
              </w:rPr>
              <w:t>毕业院校</w:t>
            </w:r>
          </w:p>
        </w:tc>
        <w:tc>
          <w:tcPr>
            <w:tcW w:w="1936" w:type="dxa"/>
            <w:shd w:val="clear" w:color="auto" w:fill="auto"/>
            <w:vAlign w:val="center"/>
          </w:tcPr>
          <w:p w14:paraId="0038D16B">
            <w:pPr>
              <w:widowControl/>
              <w:spacing w:line="240" w:lineRule="auto"/>
              <w:jc w:val="both"/>
              <w:rPr>
                <w:rFonts w:cs="宋体" w:asciiTheme="minorEastAsia" w:hAnsiTheme="minorEastAsia"/>
                <w:color w:val="000000"/>
                <w:kern w:val="0"/>
                <w:sz w:val="21"/>
              </w:rPr>
            </w:pPr>
            <w:r>
              <w:rPr>
                <w:rFonts w:hint="eastAsia" w:cs="宋体" w:asciiTheme="minorEastAsia" w:hAnsiTheme="minorEastAsia"/>
                <w:color w:val="000000"/>
                <w:kern w:val="0"/>
                <w:sz w:val="21"/>
              </w:rPr>
              <w:t>西北工业大学</w:t>
            </w:r>
          </w:p>
        </w:tc>
        <w:tc>
          <w:tcPr>
            <w:tcW w:w="1466" w:type="dxa"/>
            <w:gridSpan w:val="2"/>
            <w:shd w:val="clear" w:color="auto" w:fill="auto"/>
            <w:vAlign w:val="center"/>
          </w:tcPr>
          <w:p w14:paraId="1EC6A3F4">
            <w:pPr>
              <w:widowControl/>
              <w:spacing w:line="240" w:lineRule="auto"/>
              <w:jc w:val="both"/>
              <w:rPr>
                <w:rFonts w:cs="宋体" w:asciiTheme="minorEastAsia" w:hAnsiTheme="minorEastAsia"/>
                <w:color w:val="000000"/>
                <w:kern w:val="0"/>
                <w:sz w:val="21"/>
              </w:rPr>
            </w:pPr>
            <w:r>
              <w:rPr>
                <w:rFonts w:hint="eastAsia" w:cs="宋体" w:asciiTheme="minorEastAsia" w:hAnsiTheme="minorEastAsia"/>
                <w:color w:val="000000"/>
                <w:kern w:val="0"/>
                <w:sz w:val="21"/>
              </w:rPr>
              <w:t>专业</w:t>
            </w:r>
          </w:p>
        </w:tc>
        <w:tc>
          <w:tcPr>
            <w:tcW w:w="1383" w:type="dxa"/>
            <w:shd w:val="clear" w:color="auto" w:fill="auto"/>
            <w:vAlign w:val="center"/>
          </w:tcPr>
          <w:p w14:paraId="458C9651">
            <w:pPr>
              <w:widowControl/>
              <w:spacing w:line="240" w:lineRule="auto"/>
              <w:jc w:val="both"/>
              <w:rPr>
                <w:rFonts w:cs="宋体" w:asciiTheme="minorEastAsia" w:hAnsiTheme="minorEastAsia"/>
                <w:color w:val="000000"/>
                <w:kern w:val="0"/>
                <w:sz w:val="21"/>
              </w:rPr>
            </w:pPr>
            <w:r>
              <w:rPr>
                <w:rFonts w:hint="eastAsia" w:cs="宋体" w:asciiTheme="minorEastAsia" w:hAnsiTheme="minorEastAsia"/>
                <w:color w:val="000000"/>
                <w:kern w:val="0"/>
                <w:sz w:val="21"/>
              </w:rPr>
              <w:t>电子科学与技术</w:t>
            </w:r>
          </w:p>
        </w:tc>
      </w:tr>
      <w:tr w14:paraId="078B2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2" w:hRule="atLeast"/>
        </w:trPr>
        <w:tc>
          <w:tcPr>
            <w:tcW w:w="1661" w:type="dxa"/>
            <w:shd w:val="clear" w:color="auto" w:fill="auto"/>
            <w:vAlign w:val="center"/>
          </w:tcPr>
          <w:p w14:paraId="79686AE8">
            <w:pPr>
              <w:widowControl/>
              <w:spacing w:line="240" w:lineRule="auto"/>
              <w:jc w:val="both"/>
              <w:rPr>
                <w:rFonts w:cs="宋体" w:asciiTheme="minorEastAsia" w:hAnsiTheme="minorEastAsia"/>
                <w:color w:val="000000"/>
                <w:kern w:val="0"/>
                <w:sz w:val="21"/>
              </w:rPr>
            </w:pPr>
            <w:r>
              <w:rPr>
                <w:rFonts w:hint="eastAsia" w:cs="宋体" w:asciiTheme="minorEastAsia" w:hAnsiTheme="minorEastAsia"/>
                <w:color w:val="000000"/>
                <w:kern w:val="0"/>
                <w:sz w:val="21"/>
              </w:rPr>
              <w:t>所具备的资质认证及技能</w:t>
            </w:r>
          </w:p>
        </w:tc>
        <w:tc>
          <w:tcPr>
            <w:tcW w:w="7939" w:type="dxa"/>
            <w:gridSpan w:val="7"/>
            <w:shd w:val="clear" w:color="auto" w:fill="auto"/>
            <w:vAlign w:val="center"/>
          </w:tcPr>
          <w:p w14:paraId="35DA37CC">
            <w:pPr>
              <w:widowControl/>
              <w:spacing w:line="240" w:lineRule="atLeast"/>
              <w:rPr>
                <w:rFonts w:cs="宋体" w:asciiTheme="majorEastAsia" w:hAnsiTheme="majorEastAsia" w:eastAsiaTheme="majorEastAsia"/>
                <w:color w:val="000000"/>
                <w:kern w:val="0"/>
                <w:sz w:val="21"/>
              </w:rPr>
            </w:pPr>
            <w:r>
              <w:rPr>
                <w:rFonts w:hint="eastAsia" w:cs="宋体" w:asciiTheme="majorEastAsia" w:hAnsiTheme="majorEastAsia" w:eastAsiaTheme="majorEastAsia"/>
                <w:color w:val="000000"/>
                <w:kern w:val="0"/>
                <w:sz w:val="21"/>
              </w:rPr>
              <w:t>1）具备5年以上产品经理工作经验，具备挖掘用户需求、产品生命周期管理、定义产品功能、输出需求文档、原型图、以及沟通协调能力；</w:t>
            </w:r>
          </w:p>
          <w:p w14:paraId="0F9B6E25">
            <w:pPr>
              <w:widowControl/>
              <w:spacing w:line="240" w:lineRule="atLeast"/>
              <w:rPr>
                <w:rFonts w:cs="宋体" w:asciiTheme="majorEastAsia" w:hAnsiTheme="majorEastAsia" w:eastAsiaTheme="majorEastAsia"/>
                <w:color w:val="000000"/>
                <w:kern w:val="0"/>
                <w:sz w:val="21"/>
              </w:rPr>
            </w:pPr>
            <w:r>
              <w:rPr>
                <w:rFonts w:cs="宋体" w:asciiTheme="majorEastAsia" w:hAnsiTheme="majorEastAsia" w:eastAsiaTheme="majorEastAsia"/>
                <w:color w:val="000000"/>
                <w:kern w:val="0"/>
                <w:sz w:val="21"/>
              </w:rPr>
              <w:t>2</w:t>
            </w:r>
            <w:r>
              <w:rPr>
                <w:rFonts w:hint="eastAsia" w:cs="宋体" w:asciiTheme="majorEastAsia" w:hAnsiTheme="majorEastAsia" w:eastAsiaTheme="majorEastAsia"/>
                <w:color w:val="000000"/>
                <w:kern w:val="0"/>
                <w:sz w:val="21"/>
              </w:rPr>
              <w:t>）具备多年的软件开发经验和数智人美术设计经验；</w:t>
            </w:r>
          </w:p>
          <w:p w14:paraId="58DD3D88">
            <w:pPr>
              <w:widowControl/>
              <w:spacing w:line="240" w:lineRule="atLeast"/>
            </w:pPr>
            <w:r>
              <w:rPr>
                <w:rFonts w:hint="eastAsia" w:cs="宋体" w:asciiTheme="majorEastAsia" w:hAnsiTheme="majorEastAsia" w:eastAsiaTheme="majorEastAsia"/>
                <w:color w:val="000000"/>
                <w:kern w:val="0"/>
                <w:sz w:val="21"/>
              </w:rPr>
              <w:t>3）具备多起数智人项目经验和培训经验；</w:t>
            </w:r>
          </w:p>
          <w:p w14:paraId="3A8E7E2C">
            <w:pPr>
              <w:widowControl/>
              <w:spacing w:line="240" w:lineRule="auto"/>
              <w:jc w:val="both"/>
            </w:pPr>
          </w:p>
        </w:tc>
      </w:tr>
      <w:tr w14:paraId="4257C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9600" w:type="dxa"/>
            <w:gridSpan w:val="8"/>
            <w:shd w:val="clear" w:color="auto" w:fill="auto"/>
            <w:vAlign w:val="center"/>
          </w:tcPr>
          <w:p w14:paraId="00CFE383">
            <w:pPr>
              <w:widowControl/>
              <w:spacing w:line="240" w:lineRule="auto"/>
              <w:jc w:val="both"/>
              <w:rPr>
                <w:rFonts w:cs="宋体" w:asciiTheme="minorEastAsia" w:hAnsiTheme="minorEastAsia"/>
                <w:color w:val="000000"/>
                <w:kern w:val="0"/>
                <w:sz w:val="21"/>
              </w:rPr>
            </w:pPr>
            <w:r>
              <w:rPr>
                <w:rFonts w:hint="eastAsia" w:cs="宋体" w:asciiTheme="minorEastAsia" w:hAnsiTheme="minorEastAsia"/>
                <w:color w:val="000000"/>
                <w:kern w:val="0"/>
                <w:sz w:val="21"/>
              </w:rPr>
              <w:t>在执行或已完成类似项目情况</w:t>
            </w:r>
          </w:p>
        </w:tc>
      </w:tr>
      <w:tr w14:paraId="2A52D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3114" w:type="dxa"/>
            <w:gridSpan w:val="2"/>
            <w:shd w:val="clear" w:color="auto" w:fill="auto"/>
            <w:vAlign w:val="center"/>
          </w:tcPr>
          <w:p w14:paraId="3DAC94CE">
            <w:pPr>
              <w:widowControl/>
              <w:spacing w:line="240" w:lineRule="auto"/>
              <w:jc w:val="both"/>
              <w:rPr>
                <w:rFonts w:cs="宋体" w:asciiTheme="minorEastAsia" w:hAnsiTheme="minorEastAsia"/>
                <w:color w:val="000000"/>
                <w:kern w:val="0"/>
                <w:sz w:val="21"/>
              </w:rPr>
            </w:pPr>
            <w:r>
              <w:rPr>
                <w:rFonts w:hint="eastAsia" w:cs="宋体" w:asciiTheme="minorEastAsia" w:hAnsiTheme="minorEastAsia"/>
                <w:color w:val="000000"/>
                <w:kern w:val="0"/>
                <w:sz w:val="21"/>
              </w:rPr>
              <w:t>项目名称</w:t>
            </w:r>
          </w:p>
        </w:tc>
        <w:tc>
          <w:tcPr>
            <w:tcW w:w="4536" w:type="dxa"/>
            <w:gridSpan w:val="4"/>
            <w:shd w:val="clear" w:color="auto" w:fill="auto"/>
            <w:vAlign w:val="center"/>
          </w:tcPr>
          <w:p w14:paraId="20D5806C">
            <w:pPr>
              <w:widowControl/>
              <w:spacing w:line="240" w:lineRule="auto"/>
              <w:jc w:val="both"/>
              <w:rPr>
                <w:rFonts w:cs="宋体" w:asciiTheme="minorEastAsia" w:hAnsiTheme="minorEastAsia"/>
                <w:color w:val="000000"/>
                <w:kern w:val="0"/>
                <w:sz w:val="21"/>
              </w:rPr>
            </w:pPr>
            <w:r>
              <w:rPr>
                <w:rFonts w:hint="eastAsia" w:cs="宋体" w:asciiTheme="minorEastAsia" w:hAnsiTheme="minorEastAsia"/>
                <w:color w:val="000000"/>
                <w:kern w:val="0"/>
                <w:sz w:val="21"/>
              </w:rPr>
              <w:t>项目甲方用户</w:t>
            </w:r>
          </w:p>
        </w:tc>
        <w:tc>
          <w:tcPr>
            <w:tcW w:w="1950" w:type="dxa"/>
            <w:gridSpan w:val="2"/>
            <w:shd w:val="clear" w:color="auto" w:fill="auto"/>
            <w:vAlign w:val="center"/>
          </w:tcPr>
          <w:p w14:paraId="39AC840E">
            <w:pPr>
              <w:widowControl/>
              <w:spacing w:line="240" w:lineRule="auto"/>
              <w:jc w:val="both"/>
              <w:rPr>
                <w:rFonts w:cs="宋体" w:asciiTheme="minorEastAsia" w:hAnsiTheme="minorEastAsia"/>
                <w:color w:val="000000"/>
                <w:kern w:val="0"/>
                <w:sz w:val="21"/>
              </w:rPr>
            </w:pPr>
            <w:r>
              <w:rPr>
                <w:rFonts w:hint="eastAsia" w:cs="宋体" w:asciiTheme="minorEastAsia" w:hAnsiTheme="minorEastAsia"/>
                <w:color w:val="000000"/>
                <w:kern w:val="0"/>
                <w:sz w:val="21"/>
              </w:rPr>
              <w:t>担任的角色</w:t>
            </w:r>
          </w:p>
        </w:tc>
      </w:tr>
      <w:tr w14:paraId="01E74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3114" w:type="dxa"/>
            <w:gridSpan w:val="2"/>
            <w:shd w:val="clear" w:color="auto" w:fill="auto"/>
            <w:vAlign w:val="center"/>
          </w:tcPr>
          <w:p w14:paraId="473E7D1E">
            <w:pPr>
              <w:widowControl/>
              <w:spacing w:line="240" w:lineRule="auto"/>
              <w:jc w:val="both"/>
              <w:rPr>
                <w:rFonts w:cs="宋体" w:asciiTheme="minorEastAsia" w:hAnsiTheme="minorEastAsia"/>
                <w:b/>
                <w:bCs/>
                <w:color w:val="FF0000"/>
                <w:kern w:val="0"/>
                <w:sz w:val="21"/>
              </w:rPr>
            </w:pPr>
            <w:r>
              <w:rPr>
                <w:rFonts w:ascii="宋体" w:hAnsi="宋体" w:cs="宋体"/>
                <w:b/>
                <w:bCs/>
                <w:color w:val="FF0000"/>
                <w:kern w:val="0"/>
                <w:sz w:val="21"/>
              </w:rPr>
              <w:t>中国联通总部级电子运维</w:t>
            </w:r>
          </w:p>
        </w:tc>
        <w:tc>
          <w:tcPr>
            <w:tcW w:w="4536" w:type="dxa"/>
            <w:gridSpan w:val="4"/>
            <w:shd w:val="clear" w:color="auto" w:fill="auto"/>
            <w:vAlign w:val="center"/>
          </w:tcPr>
          <w:p w14:paraId="4352C363">
            <w:pPr>
              <w:widowControl/>
              <w:spacing w:line="240" w:lineRule="auto"/>
              <w:jc w:val="both"/>
              <w:rPr>
                <w:rFonts w:cs="宋体" w:asciiTheme="minorEastAsia" w:hAnsiTheme="minorEastAsia"/>
                <w:b/>
                <w:bCs/>
                <w:color w:val="FF0000"/>
                <w:kern w:val="0"/>
                <w:sz w:val="21"/>
              </w:rPr>
            </w:pPr>
            <w:r>
              <w:rPr>
                <w:rFonts w:ascii="宋体" w:hAnsi="宋体" w:cs="宋体"/>
                <w:b/>
                <w:bCs/>
                <w:color w:val="FF0000"/>
                <w:kern w:val="0"/>
                <w:sz w:val="21"/>
              </w:rPr>
              <w:t>中国联通</w:t>
            </w:r>
          </w:p>
        </w:tc>
        <w:tc>
          <w:tcPr>
            <w:tcW w:w="1950" w:type="dxa"/>
            <w:gridSpan w:val="2"/>
            <w:shd w:val="clear" w:color="auto" w:fill="auto"/>
            <w:vAlign w:val="center"/>
          </w:tcPr>
          <w:p w14:paraId="591E7E7C">
            <w:pPr>
              <w:widowControl/>
              <w:spacing w:line="240" w:lineRule="auto"/>
              <w:jc w:val="both"/>
              <w:rPr>
                <w:rFonts w:cs="宋体" w:asciiTheme="minorEastAsia" w:hAnsiTheme="minorEastAsia"/>
                <w:b/>
                <w:bCs/>
                <w:color w:val="FF0000"/>
                <w:kern w:val="0"/>
                <w:sz w:val="21"/>
              </w:rPr>
            </w:pPr>
            <w:r>
              <w:rPr>
                <w:rFonts w:cs="宋体" w:asciiTheme="minorEastAsia" w:hAnsiTheme="minorEastAsia"/>
                <w:b/>
                <w:bCs/>
                <w:color w:val="FF0000"/>
                <w:kern w:val="0"/>
                <w:sz w:val="21"/>
              </w:rPr>
              <w:t>项目经理</w:t>
            </w:r>
          </w:p>
        </w:tc>
      </w:tr>
      <w:tr w14:paraId="56BD7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3114" w:type="dxa"/>
            <w:gridSpan w:val="2"/>
            <w:shd w:val="clear" w:color="auto" w:fill="auto"/>
            <w:vAlign w:val="center"/>
          </w:tcPr>
          <w:p w14:paraId="217C90C1">
            <w:pPr>
              <w:widowControl/>
              <w:spacing w:line="240" w:lineRule="auto"/>
              <w:jc w:val="both"/>
              <w:rPr>
                <w:rFonts w:cs="宋体" w:asciiTheme="minorEastAsia" w:hAnsiTheme="minorEastAsia"/>
                <w:b/>
                <w:bCs/>
                <w:color w:val="FF0000"/>
                <w:kern w:val="0"/>
                <w:sz w:val="21"/>
              </w:rPr>
            </w:pPr>
            <w:r>
              <w:rPr>
                <w:rFonts w:ascii="宋体" w:hAnsi="宋体" w:cs="宋体"/>
                <w:b/>
                <w:bCs/>
                <w:color w:val="FF0000"/>
                <w:kern w:val="0"/>
                <w:sz w:val="21"/>
              </w:rPr>
              <w:t>中国联通长途传输网综合网管</w:t>
            </w:r>
          </w:p>
        </w:tc>
        <w:tc>
          <w:tcPr>
            <w:tcW w:w="4536" w:type="dxa"/>
            <w:gridSpan w:val="4"/>
            <w:shd w:val="clear" w:color="auto" w:fill="auto"/>
            <w:vAlign w:val="center"/>
          </w:tcPr>
          <w:p w14:paraId="42CA071E">
            <w:pPr>
              <w:widowControl/>
              <w:spacing w:line="240" w:lineRule="auto"/>
              <w:jc w:val="both"/>
              <w:rPr>
                <w:rFonts w:cs="宋体" w:asciiTheme="minorEastAsia" w:hAnsiTheme="minorEastAsia"/>
                <w:b/>
                <w:bCs/>
                <w:color w:val="FF0000"/>
                <w:kern w:val="0"/>
                <w:sz w:val="21"/>
              </w:rPr>
            </w:pPr>
            <w:r>
              <w:rPr>
                <w:rFonts w:ascii="宋体" w:hAnsi="宋体" w:cs="宋体"/>
                <w:b/>
                <w:bCs/>
                <w:color w:val="FF0000"/>
                <w:kern w:val="0"/>
                <w:sz w:val="21"/>
              </w:rPr>
              <w:t>中国联通</w:t>
            </w:r>
          </w:p>
        </w:tc>
        <w:tc>
          <w:tcPr>
            <w:tcW w:w="1950" w:type="dxa"/>
            <w:gridSpan w:val="2"/>
            <w:shd w:val="clear" w:color="auto" w:fill="auto"/>
            <w:vAlign w:val="center"/>
          </w:tcPr>
          <w:p w14:paraId="5B7FF3EC">
            <w:pPr>
              <w:widowControl/>
              <w:spacing w:line="240" w:lineRule="auto"/>
              <w:jc w:val="both"/>
              <w:rPr>
                <w:rFonts w:cs="宋体" w:asciiTheme="minorEastAsia" w:hAnsiTheme="minorEastAsia"/>
                <w:b/>
                <w:bCs/>
                <w:color w:val="FF0000"/>
                <w:kern w:val="0"/>
                <w:sz w:val="21"/>
              </w:rPr>
            </w:pPr>
            <w:r>
              <w:rPr>
                <w:rFonts w:cs="宋体" w:asciiTheme="minorEastAsia" w:hAnsiTheme="minorEastAsia"/>
                <w:b/>
                <w:bCs/>
                <w:color w:val="FF0000"/>
                <w:kern w:val="0"/>
                <w:sz w:val="21"/>
              </w:rPr>
              <w:t>项目经理</w:t>
            </w:r>
          </w:p>
        </w:tc>
      </w:tr>
    </w:tbl>
    <w:p w14:paraId="3ECD3DA7">
      <w:pPr>
        <w:pStyle w:val="8"/>
      </w:pPr>
      <w:r>
        <w:rPr>
          <w:rFonts w:hint="eastAsia"/>
        </w:rPr>
        <w:t>讲师-</w:t>
      </w:r>
      <w:r>
        <w:rPr>
          <w:rFonts w:hint="eastAsia"/>
          <w:color w:val="000000"/>
          <w:kern w:val="0"/>
        </w:rPr>
        <w:t>赵志杰</w:t>
      </w:r>
    </w:p>
    <w:tbl>
      <w:tblPr>
        <w:tblStyle w:val="32"/>
        <w:tblW w:w="96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1"/>
        <w:gridCol w:w="1453"/>
        <w:gridCol w:w="73"/>
        <w:gridCol w:w="1628"/>
        <w:gridCol w:w="1936"/>
        <w:gridCol w:w="899"/>
        <w:gridCol w:w="567"/>
        <w:gridCol w:w="1383"/>
      </w:tblGrid>
      <w:tr w14:paraId="3EB4E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661" w:type="dxa"/>
            <w:shd w:val="clear" w:color="auto" w:fill="auto"/>
            <w:vAlign w:val="center"/>
          </w:tcPr>
          <w:p w14:paraId="62C30216">
            <w:pPr>
              <w:widowControl/>
              <w:spacing w:line="240" w:lineRule="auto"/>
              <w:jc w:val="both"/>
              <w:rPr>
                <w:rFonts w:cs="宋体" w:asciiTheme="minorEastAsia" w:hAnsiTheme="minorEastAsia"/>
                <w:color w:val="000000"/>
                <w:kern w:val="0"/>
                <w:sz w:val="21"/>
              </w:rPr>
            </w:pPr>
            <w:r>
              <w:rPr>
                <w:rFonts w:hint="eastAsia" w:cs="宋体" w:asciiTheme="minorEastAsia" w:hAnsiTheme="minorEastAsia"/>
                <w:color w:val="000000"/>
                <w:kern w:val="0"/>
                <w:sz w:val="21"/>
              </w:rPr>
              <w:t>姓名</w:t>
            </w:r>
          </w:p>
        </w:tc>
        <w:tc>
          <w:tcPr>
            <w:tcW w:w="1526" w:type="dxa"/>
            <w:gridSpan w:val="2"/>
            <w:shd w:val="clear" w:color="auto" w:fill="auto"/>
            <w:vAlign w:val="center"/>
          </w:tcPr>
          <w:p w14:paraId="6E33FEB3">
            <w:pPr>
              <w:widowControl/>
              <w:spacing w:line="240" w:lineRule="auto"/>
              <w:jc w:val="both"/>
              <w:rPr>
                <w:rFonts w:cs="宋体" w:asciiTheme="minorEastAsia" w:hAnsiTheme="minorEastAsia"/>
                <w:color w:val="000000"/>
                <w:kern w:val="0"/>
                <w:sz w:val="21"/>
              </w:rPr>
            </w:pPr>
            <w:r>
              <w:rPr>
                <w:rFonts w:hint="eastAsia" w:cs="宋体" w:asciiTheme="minorEastAsia" w:hAnsiTheme="minorEastAsia"/>
                <w:color w:val="000000"/>
                <w:kern w:val="0"/>
                <w:sz w:val="21"/>
              </w:rPr>
              <w:t>赵志杰</w:t>
            </w:r>
          </w:p>
        </w:tc>
        <w:tc>
          <w:tcPr>
            <w:tcW w:w="1628" w:type="dxa"/>
            <w:shd w:val="clear" w:color="auto" w:fill="auto"/>
            <w:vAlign w:val="center"/>
          </w:tcPr>
          <w:p w14:paraId="5BBF0AC4">
            <w:pPr>
              <w:widowControl/>
              <w:spacing w:line="240" w:lineRule="auto"/>
              <w:jc w:val="both"/>
              <w:rPr>
                <w:rFonts w:cs="宋体" w:asciiTheme="minorEastAsia" w:hAnsiTheme="minorEastAsia"/>
                <w:color w:val="000000"/>
                <w:kern w:val="0"/>
                <w:sz w:val="21"/>
              </w:rPr>
            </w:pPr>
            <w:r>
              <w:rPr>
                <w:rFonts w:hint="eastAsia" w:cs="宋体" w:asciiTheme="minorEastAsia" w:hAnsiTheme="minorEastAsia"/>
                <w:color w:val="000000"/>
                <w:kern w:val="0"/>
                <w:sz w:val="21"/>
              </w:rPr>
              <w:t>性别</w:t>
            </w:r>
          </w:p>
        </w:tc>
        <w:tc>
          <w:tcPr>
            <w:tcW w:w="1936" w:type="dxa"/>
            <w:shd w:val="clear" w:color="auto" w:fill="auto"/>
            <w:vAlign w:val="center"/>
          </w:tcPr>
          <w:p w14:paraId="4B0CF737">
            <w:pPr>
              <w:widowControl/>
              <w:spacing w:line="240" w:lineRule="auto"/>
              <w:jc w:val="both"/>
              <w:rPr>
                <w:rFonts w:cs="宋体" w:asciiTheme="minorEastAsia" w:hAnsiTheme="minorEastAsia"/>
                <w:color w:val="000000"/>
                <w:kern w:val="0"/>
                <w:sz w:val="21"/>
              </w:rPr>
            </w:pPr>
            <w:r>
              <w:rPr>
                <w:rFonts w:cs="宋体" w:asciiTheme="minorEastAsia" w:hAnsiTheme="minorEastAsia"/>
                <w:color w:val="000000"/>
                <w:kern w:val="0"/>
                <w:sz w:val="21"/>
              </w:rPr>
              <w:t>男</w:t>
            </w:r>
          </w:p>
        </w:tc>
        <w:tc>
          <w:tcPr>
            <w:tcW w:w="1466" w:type="dxa"/>
            <w:gridSpan w:val="2"/>
            <w:shd w:val="clear" w:color="auto" w:fill="auto"/>
            <w:vAlign w:val="center"/>
          </w:tcPr>
          <w:p w14:paraId="4B74D60B">
            <w:pPr>
              <w:widowControl/>
              <w:spacing w:line="240" w:lineRule="auto"/>
              <w:jc w:val="both"/>
              <w:rPr>
                <w:rFonts w:cs="宋体" w:asciiTheme="minorEastAsia" w:hAnsiTheme="minorEastAsia"/>
                <w:color w:val="000000"/>
                <w:kern w:val="0"/>
                <w:sz w:val="21"/>
              </w:rPr>
            </w:pPr>
            <w:r>
              <w:rPr>
                <w:rFonts w:hint="eastAsia" w:cs="宋体" w:asciiTheme="minorEastAsia" w:hAnsiTheme="minorEastAsia"/>
                <w:color w:val="000000"/>
                <w:kern w:val="0"/>
                <w:sz w:val="21"/>
              </w:rPr>
              <w:t>年龄</w:t>
            </w:r>
          </w:p>
        </w:tc>
        <w:tc>
          <w:tcPr>
            <w:tcW w:w="1383" w:type="dxa"/>
            <w:shd w:val="clear" w:color="auto" w:fill="auto"/>
            <w:vAlign w:val="center"/>
          </w:tcPr>
          <w:p w14:paraId="5C442E66">
            <w:pPr>
              <w:widowControl/>
              <w:spacing w:line="240" w:lineRule="auto"/>
              <w:jc w:val="both"/>
              <w:rPr>
                <w:rFonts w:cs="宋体" w:asciiTheme="minorEastAsia" w:hAnsiTheme="minorEastAsia"/>
                <w:color w:val="000000"/>
                <w:kern w:val="0"/>
                <w:sz w:val="21"/>
              </w:rPr>
            </w:pPr>
            <w:r>
              <w:rPr>
                <w:rFonts w:cs="宋体" w:asciiTheme="minorEastAsia" w:hAnsiTheme="minorEastAsia"/>
                <w:color w:val="000000"/>
                <w:kern w:val="0"/>
                <w:sz w:val="21"/>
              </w:rPr>
              <w:t>37</w:t>
            </w:r>
          </w:p>
        </w:tc>
      </w:tr>
      <w:tr w14:paraId="57C75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661" w:type="dxa"/>
            <w:shd w:val="clear" w:color="auto" w:fill="auto"/>
            <w:vAlign w:val="center"/>
          </w:tcPr>
          <w:p w14:paraId="3D10E26C">
            <w:pPr>
              <w:widowControl/>
              <w:spacing w:line="240" w:lineRule="auto"/>
              <w:jc w:val="both"/>
              <w:rPr>
                <w:rFonts w:cs="宋体" w:asciiTheme="minorEastAsia" w:hAnsiTheme="minorEastAsia"/>
                <w:color w:val="000000"/>
                <w:kern w:val="0"/>
                <w:sz w:val="21"/>
              </w:rPr>
            </w:pPr>
            <w:r>
              <w:rPr>
                <w:rFonts w:hint="eastAsia" w:cs="宋体" w:asciiTheme="minorEastAsia" w:hAnsiTheme="minorEastAsia"/>
                <w:color w:val="000000"/>
                <w:kern w:val="0"/>
                <w:sz w:val="21"/>
              </w:rPr>
              <w:t>职位</w:t>
            </w:r>
          </w:p>
        </w:tc>
        <w:tc>
          <w:tcPr>
            <w:tcW w:w="1526" w:type="dxa"/>
            <w:gridSpan w:val="2"/>
            <w:shd w:val="clear" w:color="auto" w:fill="auto"/>
            <w:vAlign w:val="center"/>
          </w:tcPr>
          <w:p w14:paraId="4BCB1702">
            <w:pPr>
              <w:widowControl/>
              <w:spacing w:line="240" w:lineRule="auto"/>
              <w:jc w:val="both"/>
              <w:rPr>
                <w:rFonts w:cs="宋体" w:asciiTheme="minorEastAsia" w:hAnsiTheme="minorEastAsia"/>
                <w:color w:val="000000"/>
                <w:kern w:val="0"/>
                <w:sz w:val="21"/>
              </w:rPr>
            </w:pPr>
            <w:r>
              <w:rPr>
                <w:rFonts w:hint="eastAsia" w:cs="宋体" w:asciiTheme="minorEastAsia" w:hAnsiTheme="minorEastAsia"/>
                <w:color w:val="000000"/>
                <w:kern w:val="0"/>
                <w:sz w:val="21"/>
              </w:rPr>
              <w:t>系统实施工程师</w:t>
            </w:r>
          </w:p>
        </w:tc>
        <w:tc>
          <w:tcPr>
            <w:tcW w:w="1628" w:type="dxa"/>
            <w:shd w:val="clear" w:color="auto" w:fill="auto"/>
            <w:vAlign w:val="center"/>
          </w:tcPr>
          <w:p w14:paraId="493E9665">
            <w:pPr>
              <w:widowControl/>
              <w:spacing w:line="240" w:lineRule="auto"/>
              <w:jc w:val="both"/>
              <w:rPr>
                <w:rFonts w:cs="宋体" w:asciiTheme="minorEastAsia" w:hAnsiTheme="minorEastAsia"/>
                <w:color w:val="000000"/>
                <w:kern w:val="0"/>
                <w:sz w:val="21"/>
              </w:rPr>
            </w:pPr>
            <w:r>
              <w:rPr>
                <w:rFonts w:hint="eastAsia" w:cs="宋体" w:asciiTheme="minorEastAsia" w:hAnsiTheme="minorEastAsia"/>
                <w:color w:val="000000"/>
                <w:kern w:val="0"/>
                <w:sz w:val="21"/>
              </w:rPr>
              <w:t>职称</w:t>
            </w:r>
          </w:p>
        </w:tc>
        <w:tc>
          <w:tcPr>
            <w:tcW w:w="1936" w:type="dxa"/>
            <w:shd w:val="clear" w:color="auto" w:fill="auto"/>
            <w:vAlign w:val="center"/>
          </w:tcPr>
          <w:p w14:paraId="011C8566">
            <w:pPr>
              <w:widowControl/>
              <w:spacing w:line="240" w:lineRule="auto"/>
              <w:jc w:val="both"/>
              <w:rPr>
                <w:rFonts w:cs="宋体" w:asciiTheme="minorEastAsia" w:hAnsiTheme="minorEastAsia"/>
                <w:color w:val="000000"/>
                <w:kern w:val="0"/>
                <w:sz w:val="21"/>
              </w:rPr>
            </w:pPr>
            <w:r>
              <w:rPr>
                <w:rFonts w:cs="宋体" w:asciiTheme="minorEastAsia" w:hAnsiTheme="minorEastAsia"/>
                <w:color w:val="000000"/>
                <w:kern w:val="0"/>
                <w:sz w:val="21"/>
              </w:rPr>
              <w:t>/</w:t>
            </w:r>
          </w:p>
        </w:tc>
        <w:tc>
          <w:tcPr>
            <w:tcW w:w="1466" w:type="dxa"/>
            <w:gridSpan w:val="2"/>
            <w:shd w:val="clear" w:color="auto" w:fill="auto"/>
            <w:vAlign w:val="center"/>
          </w:tcPr>
          <w:p w14:paraId="3E365254">
            <w:pPr>
              <w:widowControl/>
              <w:spacing w:line="240" w:lineRule="auto"/>
              <w:jc w:val="both"/>
              <w:rPr>
                <w:rFonts w:cs="宋体" w:asciiTheme="minorEastAsia" w:hAnsiTheme="minorEastAsia"/>
                <w:color w:val="000000"/>
                <w:kern w:val="0"/>
                <w:sz w:val="21"/>
              </w:rPr>
            </w:pPr>
            <w:r>
              <w:rPr>
                <w:rFonts w:hint="eastAsia" w:cs="宋体" w:asciiTheme="minorEastAsia" w:hAnsiTheme="minorEastAsia"/>
                <w:color w:val="000000"/>
                <w:kern w:val="0"/>
                <w:sz w:val="21"/>
              </w:rPr>
              <w:t>学历</w:t>
            </w:r>
          </w:p>
        </w:tc>
        <w:tc>
          <w:tcPr>
            <w:tcW w:w="1383" w:type="dxa"/>
            <w:shd w:val="clear" w:color="auto" w:fill="auto"/>
            <w:vAlign w:val="center"/>
          </w:tcPr>
          <w:p w14:paraId="450123CD">
            <w:pPr>
              <w:widowControl/>
              <w:spacing w:line="240" w:lineRule="auto"/>
              <w:jc w:val="both"/>
              <w:rPr>
                <w:rFonts w:cs="宋体" w:asciiTheme="minorEastAsia" w:hAnsiTheme="minorEastAsia"/>
                <w:color w:val="000000"/>
                <w:kern w:val="0"/>
                <w:sz w:val="21"/>
              </w:rPr>
            </w:pPr>
            <w:r>
              <w:rPr>
                <w:rFonts w:cs="宋体" w:asciiTheme="minorEastAsia" w:hAnsiTheme="minorEastAsia"/>
                <w:color w:val="000000"/>
                <w:kern w:val="0"/>
                <w:sz w:val="21"/>
              </w:rPr>
              <w:t>本科</w:t>
            </w:r>
          </w:p>
        </w:tc>
      </w:tr>
      <w:tr w14:paraId="62D46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1661" w:type="dxa"/>
            <w:shd w:val="clear" w:color="auto" w:fill="auto"/>
            <w:vAlign w:val="center"/>
          </w:tcPr>
          <w:p w14:paraId="15B2D873">
            <w:pPr>
              <w:widowControl/>
              <w:spacing w:line="240" w:lineRule="auto"/>
              <w:jc w:val="both"/>
              <w:rPr>
                <w:rFonts w:cs="宋体" w:asciiTheme="minorEastAsia" w:hAnsiTheme="minorEastAsia"/>
                <w:color w:val="000000"/>
                <w:kern w:val="0"/>
                <w:sz w:val="21"/>
              </w:rPr>
            </w:pPr>
            <w:r>
              <w:rPr>
                <w:rFonts w:hint="eastAsia" w:cs="宋体" w:asciiTheme="minorEastAsia" w:hAnsiTheme="minorEastAsia"/>
                <w:color w:val="000000"/>
                <w:kern w:val="0"/>
                <w:sz w:val="21"/>
              </w:rPr>
              <w:t>相关证书</w:t>
            </w:r>
          </w:p>
        </w:tc>
        <w:tc>
          <w:tcPr>
            <w:tcW w:w="1526" w:type="dxa"/>
            <w:gridSpan w:val="2"/>
            <w:shd w:val="clear" w:color="auto" w:fill="auto"/>
            <w:vAlign w:val="center"/>
          </w:tcPr>
          <w:p w14:paraId="0926739F">
            <w:pPr>
              <w:widowControl/>
              <w:spacing w:line="240" w:lineRule="auto"/>
              <w:jc w:val="both"/>
              <w:rPr>
                <w:rFonts w:cs="宋体" w:asciiTheme="minorEastAsia" w:hAnsiTheme="minorEastAsia"/>
                <w:color w:val="000000"/>
                <w:kern w:val="0"/>
                <w:sz w:val="21"/>
              </w:rPr>
            </w:pPr>
            <w:r>
              <w:rPr>
                <w:rFonts w:cs="宋体" w:asciiTheme="minorEastAsia" w:hAnsiTheme="minorEastAsia"/>
                <w:color w:val="000000"/>
                <w:kern w:val="0"/>
                <w:sz w:val="21"/>
              </w:rPr>
              <w:t>/</w:t>
            </w:r>
          </w:p>
        </w:tc>
        <w:tc>
          <w:tcPr>
            <w:tcW w:w="1628" w:type="dxa"/>
            <w:shd w:val="clear" w:color="auto" w:fill="auto"/>
            <w:vAlign w:val="center"/>
          </w:tcPr>
          <w:p w14:paraId="232E44F3">
            <w:pPr>
              <w:widowControl/>
              <w:spacing w:line="240" w:lineRule="auto"/>
              <w:jc w:val="both"/>
              <w:rPr>
                <w:rFonts w:cs="宋体" w:asciiTheme="minorEastAsia" w:hAnsiTheme="minorEastAsia"/>
                <w:color w:val="000000"/>
                <w:kern w:val="0"/>
                <w:sz w:val="21"/>
              </w:rPr>
            </w:pPr>
            <w:r>
              <w:rPr>
                <w:rFonts w:hint="eastAsia" w:cs="宋体" w:asciiTheme="minorEastAsia" w:hAnsiTheme="minorEastAsia"/>
                <w:color w:val="000000"/>
                <w:kern w:val="0"/>
                <w:sz w:val="21"/>
              </w:rPr>
              <w:t>毕业院校</w:t>
            </w:r>
          </w:p>
        </w:tc>
        <w:tc>
          <w:tcPr>
            <w:tcW w:w="1936" w:type="dxa"/>
            <w:shd w:val="clear" w:color="auto" w:fill="auto"/>
            <w:vAlign w:val="center"/>
          </w:tcPr>
          <w:p w14:paraId="4117DBDE">
            <w:pPr>
              <w:widowControl/>
              <w:spacing w:line="240" w:lineRule="auto"/>
              <w:jc w:val="both"/>
              <w:rPr>
                <w:rFonts w:cs="宋体" w:asciiTheme="minorEastAsia" w:hAnsiTheme="minorEastAsia"/>
                <w:color w:val="000000"/>
                <w:kern w:val="0"/>
                <w:sz w:val="21"/>
              </w:rPr>
            </w:pPr>
            <w:r>
              <w:rPr>
                <w:rFonts w:hint="eastAsia" w:ascii="宋体" w:hAnsi="宋体"/>
              </w:rPr>
              <w:t>上海电机学院</w:t>
            </w:r>
          </w:p>
        </w:tc>
        <w:tc>
          <w:tcPr>
            <w:tcW w:w="1466" w:type="dxa"/>
            <w:gridSpan w:val="2"/>
            <w:shd w:val="clear" w:color="auto" w:fill="auto"/>
            <w:vAlign w:val="center"/>
          </w:tcPr>
          <w:p w14:paraId="4B5AB953">
            <w:pPr>
              <w:widowControl/>
              <w:spacing w:line="240" w:lineRule="auto"/>
              <w:jc w:val="both"/>
              <w:rPr>
                <w:rFonts w:cs="宋体" w:asciiTheme="minorEastAsia" w:hAnsiTheme="minorEastAsia"/>
                <w:color w:val="000000"/>
                <w:kern w:val="0"/>
                <w:sz w:val="21"/>
              </w:rPr>
            </w:pPr>
            <w:r>
              <w:rPr>
                <w:rFonts w:hint="eastAsia" w:cs="宋体" w:asciiTheme="minorEastAsia" w:hAnsiTheme="minorEastAsia"/>
                <w:color w:val="000000"/>
                <w:kern w:val="0"/>
                <w:sz w:val="21"/>
              </w:rPr>
              <w:t>专业</w:t>
            </w:r>
          </w:p>
        </w:tc>
        <w:tc>
          <w:tcPr>
            <w:tcW w:w="1383" w:type="dxa"/>
            <w:shd w:val="clear" w:color="auto" w:fill="auto"/>
            <w:vAlign w:val="center"/>
          </w:tcPr>
          <w:p w14:paraId="728491A5">
            <w:pPr>
              <w:widowControl/>
              <w:spacing w:line="240" w:lineRule="auto"/>
              <w:jc w:val="both"/>
              <w:rPr>
                <w:rFonts w:cs="宋体" w:asciiTheme="minorEastAsia" w:hAnsiTheme="minorEastAsia"/>
                <w:color w:val="000000"/>
                <w:kern w:val="0"/>
                <w:sz w:val="21"/>
              </w:rPr>
            </w:pPr>
            <w:r>
              <w:rPr>
                <w:rFonts w:hint="eastAsia"/>
              </w:rPr>
              <w:t>电气工程及其自动化</w:t>
            </w:r>
          </w:p>
        </w:tc>
      </w:tr>
      <w:tr w14:paraId="19A46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2" w:hRule="atLeast"/>
        </w:trPr>
        <w:tc>
          <w:tcPr>
            <w:tcW w:w="1661" w:type="dxa"/>
            <w:shd w:val="clear" w:color="auto" w:fill="auto"/>
            <w:vAlign w:val="center"/>
          </w:tcPr>
          <w:p w14:paraId="099CC728">
            <w:pPr>
              <w:widowControl/>
              <w:spacing w:line="240" w:lineRule="auto"/>
              <w:jc w:val="both"/>
              <w:rPr>
                <w:rFonts w:cs="宋体" w:asciiTheme="minorEastAsia" w:hAnsiTheme="minorEastAsia"/>
                <w:color w:val="000000"/>
                <w:kern w:val="0"/>
                <w:sz w:val="21"/>
              </w:rPr>
            </w:pPr>
            <w:r>
              <w:rPr>
                <w:rFonts w:hint="eastAsia" w:cs="宋体" w:asciiTheme="minorEastAsia" w:hAnsiTheme="minorEastAsia"/>
                <w:color w:val="000000"/>
                <w:kern w:val="0"/>
                <w:sz w:val="21"/>
              </w:rPr>
              <w:t>所具备的资质认证及技能</w:t>
            </w:r>
          </w:p>
        </w:tc>
        <w:tc>
          <w:tcPr>
            <w:tcW w:w="7939" w:type="dxa"/>
            <w:gridSpan w:val="7"/>
            <w:shd w:val="clear" w:color="auto" w:fill="auto"/>
            <w:vAlign w:val="center"/>
          </w:tcPr>
          <w:p w14:paraId="5E9108EB">
            <w:pPr>
              <w:widowControl/>
              <w:spacing w:line="240" w:lineRule="atLeast"/>
              <w:rPr>
                <w:rFonts w:cs="宋体" w:asciiTheme="majorEastAsia" w:hAnsiTheme="majorEastAsia" w:eastAsiaTheme="majorEastAsia"/>
                <w:color w:val="000000"/>
                <w:kern w:val="0"/>
                <w:sz w:val="21"/>
              </w:rPr>
            </w:pPr>
            <w:r>
              <w:rPr>
                <w:rFonts w:hint="eastAsia" w:cs="宋体" w:asciiTheme="majorEastAsia" w:hAnsiTheme="majorEastAsia" w:eastAsiaTheme="majorEastAsia"/>
                <w:color w:val="000000"/>
                <w:kern w:val="0"/>
                <w:sz w:val="21"/>
              </w:rPr>
              <w:t>1）具备5年以上产品经理工作经验，具备挖掘用户需求、产品生命周期管理、定义产品功能、输出需求文档、原型图、以及沟通协调能力；</w:t>
            </w:r>
          </w:p>
          <w:p w14:paraId="7D1012D5">
            <w:pPr>
              <w:widowControl/>
              <w:spacing w:line="240" w:lineRule="atLeast"/>
              <w:rPr>
                <w:rFonts w:cs="宋体" w:asciiTheme="majorEastAsia" w:hAnsiTheme="majorEastAsia" w:eastAsiaTheme="majorEastAsia"/>
                <w:color w:val="000000"/>
                <w:kern w:val="0"/>
                <w:sz w:val="21"/>
              </w:rPr>
            </w:pPr>
            <w:r>
              <w:rPr>
                <w:rFonts w:cs="宋体" w:asciiTheme="majorEastAsia" w:hAnsiTheme="majorEastAsia" w:eastAsiaTheme="majorEastAsia"/>
                <w:color w:val="000000"/>
                <w:kern w:val="0"/>
                <w:sz w:val="21"/>
              </w:rPr>
              <w:t>2</w:t>
            </w:r>
            <w:r>
              <w:rPr>
                <w:rFonts w:hint="eastAsia" w:cs="宋体" w:asciiTheme="majorEastAsia" w:hAnsiTheme="majorEastAsia" w:eastAsiaTheme="majorEastAsia"/>
                <w:color w:val="000000"/>
                <w:kern w:val="0"/>
                <w:sz w:val="21"/>
              </w:rPr>
              <w:t>）具备多年的软件开发经验和数智人美术设计经验；</w:t>
            </w:r>
          </w:p>
          <w:p w14:paraId="6CAF720F">
            <w:pPr>
              <w:widowControl/>
              <w:spacing w:line="240" w:lineRule="atLeast"/>
            </w:pPr>
            <w:r>
              <w:rPr>
                <w:rFonts w:hint="eastAsia" w:cs="宋体" w:asciiTheme="majorEastAsia" w:hAnsiTheme="majorEastAsia" w:eastAsiaTheme="majorEastAsia"/>
                <w:color w:val="000000"/>
                <w:kern w:val="0"/>
                <w:sz w:val="21"/>
              </w:rPr>
              <w:t>3）具备多起数智人项目经验和培训经验；</w:t>
            </w:r>
          </w:p>
          <w:p w14:paraId="21B78CE2">
            <w:pPr>
              <w:widowControl/>
              <w:spacing w:line="240" w:lineRule="auto"/>
              <w:jc w:val="both"/>
            </w:pPr>
          </w:p>
        </w:tc>
      </w:tr>
      <w:tr w14:paraId="1FC11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9600" w:type="dxa"/>
            <w:gridSpan w:val="8"/>
            <w:shd w:val="clear" w:color="auto" w:fill="auto"/>
            <w:vAlign w:val="center"/>
          </w:tcPr>
          <w:p w14:paraId="544615DA">
            <w:pPr>
              <w:widowControl/>
              <w:spacing w:line="240" w:lineRule="auto"/>
              <w:jc w:val="both"/>
              <w:rPr>
                <w:rFonts w:cs="宋体" w:asciiTheme="minorEastAsia" w:hAnsiTheme="minorEastAsia"/>
                <w:color w:val="000000"/>
                <w:kern w:val="0"/>
                <w:sz w:val="21"/>
              </w:rPr>
            </w:pPr>
            <w:r>
              <w:rPr>
                <w:rFonts w:hint="eastAsia" w:cs="宋体" w:asciiTheme="minorEastAsia" w:hAnsiTheme="minorEastAsia"/>
                <w:color w:val="000000"/>
                <w:kern w:val="0"/>
                <w:sz w:val="21"/>
              </w:rPr>
              <w:t>在执行或已完成类似项目情况</w:t>
            </w:r>
          </w:p>
        </w:tc>
      </w:tr>
      <w:tr w14:paraId="416CF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3114" w:type="dxa"/>
            <w:gridSpan w:val="2"/>
            <w:shd w:val="clear" w:color="auto" w:fill="auto"/>
            <w:vAlign w:val="center"/>
          </w:tcPr>
          <w:p w14:paraId="4EF1438C">
            <w:pPr>
              <w:widowControl/>
              <w:spacing w:line="240" w:lineRule="auto"/>
              <w:jc w:val="both"/>
              <w:rPr>
                <w:rFonts w:cs="宋体" w:asciiTheme="minorEastAsia" w:hAnsiTheme="minorEastAsia"/>
                <w:color w:val="000000"/>
                <w:kern w:val="0"/>
                <w:sz w:val="21"/>
              </w:rPr>
            </w:pPr>
            <w:r>
              <w:rPr>
                <w:rFonts w:hint="eastAsia" w:cs="宋体" w:asciiTheme="minorEastAsia" w:hAnsiTheme="minorEastAsia"/>
                <w:color w:val="000000"/>
                <w:kern w:val="0"/>
                <w:sz w:val="21"/>
              </w:rPr>
              <w:t>项目名称</w:t>
            </w:r>
          </w:p>
        </w:tc>
        <w:tc>
          <w:tcPr>
            <w:tcW w:w="4536" w:type="dxa"/>
            <w:gridSpan w:val="4"/>
            <w:shd w:val="clear" w:color="auto" w:fill="auto"/>
            <w:vAlign w:val="center"/>
          </w:tcPr>
          <w:p w14:paraId="18B923E9">
            <w:pPr>
              <w:widowControl/>
              <w:spacing w:line="240" w:lineRule="auto"/>
              <w:jc w:val="both"/>
              <w:rPr>
                <w:rFonts w:cs="宋体" w:asciiTheme="minorEastAsia" w:hAnsiTheme="minorEastAsia"/>
                <w:color w:val="000000"/>
                <w:kern w:val="0"/>
                <w:sz w:val="21"/>
              </w:rPr>
            </w:pPr>
            <w:r>
              <w:rPr>
                <w:rFonts w:hint="eastAsia" w:cs="宋体" w:asciiTheme="minorEastAsia" w:hAnsiTheme="minorEastAsia"/>
                <w:color w:val="000000"/>
                <w:kern w:val="0"/>
                <w:sz w:val="21"/>
              </w:rPr>
              <w:t>项目甲方用户</w:t>
            </w:r>
          </w:p>
        </w:tc>
        <w:tc>
          <w:tcPr>
            <w:tcW w:w="1950" w:type="dxa"/>
            <w:gridSpan w:val="2"/>
            <w:shd w:val="clear" w:color="auto" w:fill="auto"/>
            <w:vAlign w:val="center"/>
          </w:tcPr>
          <w:p w14:paraId="11A35127">
            <w:pPr>
              <w:widowControl/>
              <w:spacing w:line="240" w:lineRule="auto"/>
              <w:jc w:val="both"/>
              <w:rPr>
                <w:rFonts w:cs="宋体" w:asciiTheme="minorEastAsia" w:hAnsiTheme="minorEastAsia"/>
                <w:color w:val="000000"/>
                <w:kern w:val="0"/>
                <w:sz w:val="21"/>
              </w:rPr>
            </w:pPr>
            <w:r>
              <w:rPr>
                <w:rFonts w:hint="eastAsia" w:cs="宋体" w:asciiTheme="minorEastAsia" w:hAnsiTheme="minorEastAsia"/>
                <w:color w:val="000000"/>
                <w:kern w:val="0"/>
                <w:sz w:val="21"/>
              </w:rPr>
              <w:t>担任的角色</w:t>
            </w:r>
          </w:p>
        </w:tc>
      </w:tr>
      <w:tr w14:paraId="60FAA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3114" w:type="dxa"/>
            <w:gridSpan w:val="2"/>
            <w:shd w:val="clear" w:color="auto" w:fill="auto"/>
            <w:vAlign w:val="center"/>
          </w:tcPr>
          <w:p w14:paraId="0D775903">
            <w:pPr>
              <w:widowControl/>
              <w:spacing w:line="240" w:lineRule="auto"/>
              <w:jc w:val="both"/>
              <w:rPr>
                <w:rFonts w:cs="宋体" w:asciiTheme="minorEastAsia" w:hAnsiTheme="minorEastAsia"/>
                <w:b/>
                <w:bCs/>
                <w:color w:val="FF0000"/>
                <w:kern w:val="0"/>
                <w:sz w:val="21"/>
              </w:rPr>
            </w:pPr>
            <w:r>
              <w:rPr>
                <w:rFonts w:ascii="宋体" w:hAnsi="宋体" w:cs="宋体"/>
                <w:b/>
                <w:bCs/>
                <w:color w:val="FF0000"/>
                <w:kern w:val="0"/>
                <w:sz w:val="21"/>
              </w:rPr>
              <w:t>中国联通总部级电子运维</w:t>
            </w:r>
          </w:p>
        </w:tc>
        <w:tc>
          <w:tcPr>
            <w:tcW w:w="4536" w:type="dxa"/>
            <w:gridSpan w:val="4"/>
            <w:shd w:val="clear" w:color="auto" w:fill="auto"/>
            <w:vAlign w:val="center"/>
          </w:tcPr>
          <w:p w14:paraId="369E8276">
            <w:pPr>
              <w:widowControl/>
              <w:spacing w:line="240" w:lineRule="auto"/>
              <w:jc w:val="both"/>
              <w:rPr>
                <w:rFonts w:cs="宋体" w:asciiTheme="minorEastAsia" w:hAnsiTheme="minorEastAsia"/>
                <w:b/>
                <w:bCs/>
                <w:color w:val="FF0000"/>
                <w:kern w:val="0"/>
                <w:sz w:val="21"/>
              </w:rPr>
            </w:pPr>
            <w:r>
              <w:rPr>
                <w:rFonts w:ascii="宋体" w:hAnsi="宋体" w:cs="宋体"/>
                <w:b/>
                <w:bCs/>
                <w:color w:val="FF0000"/>
                <w:kern w:val="0"/>
                <w:sz w:val="21"/>
              </w:rPr>
              <w:t>中国联通</w:t>
            </w:r>
          </w:p>
        </w:tc>
        <w:tc>
          <w:tcPr>
            <w:tcW w:w="1950" w:type="dxa"/>
            <w:gridSpan w:val="2"/>
            <w:shd w:val="clear" w:color="auto" w:fill="auto"/>
            <w:vAlign w:val="center"/>
          </w:tcPr>
          <w:p w14:paraId="79FFAF72">
            <w:pPr>
              <w:widowControl/>
              <w:spacing w:line="240" w:lineRule="auto"/>
              <w:jc w:val="both"/>
              <w:rPr>
                <w:rFonts w:cs="宋体" w:asciiTheme="minorEastAsia" w:hAnsiTheme="minorEastAsia"/>
                <w:b/>
                <w:bCs/>
                <w:color w:val="FF0000"/>
                <w:kern w:val="0"/>
                <w:sz w:val="21"/>
              </w:rPr>
            </w:pPr>
            <w:r>
              <w:rPr>
                <w:rFonts w:cs="宋体" w:asciiTheme="minorEastAsia" w:hAnsiTheme="minorEastAsia"/>
                <w:b/>
                <w:bCs/>
                <w:color w:val="FF0000"/>
                <w:kern w:val="0"/>
                <w:sz w:val="21"/>
              </w:rPr>
              <w:t>项目经理</w:t>
            </w:r>
          </w:p>
        </w:tc>
      </w:tr>
      <w:tr w14:paraId="42C94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3114" w:type="dxa"/>
            <w:gridSpan w:val="2"/>
            <w:shd w:val="clear" w:color="auto" w:fill="auto"/>
            <w:vAlign w:val="center"/>
          </w:tcPr>
          <w:p w14:paraId="0BBEC02A">
            <w:pPr>
              <w:widowControl/>
              <w:spacing w:line="240" w:lineRule="auto"/>
              <w:jc w:val="both"/>
              <w:rPr>
                <w:rFonts w:cs="宋体" w:asciiTheme="minorEastAsia" w:hAnsiTheme="minorEastAsia"/>
                <w:b/>
                <w:bCs/>
                <w:color w:val="FF0000"/>
                <w:kern w:val="0"/>
                <w:sz w:val="21"/>
              </w:rPr>
            </w:pPr>
            <w:r>
              <w:rPr>
                <w:rFonts w:ascii="宋体" w:hAnsi="宋体" w:cs="宋体"/>
                <w:b/>
                <w:bCs/>
                <w:color w:val="FF0000"/>
                <w:kern w:val="0"/>
                <w:sz w:val="21"/>
              </w:rPr>
              <w:t>中国联通长途传输网综合网管</w:t>
            </w:r>
          </w:p>
        </w:tc>
        <w:tc>
          <w:tcPr>
            <w:tcW w:w="4536" w:type="dxa"/>
            <w:gridSpan w:val="4"/>
            <w:shd w:val="clear" w:color="auto" w:fill="auto"/>
            <w:vAlign w:val="center"/>
          </w:tcPr>
          <w:p w14:paraId="2FDECCE5">
            <w:pPr>
              <w:widowControl/>
              <w:spacing w:line="240" w:lineRule="auto"/>
              <w:jc w:val="both"/>
              <w:rPr>
                <w:rFonts w:cs="宋体" w:asciiTheme="minorEastAsia" w:hAnsiTheme="minorEastAsia"/>
                <w:b/>
                <w:bCs/>
                <w:color w:val="FF0000"/>
                <w:kern w:val="0"/>
                <w:sz w:val="21"/>
              </w:rPr>
            </w:pPr>
            <w:r>
              <w:rPr>
                <w:rFonts w:ascii="宋体" w:hAnsi="宋体" w:cs="宋体"/>
                <w:b/>
                <w:bCs/>
                <w:color w:val="FF0000"/>
                <w:kern w:val="0"/>
                <w:sz w:val="21"/>
              </w:rPr>
              <w:t>中国联通</w:t>
            </w:r>
          </w:p>
        </w:tc>
        <w:tc>
          <w:tcPr>
            <w:tcW w:w="1950" w:type="dxa"/>
            <w:gridSpan w:val="2"/>
            <w:shd w:val="clear" w:color="auto" w:fill="auto"/>
            <w:vAlign w:val="center"/>
          </w:tcPr>
          <w:p w14:paraId="11674B87">
            <w:pPr>
              <w:widowControl/>
              <w:spacing w:line="240" w:lineRule="auto"/>
              <w:jc w:val="both"/>
              <w:rPr>
                <w:rFonts w:cs="宋体" w:asciiTheme="minorEastAsia" w:hAnsiTheme="minorEastAsia"/>
                <w:b/>
                <w:bCs/>
                <w:color w:val="FF0000"/>
                <w:kern w:val="0"/>
                <w:sz w:val="21"/>
              </w:rPr>
            </w:pPr>
            <w:r>
              <w:rPr>
                <w:rFonts w:cs="宋体" w:asciiTheme="minorEastAsia" w:hAnsiTheme="minorEastAsia"/>
                <w:b/>
                <w:bCs/>
                <w:color w:val="FF0000"/>
                <w:kern w:val="0"/>
                <w:sz w:val="21"/>
              </w:rPr>
              <w:t>项目经理</w:t>
            </w:r>
          </w:p>
        </w:tc>
      </w:tr>
    </w:tbl>
    <w:p w14:paraId="3ED50B98">
      <w:pPr>
        <w:pStyle w:val="6"/>
      </w:pPr>
      <w:r>
        <w:rPr>
          <w:rFonts w:hint="eastAsia"/>
        </w:rPr>
        <w:t>培训方式</w:t>
      </w:r>
    </w:p>
    <w:p w14:paraId="0E2AAAED">
      <w:pPr>
        <w:pStyle w:val="52"/>
        <w:ind w:firstLine="480"/>
        <w:rPr>
          <w:rFonts w:asciiTheme="minorEastAsia" w:hAnsiTheme="minorEastAsia" w:eastAsiaTheme="minorEastAsia"/>
        </w:rPr>
      </w:pPr>
      <w:r>
        <w:rPr>
          <w:rFonts w:hint="eastAsia" w:asciiTheme="minorEastAsia" w:hAnsiTheme="minorEastAsia" w:eastAsiaTheme="minorEastAsia"/>
        </w:rPr>
        <w:t>针对培训对象和内容的实际情况，采用集中培训、现场培训等多种类型，有白、黑板讲课式培训、PowerPoint讲课式培训、上机实际操作培训等多种培训方式相结合。</w:t>
      </w:r>
    </w:p>
    <w:p w14:paraId="15EBFE5F">
      <w:pPr>
        <w:pStyle w:val="52"/>
        <w:ind w:firstLine="480"/>
        <w:rPr>
          <w:rFonts w:asciiTheme="minorEastAsia" w:hAnsiTheme="minorEastAsia" w:eastAsiaTheme="minorEastAsia"/>
        </w:rPr>
      </w:pPr>
      <w:r>
        <w:rPr>
          <w:rFonts w:hint="eastAsia" w:asciiTheme="minorEastAsia" w:hAnsiTheme="minorEastAsia" w:eastAsiaTheme="minorEastAsia"/>
        </w:rPr>
        <w:t>双方配合负责培训相关的筹备工作，甲方提供培训人员的组织、时间安排、培训场地等。</w:t>
      </w:r>
    </w:p>
    <w:p w14:paraId="198A45CD">
      <w:pPr>
        <w:pStyle w:val="52"/>
        <w:numPr>
          <w:ilvl w:val="0"/>
          <w:numId w:val="30"/>
        </w:numPr>
        <w:ind w:firstLineChars="0"/>
        <w:rPr>
          <w:rFonts w:asciiTheme="minorEastAsia" w:hAnsiTheme="minorEastAsia" w:eastAsiaTheme="minorEastAsia"/>
        </w:rPr>
      </w:pPr>
      <w:r>
        <w:rPr>
          <w:rFonts w:hint="eastAsia" w:asciiTheme="minorEastAsia" w:hAnsiTheme="minorEastAsia" w:eastAsiaTheme="minorEastAsia"/>
        </w:rPr>
        <w:t>培训教材：我方提供电子版培训教材，甲方负责印刷。</w:t>
      </w:r>
    </w:p>
    <w:p w14:paraId="68A4814B">
      <w:pPr>
        <w:pStyle w:val="52"/>
        <w:numPr>
          <w:ilvl w:val="0"/>
          <w:numId w:val="30"/>
        </w:numPr>
        <w:ind w:firstLineChars="0"/>
        <w:rPr>
          <w:rFonts w:asciiTheme="minorEastAsia" w:hAnsiTheme="minorEastAsia" w:eastAsiaTheme="minorEastAsia"/>
        </w:rPr>
      </w:pPr>
      <w:r>
        <w:rPr>
          <w:rFonts w:hint="eastAsia" w:asciiTheme="minorEastAsia" w:hAnsiTheme="minorEastAsia" w:eastAsiaTheme="minorEastAsia"/>
        </w:rPr>
        <w:t>培训方式：主要采用现场解说、模拟操作或视频教学、经验分享和工作总结等方式。</w:t>
      </w:r>
    </w:p>
    <w:p w14:paraId="0A010074">
      <w:pPr>
        <w:pStyle w:val="52"/>
        <w:numPr>
          <w:ilvl w:val="0"/>
          <w:numId w:val="30"/>
        </w:numPr>
        <w:ind w:firstLineChars="0"/>
      </w:pPr>
      <w:r>
        <w:rPr>
          <w:rFonts w:hint="eastAsia" w:asciiTheme="minorEastAsia" w:hAnsiTheme="minorEastAsia" w:eastAsiaTheme="minorEastAsia"/>
        </w:rPr>
        <w:t>培训地点：</w:t>
      </w:r>
      <w:r>
        <w:rPr>
          <w:rFonts w:hint="eastAsia"/>
        </w:rPr>
        <w:t>甲方负责培训的组织，时间安排，场地。</w:t>
      </w:r>
    </w:p>
    <w:p w14:paraId="637B0C53">
      <w:pPr>
        <w:pStyle w:val="6"/>
      </w:pPr>
      <w:r>
        <w:rPr>
          <w:rFonts w:hint="eastAsia"/>
        </w:rPr>
        <w:t>培训计划</w:t>
      </w:r>
    </w:p>
    <w:p w14:paraId="0294B01C">
      <w:pPr>
        <w:pStyle w:val="52"/>
        <w:ind w:firstLine="480"/>
        <w:rPr>
          <w:rFonts w:asciiTheme="minorEastAsia" w:hAnsiTheme="minorEastAsia" w:eastAsiaTheme="minorEastAsia"/>
        </w:rPr>
      </w:pPr>
      <w:r>
        <w:rPr>
          <w:rFonts w:asciiTheme="minorEastAsia" w:hAnsiTheme="minorEastAsia" w:eastAsiaTheme="minorEastAsia"/>
        </w:rPr>
        <w:t>我方提供的培训计划安排如下</w:t>
      </w:r>
      <w:r>
        <w:rPr>
          <w:rFonts w:hint="eastAsia" w:asciiTheme="minorEastAsia" w:hAnsiTheme="minorEastAsia" w:eastAsiaTheme="minorEastAsia"/>
        </w:rPr>
        <w:t>：</w:t>
      </w:r>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0"/>
        <w:gridCol w:w="1277"/>
        <w:gridCol w:w="3401"/>
        <w:gridCol w:w="1134"/>
        <w:gridCol w:w="1978"/>
      </w:tblGrid>
      <w:tr w14:paraId="34A40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1" w:type="pct"/>
            <w:shd w:val="clear" w:color="auto" w:fill="auto"/>
            <w:vAlign w:val="center"/>
          </w:tcPr>
          <w:p w14:paraId="1D34E17D">
            <w:pPr>
              <w:pStyle w:val="57"/>
              <w:rPr>
                <w:rFonts w:asciiTheme="minorEastAsia" w:hAnsiTheme="minorEastAsia" w:eastAsiaTheme="minorEastAsia"/>
                <w:iCs w:val="0"/>
                <w:sz w:val="21"/>
              </w:rPr>
            </w:pPr>
            <w:r>
              <w:rPr>
                <w:rFonts w:hint="eastAsia" w:asciiTheme="minorEastAsia" w:hAnsiTheme="minorEastAsia" w:eastAsiaTheme="minorEastAsia"/>
                <w:iCs w:val="0"/>
                <w:sz w:val="21"/>
              </w:rPr>
              <w:t>培训</w:t>
            </w:r>
          </w:p>
        </w:tc>
        <w:tc>
          <w:tcPr>
            <w:tcW w:w="705" w:type="pct"/>
            <w:shd w:val="clear" w:color="auto" w:fill="auto"/>
            <w:vAlign w:val="center"/>
          </w:tcPr>
          <w:p w14:paraId="10BB3E8C">
            <w:pPr>
              <w:pStyle w:val="57"/>
              <w:rPr>
                <w:rFonts w:asciiTheme="minorEastAsia" w:hAnsiTheme="minorEastAsia" w:eastAsiaTheme="minorEastAsia"/>
                <w:iCs w:val="0"/>
                <w:sz w:val="21"/>
              </w:rPr>
            </w:pPr>
            <w:r>
              <w:rPr>
                <w:rFonts w:hint="eastAsia" w:asciiTheme="minorEastAsia" w:hAnsiTheme="minorEastAsia" w:eastAsiaTheme="minorEastAsia"/>
                <w:iCs w:val="0"/>
                <w:sz w:val="21"/>
              </w:rPr>
              <w:t>时间</w:t>
            </w:r>
          </w:p>
        </w:tc>
        <w:tc>
          <w:tcPr>
            <w:tcW w:w="1877" w:type="pct"/>
            <w:shd w:val="clear" w:color="auto" w:fill="auto"/>
            <w:vAlign w:val="center"/>
          </w:tcPr>
          <w:p w14:paraId="7A5B4BEF">
            <w:pPr>
              <w:pStyle w:val="57"/>
              <w:rPr>
                <w:rFonts w:asciiTheme="minorEastAsia" w:hAnsiTheme="minorEastAsia" w:eastAsiaTheme="minorEastAsia"/>
                <w:iCs w:val="0"/>
                <w:sz w:val="21"/>
              </w:rPr>
            </w:pPr>
            <w:r>
              <w:rPr>
                <w:rFonts w:hint="eastAsia" w:asciiTheme="minorEastAsia" w:hAnsiTheme="minorEastAsia" w:eastAsiaTheme="minorEastAsia"/>
                <w:iCs w:val="0"/>
                <w:sz w:val="21"/>
              </w:rPr>
              <w:t>内容</w:t>
            </w:r>
          </w:p>
        </w:tc>
        <w:tc>
          <w:tcPr>
            <w:tcW w:w="626" w:type="pct"/>
            <w:shd w:val="clear" w:color="auto" w:fill="auto"/>
            <w:vAlign w:val="center"/>
          </w:tcPr>
          <w:p w14:paraId="1B7D102E">
            <w:pPr>
              <w:pStyle w:val="57"/>
              <w:rPr>
                <w:rFonts w:asciiTheme="minorEastAsia" w:hAnsiTheme="minorEastAsia" w:eastAsiaTheme="minorEastAsia"/>
                <w:iCs w:val="0"/>
                <w:sz w:val="21"/>
              </w:rPr>
            </w:pPr>
            <w:r>
              <w:rPr>
                <w:rFonts w:hint="eastAsia" w:asciiTheme="minorEastAsia" w:hAnsiTheme="minorEastAsia" w:eastAsiaTheme="minorEastAsia"/>
                <w:iCs w:val="0"/>
                <w:sz w:val="21"/>
              </w:rPr>
              <w:t>讲师</w:t>
            </w:r>
          </w:p>
        </w:tc>
        <w:tc>
          <w:tcPr>
            <w:tcW w:w="1091" w:type="pct"/>
            <w:shd w:val="clear" w:color="auto" w:fill="auto"/>
            <w:vAlign w:val="center"/>
          </w:tcPr>
          <w:p w14:paraId="27E26E08">
            <w:pPr>
              <w:pStyle w:val="57"/>
              <w:rPr>
                <w:rFonts w:asciiTheme="minorEastAsia" w:hAnsiTheme="minorEastAsia" w:eastAsiaTheme="minorEastAsia"/>
                <w:iCs w:val="0"/>
                <w:sz w:val="21"/>
              </w:rPr>
            </w:pPr>
            <w:r>
              <w:rPr>
                <w:rFonts w:hint="eastAsia" w:asciiTheme="minorEastAsia" w:hAnsiTheme="minorEastAsia" w:eastAsiaTheme="minorEastAsia"/>
                <w:iCs w:val="0"/>
                <w:sz w:val="21"/>
              </w:rPr>
              <w:t>教材</w:t>
            </w:r>
          </w:p>
        </w:tc>
      </w:tr>
      <w:tr w14:paraId="474EC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1" w:type="pct"/>
            <w:vAlign w:val="center"/>
          </w:tcPr>
          <w:p w14:paraId="12C80E09">
            <w:pPr>
              <w:pStyle w:val="57"/>
              <w:jc w:val="left"/>
              <w:rPr>
                <w:rFonts w:asciiTheme="minorEastAsia" w:hAnsiTheme="minorEastAsia" w:eastAsiaTheme="minorEastAsia"/>
                <w:iCs w:val="0"/>
                <w:sz w:val="21"/>
              </w:rPr>
            </w:pPr>
            <w:r>
              <w:rPr>
                <w:rFonts w:hint="eastAsia" w:cs="Calibri" w:asciiTheme="minorEastAsia" w:hAnsiTheme="minorEastAsia" w:eastAsiaTheme="minorEastAsia"/>
                <w:iCs w:val="0"/>
                <w:color w:val="000000"/>
                <w:sz w:val="21"/>
              </w:rPr>
              <w:t>产品公开课</w:t>
            </w:r>
          </w:p>
        </w:tc>
        <w:tc>
          <w:tcPr>
            <w:tcW w:w="705" w:type="pct"/>
            <w:vAlign w:val="center"/>
          </w:tcPr>
          <w:p w14:paraId="1FCF345B">
            <w:pPr>
              <w:pStyle w:val="57"/>
              <w:rPr>
                <w:rFonts w:asciiTheme="minorEastAsia" w:hAnsiTheme="minorEastAsia" w:eastAsiaTheme="minorEastAsia"/>
                <w:iCs w:val="0"/>
                <w:sz w:val="21"/>
              </w:rPr>
            </w:pPr>
            <w:r>
              <w:rPr>
                <w:rFonts w:hint="eastAsia" w:asciiTheme="minorEastAsia" w:hAnsiTheme="minorEastAsia" w:eastAsiaTheme="minorEastAsia"/>
                <w:iCs w:val="0"/>
                <w:sz w:val="21"/>
              </w:rPr>
              <w:t>项目阶段中</w:t>
            </w:r>
          </w:p>
          <w:p w14:paraId="6B184CAA">
            <w:pPr>
              <w:jc w:val="center"/>
              <w:rPr>
                <w:rFonts w:cs="宋体" w:asciiTheme="minorEastAsia" w:hAnsiTheme="minorEastAsia"/>
                <w:sz w:val="21"/>
              </w:rPr>
            </w:pPr>
            <w:r>
              <w:rPr>
                <w:rFonts w:hint="eastAsia" w:cs="宋体" w:asciiTheme="minorEastAsia" w:hAnsiTheme="minorEastAsia"/>
                <w:sz w:val="21"/>
              </w:rPr>
              <w:t>（</w:t>
            </w:r>
            <w:r>
              <w:rPr>
                <w:rFonts w:cs="宋体" w:asciiTheme="minorEastAsia" w:hAnsiTheme="minorEastAsia"/>
                <w:sz w:val="21"/>
              </w:rPr>
              <w:t>2</w:t>
            </w:r>
            <w:r>
              <w:rPr>
                <w:rFonts w:hint="eastAsia" w:cs="宋体" w:asciiTheme="minorEastAsia" w:hAnsiTheme="minorEastAsia"/>
                <w:sz w:val="21"/>
              </w:rPr>
              <w:t>天）</w:t>
            </w:r>
          </w:p>
          <w:p w14:paraId="1E420C26">
            <w:pPr>
              <w:jc w:val="center"/>
              <w:rPr>
                <w:rFonts w:cs="宋体" w:asciiTheme="minorEastAsia" w:hAnsiTheme="minorEastAsia"/>
                <w:sz w:val="21"/>
              </w:rPr>
            </w:pPr>
            <w:r>
              <w:rPr>
                <w:rFonts w:hint="eastAsia" w:cs="宋体" w:asciiTheme="minorEastAsia" w:hAnsiTheme="minorEastAsia"/>
                <w:sz w:val="21"/>
              </w:rPr>
              <w:t>项目试运行阶段</w:t>
            </w:r>
          </w:p>
          <w:p w14:paraId="66D8C0FB">
            <w:pPr>
              <w:jc w:val="center"/>
              <w:rPr>
                <w:rFonts w:cs="宋体" w:asciiTheme="minorEastAsia" w:hAnsiTheme="minorEastAsia"/>
                <w:sz w:val="21"/>
              </w:rPr>
            </w:pPr>
            <w:r>
              <w:rPr>
                <w:rFonts w:hint="eastAsia" w:cs="宋体" w:asciiTheme="minorEastAsia" w:hAnsiTheme="minorEastAsia"/>
                <w:sz w:val="21"/>
              </w:rPr>
              <w:t>（</w:t>
            </w:r>
            <w:r>
              <w:rPr>
                <w:rFonts w:cs="宋体" w:asciiTheme="minorEastAsia" w:hAnsiTheme="minorEastAsia"/>
                <w:sz w:val="21"/>
              </w:rPr>
              <w:t>1</w:t>
            </w:r>
            <w:r>
              <w:rPr>
                <w:rFonts w:hint="eastAsia" w:cs="宋体" w:asciiTheme="minorEastAsia" w:hAnsiTheme="minorEastAsia"/>
                <w:sz w:val="21"/>
              </w:rPr>
              <w:t>天）</w:t>
            </w:r>
          </w:p>
        </w:tc>
        <w:tc>
          <w:tcPr>
            <w:tcW w:w="1877" w:type="pct"/>
            <w:vAlign w:val="center"/>
          </w:tcPr>
          <w:p w14:paraId="24703959">
            <w:pPr>
              <w:pStyle w:val="57"/>
              <w:jc w:val="left"/>
              <w:rPr>
                <w:rFonts w:asciiTheme="minorEastAsia" w:hAnsiTheme="minorEastAsia" w:eastAsiaTheme="minorEastAsia"/>
                <w:iCs w:val="0"/>
                <w:sz w:val="21"/>
              </w:rPr>
            </w:pPr>
            <w:r>
              <w:rPr>
                <w:rFonts w:hint="eastAsia" w:cs="Calibri" w:asciiTheme="minorEastAsia" w:hAnsiTheme="minorEastAsia"/>
                <w:color w:val="000000"/>
                <w:sz w:val="21"/>
              </w:rPr>
              <w:t>通过产品功能特性、产品工作流程，、实施工艺、项目管理流程以及产品支持渠道等内容的深入讲解，结合实际案例动手实践，使被公开课人员快速具备产品实施能力。确保参与配置人员可以充分掌握产品特性</w:t>
            </w:r>
          </w:p>
        </w:tc>
        <w:tc>
          <w:tcPr>
            <w:tcW w:w="626" w:type="pct"/>
            <w:vAlign w:val="center"/>
          </w:tcPr>
          <w:p w14:paraId="0054CED9">
            <w:pPr>
              <w:pStyle w:val="57"/>
              <w:jc w:val="left"/>
              <w:rPr>
                <w:rFonts w:asciiTheme="minorEastAsia" w:hAnsiTheme="minorEastAsia" w:eastAsiaTheme="minorEastAsia"/>
                <w:iCs w:val="0"/>
                <w:sz w:val="21"/>
              </w:rPr>
            </w:pPr>
            <w:r>
              <w:rPr>
                <w:rFonts w:hint="eastAsia"/>
                <w:iCs w:val="0"/>
                <w:sz w:val="21"/>
              </w:rPr>
              <w:t>谢毅、李腾楠、</w:t>
            </w:r>
            <w:r>
              <w:rPr>
                <w:rFonts w:hint="eastAsia" w:asciiTheme="minorEastAsia" w:hAnsiTheme="minorEastAsia"/>
                <w:color w:val="000000"/>
                <w:kern w:val="0"/>
                <w:sz w:val="21"/>
              </w:rPr>
              <w:t>赵志杰</w:t>
            </w:r>
          </w:p>
          <w:p w14:paraId="50900132">
            <w:pPr>
              <w:rPr>
                <w:sz w:val="21"/>
              </w:rPr>
            </w:pPr>
          </w:p>
        </w:tc>
        <w:tc>
          <w:tcPr>
            <w:tcW w:w="1091" w:type="pct"/>
            <w:vAlign w:val="center"/>
          </w:tcPr>
          <w:p w14:paraId="3F8AB501">
            <w:pPr>
              <w:pStyle w:val="57"/>
              <w:jc w:val="left"/>
              <w:rPr>
                <w:rFonts w:asciiTheme="minorEastAsia" w:hAnsiTheme="minorEastAsia" w:eastAsiaTheme="minorEastAsia"/>
                <w:iCs w:val="0"/>
                <w:sz w:val="21"/>
              </w:rPr>
            </w:pPr>
            <w:r>
              <w:rPr>
                <w:iCs w:val="0"/>
                <w:sz w:val="21"/>
              </w:rPr>
              <w:t>《产品技术手册》</w:t>
            </w:r>
            <w:r>
              <w:rPr>
                <w:rFonts w:hint="eastAsia"/>
                <w:iCs w:val="0"/>
                <w:sz w:val="21"/>
              </w:rPr>
              <w:t>、</w:t>
            </w:r>
            <w:r>
              <w:rPr>
                <w:iCs w:val="0"/>
                <w:sz w:val="21"/>
              </w:rPr>
              <w:t>《系统设计说明书》</w:t>
            </w:r>
            <w:r>
              <w:rPr>
                <w:rFonts w:hint="eastAsia" w:asciiTheme="minorEastAsia" w:hAnsiTheme="minorEastAsia" w:eastAsiaTheme="minorEastAsia"/>
                <w:iCs w:val="0"/>
                <w:sz w:val="21"/>
              </w:rPr>
              <w:t>等技术文档</w:t>
            </w:r>
          </w:p>
        </w:tc>
      </w:tr>
      <w:tr w14:paraId="29423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1" w:type="pct"/>
            <w:vAlign w:val="center"/>
          </w:tcPr>
          <w:p w14:paraId="34454ED4">
            <w:pPr>
              <w:pStyle w:val="57"/>
              <w:rPr>
                <w:rFonts w:cs="Calibri" w:asciiTheme="minorEastAsia" w:hAnsiTheme="minorEastAsia" w:eastAsiaTheme="minorEastAsia"/>
                <w:iCs w:val="0"/>
                <w:color w:val="000000"/>
                <w:sz w:val="21"/>
              </w:rPr>
            </w:pPr>
            <w:r>
              <w:rPr>
                <w:rFonts w:hint="eastAsia" w:cs="Calibri" w:asciiTheme="minorEastAsia" w:hAnsiTheme="minorEastAsia" w:eastAsiaTheme="minorEastAsia"/>
                <w:iCs w:val="0"/>
                <w:color w:val="000000"/>
                <w:sz w:val="21"/>
              </w:rPr>
              <w:t>系统安装部署培训</w:t>
            </w:r>
          </w:p>
        </w:tc>
        <w:tc>
          <w:tcPr>
            <w:tcW w:w="705" w:type="pct"/>
            <w:vAlign w:val="center"/>
          </w:tcPr>
          <w:p w14:paraId="61EDF7A0">
            <w:pPr>
              <w:pStyle w:val="57"/>
              <w:rPr>
                <w:rFonts w:asciiTheme="minorEastAsia" w:hAnsiTheme="minorEastAsia" w:eastAsiaTheme="minorEastAsia"/>
                <w:iCs w:val="0"/>
                <w:sz w:val="21"/>
              </w:rPr>
            </w:pPr>
            <w:r>
              <w:rPr>
                <w:rFonts w:hint="eastAsia" w:asciiTheme="minorEastAsia" w:hAnsiTheme="minorEastAsia" w:eastAsiaTheme="minorEastAsia"/>
                <w:iCs w:val="0"/>
                <w:sz w:val="21"/>
              </w:rPr>
              <w:t>项目阶段中</w:t>
            </w:r>
          </w:p>
          <w:p w14:paraId="0141A273">
            <w:pPr>
              <w:jc w:val="center"/>
              <w:rPr>
                <w:rFonts w:cs="宋体" w:asciiTheme="minorEastAsia" w:hAnsiTheme="minorEastAsia"/>
                <w:sz w:val="21"/>
              </w:rPr>
            </w:pPr>
            <w:r>
              <w:rPr>
                <w:rFonts w:hint="eastAsia" w:cs="宋体" w:asciiTheme="minorEastAsia" w:hAnsiTheme="minorEastAsia"/>
                <w:sz w:val="21"/>
              </w:rPr>
              <w:t>（</w:t>
            </w:r>
            <w:r>
              <w:rPr>
                <w:rFonts w:cs="宋体" w:asciiTheme="minorEastAsia" w:hAnsiTheme="minorEastAsia"/>
                <w:sz w:val="21"/>
              </w:rPr>
              <w:t>1</w:t>
            </w:r>
            <w:r>
              <w:rPr>
                <w:rFonts w:hint="eastAsia" w:cs="宋体" w:asciiTheme="minorEastAsia" w:hAnsiTheme="minorEastAsia"/>
                <w:sz w:val="21"/>
              </w:rPr>
              <w:t>天）</w:t>
            </w:r>
          </w:p>
          <w:p w14:paraId="4E01C9C7">
            <w:pPr>
              <w:jc w:val="center"/>
              <w:rPr>
                <w:rFonts w:cs="宋体" w:asciiTheme="minorEastAsia" w:hAnsiTheme="minorEastAsia"/>
                <w:sz w:val="21"/>
              </w:rPr>
            </w:pPr>
            <w:r>
              <w:rPr>
                <w:rFonts w:hint="eastAsia" w:cs="宋体" w:asciiTheme="minorEastAsia" w:hAnsiTheme="minorEastAsia"/>
                <w:sz w:val="21"/>
              </w:rPr>
              <w:t>项目试运行及试运行完成阶段</w:t>
            </w:r>
          </w:p>
          <w:p w14:paraId="35A6B362">
            <w:pPr>
              <w:pStyle w:val="57"/>
              <w:rPr>
                <w:rFonts w:asciiTheme="minorEastAsia" w:hAnsiTheme="minorEastAsia" w:eastAsiaTheme="minorEastAsia"/>
                <w:iCs w:val="0"/>
                <w:sz w:val="21"/>
              </w:rPr>
            </w:pPr>
            <w:r>
              <w:rPr>
                <w:rFonts w:hint="eastAsia" w:asciiTheme="minorEastAsia" w:hAnsiTheme="minorEastAsia"/>
                <w:sz w:val="21"/>
              </w:rPr>
              <w:t>（</w:t>
            </w:r>
            <w:r>
              <w:rPr>
                <w:rFonts w:asciiTheme="minorEastAsia" w:hAnsiTheme="minorEastAsia"/>
                <w:sz w:val="21"/>
              </w:rPr>
              <w:t>2</w:t>
            </w:r>
            <w:r>
              <w:rPr>
                <w:rFonts w:hint="eastAsia" w:asciiTheme="minorEastAsia" w:hAnsiTheme="minorEastAsia"/>
                <w:sz w:val="21"/>
              </w:rPr>
              <w:t>天）</w:t>
            </w:r>
          </w:p>
        </w:tc>
        <w:tc>
          <w:tcPr>
            <w:tcW w:w="1877" w:type="pct"/>
            <w:vAlign w:val="center"/>
          </w:tcPr>
          <w:p w14:paraId="573C7E9B">
            <w:pPr>
              <w:spacing w:after="120"/>
              <w:rPr>
                <w:rFonts w:cs="Calibri" w:asciiTheme="minorEastAsia" w:hAnsiTheme="minorEastAsia"/>
                <w:color w:val="000000"/>
                <w:sz w:val="21"/>
              </w:rPr>
            </w:pPr>
            <w:r>
              <w:rPr>
                <w:rFonts w:hint="eastAsia" w:cs="Calibri" w:asciiTheme="minorEastAsia" w:hAnsiTheme="minorEastAsia"/>
                <w:color w:val="000000"/>
                <w:sz w:val="21"/>
              </w:rPr>
              <w:t>针对产品的安装部署进行培训，包含产品所需硬件资源条件，硬件资源配置，系统安装流程，系统安装注意点，系统各组件部署关系等内容；</w:t>
            </w:r>
          </w:p>
          <w:p w14:paraId="46D1EF81">
            <w:pPr>
              <w:pStyle w:val="57"/>
              <w:jc w:val="left"/>
              <w:rPr>
                <w:rFonts w:cs="Calibri" w:asciiTheme="minorEastAsia" w:hAnsiTheme="minorEastAsia" w:eastAsiaTheme="minorEastAsia"/>
                <w:iCs w:val="0"/>
                <w:color w:val="000000"/>
                <w:sz w:val="21"/>
              </w:rPr>
            </w:pPr>
            <w:r>
              <w:rPr>
                <w:rFonts w:hint="eastAsia" w:cs="Calibri" w:asciiTheme="minorEastAsia" w:hAnsiTheme="minorEastAsia"/>
                <w:color w:val="000000"/>
                <w:sz w:val="21"/>
              </w:rPr>
              <w:t>系统管理员可在系统安装时参与系统安装，并进行实际的安装培训；</w:t>
            </w:r>
          </w:p>
        </w:tc>
        <w:tc>
          <w:tcPr>
            <w:tcW w:w="626" w:type="pct"/>
            <w:vAlign w:val="center"/>
          </w:tcPr>
          <w:p w14:paraId="7EDDF09D">
            <w:pPr>
              <w:pStyle w:val="57"/>
              <w:jc w:val="left"/>
              <w:rPr>
                <w:rFonts w:asciiTheme="minorEastAsia" w:hAnsiTheme="minorEastAsia" w:eastAsiaTheme="minorEastAsia"/>
                <w:iCs w:val="0"/>
                <w:sz w:val="21"/>
              </w:rPr>
            </w:pPr>
            <w:r>
              <w:rPr>
                <w:rFonts w:hint="eastAsia" w:asciiTheme="minorEastAsia" w:hAnsiTheme="minorEastAsia"/>
                <w:color w:val="000000"/>
                <w:kern w:val="0"/>
                <w:sz w:val="21"/>
              </w:rPr>
              <w:t>赵志杰</w:t>
            </w:r>
          </w:p>
          <w:p w14:paraId="2364C58D">
            <w:pPr>
              <w:pStyle w:val="57"/>
              <w:jc w:val="left"/>
              <w:rPr>
                <w:iCs w:val="0"/>
                <w:sz w:val="21"/>
              </w:rPr>
            </w:pPr>
          </w:p>
        </w:tc>
        <w:tc>
          <w:tcPr>
            <w:tcW w:w="1091" w:type="pct"/>
            <w:vAlign w:val="center"/>
          </w:tcPr>
          <w:p w14:paraId="6BFB7847">
            <w:pPr>
              <w:pStyle w:val="57"/>
              <w:jc w:val="left"/>
              <w:rPr>
                <w:iCs w:val="0"/>
                <w:sz w:val="21"/>
              </w:rPr>
            </w:pPr>
            <w:r>
              <w:rPr>
                <w:iCs w:val="0"/>
                <w:sz w:val="21"/>
              </w:rPr>
              <w:t>《系统部署手册》《系统运维手册》</w:t>
            </w:r>
            <w:r>
              <w:rPr>
                <w:rFonts w:hint="eastAsia" w:asciiTheme="minorEastAsia" w:hAnsiTheme="minorEastAsia" w:eastAsiaTheme="minorEastAsia"/>
                <w:iCs w:val="0"/>
                <w:sz w:val="21"/>
              </w:rPr>
              <w:t>等技术文档</w:t>
            </w:r>
          </w:p>
        </w:tc>
      </w:tr>
      <w:tr w14:paraId="100C3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1" w:type="pct"/>
            <w:vAlign w:val="center"/>
          </w:tcPr>
          <w:p w14:paraId="6C102273">
            <w:pPr>
              <w:pStyle w:val="57"/>
              <w:rPr>
                <w:rFonts w:cs="Calibri" w:asciiTheme="minorEastAsia" w:hAnsiTheme="minorEastAsia" w:eastAsiaTheme="minorEastAsia"/>
                <w:iCs w:val="0"/>
                <w:color w:val="000000"/>
                <w:sz w:val="21"/>
              </w:rPr>
            </w:pPr>
            <w:r>
              <w:rPr>
                <w:rFonts w:hint="eastAsia" w:cs="Calibri" w:asciiTheme="minorEastAsia" w:hAnsiTheme="minorEastAsia"/>
                <w:color w:val="000000"/>
                <w:sz w:val="21"/>
              </w:rPr>
              <w:t>系统管理培训</w:t>
            </w:r>
          </w:p>
        </w:tc>
        <w:tc>
          <w:tcPr>
            <w:tcW w:w="705" w:type="pct"/>
            <w:vAlign w:val="center"/>
          </w:tcPr>
          <w:p w14:paraId="42068220">
            <w:pPr>
              <w:jc w:val="center"/>
              <w:rPr>
                <w:rFonts w:cs="宋体" w:asciiTheme="minorEastAsia" w:hAnsiTheme="minorEastAsia"/>
                <w:sz w:val="21"/>
              </w:rPr>
            </w:pPr>
            <w:r>
              <w:rPr>
                <w:rFonts w:hint="eastAsia" w:cs="宋体" w:asciiTheme="minorEastAsia" w:hAnsiTheme="minorEastAsia"/>
                <w:sz w:val="21"/>
              </w:rPr>
              <w:t>项目试运行及试运行完成阶段</w:t>
            </w:r>
          </w:p>
          <w:p w14:paraId="0EBAD248">
            <w:pPr>
              <w:pStyle w:val="57"/>
              <w:rPr>
                <w:rFonts w:asciiTheme="minorEastAsia" w:hAnsiTheme="minorEastAsia" w:eastAsiaTheme="minorEastAsia"/>
                <w:iCs w:val="0"/>
                <w:sz w:val="21"/>
              </w:rPr>
            </w:pPr>
            <w:r>
              <w:rPr>
                <w:rFonts w:hint="eastAsia" w:asciiTheme="minorEastAsia" w:hAnsiTheme="minorEastAsia"/>
                <w:sz w:val="21"/>
              </w:rPr>
              <w:t>（</w:t>
            </w:r>
            <w:r>
              <w:rPr>
                <w:rFonts w:asciiTheme="minorEastAsia" w:hAnsiTheme="minorEastAsia"/>
                <w:sz w:val="21"/>
              </w:rPr>
              <w:t>2</w:t>
            </w:r>
            <w:r>
              <w:rPr>
                <w:rFonts w:hint="eastAsia" w:asciiTheme="minorEastAsia" w:hAnsiTheme="minorEastAsia"/>
                <w:sz w:val="21"/>
              </w:rPr>
              <w:t>天）</w:t>
            </w:r>
          </w:p>
        </w:tc>
        <w:tc>
          <w:tcPr>
            <w:tcW w:w="1877" w:type="pct"/>
            <w:vAlign w:val="center"/>
          </w:tcPr>
          <w:p w14:paraId="3021C0AA">
            <w:pPr>
              <w:pStyle w:val="57"/>
              <w:jc w:val="left"/>
              <w:rPr>
                <w:rFonts w:cs="Calibri" w:asciiTheme="minorEastAsia" w:hAnsiTheme="minorEastAsia" w:eastAsiaTheme="minorEastAsia"/>
                <w:iCs w:val="0"/>
                <w:color w:val="000000"/>
                <w:sz w:val="21"/>
              </w:rPr>
            </w:pPr>
            <w:r>
              <w:rPr>
                <w:rFonts w:hint="eastAsia" w:cs="Calibri" w:asciiTheme="minorEastAsia" w:hAnsiTheme="minorEastAsia"/>
                <w:color w:val="000000"/>
                <w:sz w:val="21"/>
              </w:rPr>
              <w:t>能够熟练使用本项目系统进行相关的操作使用及运维工作，了解各功能模块设定的指标及参数的意义，能够完成系统的各类配置工作包括用户，角色，权限等内容</w:t>
            </w:r>
          </w:p>
        </w:tc>
        <w:tc>
          <w:tcPr>
            <w:tcW w:w="626" w:type="pct"/>
            <w:vAlign w:val="center"/>
          </w:tcPr>
          <w:p w14:paraId="19E90F8E">
            <w:pPr>
              <w:pStyle w:val="57"/>
              <w:jc w:val="left"/>
              <w:rPr>
                <w:rFonts w:asciiTheme="minorEastAsia" w:hAnsiTheme="minorEastAsia" w:eastAsiaTheme="minorEastAsia"/>
                <w:iCs w:val="0"/>
                <w:sz w:val="21"/>
              </w:rPr>
            </w:pPr>
            <w:r>
              <w:rPr>
                <w:rFonts w:hint="eastAsia"/>
                <w:iCs w:val="0"/>
                <w:sz w:val="21"/>
              </w:rPr>
              <w:t>李腾楠、</w:t>
            </w:r>
            <w:r>
              <w:rPr>
                <w:rFonts w:hint="eastAsia" w:asciiTheme="minorEastAsia" w:hAnsiTheme="minorEastAsia"/>
                <w:color w:val="000000"/>
                <w:kern w:val="0"/>
                <w:sz w:val="21"/>
              </w:rPr>
              <w:t>赵志杰</w:t>
            </w:r>
          </w:p>
          <w:p w14:paraId="1D066D3D">
            <w:pPr>
              <w:pStyle w:val="57"/>
              <w:jc w:val="left"/>
              <w:rPr>
                <w:iCs w:val="0"/>
                <w:sz w:val="21"/>
              </w:rPr>
            </w:pPr>
          </w:p>
        </w:tc>
        <w:tc>
          <w:tcPr>
            <w:tcW w:w="1091" w:type="pct"/>
            <w:vAlign w:val="center"/>
          </w:tcPr>
          <w:p w14:paraId="1A998EE9">
            <w:pPr>
              <w:pStyle w:val="57"/>
              <w:jc w:val="left"/>
              <w:rPr>
                <w:iCs w:val="0"/>
                <w:sz w:val="21"/>
              </w:rPr>
            </w:pPr>
            <w:r>
              <w:rPr>
                <w:iCs w:val="0"/>
                <w:sz w:val="21"/>
              </w:rPr>
              <w:t>《系统</w:t>
            </w:r>
            <w:r>
              <w:rPr>
                <w:rFonts w:hint="eastAsia"/>
                <w:iCs w:val="0"/>
                <w:sz w:val="21"/>
              </w:rPr>
              <w:t>功能说明书</w:t>
            </w:r>
            <w:r>
              <w:rPr>
                <w:iCs w:val="0"/>
                <w:sz w:val="21"/>
              </w:rPr>
              <w:t>》</w:t>
            </w:r>
            <w:r>
              <w:rPr>
                <w:rFonts w:hint="eastAsia"/>
                <w:iCs w:val="0"/>
                <w:sz w:val="21"/>
              </w:rPr>
              <w:t>《系统操作手册》</w:t>
            </w:r>
            <w:r>
              <w:rPr>
                <w:rFonts w:hint="eastAsia" w:asciiTheme="minorEastAsia" w:hAnsiTheme="minorEastAsia" w:eastAsiaTheme="minorEastAsia"/>
                <w:iCs w:val="0"/>
                <w:sz w:val="21"/>
              </w:rPr>
              <w:t>等技术文档</w:t>
            </w:r>
          </w:p>
        </w:tc>
      </w:tr>
      <w:tr w14:paraId="2E4DA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1" w:type="pct"/>
            <w:vAlign w:val="center"/>
          </w:tcPr>
          <w:p w14:paraId="40326FAF">
            <w:pPr>
              <w:pStyle w:val="57"/>
              <w:rPr>
                <w:rFonts w:cs="Calibri" w:asciiTheme="minorEastAsia" w:hAnsiTheme="minorEastAsia" w:eastAsiaTheme="minorEastAsia"/>
                <w:iCs w:val="0"/>
                <w:color w:val="000000"/>
                <w:sz w:val="21"/>
              </w:rPr>
            </w:pPr>
            <w:r>
              <w:rPr>
                <w:rFonts w:hint="eastAsia" w:cs="Calibri" w:asciiTheme="minorEastAsia" w:hAnsiTheme="minorEastAsia"/>
                <w:color w:val="000000"/>
                <w:sz w:val="21"/>
              </w:rPr>
              <w:t>系统维护培训</w:t>
            </w:r>
          </w:p>
        </w:tc>
        <w:tc>
          <w:tcPr>
            <w:tcW w:w="705" w:type="pct"/>
            <w:vAlign w:val="center"/>
          </w:tcPr>
          <w:p w14:paraId="69F358B3">
            <w:pPr>
              <w:pStyle w:val="57"/>
              <w:rPr>
                <w:rFonts w:asciiTheme="minorEastAsia" w:hAnsiTheme="minorEastAsia" w:eastAsiaTheme="minorEastAsia"/>
                <w:iCs w:val="0"/>
                <w:sz w:val="21"/>
              </w:rPr>
            </w:pPr>
            <w:r>
              <w:rPr>
                <w:rFonts w:hint="eastAsia" w:asciiTheme="minorEastAsia" w:hAnsiTheme="minorEastAsia" w:eastAsiaTheme="minorEastAsia"/>
                <w:iCs w:val="0"/>
                <w:sz w:val="21"/>
              </w:rPr>
              <w:t>项目阶段中</w:t>
            </w:r>
          </w:p>
          <w:p w14:paraId="379EB9D9">
            <w:pPr>
              <w:jc w:val="center"/>
              <w:rPr>
                <w:rFonts w:cs="宋体" w:asciiTheme="minorEastAsia" w:hAnsiTheme="minorEastAsia"/>
                <w:sz w:val="21"/>
              </w:rPr>
            </w:pPr>
            <w:r>
              <w:rPr>
                <w:rFonts w:hint="eastAsia" w:cs="宋体" w:asciiTheme="minorEastAsia" w:hAnsiTheme="minorEastAsia"/>
                <w:sz w:val="21"/>
              </w:rPr>
              <w:t>（</w:t>
            </w:r>
            <w:r>
              <w:rPr>
                <w:rFonts w:cs="宋体" w:asciiTheme="minorEastAsia" w:hAnsiTheme="minorEastAsia"/>
                <w:sz w:val="21"/>
              </w:rPr>
              <w:t>1</w:t>
            </w:r>
            <w:r>
              <w:rPr>
                <w:rFonts w:hint="eastAsia" w:cs="宋体" w:asciiTheme="minorEastAsia" w:hAnsiTheme="minorEastAsia"/>
                <w:sz w:val="21"/>
              </w:rPr>
              <w:t>天）</w:t>
            </w:r>
          </w:p>
          <w:p w14:paraId="5F4C861C">
            <w:pPr>
              <w:jc w:val="center"/>
              <w:rPr>
                <w:rFonts w:cs="宋体" w:asciiTheme="minorEastAsia" w:hAnsiTheme="minorEastAsia"/>
                <w:sz w:val="21"/>
              </w:rPr>
            </w:pPr>
            <w:r>
              <w:rPr>
                <w:rFonts w:hint="eastAsia" w:cs="宋体" w:asciiTheme="minorEastAsia" w:hAnsiTheme="minorEastAsia"/>
                <w:sz w:val="21"/>
              </w:rPr>
              <w:t>项目试运行及试运行完成阶段</w:t>
            </w:r>
          </w:p>
          <w:p w14:paraId="15C1B691">
            <w:pPr>
              <w:pStyle w:val="57"/>
              <w:rPr>
                <w:rFonts w:asciiTheme="minorEastAsia" w:hAnsiTheme="minorEastAsia" w:eastAsiaTheme="minorEastAsia"/>
                <w:iCs w:val="0"/>
                <w:sz w:val="21"/>
              </w:rPr>
            </w:pPr>
            <w:r>
              <w:rPr>
                <w:rFonts w:hint="eastAsia" w:asciiTheme="minorEastAsia" w:hAnsiTheme="minorEastAsia"/>
                <w:sz w:val="21"/>
              </w:rPr>
              <w:t>（</w:t>
            </w:r>
            <w:r>
              <w:rPr>
                <w:rFonts w:asciiTheme="minorEastAsia" w:hAnsiTheme="minorEastAsia"/>
                <w:sz w:val="21"/>
              </w:rPr>
              <w:t>1</w:t>
            </w:r>
            <w:r>
              <w:rPr>
                <w:rFonts w:hint="eastAsia" w:asciiTheme="minorEastAsia" w:hAnsiTheme="minorEastAsia"/>
                <w:sz w:val="21"/>
              </w:rPr>
              <w:t>天）</w:t>
            </w:r>
          </w:p>
        </w:tc>
        <w:tc>
          <w:tcPr>
            <w:tcW w:w="1877" w:type="pct"/>
            <w:vAlign w:val="center"/>
          </w:tcPr>
          <w:p w14:paraId="43859CB6">
            <w:pPr>
              <w:pStyle w:val="57"/>
              <w:jc w:val="left"/>
              <w:rPr>
                <w:rFonts w:cs="Calibri" w:asciiTheme="minorEastAsia" w:hAnsiTheme="minorEastAsia" w:eastAsiaTheme="minorEastAsia"/>
                <w:iCs w:val="0"/>
                <w:color w:val="000000"/>
                <w:sz w:val="21"/>
              </w:rPr>
            </w:pPr>
            <w:r>
              <w:rPr>
                <w:rFonts w:hint="eastAsia" w:cs="Calibri" w:asciiTheme="minorEastAsia" w:hAnsiTheme="minorEastAsia"/>
                <w:color w:val="000000"/>
                <w:sz w:val="21"/>
              </w:rPr>
              <w:t>系统维护操作主要包含系统的日常维护和故障排查等内容，帮助运维人员可以完成系统的一般故障进行处理，以进行系统的维护支持工作</w:t>
            </w:r>
          </w:p>
        </w:tc>
        <w:tc>
          <w:tcPr>
            <w:tcW w:w="626" w:type="pct"/>
            <w:vAlign w:val="center"/>
          </w:tcPr>
          <w:p w14:paraId="77D9C941">
            <w:pPr>
              <w:pStyle w:val="57"/>
              <w:jc w:val="left"/>
              <w:rPr>
                <w:iCs w:val="0"/>
                <w:sz w:val="21"/>
              </w:rPr>
            </w:pPr>
            <w:r>
              <w:rPr>
                <w:rFonts w:hint="eastAsia" w:asciiTheme="minorEastAsia" w:hAnsiTheme="minorEastAsia"/>
                <w:color w:val="000000"/>
                <w:kern w:val="0"/>
                <w:sz w:val="21"/>
              </w:rPr>
              <w:t>赵志杰</w:t>
            </w:r>
          </w:p>
        </w:tc>
        <w:tc>
          <w:tcPr>
            <w:tcW w:w="1091" w:type="pct"/>
            <w:vAlign w:val="center"/>
          </w:tcPr>
          <w:p w14:paraId="790ACC54">
            <w:pPr>
              <w:pStyle w:val="57"/>
              <w:jc w:val="left"/>
              <w:rPr>
                <w:iCs w:val="0"/>
                <w:sz w:val="21"/>
              </w:rPr>
            </w:pPr>
            <w:r>
              <w:rPr>
                <w:iCs w:val="0"/>
                <w:sz w:val="21"/>
              </w:rPr>
              <w:t>《系统部署手册》《系统运维手册》</w:t>
            </w:r>
            <w:r>
              <w:rPr>
                <w:rFonts w:hint="eastAsia" w:asciiTheme="minorEastAsia" w:hAnsiTheme="minorEastAsia" w:eastAsiaTheme="minorEastAsia"/>
                <w:iCs w:val="0"/>
                <w:sz w:val="21"/>
              </w:rPr>
              <w:t>等技术文档</w:t>
            </w:r>
          </w:p>
        </w:tc>
      </w:tr>
      <w:tr w14:paraId="2A3A4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1" w:type="pct"/>
            <w:vAlign w:val="center"/>
          </w:tcPr>
          <w:p w14:paraId="74FF17E6">
            <w:pPr>
              <w:pStyle w:val="57"/>
              <w:rPr>
                <w:rFonts w:cs="Calibri" w:asciiTheme="minorEastAsia" w:hAnsiTheme="minorEastAsia" w:eastAsiaTheme="minorEastAsia"/>
                <w:iCs w:val="0"/>
                <w:color w:val="000000"/>
                <w:sz w:val="21"/>
              </w:rPr>
            </w:pPr>
            <w:r>
              <w:rPr>
                <w:rFonts w:hint="eastAsia" w:cs="Calibri" w:asciiTheme="minorEastAsia" w:hAnsiTheme="minorEastAsia"/>
                <w:color w:val="000000"/>
                <w:sz w:val="21"/>
              </w:rPr>
              <w:t>使用操作培训</w:t>
            </w:r>
          </w:p>
        </w:tc>
        <w:tc>
          <w:tcPr>
            <w:tcW w:w="705" w:type="pct"/>
            <w:vAlign w:val="center"/>
          </w:tcPr>
          <w:p w14:paraId="7944CF15">
            <w:pPr>
              <w:pStyle w:val="57"/>
              <w:rPr>
                <w:rFonts w:asciiTheme="minorEastAsia" w:hAnsiTheme="minorEastAsia" w:eastAsiaTheme="minorEastAsia"/>
                <w:iCs w:val="0"/>
                <w:sz w:val="21"/>
              </w:rPr>
            </w:pPr>
            <w:r>
              <w:rPr>
                <w:rFonts w:hint="eastAsia" w:asciiTheme="minorEastAsia" w:hAnsiTheme="minorEastAsia" w:eastAsiaTheme="minorEastAsia"/>
                <w:iCs w:val="0"/>
                <w:sz w:val="21"/>
              </w:rPr>
              <w:t>项目阶段中</w:t>
            </w:r>
          </w:p>
          <w:p w14:paraId="5FC954A2">
            <w:pPr>
              <w:jc w:val="center"/>
              <w:rPr>
                <w:rFonts w:cs="宋体" w:asciiTheme="minorEastAsia" w:hAnsiTheme="minorEastAsia"/>
                <w:sz w:val="21"/>
              </w:rPr>
            </w:pPr>
            <w:r>
              <w:rPr>
                <w:rFonts w:hint="eastAsia" w:cs="宋体" w:asciiTheme="minorEastAsia" w:hAnsiTheme="minorEastAsia"/>
                <w:sz w:val="21"/>
              </w:rPr>
              <w:t>（</w:t>
            </w:r>
            <w:r>
              <w:rPr>
                <w:rFonts w:cs="宋体" w:asciiTheme="minorEastAsia" w:hAnsiTheme="minorEastAsia"/>
                <w:sz w:val="21"/>
              </w:rPr>
              <w:t>1</w:t>
            </w:r>
            <w:r>
              <w:rPr>
                <w:rFonts w:hint="eastAsia" w:cs="宋体" w:asciiTheme="minorEastAsia" w:hAnsiTheme="minorEastAsia"/>
                <w:sz w:val="21"/>
              </w:rPr>
              <w:t>天）</w:t>
            </w:r>
          </w:p>
          <w:p w14:paraId="49C0BC5E">
            <w:pPr>
              <w:jc w:val="center"/>
              <w:rPr>
                <w:rFonts w:cs="宋体" w:asciiTheme="minorEastAsia" w:hAnsiTheme="minorEastAsia"/>
                <w:sz w:val="21"/>
              </w:rPr>
            </w:pPr>
            <w:r>
              <w:rPr>
                <w:rFonts w:hint="eastAsia" w:cs="宋体" w:asciiTheme="minorEastAsia" w:hAnsiTheme="minorEastAsia"/>
                <w:sz w:val="21"/>
              </w:rPr>
              <w:t>项目试运行及试运行完成阶段</w:t>
            </w:r>
          </w:p>
          <w:p w14:paraId="0207431C">
            <w:pPr>
              <w:pStyle w:val="57"/>
              <w:rPr>
                <w:rFonts w:asciiTheme="minorEastAsia" w:hAnsiTheme="minorEastAsia" w:eastAsiaTheme="minorEastAsia"/>
                <w:iCs w:val="0"/>
                <w:sz w:val="21"/>
              </w:rPr>
            </w:pPr>
            <w:r>
              <w:rPr>
                <w:rFonts w:hint="eastAsia" w:asciiTheme="minorEastAsia" w:hAnsiTheme="minorEastAsia"/>
                <w:sz w:val="21"/>
              </w:rPr>
              <w:t>（</w:t>
            </w:r>
            <w:r>
              <w:rPr>
                <w:rFonts w:asciiTheme="minorEastAsia" w:hAnsiTheme="minorEastAsia"/>
                <w:sz w:val="21"/>
              </w:rPr>
              <w:t>1</w:t>
            </w:r>
            <w:r>
              <w:rPr>
                <w:rFonts w:hint="eastAsia" w:asciiTheme="minorEastAsia" w:hAnsiTheme="minorEastAsia"/>
                <w:sz w:val="21"/>
              </w:rPr>
              <w:t>天）</w:t>
            </w:r>
          </w:p>
        </w:tc>
        <w:tc>
          <w:tcPr>
            <w:tcW w:w="1877" w:type="pct"/>
            <w:vAlign w:val="center"/>
          </w:tcPr>
          <w:p w14:paraId="6BA63E4B">
            <w:pPr>
              <w:pStyle w:val="57"/>
              <w:jc w:val="left"/>
              <w:rPr>
                <w:rFonts w:cs="Calibri" w:asciiTheme="minorEastAsia" w:hAnsiTheme="minorEastAsia" w:eastAsiaTheme="minorEastAsia"/>
                <w:iCs w:val="0"/>
                <w:color w:val="000000"/>
                <w:sz w:val="21"/>
              </w:rPr>
            </w:pPr>
            <w:r>
              <w:rPr>
                <w:rFonts w:hint="eastAsia" w:cs="Calibri" w:asciiTheme="minorEastAsia" w:hAnsiTheme="minorEastAsia"/>
                <w:color w:val="000000"/>
                <w:sz w:val="21"/>
              </w:rPr>
              <w:t>使用操作培训主要针对系统业务功能的使用，包含数智人云端形成生成，形象驱动，流化处理，数智人交互等内容</w:t>
            </w:r>
          </w:p>
        </w:tc>
        <w:tc>
          <w:tcPr>
            <w:tcW w:w="626" w:type="pct"/>
            <w:vAlign w:val="center"/>
          </w:tcPr>
          <w:p w14:paraId="63B0BB22">
            <w:pPr>
              <w:pStyle w:val="57"/>
              <w:jc w:val="left"/>
              <w:rPr>
                <w:rFonts w:asciiTheme="minorEastAsia" w:hAnsiTheme="minorEastAsia" w:eastAsiaTheme="minorEastAsia"/>
                <w:iCs w:val="0"/>
                <w:sz w:val="21"/>
              </w:rPr>
            </w:pPr>
            <w:r>
              <w:rPr>
                <w:rFonts w:hint="eastAsia"/>
                <w:iCs w:val="0"/>
                <w:sz w:val="21"/>
              </w:rPr>
              <w:t>李腾楠、</w:t>
            </w:r>
            <w:r>
              <w:rPr>
                <w:rFonts w:hint="eastAsia" w:asciiTheme="minorEastAsia" w:hAnsiTheme="minorEastAsia"/>
                <w:color w:val="000000"/>
                <w:kern w:val="0"/>
                <w:sz w:val="21"/>
              </w:rPr>
              <w:t>赵志杰</w:t>
            </w:r>
          </w:p>
          <w:p w14:paraId="0E07E9E3">
            <w:pPr>
              <w:pStyle w:val="57"/>
              <w:jc w:val="left"/>
              <w:rPr>
                <w:iCs w:val="0"/>
                <w:sz w:val="21"/>
              </w:rPr>
            </w:pPr>
          </w:p>
        </w:tc>
        <w:tc>
          <w:tcPr>
            <w:tcW w:w="1091" w:type="pct"/>
            <w:vAlign w:val="center"/>
          </w:tcPr>
          <w:p w14:paraId="60A45778">
            <w:pPr>
              <w:pStyle w:val="57"/>
              <w:jc w:val="left"/>
              <w:rPr>
                <w:iCs w:val="0"/>
                <w:sz w:val="21"/>
              </w:rPr>
            </w:pPr>
            <w:r>
              <w:rPr>
                <w:rFonts w:hint="eastAsia"/>
                <w:iCs w:val="0"/>
                <w:sz w:val="21"/>
              </w:rPr>
              <w:t>《系统操作手册》</w:t>
            </w:r>
          </w:p>
          <w:p w14:paraId="1BBC84AA">
            <w:r>
              <w:rPr>
                <w:rFonts w:hint="eastAsia"/>
              </w:rPr>
              <w:t>《系统使用视频》等技术资料</w:t>
            </w:r>
          </w:p>
        </w:tc>
      </w:tr>
      <w:tr w14:paraId="571CE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1" w:type="pct"/>
            <w:vAlign w:val="center"/>
          </w:tcPr>
          <w:p w14:paraId="17DF7582">
            <w:pPr>
              <w:pStyle w:val="57"/>
              <w:rPr>
                <w:rFonts w:cs="Calibri" w:asciiTheme="minorEastAsia" w:hAnsiTheme="minorEastAsia"/>
                <w:color w:val="000000"/>
                <w:sz w:val="21"/>
              </w:rPr>
            </w:pPr>
            <w:r>
              <w:rPr>
                <w:rFonts w:hint="eastAsia" w:cs="Calibri" w:asciiTheme="minorEastAsia" w:hAnsiTheme="minorEastAsia"/>
                <w:color w:val="000000"/>
                <w:sz w:val="21"/>
              </w:rPr>
              <w:t>美术制作培训</w:t>
            </w:r>
          </w:p>
        </w:tc>
        <w:tc>
          <w:tcPr>
            <w:tcW w:w="705" w:type="pct"/>
            <w:vAlign w:val="center"/>
          </w:tcPr>
          <w:p w14:paraId="72ABBC83">
            <w:pPr>
              <w:pStyle w:val="57"/>
              <w:rPr>
                <w:rFonts w:asciiTheme="minorEastAsia" w:hAnsiTheme="minorEastAsia" w:eastAsiaTheme="minorEastAsia"/>
                <w:iCs w:val="0"/>
                <w:sz w:val="21"/>
              </w:rPr>
            </w:pPr>
            <w:r>
              <w:rPr>
                <w:rFonts w:hint="eastAsia" w:asciiTheme="minorEastAsia" w:hAnsiTheme="minorEastAsia" w:eastAsiaTheme="minorEastAsia"/>
                <w:iCs w:val="0"/>
                <w:sz w:val="21"/>
              </w:rPr>
              <w:t>项目阶段中</w:t>
            </w:r>
          </w:p>
          <w:p w14:paraId="416BE7F3">
            <w:pPr>
              <w:jc w:val="center"/>
              <w:rPr>
                <w:rFonts w:cs="宋体" w:asciiTheme="minorEastAsia" w:hAnsiTheme="minorEastAsia"/>
                <w:sz w:val="21"/>
              </w:rPr>
            </w:pPr>
            <w:r>
              <w:rPr>
                <w:rFonts w:hint="eastAsia" w:cs="宋体" w:asciiTheme="minorEastAsia" w:hAnsiTheme="minorEastAsia"/>
                <w:sz w:val="21"/>
              </w:rPr>
              <w:t>（</w:t>
            </w:r>
            <w:r>
              <w:rPr>
                <w:rFonts w:cs="宋体" w:asciiTheme="minorEastAsia" w:hAnsiTheme="minorEastAsia"/>
                <w:sz w:val="21"/>
              </w:rPr>
              <w:t>3</w:t>
            </w:r>
            <w:r>
              <w:rPr>
                <w:rFonts w:hint="eastAsia" w:cs="宋体" w:asciiTheme="minorEastAsia" w:hAnsiTheme="minorEastAsia"/>
                <w:sz w:val="21"/>
              </w:rPr>
              <w:t>天）</w:t>
            </w:r>
          </w:p>
          <w:p w14:paraId="63AE2094">
            <w:pPr>
              <w:jc w:val="center"/>
              <w:rPr>
                <w:rFonts w:cs="宋体" w:asciiTheme="minorEastAsia" w:hAnsiTheme="minorEastAsia"/>
                <w:sz w:val="21"/>
              </w:rPr>
            </w:pPr>
            <w:r>
              <w:rPr>
                <w:rFonts w:hint="eastAsia" w:cs="宋体" w:asciiTheme="minorEastAsia" w:hAnsiTheme="minorEastAsia"/>
                <w:sz w:val="21"/>
              </w:rPr>
              <w:t>项目试运行及试运行完成阶段</w:t>
            </w:r>
          </w:p>
          <w:p w14:paraId="2A24BCA9">
            <w:pPr>
              <w:pStyle w:val="57"/>
              <w:rPr>
                <w:rFonts w:asciiTheme="minorEastAsia" w:hAnsiTheme="minorEastAsia" w:eastAsiaTheme="minorEastAsia"/>
                <w:iCs w:val="0"/>
                <w:sz w:val="21"/>
              </w:rPr>
            </w:pPr>
            <w:r>
              <w:rPr>
                <w:rFonts w:hint="eastAsia" w:asciiTheme="minorEastAsia" w:hAnsiTheme="minorEastAsia"/>
                <w:sz w:val="21"/>
              </w:rPr>
              <w:t>（</w:t>
            </w:r>
            <w:r>
              <w:rPr>
                <w:rFonts w:asciiTheme="minorEastAsia" w:hAnsiTheme="minorEastAsia"/>
                <w:sz w:val="21"/>
              </w:rPr>
              <w:t>5</w:t>
            </w:r>
            <w:r>
              <w:rPr>
                <w:rFonts w:hint="eastAsia" w:asciiTheme="minorEastAsia" w:hAnsiTheme="minorEastAsia"/>
                <w:sz w:val="21"/>
              </w:rPr>
              <w:t>天）</w:t>
            </w:r>
          </w:p>
        </w:tc>
        <w:tc>
          <w:tcPr>
            <w:tcW w:w="1877" w:type="pct"/>
            <w:vAlign w:val="center"/>
          </w:tcPr>
          <w:p w14:paraId="5E6672A3">
            <w:pPr>
              <w:pStyle w:val="57"/>
              <w:jc w:val="left"/>
              <w:rPr>
                <w:rFonts w:cs="Calibri" w:asciiTheme="minorEastAsia" w:hAnsiTheme="minorEastAsia" w:eastAsiaTheme="minorEastAsia"/>
                <w:iCs w:val="0"/>
                <w:color w:val="000000"/>
                <w:sz w:val="21"/>
              </w:rPr>
            </w:pPr>
            <w:r>
              <w:rPr>
                <w:rFonts w:hint="eastAsia" w:cs="Calibri" w:asciiTheme="minorEastAsia" w:hAnsiTheme="minorEastAsia"/>
                <w:color w:val="000000"/>
                <w:sz w:val="21"/>
              </w:rPr>
              <w:t>美术制作配置课程主要内容包括人员形象设计，人员形象细化和上色，3D建模、材质贴图、骨骼绑定、动作设计和动作制作等内容</w:t>
            </w:r>
          </w:p>
        </w:tc>
        <w:tc>
          <w:tcPr>
            <w:tcW w:w="626" w:type="pct"/>
            <w:vAlign w:val="center"/>
          </w:tcPr>
          <w:p w14:paraId="1B48CFDA">
            <w:pPr>
              <w:pStyle w:val="57"/>
              <w:jc w:val="left"/>
              <w:rPr>
                <w:rFonts w:asciiTheme="minorEastAsia" w:hAnsiTheme="minorEastAsia" w:eastAsiaTheme="minorEastAsia"/>
                <w:iCs w:val="0"/>
                <w:sz w:val="21"/>
              </w:rPr>
            </w:pPr>
            <w:r>
              <w:rPr>
                <w:rFonts w:hint="eastAsia"/>
                <w:iCs w:val="0"/>
                <w:sz w:val="21"/>
              </w:rPr>
              <w:t>谢毅、李腾楠、</w:t>
            </w:r>
            <w:r>
              <w:rPr>
                <w:rFonts w:hint="eastAsia" w:asciiTheme="minorEastAsia" w:hAnsiTheme="minorEastAsia"/>
                <w:color w:val="000000"/>
                <w:kern w:val="0"/>
                <w:sz w:val="21"/>
              </w:rPr>
              <w:t>赵志杰</w:t>
            </w:r>
          </w:p>
        </w:tc>
        <w:tc>
          <w:tcPr>
            <w:tcW w:w="1091" w:type="pct"/>
            <w:vAlign w:val="center"/>
          </w:tcPr>
          <w:p w14:paraId="535AA29B">
            <w:pPr>
              <w:pStyle w:val="57"/>
              <w:jc w:val="left"/>
              <w:rPr>
                <w:iCs w:val="0"/>
                <w:sz w:val="21"/>
              </w:rPr>
            </w:pPr>
            <w:r>
              <w:rPr>
                <w:rFonts w:hint="eastAsia"/>
                <w:iCs w:val="0"/>
                <w:sz w:val="21"/>
              </w:rPr>
              <w:t>《人员形象设计说明书》、《人员设计规范》、《3D建模设计文档》</w:t>
            </w:r>
          </w:p>
        </w:tc>
      </w:tr>
    </w:tbl>
    <w:p w14:paraId="0AFA6437">
      <w:pPr>
        <w:pStyle w:val="6"/>
      </w:pPr>
      <w:r>
        <w:rPr>
          <w:rFonts w:hint="eastAsia"/>
        </w:rPr>
        <w:t>培训周期与培训费用说明</w:t>
      </w:r>
    </w:p>
    <w:p w14:paraId="42E341C9">
      <w:pPr>
        <w:ind w:firstLine="360" w:firstLineChars="150"/>
        <w:rPr>
          <w:rFonts w:asciiTheme="minorEastAsia" w:hAnsiTheme="minorEastAsia"/>
          <w:i/>
          <w:iCs/>
          <w:color w:val="FF0000"/>
          <w:szCs w:val="24"/>
        </w:rPr>
      </w:pPr>
      <w:r>
        <w:rPr>
          <w:rFonts w:hint="eastAsia" w:asciiTheme="minorEastAsia" w:hAnsiTheme="minorEastAsia"/>
          <w:i/>
          <w:iCs/>
          <w:color w:val="FF0000"/>
          <w:szCs w:val="24"/>
        </w:rPr>
        <w:t>培训</w:t>
      </w:r>
      <w:r>
        <w:rPr>
          <w:rFonts w:asciiTheme="minorEastAsia" w:hAnsiTheme="minorEastAsia"/>
          <w:i/>
          <w:iCs/>
          <w:color w:val="FF0000"/>
          <w:szCs w:val="24"/>
        </w:rPr>
        <w:t>10</w:t>
      </w:r>
      <w:r>
        <w:rPr>
          <w:rFonts w:hint="eastAsia" w:asciiTheme="minorEastAsia" w:hAnsiTheme="minorEastAsia"/>
          <w:i/>
          <w:iCs/>
          <w:color w:val="FF0000"/>
          <w:szCs w:val="24"/>
        </w:rPr>
        <w:t>名系统管理人员，包括软硬件培训、使用配置培训、系统维护管理等培训，每人培训时间不少于一周（</w:t>
      </w:r>
      <w:r>
        <w:rPr>
          <w:rFonts w:asciiTheme="minorEastAsia" w:hAnsiTheme="minorEastAsia"/>
          <w:i/>
          <w:iCs/>
          <w:color w:val="FF0000"/>
          <w:szCs w:val="24"/>
        </w:rPr>
        <w:t>5</w:t>
      </w:r>
      <w:r>
        <w:rPr>
          <w:rFonts w:hint="eastAsia" w:asciiTheme="minorEastAsia" w:hAnsiTheme="minorEastAsia"/>
          <w:i/>
          <w:iCs/>
          <w:color w:val="FF0000"/>
          <w:szCs w:val="24"/>
        </w:rPr>
        <w:t>个工作日）；</w:t>
      </w:r>
    </w:p>
    <w:p w14:paraId="235F9184">
      <w:pPr>
        <w:ind w:firstLine="360" w:firstLineChars="150"/>
        <w:rPr>
          <w:rFonts w:asciiTheme="minorEastAsia" w:hAnsiTheme="minorEastAsia"/>
          <w:i/>
          <w:iCs/>
          <w:color w:val="FF0000"/>
          <w:szCs w:val="24"/>
        </w:rPr>
      </w:pPr>
      <w:r>
        <w:rPr>
          <w:rFonts w:hint="eastAsia" w:asciiTheme="minorEastAsia" w:hAnsiTheme="minorEastAsia"/>
          <w:i/>
          <w:iCs/>
          <w:color w:val="FF0000"/>
          <w:szCs w:val="24"/>
        </w:rPr>
        <w:t>培训</w:t>
      </w:r>
      <w:r>
        <w:rPr>
          <w:rFonts w:asciiTheme="minorEastAsia" w:hAnsiTheme="minorEastAsia"/>
          <w:i/>
          <w:iCs/>
          <w:color w:val="FF0000"/>
          <w:szCs w:val="24"/>
        </w:rPr>
        <w:t>10</w:t>
      </w:r>
      <w:r>
        <w:rPr>
          <w:rFonts w:hint="eastAsia" w:asciiTheme="minorEastAsia" w:hAnsiTheme="minorEastAsia"/>
          <w:i/>
          <w:iCs/>
          <w:color w:val="FF0000"/>
          <w:szCs w:val="24"/>
        </w:rPr>
        <w:t>名美术制作人员，含结合本系统实际情况的美术制作需求培训，每人培训时间不少于一周（</w:t>
      </w:r>
      <w:r>
        <w:rPr>
          <w:rFonts w:asciiTheme="minorEastAsia" w:hAnsiTheme="minorEastAsia"/>
          <w:i/>
          <w:iCs/>
          <w:color w:val="FF0000"/>
          <w:szCs w:val="24"/>
        </w:rPr>
        <w:t>5</w:t>
      </w:r>
      <w:r>
        <w:rPr>
          <w:rFonts w:hint="eastAsia" w:asciiTheme="minorEastAsia" w:hAnsiTheme="minorEastAsia"/>
          <w:i/>
          <w:iCs/>
          <w:color w:val="FF0000"/>
          <w:szCs w:val="24"/>
        </w:rPr>
        <w:t>个工作日）。</w:t>
      </w:r>
    </w:p>
    <w:tbl>
      <w:tblPr>
        <w:tblStyle w:val="32"/>
        <w:tblW w:w="5000" w:type="pct"/>
        <w:tblInd w:w="0" w:type="dxa"/>
        <w:tblLayout w:type="autofit"/>
        <w:tblCellMar>
          <w:top w:w="0" w:type="dxa"/>
          <w:left w:w="108" w:type="dxa"/>
          <w:bottom w:w="0" w:type="dxa"/>
          <w:right w:w="108" w:type="dxa"/>
        </w:tblCellMar>
      </w:tblPr>
      <w:tblGrid>
        <w:gridCol w:w="636"/>
        <w:gridCol w:w="1953"/>
        <w:gridCol w:w="1371"/>
        <w:gridCol w:w="1266"/>
        <w:gridCol w:w="2527"/>
        <w:gridCol w:w="1317"/>
      </w:tblGrid>
      <w:tr w14:paraId="68792EE9">
        <w:tblPrEx>
          <w:tblCellMar>
            <w:top w:w="0" w:type="dxa"/>
            <w:left w:w="108" w:type="dxa"/>
            <w:bottom w:w="0" w:type="dxa"/>
            <w:right w:w="108" w:type="dxa"/>
          </w:tblCellMar>
        </w:tblPrEx>
        <w:trPr>
          <w:trHeight w:val="288" w:hRule="atLeast"/>
        </w:trPr>
        <w:tc>
          <w:tcPr>
            <w:tcW w:w="37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45E3219">
            <w:pPr>
              <w:widowControl/>
              <w:spacing w:line="240" w:lineRule="auto"/>
              <w:jc w:val="center"/>
              <w:rPr>
                <w:rFonts w:eastAsia="宋体" w:cs="Calibri" w:asciiTheme="minorEastAsia" w:hAnsiTheme="minorEastAsia"/>
                <w:iCs/>
                <w:color w:val="000000"/>
                <w:sz w:val="21"/>
              </w:rPr>
            </w:pPr>
            <w:r>
              <w:rPr>
                <w:rFonts w:hint="eastAsia" w:eastAsia="宋体" w:cs="Calibri" w:asciiTheme="minorEastAsia" w:hAnsiTheme="minorEastAsia"/>
                <w:iCs/>
                <w:color w:val="000000"/>
                <w:sz w:val="21"/>
              </w:rPr>
              <w:t>序号</w:t>
            </w:r>
          </w:p>
        </w:tc>
        <w:tc>
          <w:tcPr>
            <w:tcW w:w="1186" w:type="pct"/>
            <w:tcBorders>
              <w:top w:val="single" w:color="auto" w:sz="4" w:space="0"/>
              <w:left w:val="nil"/>
              <w:bottom w:val="single" w:color="auto" w:sz="4" w:space="0"/>
              <w:right w:val="single" w:color="auto" w:sz="4" w:space="0"/>
            </w:tcBorders>
            <w:shd w:val="clear" w:color="auto" w:fill="auto"/>
            <w:noWrap/>
            <w:vAlign w:val="center"/>
          </w:tcPr>
          <w:p w14:paraId="4CB4A4F3">
            <w:pPr>
              <w:widowControl/>
              <w:spacing w:line="240" w:lineRule="auto"/>
              <w:jc w:val="center"/>
              <w:rPr>
                <w:rFonts w:eastAsia="宋体" w:cs="Calibri" w:asciiTheme="minorEastAsia" w:hAnsiTheme="minorEastAsia"/>
                <w:iCs/>
                <w:color w:val="000000"/>
                <w:sz w:val="21"/>
              </w:rPr>
            </w:pPr>
            <w:r>
              <w:rPr>
                <w:rFonts w:hint="eastAsia" w:eastAsia="宋体" w:cs="Calibri" w:asciiTheme="minorEastAsia" w:hAnsiTheme="minorEastAsia"/>
                <w:iCs/>
                <w:color w:val="000000"/>
                <w:sz w:val="21"/>
              </w:rPr>
              <w:t>培训内容</w:t>
            </w:r>
          </w:p>
        </w:tc>
        <w:tc>
          <w:tcPr>
            <w:tcW w:w="718" w:type="pct"/>
            <w:tcBorders>
              <w:top w:val="single" w:color="auto" w:sz="4" w:space="0"/>
              <w:left w:val="nil"/>
              <w:bottom w:val="single" w:color="auto" w:sz="4" w:space="0"/>
              <w:right w:val="single" w:color="auto" w:sz="4" w:space="0"/>
            </w:tcBorders>
            <w:shd w:val="clear" w:color="auto" w:fill="auto"/>
            <w:noWrap/>
            <w:vAlign w:val="center"/>
          </w:tcPr>
          <w:p w14:paraId="4928DD23">
            <w:pPr>
              <w:widowControl/>
              <w:spacing w:line="240" w:lineRule="auto"/>
              <w:jc w:val="center"/>
              <w:rPr>
                <w:rFonts w:eastAsia="宋体" w:cs="Calibri" w:asciiTheme="minorEastAsia" w:hAnsiTheme="minorEastAsia"/>
                <w:iCs/>
                <w:color w:val="000000"/>
                <w:sz w:val="21"/>
              </w:rPr>
            </w:pPr>
            <w:r>
              <w:rPr>
                <w:rFonts w:hint="eastAsia" w:eastAsia="宋体" w:cs="Calibri" w:asciiTheme="minorEastAsia" w:hAnsiTheme="minorEastAsia"/>
                <w:iCs/>
                <w:color w:val="000000"/>
                <w:sz w:val="21"/>
              </w:rPr>
              <w:t>培训天数/天</w:t>
            </w:r>
          </w:p>
        </w:tc>
        <w:tc>
          <w:tcPr>
            <w:tcW w:w="727" w:type="pct"/>
            <w:tcBorders>
              <w:top w:val="single" w:color="auto" w:sz="4" w:space="0"/>
              <w:left w:val="nil"/>
              <w:bottom w:val="single" w:color="auto" w:sz="4" w:space="0"/>
              <w:right w:val="single" w:color="auto" w:sz="4" w:space="0"/>
            </w:tcBorders>
            <w:shd w:val="clear" w:color="auto" w:fill="auto"/>
            <w:noWrap/>
            <w:vAlign w:val="center"/>
          </w:tcPr>
          <w:p w14:paraId="3FB85FE8">
            <w:pPr>
              <w:widowControl/>
              <w:spacing w:line="240" w:lineRule="auto"/>
              <w:jc w:val="center"/>
              <w:rPr>
                <w:rFonts w:eastAsia="宋体" w:cs="Calibri" w:asciiTheme="minorEastAsia" w:hAnsiTheme="minorEastAsia"/>
                <w:iCs/>
                <w:color w:val="000000"/>
                <w:sz w:val="21"/>
              </w:rPr>
            </w:pPr>
            <w:r>
              <w:rPr>
                <w:rFonts w:hint="eastAsia" w:eastAsia="宋体" w:cs="Calibri" w:asciiTheme="minorEastAsia" w:hAnsiTheme="minorEastAsia"/>
                <w:iCs/>
                <w:color w:val="000000"/>
                <w:sz w:val="21"/>
              </w:rPr>
              <w:t>培训地点</w:t>
            </w:r>
          </w:p>
        </w:tc>
        <w:tc>
          <w:tcPr>
            <w:tcW w:w="1162" w:type="pct"/>
            <w:tcBorders>
              <w:top w:val="single" w:color="auto" w:sz="4" w:space="0"/>
              <w:left w:val="nil"/>
              <w:bottom w:val="single" w:color="auto" w:sz="4" w:space="0"/>
              <w:right w:val="single" w:color="auto" w:sz="4" w:space="0"/>
            </w:tcBorders>
            <w:shd w:val="clear" w:color="auto" w:fill="auto"/>
            <w:noWrap/>
            <w:vAlign w:val="center"/>
          </w:tcPr>
          <w:p w14:paraId="1F44191B">
            <w:pPr>
              <w:widowControl/>
              <w:spacing w:line="240" w:lineRule="auto"/>
              <w:jc w:val="center"/>
              <w:rPr>
                <w:rFonts w:eastAsia="宋体" w:cs="Calibri" w:asciiTheme="minorEastAsia" w:hAnsiTheme="minorEastAsia"/>
                <w:iCs/>
                <w:color w:val="000000"/>
                <w:sz w:val="21"/>
              </w:rPr>
            </w:pPr>
            <w:r>
              <w:rPr>
                <w:rFonts w:hint="eastAsia" w:eastAsia="宋体" w:cs="Calibri" w:asciiTheme="minorEastAsia" w:hAnsiTheme="minorEastAsia"/>
                <w:iCs/>
                <w:color w:val="000000"/>
                <w:sz w:val="21"/>
              </w:rPr>
              <w:t>培训方式</w:t>
            </w:r>
          </w:p>
        </w:tc>
        <w:tc>
          <w:tcPr>
            <w:tcW w:w="831" w:type="pct"/>
            <w:tcBorders>
              <w:top w:val="single" w:color="auto" w:sz="4" w:space="0"/>
              <w:left w:val="nil"/>
              <w:bottom w:val="single" w:color="auto" w:sz="4" w:space="0"/>
              <w:right w:val="single" w:color="auto" w:sz="4" w:space="0"/>
            </w:tcBorders>
            <w:shd w:val="clear" w:color="auto" w:fill="auto"/>
            <w:noWrap/>
            <w:vAlign w:val="center"/>
          </w:tcPr>
          <w:p w14:paraId="1283E1C6">
            <w:pPr>
              <w:widowControl/>
              <w:spacing w:line="240" w:lineRule="auto"/>
              <w:jc w:val="center"/>
              <w:rPr>
                <w:rFonts w:eastAsia="宋体" w:cs="Calibri" w:asciiTheme="minorEastAsia" w:hAnsiTheme="minorEastAsia"/>
                <w:iCs/>
                <w:color w:val="000000"/>
                <w:sz w:val="21"/>
              </w:rPr>
            </w:pPr>
            <w:r>
              <w:rPr>
                <w:rFonts w:hint="eastAsia" w:eastAsia="宋体" w:cs="Calibri" w:asciiTheme="minorEastAsia" w:hAnsiTheme="minorEastAsia"/>
                <w:iCs/>
                <w:color w:val="000000"/>
                <w:sz w:val="21"/>
              </w:rPr>
              <w:t>培训报价</w:t>
            </w:r>
          </w:p>
        </w:tc>
      </w:tr>
      <w:tr w14:paraId="705045B9">
        <w:tblPrEx>
          <w:tblCellMar>
            <w:top w:w="0" w:type="dxa"/>
            <w:left w:w="108" w:type="dxa"/>
            <w:bottom w:w="0" w:type="dxa"/>
            <w:right w:w="108" w:type="dxa"/>
          </w:tblCellMar>
        </w:tblPrEx>
        <w:trPr>
          <w:trHeight w:val="288" w:hRule="atLeast"/>
        </w:trPr>
        <w:tc>
          <w:tcPr>
            <w:tcW w:w="376" w:type="pct"/>
            <w:tcBorders>
              <w:top w:val="nil"/>
              <w:left w:val="single" w:color="auto" w:sz="4" w:space="0"/>
              <w:bottom w:val="single" w:color="auto" w:sz="4" w:space="0"/>
              <w:right w:val="single" w:color="auto" w:sz="4" w:space="0"/>
            </w:tcBorders>
            <w:shd w:val="clear" w:color="auto" w:fill="auto"/>
            <w:noWrap/>
            <w:vAlign w:val="center"/>
          </w:tcPr>
          <w:p w14:paraId="0C099383">
            <w:pPr>
              <w:widowControl/>
              <w:spacing w:line="240" w:lineRule="auto"/>
              <w:jc w:val="center"/>
              <w:rPr>
                <w:rFonts w:eastAsia="宋体" w:cs="Calibri" w:asciiTheme="minorEastAsia" w:hAnsiTheme="minorEastAsia"/>
                <w:iCs/>
                <w:color w:val="000000"/>
                <w:sz w:val="21"/>
              </w:rPr>
            </w:pPr>
            <w:r>
              <w:rPr>
                <w:rFonts w:hint="eastAsia" w:eastAsia="宋体" w:cs="Calibri" w:asciiTheme="minorEastAsia" w:hAnsiTheme="minorEastAsia"/>
                <w:iCs/>
                <w:color w:val="000000"/>
                <w:sz w:val="21"/>
              </w:rPr>
              <w:t>1</w:t>
            </w:r>
          </w:p>
        </w:tc>
        <w:tc>
          <w:tcPr>
            <w:tcW w:w="1186" w:type="pct"/>
            <w:tcBorders>
              <w:top w:val="nil"/>
              <w:left w:val="nil"/>
              <w:bottom w:val="single" w:color="auto" w:sz="4" w:space="0"/>
              <w:right w:val="single" w:color="auto" w:sz="4" w:space="0"/>
            </w:tcBorders>
            <w:shd w:val="clear" w:color="auto" w:fill="auto"/>
            <w:noWrap/>
            <w:vAlign w:val="center"/>
          </w:tcPr>
          <w:p w14:paraId="666CCD86">
            <w:pPr>
              <w:widowControl/>
              <w:spacing w:line="240" w:lineRule="auto"/>
              <w:jc w:val="center"/>
              <w:rPr>
                <w:rFonts w:eastAsia="宋体" w:cs="Calibri" w:asciiTheme="minorEastAsia" w:hAnsiTheme="minorEastAsia"/>
                <w:iCs/>
                <w:color w:val="000000"/>
                <w:sz w:val="21"/>
              </w:rPr>
            </w:pPr>
            <w:r>
              <w:rPr>
                <w:rFonts w:hint="eastAsia" w:eastAsia="宋体" w:cs="Calibri" w:asciiTheme="minorEastAsia" w:hAnsiTheme="minorEastAsia"/>
                <w:iCs/>
                <w:color w:val="000000"/>
                <w:sz w:val="21"/>
              </w:rPr>
              <w:t>产品公开课</w:t>
            </w:r>
          </w:p>
        </w:tc>
        <w:tc>
          <w:tcPr>
            <w:tcW w:w="718" w:type="pct"/>
            <w:tcBorders>
              <w:top w:val="nil"/>
              <w:left w:val="nil"/>
              <w:bottom w:val="single" w:color="auto" w:sz="4" w:space="0"/>
              <w:right w:val="single" w:color="auto" w:sz="4" w:space="0"/>
            </w:tcBorders>
            <w:shd w:val="clear" w:color="auto" w:fill="auto"/>
            <w:noWrap/>
            <w:vAlign w:val="center"/>
          </w:tcPr>
          <w:p w14:paraId="77156BB6">
            <w:pPr>
              <w:widowControl/>
              <w:spacing w:line="240" w:lineRule="auto"/>
              <w:jc w:val="center"/>
              <w:rPr>
                <w:rFonts w:eastAsia="宋体" w:cs="Calibri" w:asciiTheme="minorEastAsia" w:hAnsiTheme="minorEastAsia"/>
                <w:iCs/>
                <w:color w:val="000000"/>
                <w:sz w:val="21"/>
              </w:rPr>
            </w:pPr>
            <w:r>
              <w:rPr>
                <w:rFonts w:hint="eastAsia" w:eastAsia="宋体" w:cs="Calibri" w:asciiTheme="minorEastAsia" w:hAnsiTheme="minorEastAsia"/>
                <w:iCs/>
                <w:color w:val="000000"/>
                <w:sz w:val="21"/>
              </w:rPr>
              <w:t>3</w:t>
            </w:r>
          </w:p>
        </w:tc>
        <w:tc>
          <w:tcPr>
            <w:tcW w:w="727" w:type="pct"/>
            <w:tcBorders>
              <w:top w:val="nil"/>
              <w:left w:val="nil"/>
              <w:bottom w:val="single" w:color="auto" w:sz="4" w:space="0"/>
              <w:right w:val="single" w:color="auto" w:sz="4" w:space="0"/>
            </w:tcBorders>
            <w:shd w:val="clear" w:color="auto" w:fill="auto"/>
            <w:noWrap/>
            <w:vAlign w:val="center"/>
          </w:tcPr>
          <w:p w14:paraId="0BD223C0">
            <w:pPr>
              <w:widowControl/>
              <w:spacing w:line="240" w:lineRule="auto"/>
              <w:jc w:val="center"/>
              <w:rPr>
                <w:rFonts w:eastAsia="宋体" w:cs="Calibri" w:asciiTheme="minorEastAsia" w:hAnsiTheme="minorEastAsia"/>
                <w:iCs/>
                <w:color w:val="000000"/>
                <w:sz w:val="21"/>
              </w:rPr>
            </w:pPr>
            <w:r>
              <w:rPr>
                <w:rFonts w:hint="eastAsia" w:eastAsia="宋体" w:cs="Calibri" w:asciiTheme="minorEastAsia" w:hAnsiTheme="minorEastAsia"/>
                <w:iCs/>
                <w:color w:val="000000"/>
                <w:sz w:val="21"/>
              </w:rPr>
              <w:t>采购人确认</w:t>
            </w:r>
          </w:p>
        </w:tc>
        <w:tc>
          <w:tcPr>
            <w:tcW w:w="1162" w:type="pct"/>
            <w:tcBorders>
              <w:top w:val="nil"/>
              <w:left w:val="nil"/>
              <w:bottom w:val="single" w:color="auto" w:sz="4" w:space="0"/>
              <w:right w:val="single" w:color="auto" w:sz="4" w:space="0"/>
            </w:tcBorders>
            <w:shd w:val="clear" w:color="auto" w:fill="auto"/>
            <w:noWrap/>
            <w:vAlign w:val="center"/>
          </w:tcPr>
          <w:p w14:paraId="17B22F54">
            <w:pPr>
              <w:widowControl/>
              <w:spacing w:line="240" w:lineRule="auto"/>
              <w:jc w:val="center"/>
              <w:rPr>
                <w:rFonts w:eastAsia="宋体" w:cs="Calibri" w:asciiTheme="minorEastAsia" w:hAnsiTheme="minorEastAsia"/>
                <w:iCs/>
                <w:color w:val="000000"/>
                <w:sz w:val="21"/>
              </w:rPr>
            </w:pPr>
            <w:r>
              <w:rPr>
                <w:rFonts w:hint="eastAsia" w:eastAsia="宋体" w:cs="Calibri" w:asciiTheme="minorEastAsia" w:hAnsiTheme="minorEastAsia"/>
                <w:iCs/>
                <w:color w:val="000000"/>
                <w:sz w:val="21"/>
              </w:rPr>
              <w:t>集中培训，支持单人答疑</w:t>
            </w:r>
          </w:p>
        </w:tc>
        <w:tc>
          <w:tcPr>
            <w:tcW w:w="831" w:type="pct"/>
            <w:tcBorders>
              <w:top w:val="nil"/>
              <w:left w:val="nil"/>
              <w:bottom w:val="single" w:color="auto" w:sz="4" w:space="0"/>
              <w:right w:val="single" w:color="auto" w:sz="4" w:space="0"/>
            </w:tcBorders>
            <w:shd w:val="clear" w:color="auto" w:fill="auto"/>
            <w:noWrap/>
            <w:vAlign w:val="center"/>
          </w:tcPr>
          <w:p w14:paraId="29CE744C">
            <w:pPr>
              <w:widowControl/>
              <w:spacing w:line="240" w:lineRule="auto"/>
              <w:jc w:val="center"/>
              <w:rPr>
                <w:rFonts w:eastAsia="宋体" w:cs="Calibri" w:asciiTheme="minorEastAsia" w:hAnsiTheme="minorEastAsia"/>
                <w:iCs/>
                <w:color w:val="000000"/>
                <w:sz w:val="21"/>
              </w:rPr>
            </w:pPr>
            <w:r>
              <w:rPr>
                <w:rFonts w:hint="eastAsia" w:eastAsia="宋体" w:cs="Calibri" w:asciiTheme="minorEastAsia" w:hAnsiTheme="minorEastAsia"/>
                <w:iCs/>
                <w:color w:val="000000"/>
                <w:sz w:val="21"/>
              </w:rPr>
              <w:t>　</w:t>
            </w:r>
          </w:p>
        </w:tc>
      </w:tr>
      <w:tr w14:paraId="0D0B5BB3">
        <w:tblPrEx>
          <w:tblCellMar>
            <w:top w:w="0" w:type="dxa"/>
            <w:left w:w="108" w:type="dxa"/>
            <w:bottom w:w="0" w:type="dxa"/>
            <w:right w:w="108" w:type="dxa"/>
          </w:tblCellMar>
        </w:tblPrEx>
        <w:trPr>
          <w:trHeight w:val="288" w:hRule="atLeast"/>
        </w:trPr>
        <w:tc>
          <w:tcPr>
            <w:tcW w:w="376" w:type="pct"/>
            <w:tcBorders>
              <w:top w:val="nil"/>
              <w:left w:val="single" w:color="auto" w:sz="4" w:space="0"/>
              <w:bottom w:val="single" w:color="auto" w:sz="4" w:space="0"/>
              <w:right w:val="single" w:color="auto" w:sz="4" w:space="0"/>
            </w:tcBorders>
            <w:shd w:val="clear" w:color="auto" w:fill="auto"/>
            <w:noWrap/>
            <w:vAlign w:val="center"/>
          </w:tcPr>
          <w:p w14:paraId="528FBA4D">
            <w:pPr>
              <w:widowControl/>
              <w:spacing w:line="240" w:lineRule="auto"/>
              <w:jc w:val="center"/>
              <w:rPr>
                <w:rFonts w:eastAsia="宋体" w:cs="Calibri" w:asciiTheme="minorEastAsia" w:hAnsiTheme="minorEastAsia"/>
                <w:iCs/>
                <w:color w:val="000000"/>
                <w:sz w:val="21"/>
              </w:rPr>
            </w:pPr>
            <w:r>
              <w:rPr>
                <w:rFonts w:hint="eastAsia" w:eastAsia="宋体" w:cs="Calibri" w:asciiTheme="minorEastAsia" w:hAnsiTheme="minorEastAsia"/>
                <w:iCs/>
                <w:color w:val="000000"/>
                <w:sz w:val="21"/>
              </w:rPr>
              <w:t>2</w:t>
            </w:r>
          </w:p>
        </w:tc>
        <w:tc>
          <w:tcPr>
            <w:tcW w:w="1186" w:type="pct"/>
            <w:tcBorders>
              <w:top w:val="nil"/>
              <w:left w:val="nil"/>
              <w:bottom w:val="single" w:color="auto" w:sz="4" w:space="0"/>
              <w:right w:val="single" w:color="auto" w:sz="4" w:space="0"/>
            </w:tcBorders>
            <w:shd w:val="clear" w:color="auto" w:fill="auto"/>
            <w:noWrap/>
            <w:vAlign w:val="center"/>
          </w:tcPr>
          <w:p w14:paraId="6EEAEB9E">
            <w:pPr>
              <w:widowControl/>
              <w:spacing w:line="240" w:lineRule="auto"/>
              <w:jc w:val="center"/>
              <w:rPr>
                <w:rFonts w:eastAsia="宋体" w:cs="Calibri" w:asciiTheme="minorEastAsia" w:hAnsiTheme="minorEastAsia"/>
                <w:iCs/>
                <w:color w:val="000000"/>
                <w:sz w:val="21"/>
              </w:rPr>
            </w:pPr>
            <w:r>
              <w:rPr>
                <w:rFonts w:hint="eastAsia" w:eastAsia="宋体" w:cs="Calibri" w:asciiTheme="minorEastAsia" w:hAnsiTheme="minorEastAsia"/>
                <w:iCs/>
                <w:color w:val="000000"/>
                <w:sz w:val="21"/>
              </w:rPr>
              <w:t>系统安装部署培训</w:t>
            </w:r>
          </w:p>
        </w:tc>
        <w:tc>
          <w:tcPr>
            <w:tcW w:w="718" w:type="pct"/>
            <w:tcBorders>
              <w:top w:val="nil"/>
              <w:left w:val="nil"/>
              <w:bottom w:val="single" w:color="auto" w:sz="4" w:space="0"/>
              <w:right w:val="single" w:color="auto" w:sz="4" w:space="0"/>
            </w:tcBorders>
            <w:shd w:val="clear" w:color="auto" w:fill="auto"/>
            <w:noWrap/>
            <w:vAlign w:val="center"/>
          </w:tcPr>
          <w:p w14:paraId="455E0FD3">
            <w:pPr>
              <w:widowControl/>
              <w:spacing w:line="240" w:lineRule="auto"/>
              <w:jc w:val="center"/>
              <w:rPr>
                <w:rFonts w:eastAsia="宋体" w:cs="Calibri" w:asciiTheme="minorEastAsia" w:hAnsiTheme="minorEastAsia"/>
                <w:iCs/>
                <w:color w:val="000000"/>
                <w:sz w:val="21"/>
              </w:rPr>
            </w:pPr>
            <w:r>
              <w:rPr>
                <w:rFonts w:hint="eastAsia" w:eastAsia="宋体" w:cs="Calibri" w:asciiTheme="minorEastAsia" w:hAnsiTheme="minorEastAsia"/>
                <w:iCs/>
                <w:color w:val="000000"/>
                <w:sz w:val="21"/>
              </w:rPr>
              <w:t>3</w:t>
            </w:r>
          </w:p>
        </w:tc>
        <w:tc>
          <w:tcPr>
            <w:tcW w:w="727" w:type="pct"/>
            <w:tcBorders>
              <w:top w:val="nil"/>
              <w:left w:val="nil"/>
              <w:bottom w:val="single" w:color="auto" w:sz="4" w:space="0"/>
              <w:right w:val="single" w:color="auto" w:sz="4" w:space="0"/>
            </w:tcBorders>
            <w:shd w:val="clear" w:color="auto" w:fill="auto"/>
            <w:noWrap/>
            <w:vAlign w:val="center"/>
          </w:tcPr>
          <w:p w14:paraId="4491DC35">
            <w:pPr>
              <w:widowControl/>
              <w:spacing w:line="240" w:lineRule="auto"/>
              <w:jc w:val="center"/>
              <w:rPr>
                <w:rFonts w:eastAsia="宋体" w:cs="Calibri" w:asciiTheme="minorEastAsia" w:hAnsiTheme="minorEastAsia"/>
                <w:iCs/>
                <w:color w:val="000000"/>
                <w:sz w:val="21"/>
              </w:rPr>
            </w:pPr>
            <w:r>
              <w:rPr>
                <w:rFonts w:hint="eastAsia" w:eastAsia="宋体" w:cs="Calibri" w:asciiTheme="minorEastAsia" w:hAnsiTheme="minorEastAsia"/>
                <w:iCs/>
                <w:color w:val="000000"/>
                <w:sz w:val="21"/>
              </w:rPr>
              <w:t>采购人确认</w:t>
            </w:r>
          </w:p>
        </w:tc>
        <w:tc>
          <w:tcPr>
            <w:tcW w:w="1162" w:type="pct"/>
            <w:tcBorders>
              <w:top w:val="nil"/>
              <w:left w:val="nil"/>
              <w:bottom w:val="single" w:color="auto" w:sz="4" w:space="0"/>
              <w:right w:val="single" w:color="auto" w:sz="4" w:space="0"/>
            </w:tcBorders>
            <w:shd w:val="clear" w:color="auto" w:fill="auto"/>
            <w:noWrap/>
            <w:vAlign w:val="center"/>
          </w:tcPr>
          <w:p w14:paraId="2AB9ACD4">
            <w:pPr>
              <w:widowControl/>
              <w:spacing w:line="240" w:lineRule="auto"/>
              <w:jc w:val="center"/>
              <w:rPr>
                <w:rFonts w:eastAsia="宋体" w:cs="Calibri" w:asciiTheme="minorEastAsia" w:hAnsiTheme="minorEastAsia"/>
                <w:iCs/>
                <w:color w:val="000000"/>
                <w:sz w:val="21"/>
              </w:rPr>
            </w:pPr>
            <w:r>
              <w:rPr>
                <w:rFonts w:hint="eastAsia" w:eastAsia="宋体" w:cs="Calibri" w:asciiTheme="minorEastAsia" w:hAnsiTheme="minorEastAsia"/>
                <w:iCs/>
                <w:color w:val="000000"/>
                <w:sz w:val="21"/>
              </w:rPr>
              <w:t>集中培训，支持单人答疑</w:t>
            </w:r>
          </w:p>
        </w:tc>
        <w:tc>
          <w:tcPr>
            <w:tcW w:w="831" w:type="pct"/>
            <w:tcBorders>
              <w:top w:val="nil"/>
              <w:left w:val="nil"/>
              <w:bottom w:val="single" w:color="auto" w:sz="4" w:space="0"/>
              <w:right w:val="single" w:color="auto" w:sz="4" w:space="0"/>
            </w:tcBorders>
            <w:shd w:val="clear" w:color="auto" w:fill="auto"/>
            <w:noWrap/>
            <w:vAlign w:val="center"/>
          </w:tcPr>
          <w:p w14:paraId="3028171C">
            <w:pPr>
              <w:widowControl/>
              <w:spacing w:line="240" w:lineRule="auto"/>
              <w:jc w:val="center"/>
              <w:rPr>
                <w:rFonts w:eastAsia="宋体" w:cs="Calibri" w:asciiTheme="minorEastAsia" w:hAnsiTheme="minorEastAsia"/>
                <w:iCs/>
                <w:color w:val="000000"/>
                <w:sz w:val="21"/>
              </w:rPr>
            </w:pPr>
            <w:r>
              <w:rPr>
                <w:rFonts w:hint="eastAsia" w:eastAsia="宋体" w:cs="Calibri" w:asciiTheme="minorEastAsia" w:hAnsiTheme="minorEastAsia"/>
                <w:iCs/>
                <w:color w:val="000000"/>
                <w:sz w:val="21"/>
              </w:rPr>
              <w:t>　</w:t>
            </w:r>
          </w:p>
        </w:tc>
      </w:tr>
      <w:tr w14:paraId="26EA8E44">
        <w:tblPrEx>
          <w:tblCellMar>
            <w:top w:w="0" w:type="dxa"/>
            <w:left w:w="108" w:type="dxa"/>
            <w:bottom w:w="0" w:type="dxa"/>
            <w:right w:w="108" w:type="dxa"/>
          </w:tblCellMar>
        </w:tblPrEx>
        <w:trPr>
          <w:trHeight w:val="288" w:hRule="atLeast"/>
        </w:trPr>
        <w:tc>
          <w:tcPr>
            <w:tcW w:w="376" w:type="pct"/>
            <w:tcBorders>
              <w:top w:val="nil"/>
              <w:left w:val="single" w:color="auto" w:sz="4" w:space="0"/>
              <w:bottom w:val="single" w:color="auto" w:sz="4" w:space="0"/>
              <w:right w:val="single" w:color="auto" w:sz="4" w:space="0"/>
            </w:tcBorders>
            <w:shd w:val="clear" w:color="auto" w:fill="auto"/>
            <w:noWrap/>
            <w:vAlign w:val="center"/>
          </w:tcPr>
          <w:p w14:paraId="07C9A34B">
            <w:pPr>
              <w:widowControl/>
              <w:spacing w:line="240" w:lineRule="auto"/>
              <w:jc w:val="center"/>
              <w:rPr>
                <w:rFonts w:eastAsia="宋体" w:cs="Calibri" w:asciiTheme="minorEastAsia" w:hAnsiTheme="minorEastAsia"/>
                <w:iCs/>
                <w:color w:val="000000"/>
                <w:sz w:val="21"/>
              </w:rPr>
            </w:pPr>
            <w:r>
              <w:rPr>
                <w:rFonts w:hint="eastAsia" w:eastAsia="宋体" w:cs="Calibri" w:asciiTheme="minorEastAsia" w:hAnsiTheme="minorEastAsia"/>
                <w:iCs/>
                <w:color w:val="000000"/>
                <w:sz w:val="21"/>
              </w:rPr>
              <w:t>3</w:t>
            </w:r>
          </w:p>
        </w:tc>
        <w:tc>
          <w:tcPr>
            <w:tcW w:w="1186" w:type="pct"/>
            <w:tcBorders>
              <w:top w:val="nil"/>
              <w:left w:val="nil"/>
              <w:bottom w:val="single" w:color="auto" w:sz="4" w:space="0"/>
              <w:right w:val="single" w:color="auto" w:sz="4" w:space="0"/>
            </w:tcBorders>
            <w:shd w:val="clear" w:color="auto" w:fill="auto"/>
            <w:noWrap/>
            <w:vAlign w:val="center"/>
          </w:tcPr>
          <w:p w14:paraId="5D8A2FBD">
            <w:pPr>
              <w:widowControl/>
              <w:spacing w:line="240" w:lineRule="auto"/>
              <w:jc w:val="center"/>
              <w:rPr>
                <w:rFonts w:eastAsia="宋体" w:cs="Calibri" w:asciiTheme="minorEastAsia" w:hAnsiTheme="minorEastAsia"/>
                <w:iCs/>
                <w:color w:val="000000"/>
                <w:sz w:val="21"/>
              </w:rPr>
            </w:pPr>
            <w:r>
              <w:rPr>
                <w:rFonts w:hint="eastAsia" w:eastAsia="宋体" w:cs="Calibri" w:asciiTheme="minorEastAsia" w:hAnsiTheme="minorEastAsia"/>
                <w:iCs/>
                <w:color w:val="000000"/>
                <w:sz w:val="21"/>
              </w:rPr>
              <w:t>系统管理培训</w:t>
            </w:r>
          </w:p>
        </w:tc>
        <w:tc>
          <w:tcPr>
            <w:tcW w:w="718" w:type="pct"/>
            <w:tcBorders>
              <w:top w:val="nil"/>
              <w:left w:val="nil"/>
              <w:bottom w:val="single" w:color="auto" w:sz="4" w:space="0"/>
              <w:right w:val="single" w:color="auto" w:sz="4" w:space="0"/>
            </w:tcBorders>
            <w:shd w:val="clear" w:color="auto" w:fill="auto"/>
            <w:noWrap/>
            <w:vAlign w:val="center"/>
          </w:tcPr>
          <w:p w14:paraId="1956480B">
            <w:pPr>
              <w:widowControl/>
              <w:spacing w:line="240" w:lineRule="auto"/>
              <w:jc w:val="center"/>
              <w:rPr>
                <w:rFonts w:eastAsia="宋体" w:cs="Calibri" w:asciiTheme="minorEastAsia" w:hAnsiTheme="minorEastAsia"/>
                <w:iCs/>
                <w:color w:val="000000"/>
                <w:sz w:val="21"/>
              </w:rPr>
            </w:pPr>
            <w:r>
              <w:rPr>
                <w:rFonts w:hint="eastAsia" w:eastAsia="宋体" w:cs="Calibri" w:asciiTheme="minorEastAsia" w:hAnsiTheme="minorEastAsia"/>
                <w:iCs/>
                <w:color w:val="000000"/>
                <w:sz w:val="21"/>
              </w:rPr>
              <w:t>2</w:t>
            </w:r>
          </w:p>
        </w:tc>
        <w:tc>
          <w:tcPr>
            <w:tcW w:w="727" w:type="pct"/>
            <w:tcBorders>
              <w:top w:val="nil"/>
              <w:left w:val="nil"/>
              <w:bottom w:val="single" w:color="auto" w:sz="4" w:space="0"/>
              <w:right w:val="single" w:color="auto" w:sz="4" w:space="0"/>
            </w:tcBorders>
            <w:shd w:val="clear" w:color="auto" w:fill="auto"/>
            <w:noWrap/>
            <w:vAlign w:val="center"/>
          </w:tcPr>
          <w:p w14:paraId="1E16946E">
            <w:pPr>
              <w:widowControl/>
              <w:spacing w:line="240" w:lineRule="auto"/>
              <w:jc w:val="center"/>
              <w:rPr>
                <w:rFonts w:eastAsia="宋体" w:cs="Calibri" w:asciiTheme="minorEastAsia" w:hAnsiTheme="minorEastAsia"/>
                <w:iCs/>
                <w:color w:val="000000"/>
                <w:sz w:val="21"/>
              </w:rPr>
            </w:pPr>
            <w:r>
              <w:rPr>
                <w:rFonts w:hint="eastAsia" w:eastAsia="宋体" w:cs="Calibri" w:asciiTheme="minorEastAsia" w:hAnsiTheme="minorEastAsia"/>
                <w:iCs/>
                <w:color w:val="000000"/>
                <w:sz w:val="21"/>
              </w:rPr>
              <w:t>采购人确认</w:t>
            </w:r>
          </w:p>
        </w:tc>
        <w:tc>
          <w:tcPr>
            <w:tcW w:w="1162" w:type="pct"/>
            <w:tcBorders>
              <w:top w:val="nil"/>
              <w:left w:val="nil"/>
              <w:bottom w:val="single" w:color="auto" w:sz="4" w:space="0"/>
              <w:right w:val="single" w:color="auto" w:sz="4" w:space="0"/>
            </w:tcBorders>
            <w:shd w:val="clear" w:color="auto" w:fill="auto"/>
            <w:noWrap/>
            <w:vAlign w:val="center"/>
          </w:tcPr>
          <w:p w14:paraId="63490FE8">
            <w:pPr>
              <w:widowControl/>
              <w:spacing w:line="240" w:lineRule="auto"/>
              <w:jc w:val="center"/>
              <w:rPr>
                <w:rFonts w:eastAsia="宋体" w:cs="Calibri" w:asciiTheme="minorEastAsia" w:hAnsiTheme="minorEastAsia"/>
                <w:iCs/>
                <w:color w:val="000000"/>
                <w:sz w:val="21"/>
              </w:rPr>
            </w:pPr>
            <w:r>
              <w:rPr>
                <w:rFonts w:hint="eastAsia" w:eastAsia="宋体" w:cs="Calibri" w:asciiTheme="minorEastAsia" w:hAnsiTheme="minorEastAsia"/>
                <w:iCs/>
                <w:color w:val="000000"/>
                <w:sz w:val="21"/>
              </w:rPr>
              <w:t>集中培训，支持单人答疑</w:t>
            </w:r>
          </w:p>
        </w:tc>
        <w:tc>
          <w:tcPr>
            <w:tcW w:w="831" w:type="pct"/>
            <w:tcBorders>
              <w:top w:val="nil"/>
              <w:left w:val="nil"/>
              <w:bottom w:val="single" w:color="auto" w:sz="4" w:space="0"/>
              <w:right w:val="single" w:color="auto" w:sz="4" w:space="0"/>
            </w:tcBorders>
            <w:shd w:val="clear" w:color="auto" w:fill="auto"/>
            <w:noWrap/>
            <w:vAlign w:val="center"/>
          </w:tcPr>
          <w:p w14:paraId="04F43038">
            <w:pPr>
              <w:widowControl/>
              <w:spacing w:line="240" w:lineRule="auto"/>
              <w:jc w:val="center"/>
              <w:rPr>
                <w:rFonts w:eastAsia="宋体" w:cs="Calibri" w:asciiTheme="minorEastAsia" w:hAnsiTheme="minorEastAsia"/>
                <w:iCs/>
                <w:color w:val="000000"/>
                <w:sz w:val="21"/>
              </w:rPr>
            </w:pPr>
            <w:r>
              <w:rPr>
                <w:rFonts w:hint="eastAsia" w:eastAsia="宋体" w:cs="Calibri" w:asciiTheme="minorEastAsia" w:hAnsiTheme="minorEastAsia"/>
                <w:iCs/>
                <w:color w:val="000000"/>
                <w:sz w:val="21"/>
              </w:rPr>
              <w:t>　</w:t>
            </w:r>
          </w:p>
        </w:tc>
      </w:tr>
      <w:tr w14:paraId="2D5B3705">
        <w:tblPrEx>
          <w:tblCellMar>
            <w:top w:w="0" w:type="dxa"/>
            <w:left w:w="108" w:type="dxa"/>
            <w:bottom w:w="0" w:type="dxa"/>
            <w:right w:w="108" w:type="dxa"/>
          </w:tblCellMar>
        </w:tblPrEx>
        <w:trPr>
          <w:trHeight w:val="288" w:hRule="atLeast"/>
        </w:trPr>
        <w:tc>
          <w:tcPr>
            <w:tcW w:w="376" w:type="pct"/>
            <w:tcBorders>
              <w:top w:val="nil"/>
              <w:left w:val="single" w:color="auto" w:sz="4" w:space="0"/>
              <w:bottom w:val="single" w:color="auto" w:sz="4" w:space="0"/>
              <w:right w:val="single" w:color="auto" w:sz="4" w:space="0"/>
            </w:tcBorders>
            <w:shd w:val="clear" w:color="auto" w:fill="auto"/>
            <w:noWrap/>
            <w:vAlign w:val="center"/>
          </w:tcPr>
          <w:p w14:paraId="0F6089D8">
            <w:pPr>
              <w:widowControl/>
              <w:spacing w:line="240" w:lineRule="auto"/>
              <w:jc w:val="center"/>
              <w:rPr>
                <w:rFonts w:eastAsia="宋体" w:cs="Calibri" w:asciiTheme="minorEastAsia" w:hAnsiTheme="minorEastAsia"/>
                <w:iCs/>
                <w:color w:val="000000"/>
                <w:sz w:val="21"/>
              </w:rPr>
            </w:pPr>
            <w:r>
              <w:rPr>
                <w:rFonts w:hint="eastAsia" w:eastAsia="宋体" w:cs="Calibri" w:asciiTheme="minorEastAsia" w:hAnsiTheme="minorEastAsia"/>
                <w:iCs/>
                <w:color w:val="000000"/>
                <w:sz w:val="21"/>
              </w:rPr>
              <w:t>4</w:t>
            </w:r>
          </w:p>
        </w:tc>
        <w:tc>
          <w:tcPr>
            <w:tcW w:w="1186" w:type="pct"/>
            <w:tcBorders>
              <w:top w:val="nil"/>
              <w:left w:val="nil"/>
              <w:bottom w:val="single" w:color="auto" w:sz="4" w:space="0"/>
              <w:right w:val="single" w:color="auto" w:sz="4" w:space="0"/>
            </w:tcBorders>
            <w:shd w:val="clear" w:color="auto" w:fill="auto"/>
            <w:noWrap/>
            <w:vAlign w:val="center"/>
          </w:tcPr>
          <w:p w14:paraId="0594CD5C">
            <w:pPr>
              <w:widowControl/>
              <w:spacing w:line="240" w:lineRule="auto"/>
              <w:jc w:val="center"/>
              <w:rPr>
                <w:rFonts w:eastAsia="宋体" w:cs="Calibri" w:asciiTheme="minorEastAsia" w:hAnsiTheme="minorEastAsia"/>
                <w:iCs/>
                <w:color w:val="000000"/>
                <w:sz w:val="21"/>
              </w:rPr>
            </w:pPr>
            <w:r>
              <w:rPr>
                <w:rFonts w:hint="eastAsia" w:eastAsia="宋体" w:cs="Calibri" w:asciiTheme="minorEastAsia" w:hAnsiTheme="minorEastAsia"/>
                <w:iCs/>
                <w:color w:val="000000"/>
                <w:sz w:val="21"/>
              </w:rPr>
              <w:t>系统维护培训</w:t>
            </w:r>
          </w:p>
        </w:tc>
        <w:tc>
          <w:tcPr>
            <w:tcW w:w="718" w:type="pct"/>
            <w:tcBorders>
              <w:top w:val="nil"/>
              <w:left w:val="nil"/>
              <w:bottom w:val="single" w:color="auto" w:sz="4" w:space="0"/>
              <w:right w:val="single" w:color="auto" w:sz="4" w:space="0"/>
            </w:tcBorders>
            <w:shd w:val="clear" w:color="auto" w:fill="auto"/>
            <w:noWrap/>
            <w:vAlign w:val="center"/>
          </w:tcPr>
          <w:p w14:paraId="3896E424">
            <w:pPr>
              <w:widowControl/>
              <w:spacing w:line="240" w:lineRule="auto"/>
              <w:jc w:val="center"/>
              <w:rPr>
                <w:rFonts w:eastAsia="宋体" w:cs="Calibri" w:asciiTheme="minorEastAsia" w:hAnsiTheme="minorEastAsia"/>
                <w:iCs/>
                <w:color w:val="000000"/>
                <w:sz w:val="21"/>
              </w:rPr>
            </w:pPr>
            <w:r>
              <w:rPr>
                <w:rFonts w:hint="eastAsia" w:eastAsia="宋体" w:cs="Calibri" w:asciiTheme="minorEastAsia" w:hAnsiTheme="minorEastAsia"/>
                <w:iCs/>
                <w:color w:val="000000"/>
                <w:sz w:val="21"/>
              </w:rPr>
              <w:t>2</w:t>
            </w:r>
          </w:p>
        </w:tc>
        <w:tc>
          <w:tcPr>
            <w:tcW w:w="727" w:type="pct"/>
            <w:tcBorders>
              <w:top w:val="nil"/>
              <w:left w:val="nil"/>
              <w:bottom w:val="single" w:color="auto" w:sz="4" w:space="0"/>
              <w:right w:val="single" w:color="auto" w:sz="4" w:space="0"/>
            </w:tcBorders>
            <w:shd w:val="clear" w:color="auto" w:fill="auto"/>
            <w:noWrap/>
            <w:vAlign w:val="center"/>
          </w:tcPr>
          <w:p w14:paraId="0FBB08E1">
            <w:pPr>
              <w:widowControl/>
              <w:spacing w:line="240" w:lineRule="auto"/>
              <w:jc w:val="center"/>
              <w:rPr>
                <w:rFonts w:eastAsia="宋体" w:cs="Calibri" w:asciiTheme="minorEastAsia" w:hAnsiTheme="minorEastAsia"/>
                <w:iCs/>
                <w:color w:val="000000"/>
                <w:sz w:val="21"/>
              </w:rPr>
            </w:pPr>
            <w:r>
              <w:rPr>
                <w:rFonts w:hint="eastAsia" w:eastAsia="宋体" w:cs="Calibri" w:asciiTheme="minorEastAsia" w:hAnsiTheme="minorEastAsia"/>
                <w:iCs/>
                <w:color w:val="000000"/>
                <w:sz w:val="21"/>
              </w:rPr>
              <w:t>采购人确认</w:t>
            </w:r>
          </w:p>
        </w:tc>
        <w:tc>
          <w:tcPr>
            <w:tcW w:w="1162" w:type="pct"/>
            <w:tcBorders>
              <w:top w:val="nil"/>
              <w:left w:val="nil"/>
              <w:bottom w:val="single" w:color="auto" w:sz="4" w:space="0"/>
              <w:right w:val="single" w:color="auto" w:sz="4" w:space="0"/>
            </w:tcBorders>
            <w:shd w:val="clear" w:color="auto" w:fill="auto"/>
            <w:noWrap/>
            <w:vAlign w:val="center"/>
          </w:tcPr>
          <w:p w14:paraId="15506460">
            <w:pPr>
              <w:widowControl/>
              <w:spacing w:line="240" w:lineRule="auto"/>
              <w:jc w:val="center"/>
              <w:rPr>
                <w:rFonts w:eastAsia="宋体" w:cs="Calibri" w:asciiTheme="minorEastAsia" w:hAnsiTheme="minorEastAsia"/>
                <w:iCs/>
                <w:color w:val="000000"/>
                <w:sz w:val="21"/>
              </w:rPr>
            </w:pPr>
            <w:r>
              <w:rPr>
                <w:rFonts w:hint="eastAsia" w:eastAsia="宋体" w:cs="Calibri" w:asciiTheme="minorEastAsia" w:hAnsiTheme="minorEastAsia"/>
                <w:iCs/>
                <w:color w:val="000000"/>
                <w:sz w:val="21"/>
              </w:rPr>
              <w:t>集中培训，支持单人答疑</w:t>
            </w:r>
          </w:p>
        </w:tc>
        <w:tc>
          <w:tcPr>
            <w:tcW w:w="831" w:type="pct"/>
            <w:tcBorders>
              <w:top w:val="nil"/>
              <w:left w:val="nil"/>
              <w:bottom w:val="single" w:color="auto" w:sz="4" w:space="0"/>
              <w:right w:val="single" w:color="auto" w:sz="4" w:space="0"/>
            </w:tcBorders>
            <w:shd w:val="clear" w:color="auto" w:fill="auto"/>
            <w:noWrap/>
            <w:vAlign w:val="center"/>
          </w:tcPr>
          <w:p w14:paraId="48277909">
            <w:pPr>
              <w:widowControl/>
              <w:spacing w:line="240" w:lineRule="auto"/>
              <w:jc w:val="center"/>
              <w:rPr>
                <w:rFonts w:eastAsia="宋体" w:cs="Calibri" w:asciiTheme="minorEastAsia" w:hAnsiTheme="minorEastAsia"/>
                <w:iCs/>
                <w:color w:val="000000"/>
                <w:sz w:val="21"/>
              </w:rPr>
            </w:pPr>
            <w:r>
              <w:rPr>
                <w:rFonts w:hint="eastAsia" w:eastAsia="宋体" w:cs="Calibri" w:asciiTheme="minorEastAsia" w:hAnsiTheme="minorEastAsia"/>
                <w:iCs/>
                <w:color w:val="000000"/>
                <w:sz w:val="21"/>
              </w:rPr>
              <w:t>　</w:t>
            </w:r>
          </w:p>
        </w:tc>
      </w:tr>
      <w:tr w14:paraId="1A46D7AE">
        <w:tblPrEx>
          <w:tblCellMar>
            <w:top w:w="0" w:type="dxa"/>
            <w:left w:w="108" w:type="dxa"/>
            <w:bottom w:w="0" w:type="dxa"/>
            <w:right w:w="108" w:type="dxa"/>
          </w:tblCellMar>
        </w:tblPrEx>
        <w:trPr>
          <w:trHeight w:val="288" w:hRule="atLeast"/>
        </w:trPr>
        <w:tc>
          <w:tcPr>
            <w:tcW w:w="376" w:type="pct"/>
            <w:tcBorders>
              <w:top w:val="nil"/>
              <w:left w:val="single" w:color="auto" w:sz="4" w:space="0"/>
              <w:bottom w:val="single" w:color="auto" w:sz="4" w:space="0"/>
              <w:right w:val="single" w:color="auto" w:sz="4" w:space="0"/>
            </w:tcBorders>
            <w:shd w:val="clear" w:color="auto" w:fill="auto"/>
            <w:noWrap/>
            <w:vAlign w:val="center"/>
          </w:tcPr>
          <w:p w14:paraId="1F5A921C">
            <w:pPr>
              <w:widowControl/>
              <w:spacing w:line="240" w:lineRule="auto"/>
              <w:jc w:val="center"/>
              <w:rPr>
                <w:rFonts w:eastAsia="宋体" w:cs="Calibri" w:asciiTheme="minorEastAsia" w:hAnsiTheme="minorEastAsia"/>
                <w:iCs/>
                <w:color w:val="000000"/>
                <w:sz w:val="21"/>
              </w:rPr>
            </w:pPr>
            <w:r>
              <w:rPr>
                <w:rFonts w:hint="eastAsia" w:eastAsia="宋体" w:cs="Calibri" w:asciiTheme="minorEastAsia" w:hAnsiTheme="minorEastAsia"/>
                <w:iCs/>
                <w:color w:val="000000"/>
                <w:sz w:val="21"/>
              </w:rPr>
              <w:t>5</w:t>
            </w:r>
          </w:p>
        </w:tc>
        <w:tc>
          <w:tcPr>
            <w:tcW w:w="1186" w:type="pct"/>
            <w:tcBorders>
              <w:top w:val="nil"/>
              <w:left w:val="nil"/>
              <w:bottom w:val="single" w:color="auto" w:sz="4" w:space="0"/>
              <w:right w:val="single" w:color="auto" w:sz="4" w:space="0"/>
            </w:tcBorders>
            <w:shd w:val="clear" w:color="auto" w:fill="auto"/>
            <w:noWrap/>
            <w:vAlign w:val="center"/>
          </w:tcPr>
          <w:p w14:paraId="70A40719">
            <w:pPr>
              <w:widowControl/>
              <w:spacing w:line="240" w:lineRule="auto"/>
              <w:jc w:val="center"/>
              <w:rPr>
                <w:rFonts w:eastAsia="宋体" w:cs="Calibri" w:asciiTheme="minorEastAsia" w:hAnsiTheme="minorEastAsia"/>
                <w:iCs/>
                <w:color w:val="000000"/>
                <w:sz w:val="21"/>
              </w:rPr>
            </w:pPr>
            <w:r>
              <w:rPr>
                <w:rFonts w:hint="eastAsia" w:eastAsia="宋体" w:cs="Calibri" w:asciiTheme="minorEastAsia" w:hAnsiTheme="minorEastAsia"/>
                <w:iCs/>
                <w:color w:val="000000"/>
                <w:sz w:val="21"/>
              </w:rPr>
              <w:t>使用操作培训</w:t>
            </w:r>
          </w:p>
        </w:tc>
        <w:tc>
          <w:tcPr>
            <w:tcW w:w="718" w:type="pct"/>
            <w:tcBorders>
              <w:top w:val="nil"/>
              <w:left w:val="nil"/>
              <w:bottom w:val="single" w:color="auto" w:sz="4" w:space="0"/>
              <w:right w:val="single" w:color="auto" w:sz="4" w:space="0"/>
            </w:tcBorders>
            <w:shd w:val="clear" w:color="auto" w:fill="auto"/>
            <w:noWrap/>
            <w:vAlign w:val="center"/>
          </w:tcPr>
          <w:p w14:paraId="5FB13C7F">
            <w:pPr>
              <w:widowControl/>
              <w:spacing w:line="240" w:lineRule="auto"/>
              <w:jc w:val="center"/>
              <w:rPr>
                <w:rFonts w:eastAsia="宋体" w:cs="Calibri" w:asciiTheme="minorEastAsia" w:hAnsiTheme="minorEastAsia"/>
                <w:iCs/>
                <w:color w:val="000000"/>
                <w:sz w:val="21"/>
              </w:rPr>
            </w:pPr>
            <w:r>
              <w:rPr>
                <w:rFonts w:hint="eastAsia" w:eastAsia="宋体" w:cs="Calibri" w:asciiTheme="minorEastAsia" w:hAnsiTheme="minorEastAsia"/>
                <w:iCs/>
                <w:color w:val="000000"/>
                <w:sz w:val="21"/>
              </w:rPr>
              <w:t>2</w:t>
            </w:r>
          </w:p>
        </w:tc>
        <w:tc>
          <w:tcPr>
            <w:tcW w:w="727" w:type="pct"/>
            <w:tcBorders>
              <w:top w:val="nil"/>
              <w:left w:val="nil"/>
              <w:bottom w:val="single" w:color="auto" w:sz="4" w:space="0"/>
              <w:right w:val="single" w:color="auto" w:sz="4" w:space="0"/>
            </w:tcBorders>
            <w:shd w:val="clear" w:color="auto" w:fill="auto"/>
            <w:noWrap/>
            <w:vAlign w:val="center"/>
          </w:tcPr>
          <w:p w14:paraId="2D6ABC10">
            <w:pPr>
              <w:widowControl/>
              <w:spacing w:line="240" w:lineRule="auto"/>
              <w:jc w:val="center"/>
              <w:rPr>
                <w:rFonts w:eastAsia="宋体" w:cs="Calibri" w:asciiTheme="minorEastAsia" w:hAnsiTheme="minorEastAsia"/>
                <w:iCs/>
                <w:color w:val="000000"/>
                <w:sz w:val="21"/>
              </w:rPr>
            </w:pPr>
            <w:r>
              <w:rPr>
                <w:rFonts w:hint="eastAsia" w:eastAsia="宋体" w:cs="Calibri" w:asciiTheme="minorEastAsia" w:hAnsiTheme="minorEastAsia"/>
                <w:iCs/>
                <w:color w:val="000000"/>
                <w:sz w:val="21"/>
              </w:rPr>
              <w:t>采购人确认</w:t>
            </w:r>
          </w:p>
        </w:tc>
        <w:tc>
          <w:tcPr>
            <w:tcW w:w="1162" w:type="pct"/>
            <w:tcBorders>
              <w:top w:val="nil"/>
              <w:left w:val="nil"/>
              <w:bottom w:val="single" w:color="auto" w:sz="4" w:space="0"/>
              <w:right w:val="single" w:color="auto" w:sz="4" w:space="0"/>
            </w:tcBorders>
            <w:shd w:val="clear" w:color="auto" w:fill="auto"/>
            <w:noWrap/>
            <w:vAlign w:val="center"/>
          </w:tcPr>
          <w:p w14:paraId="72BD892D">
            <w:pPr>
              <w:widowControl/>
              <w:spacing w:line="240" w:lineRule="auto"/>
              <w:jc w:val="center"/>
              <w:rPr>
                <w:rFonts w:eastAsia="宋体" w:cs="Calibri" w:asciiTheme="minorEastAsia" w:hAnsiTheme="minorEastAsia"/>
                <w:iCs/>
                <w:color w:val="000000"/>
                <w:sz w:val="21"/>
              </w:rPr>
            </w:pPr>
            <w:r>
              <w:rPr>
                <w:rFonts w:hint="eastAsia" w:eastAsia="宋体" w:cs="Calibri" w:asciiTheme="minorEastAsia" w:hAnsiTheme="minorEastAsia"/>
                <w:iCs/>
                <w:color w:val="000000"/>
                <w:sz w:val="21"/>
              </w:rPr>
              <w:t>集中培训，支持单人答疑</w:t>
            </w:r>
          </w:p>
        </w:tc>
        <w:tc>
          <w:tcPr>
            <w:tcW w:w="831" w:type="pct"/>
            <w:tcBorders>
              <w:top w:val="nil"/>
              <w:left w:val="nil"/>
              <w:bottom w:val="single" w:color="auto" w:sz="4" w:space="0"/>
              <w:right w:val="single" w:color="auto" w:sz="4" w:space="0"/>
            </w:tcBorders>
            <w:shd w:val="clear" w:color="auto" w:fill="auto"/>
            <w:noWrap/>
            <w:vAlign w:val="center"/>
          </w:tcPr>
          <w:p w14:paraId="6C447B9B">
            <w:pPr>
              <w:widowControl/>
              <w:spacing w:line="240" w:lineRule="auto"/>
              <w:jc w:val="center"/>
              <w:rPr>
                <w:rFonts w:eastAsia="宋体" w:cs="Calibri" w:asciiTheme="minorEastAsia" w:hAnsiTheme="minorEastAsia"/>
                <w:iCs/>
                <w:color w:val="000000"/>
                <w:sz w:val="21"/>
              </w:rPr>
            </w:pPr>
            <w:r>
              <w:rPr>
                <w:rFonts w:hint="eastAsia" w:eastAsia="宋体" w:cs="Calibri" w:asciiTheme="minorEastAsia" w:hAnsiTheme="minorEastAsia"/>
                <w:iCs/>
                <w:color w:val="000000"/>
                <w:sz w:val="21"/>
              </w:rPr>
              <w:t>　</w:t>
            </w:r>
          </w:p>
        </w:tc>
      </w:tr>
      <w:tr w14:paraId="52D2BE9B">
        <w:tblPrEx>
          <w:tblCellMar>
            <w:top w:w="0" w:type="dxa"/>
            <w:left w:w="108" w:type="dxa"/>
            <w:bottom w:w="0" w:type="dxa"/>
            <w:right w:w="108" w:type="dxa"/>
          </w:tblCellMar>
        </w:tblPrEx>
        <w:trPr>
          <w:trHeight w:val="288" w:hRule="atLeast"/>
        </w:trPr>
        <w:tc>
          <w:tcPr>
            <w:tcW w:w="376" w:type="pct"/>
            <w:tcBorders>
              <w:top w:val="nil"/>
              <w:left w:val="single" w:color="auto" w:sz="4" w:space="0"/>
              <w:bottom w:val="single" w:color="auto" w:sz="4" w:space="0"/>
              <w:right w:val="single" w:color="auto" w:sz="4" w:space="0"/>
            </w:tcBorders>
            <w:shd w:val="clear" w:color="auto" w:fill="auto"/>
            <w:noWrap/>
            <w:vAlign w:val="center"/>
          </w:tcPr>
          <w:p w14:paraId="2ACCF71E">
            <w:pPr>
              <w:widowControl/>
              <w:spacing w:line="240" w:lineRule="auto"/>
              <w:jc w:val="center"/>
              <w:rPr>
                <w:rFonts w:eastAsia="宋体" w:cs="Calibri" w:asciiTheme="minorEastAsia" w:hAnsiTheme="minorEastAsia"/>
                <w:iCs/>
                <w:color w:val="000000"/>
                <w:sz w:val="21"/>
              </w:rPr>
            </w:pPr>
            <w:r>
              <w:rPr>
                <w:rFonts w:hint="eastAsia" w:eastAsia="宋体" w:cs="Calibri" w:asciiTheme="minorEastAsia" w:hAnsiTheme="minorEastAsia"/>
                <w:iCs/>
                <w:color w:val="000000"/>
                <w:sz w:val="21"/>
              </w:rPr>
              <w:t>6</w:t>
            </w:r>
          </w:p>
        </w:tc>
        <w:tc>
          <w:tcPr>
            <w:tcW w:w="1186" w:type="pct"/>
            <w:tcBorders>
              <w:top w:val="nil"/>
              <w:left w:val="nil"/>
              <w:bottom w:val="single" w:color="auto" w:sz="4" w:space="0"/>
              <w:right w:val="single" w:color="auto" w:sz="4" w:space="0"/>
            </w:tcBorders>
            <w:shd w:val="clear" w:color="auto" w:fill="auto"/>
            <w:noWrap/>
            <w:vAlign w:val="center"/>
          </w:tcPr>
          <w:p w14:paraId="143109A0">
            <w:pPr>
              <w:widowControl/>
              <w:spacing w:line="240" w:lineRule="auto"/>
              <w:jc w:val="center"/>
              <w:rPr>
                <w:rFonts w:eastAsia="宋体" w:cs="Calibri" w:asciiTheme="minorEastAsia" w:hAnsiTheme="minorEastAsia"/>
                <w:iCs/>
                <w:color w:val="000000"/>
                <w:sz w:val="21"/>
              </w:rPr>
            </w:pPr>
            <w:r>
              <w:rPr>
                <w:rFonts w:hint="eastAsia" w:eastAsia="宋体" w:cs="Calibri" w:asciiTheme="minorEastAsia" w:hAnsiTheme="minorEastAsia"/>
                <w:iCs/>
                <w:color w:val="000000"/>
                <w:sz w:val="21"/>
              </w:rPr>
              <w:t>美术制作培训</w:t>
            </w:r>
          </w:p>
        </w:tc>
        <w:tc>
          <w:tcPr>
            <w:tcW w:w="718" w:type="pct"/>
            <w:tcBorders>
              <w:top w:val="nil"/>
              <w:left w:val="nil"/>
              <w:bottom w:val="single" w:color="auto" w:sz="4" w:space="0"/>
              <w:right w:val="single" w:color="auto" w:sz="4" w:space="0"/>
            </w:tcBorders>
            <w:shd w:val="clear" w:color="auto" w:fill="auto"/>
            <w:noWrap/>
            <w:vAlign w:val="center"/>
          </w:tcPr>
          <w:p w14:paraId="384AFCCB">
            <w:pPr>
              <w:widowControl/>
              <w:spacing w:line="240" w:lineRule="auto"/>
              <w:jc w:val="center"/>
              <w:rPr>
                <w:rFonts w:eastAsia="宋体" w:cs="Calibri" w:asciiTheme="minorEastAsia" w:hAnsiTheme="minorEastAsia"/>
                <w:iCs/>
                <w:color w:val="000000"/>
                <w:sz w:val="21"/>
              </w:rPr>
            </w:pPr>
            <w:r>
              <w:rPr>
                <w:rFonts w:hint="eastAsia" w:eastAsia="宋体" w:cs="Calibri" w:asciiTheme="minorEastAsia" w:hAnsiTheme="minorEastAsia"/>
                <w:iCs/>
                <w:color w:val="000000"/>
                <w:sz w:val="21"/>
              </w:rPr>
              <w:t>8</w:t>
            </w:r>
          </w:p>
        </w:tc>
        <w:tc>
          <w:tcPr>
            <w:tcW w:w="727" w:type="pct"/>
            <w:tcBorders>
              <w:top w:val="nil"/>
              <w:left w:val="nil"/>
              <w:bottom w:val="single" w:color="auto" w:sz="4" w:space="0"/>
              <w:right w:val="single" w:color="auto" w:sz="4" w:space="0"/>
            </w:tcBorders>
            <w:shd w:val="clear" w:color="auto" w:fill="auto"/>
            <w:noWrap/>
            <w:vAlign w:val="center"/>
          </w:tcPr>
          <w:p w14:paraId="2FD0BE08">
            <w:pPr>
              <w:widowControl/>
              <w:spacing w:line="240" w:lineRule="auto"/>
              <w:jc w:val="center"/>
              <w:rPr>
                <w:rFonts w:eastAsia="宋体" w:cs="Calibri" w:asciiTheme="minorEastAsia" w:hAnsiTheme="minorEastAsia"/>
                <w:iCs/>
                <w:color w:val="000000"/>
                <w:sz w:val="21"/>
              </w:rPr>
            </w:pPr>
            <w:r>
              <w:rPr>
                <w:rFonts w:hint="eastAsia" w:eastAsia="宋体" w:cs="Calibri" w:asciiTheme="minorEastAsia" w:hAnsiTheme="minorEastAsia"/>
                <w:iCs/>
                <w:color w:val="000000"/>
                <w:sz w:val="21"/>
              </w:rPr>
              <w:t>采购人确认</w:t>
            </w:r>
          </w:p>
        </w:tc>
        <w:tc>
          <w:tcPr>
            <w:tcW w:w="1162" w:type="pct"/>
            <w:tcBorders>
              <w:top w:val="nil"/>
              <w:left w:val="nil"/>
              <w:bottom w:val="single" w:color="auto" w:sz="4" w:space="0"/>
              <w:right w:val="single" w:color="auto" w:sz="4" w:space="0"/>
            </w:tcBorders>
            <w:shd w:val="clear" w:color="auto" w:fill="auto"/>
            <w:noWrap/>
            <w:vAlign w:val="center"/>
          </w:tcPr>
          <w:p w14:paraId="7616FAEA">
            <w:pPr>
              <w:widowControl/>
              <w:spacing w:line="240" w:lineRule="auto"/>
              <w:jc w:val="center"/>
              <w:rPr>
                <w:rFonts w:eastAsia="宋体" w:cs="Calibri" w:asciiTheme="minorEastAsia" w:hAnsiTheme="minorEastAsia"/>
                <w:iCs/>
                <w:color w:val="000000"/>
                <w:sz w:val="21"/>
              </w:rPr>
            </w:pPr>
            <w:r>
              <w:rPr>
                <w:rFonts w:hint="eastAsia" w:eastAsia="宋体" w:cs="Calibri" w:asciiTheme="minorEastAsia" w:hAnsiTheme="minorEastAsia"/>
                <w:iCs/>
                <w:color w:val="000000"/>
                <w:sz w:val="21"/>
              </w:rPr>
              <w:t>集中培训，支持单人答疑</w:t>
            </w:r>
          </w:p>
        </w:tc>
        <w:tc>
          <w:tcPr>
            <w:tcW w:w="831" w:type="pct"/>
            <w:tcBorders>
              <w:top w:val="nil"/>
              <w:left w:val="nil"/>
              <w:bottom w:val="single" w:color="auto" w:sz="4" w:space="0"/>
              <w:right w:val="single" w:color="auto" w:sz="4" w:space="0"/>
            </w:tcBorders>
            <w:shd w:val="clear" w:color="auto" w:fill="auto"/>
            <w:noWrap/>
            <w:vAlign w:val="center"/>
          </w:tcPr>
          <w:p w14:paraId="6AA4E42F">
            <w:pPr>
              <w:widowControl/>
              <w:spacing w:line="240" w:lineRule="auto"/>
              <w:jc w:val="center"/>
              <w:rPr>
                <w:rFonts w:eastAsia="宋体" w:cs="Calibri" w:asciiTheme="minorEastAsia" w:hAnsiTheme="minorEastAsia"/>
                <w:iCs/>
                <w:color w:val="000000"/>
                <w:sz w:val="21"/>
              </w:rPr>
            </w:pPr>
            <w:r>
              <w:rPr>
                <w:rFonts w:hint="eastAsia" w:eastAsia="宋体" w:cs="Calibri" w:asciiTheme="minorEastAsia" w:hAnsiTheme="minorEastAsia"/>
                <w:iCs/>
                <w:color w:val="000000"/>
                <w:sz w:val="21"/>
              </w:rPr>
              <w:t>　</w:t>
            </w:r>
          </w:p>
        </w:tc>
      </w:tr>
    </w:tbl>
    <w:p w14:paraId="79E730D9"/>
    <w:p w14:paraId="3549EE4B"/>
    <w:p w14:paraId="704777A7"/>
    <w:p w14:paraId="00C63BA8"/>
    <w:p w14:paraId="4FEB446B"/>
    <w:p w14:paraId="0FAC930B"/>
    <w:p w14:paraId="6A91C796"/>
    <w:p w14:paraId="75A2C757"/>
    <w:p w14:paraId="00C64C7F"/>
    <w:p w14:paraId="5271493A"/>
    <w:p w14:paraId="5F130C8A"/>
    <w:p w14:paraId="78D4E099"/>
    <w:p w14:paraId="19B93EF4"/>
    <w:p w14:paraId="72B0C35F"/>
    <w:p w14:paraId="0243FE37"/>
    <w:p w14:paraId="057C2A46"/>
    <w:p w14:paraId="076E6BF1"/>
    <w:p w14:paraId="322FC2FA"/>
    <w:p w14:paraId="6D57B182"/>
    <w:p w14:paraId="5841C67B"/>
    <w:p w14:paraId="6E683911"/>
    <w:p w14:paraId="2F623FF5"/>
    <w:p w14:paraId="673C5A5E"/>
    <w:p w14:paraId="1163A31D"/>
    <w:p w14:paraId="367556A5"/>
    <w:p w14:paraId="4E89B9E1"/>
    <w:p w14:paraId="14ACC096"/>
    <w:p w14:paraId="4264F7C9"/>
    <w:p w14:paraId="3682A3D3">
      <w:pPr>
        <w:pStyle w:val="5"/>
      </w:pPr>
      <w:r>
        <w:rPr>
          <w:rFonts w:hint="eastAsia"/>
        </w:rPr>
        <w:t>其他要求响应说明</w:t>
      </w:r>
      <w:r>
        <w:rPr>
          <w:rFonts w:hint="eastAsia"/>
          <w:highlight w:val="cyan"/>
        </w:rPr>
        <w:t>（王冠耘）</w:t>
      </w:r>
    </w:p>
    <w:p w14:paraId="4CD3AC45">
      <w:pPr>
        <w:pStyle w:val="52"/>
        <w:ind w:firstLine="480"/>
      </w:pPr>
      <w:r>
        <w:rPr>
          <w:rFonts w:hint="eastAsia"/>
        </w:rPr>
        <w:t>(1) 针对本项目，我方保证系统建设方案、实施方案以及推荐的产品的可行性、可操作性、完整性、合理性、合法性；</w:t>
      </w:r>
    </w:p>
    <w:p w14:paraId="6F84AC01">
      <w:pPr>
        <w:pStyle w:val="52"/>
        <w:ind w:firstLine="480"/>
      </w:pPr>
      <w:r>
        <w:rPr>
          <w:rFonts w:hint="eastAsia"/>
        </w:rPr>
        <w:t>(2) 针对本项目，我方具备专业项目设计，开发和实施团队，有能力集成和实施本项目所推荐的方案和产品；</w:t>
      </w:r>
    </w:p>
    <w:p w14:paraId="4FC79381">
      <w:pPr>
        <w:pStyle w:val="52"/>
        <w:ind w:firstLine="480"/>
      </w:pPr>
      <w:r>
        <w:rPr>
          <w:rFonts w:hint="eastAsia"/>
        </w:rPr>
        <w:t>(3) 应答人参与项目实施的核心人员在项目实施期间未经采购人同意不得擅自变动；</w:t>
      </w:r>
    </w:p>
    <w:p w14:paraId="3672A07E">
      <w:pPr>
        <w:pStyle w:val="52"/>
        <w:ind w:firstLine="480"/>
      </w:pPr>
      <w:r>
        <w:rPr>
          <w:rFonts w:hint="eastAsia"/>
        </w:rPr>
        <w:t>(4) 针对本项目，我方确认所提供软硬件满足用户需求，若出现所提供的软硬件设备不能满足要求或其所提供的技术支持和服务不全面而导致系统功能无法实现或不能完全实现，由我方无偿补足并负全部责任；</w:t>
      </w:r>
    </w:p>
    <w:p w14:paraId="6683D970">
      <w:pPr>
        <w:pStyle w:val="52"/>
        <w:ind w:firstLine="480"/>
      </w:pPr>
      <w:r>
        <w:rPr>
          <w:rFonts w:hint="eastAsia"/>
        </w:rPr>
        <w:t>(5)针对本项目，若采购人自行采购硬件设备，我方无偿配合设备供应商完成所购买的硬件设备的安装、调测等集成工作，确保达到本项目对硬件设备的要求；若采购人根据配置计算结果和配置要求购置的硬件设备无法满足本工程的性能和功能要求的，我方无偿补足有关的硬件设备并负全部责任；</w:t>
      </w:r>
    </w:p>
    <w:p w14:paraId="6B398B75">
      <w:pPr>
        <w:pStyle w:val="52"/>
        <w:ind w:firstLine="480"/>
      </w:pPr>
      <w:r>
        <w:rPr>
          <w:rFonts w:hint="eastAsia"/>
        </w:rPr>
        <w:t>(6) 我方确保本系统推荐使用的第三方软件和应用软件均能平滑扩容与升级，不会因业务容量增加对本系统造成影响或进行软件改造；</w:t>
      </w:r>
    </w:p>
    <w:p w14:paraId="19A7E551">
      <w:pPr>
        <w:pStyle w:val="52"/>
        <w:ind w:firstLine="480"/>
      </w:pPr>
      <w:r>
        <w:rPr>
          <w:rFonts w:hint="eastAsia"/>
        </w:rPr>
        <w:t>(7) 我方所提供系统保障系统架构具备可扩展性，未来系统的业务范围(包括业务、组网节点等)扩大时，系统均能保证平滑接入而不需另外开发接口。</w:t>
      </w:r>
    </w:p>
    <w:p w14:paraId="591517C9">
      <w:pPr>
        <w:pStyle w:val="52"/>
        <w:ind w:firstLine="480"/>
      </w:pPr>
      <w:r>
        <w:rPr>
          <w:rFonts w:hint="eastAsia"/>
        </w:rPr>
        <w:t>(8) 保修期内，若本期工程实现的功能不发生变化，仅有部分业务流程发生变化，我方无偿负责系统调整，满足采购人要求；</w:t>
      </w:r>
    </w:p>
    <w:p w14:paraId="193E5F2D">
      <w:pPr>
        <w:pStyle w:val="52"/>
        <w:ind w:firstLine="480"/>
      </w:pPr>
      <w:r>
        <w:rPr>
          <w:rFonts w:hint="eastAsia"/>
        </w:rPr>
        <w:t>(9) 我方所提供的培训能够满足技术转移的需要；</w:t>
      </w:r>
    </w:p>
    <w:p w14:paraId="08D5FD12">
      <w:pPr>
        <w:pStyle w:val="52"/>
        <w:ind w:firstLine="480"/>
      </w:pPr>
      <w:r>
        <w:rPr>
          <w:rFonts w:hint="eastAsia"/>
        </w:rPr>
        <w:t>(10) 我方保障中国移动其他相关业务和技术规范正式发布后，按照相关规范要求对系统进行改造，系统性能、容量不因改造而降低；</w:t>
      </w:r>
    </w:p>
    <w:p w14:paraId="145A461A">
      <w:pPr>
        <w:pStyle w:val="52"/>
        <w:ind w:firstLine="480"/>
      </w:pPr>
      <w:r>
        <w:rPr>
          <w:rFonts w:hint="eastAsia"/>
        </w:rPr>
        <w:t>(11) 我方确保根据招标文件要求提供长期技术支持和售后服务；</w:t>
      </w:r>
    </w:p>
    <w:p w14:paraId="66400D83">
      <w:pPr>
        <w:pStyle w:val="52"/>
        <w:ind w:firstLine="480"/>
      </w:pPr>
      <w:r>
        <w:rPr>
          <w:rFonts w:hint="eastAsia"/>
        </w:rPr>
        <w:t>(12) 我方确保系统需兼容中国移动集采中标产品（服务器、存储等）；</w:t>
      </w:r>
    </w:p>
    <w:p w14:paraId="42535207">
      <w:pPr>
        <w:pStyle w:val="52"/>
        <w:ind w:firstLine="480"/>
      </w:pPr>
      <w:r>
        <w:rPr>
          <w:rFonts w:hint="eastAsia"/>
        </w:rPr>
        <w:t>(13) 我方承诺所有设计、开发过程文档（含详细设计文档、源代码等）每日提交到咪咕公司数智孪生开放平台一期工程项目的源代码管理服务器,在本系统开发过程中我方如使用到自有产品软件、公用组件等，将向采购人提供源代码，采购人承诺源代码仅用于该系统的开发和后续系统升级，此条内容在合同中约定，不再另行签署其它形式的补充协议；</w:t>
      </w:r>
    </w:p>
    <w:p w14:paraId="117E9E8D">
      <w:pPr>
        <w:pStyle w:val="52"/>
        <w:ind w:firstLine="480"/>
      </w:pPr>
      <w:r>
        <w:rPr>
          <w:rFonts w:hint="eastAsia"/>
        </w:rPr>
        <w:t xml:space="preserve"> (14) 我方将在合同签订后5日内按照要求提交应答文件中的人员清单简历，系统试运行前（设计及开发阶段），我方不得在未经采购人同意的情况下，擅自更换任何项目人员。我方如违反以上任一约定内容，视为根本违约，采购人有权直接解除合同。</w:t>
      </w:r>
    </w:p>
    <w:p w14:paraId="4195500E">
      <w:pPr>
        <w:pStyle w:val="52"/>
        <w:ind w:firstLine="480"/>
      </w:pPr>
      <w:r>
        <w:rPr>
          <w:rFonts w:hint="eastAsia"/>
        </w:rPr>
        <w:t xml:space="preserve"> (15) 未经采购人同意，在合同执行当中，我方擅自更换项目人员或减少项目人员，或安排项目人员参与其他项目，属于应答人严重违反约定，采购人有权直接解除合同。</w:t>
      </w:r>
    </w:p>
    <w:p w14:paraId="182CF1D8">
      <w:pPr>
        <w:pStyle w:val="52"/>
        <w:ind w:firstLine="480"/>
      </w:pPr>
      <w:r>
        <w:rPr>
          <w:rFonts w:hint="eastAsia"/>
        </w:rPr>
        <w:t>(16) 在开发过程中我方与采购人技术人员共同开发，配合采购人人员，如出现不配合情况，采购人有权扣减支付费用，有权直接解除合同。</w:t>
      </w:r>
    </w:p>
    <w:p w14:paraId="0F46AD42">
      <w:pPr>
        <w:pStyle w:val="52"/>
        <w:ind w:firstLine="480"/>
      </w:pPr>
      <w:r>
        <w:rPr>
          <w:rFonts w:hint="eastAsia"/>
        </w:rPr>
        <w:t>(17) 我方违约责任,我方承诺在要求上线时间内完成系统功能开发上线。如因我方原因未按时完成，我方以如下方式向采购人支付逾期违约金：</w:t>
      </w:r>
    </w:p>
    <w:p w14:paraId="257182E3">
      <w:pPr>
        <w:pStyle w:val="52"/>
        <w:ind w:firstLine="480"/>
      </w:pPr>
      <w:r>
        <w:rPr>
          <w:rFonts w:hint="eastAsia"/>
        </w:rPr>
        <w:t>从延迟的第一周到第四周，每迟一周支付合同总价的0.5%；</w:t>
      </w:r>
    </w:p>
    <w:p w14:paraId="0EB70400">
      <w:pPr>
        <w:pStyle w:val="52"/>
        <w:ind w:firstLine="480"/>
      </w:pPr>
      <w:r>
        <w:rPr>
          <w:rFonts w:hint="eastAsia"/>
        </w:rPr>
        <w:t>从第五周起，每迟一周支付合同总价的1%；</w:t>
      </w:r>
    </w:p>
    <w:p w14:paraId="1E213D0F">
      <w:pPr>
        <w:pStyle w:val="52"/>
        <w:ind w:firstLine="480"/>
      </w:pPr>
      <w:r>
        <w:rPr>
          <w:rFonts w:hint="eastAsia"/>
        </w:rPr>
        <w:t>不满一周作为一周计算。</w:t>
      </w:r>
    </w:p>
    <w:p w14:paraId="7C301FBE">
      <w:pPr>
        <w:pStyle w:val="52"/>
        <w:ind w:firstLine="480"/>
      </w:pPr>
      <w:r>
        <w:rPr>
          <w:rFonts w:hint="eastAsia"/>
        </w:rPr>
        <w:t>如上所述的逾期违约金的支付不影响应答人交货义务的履行。</w:t>
      </w:r>
    </w:p>
    <w:p w14:paraId="5D3EBE2C">
      <w:pPr>
        <w:pStyle w:val="5"/>
        <w:rPr>
          <w:highlight w:val="cyan"/>
        </w:rPr>
      </w:pPr>
      <w:r>
        <w:rPr>
          <w:rFonts w:hint="eastAsia"/>
          <w:highlight w:val="cyan"/>
        </w:rPr>
        <w:t>报价要求响应（售前）（张利）</w:t>
      </w:r>
    </w:p>
    <w:p w14:paraId="4B128B74">
      <w:pPr>
        <w:rPr>
          <w:rFonts w:asciiTheme="minorEastAsia" w:hAnsiTheme="minorEastAsia"/>
          <w:i/>
          <w:iCs/>
          <w:color w:val="FF0000"/>
          <w:szCs w:val="24"/>
        </w:rPr>
      </w:pPr>
      <w:r>
        <w:rPr>
          <w:rFonts w:hint="eastAsia" w:asciiTheme="minorEastAsia" w:hAnsiTheme="minorEastAsia"/>
          <w:i/>
          <w:iCs/>
          <w:color w:val="FF0000"/>
          <w:szCs w:val="24"/>
        </w:rPr>
        <w:t>咪咕公司数智孪生开放平台一期工程数智人云侧能力项目报价以人民币为单位；</w:t>
      </w:r>
    </w:p>
    <w:p w14:paraId="217CC971">
      <w:pPr>
        <w:rPr>
          <w:rFonts w:asciiTheme="minorEastAsia" w:hAnsiTheme="minorEastAsia"/>
          <w:i/>
          <w:iCs/>
          <w:color w:val="FF0000"/>
          <w:szCs w:val="24"/>
        </w:rPr>
      </w:pPr>
      <w:r>
        <w:rPr>
          <w:rFonts w:hint="eastAsia" w:asciiTheme="minorEastAsia" w:hAnsiTheme="minorEastAsia"/>
          <w:i/>
          <w:iCs/>
          <w:color w:val="FF0000"/>
          <w:szCs w:val="24"/>
        </w:rPr>
        <w:t>本期项目报价要求不得对应用进行license的限制；所报总价中应包含运保、安装调试（交“钥匙”方式）、终验后贰年7*24小时8小时上门保修服务等所有费用。</w:t>
      </w:r>
    </w:p>
    <w:p w14:paraId="4B48C7E5">
      <w:pPr>
        <w:rPr>
          <w:rFonts w:asciiTheme="minorEastAsia" w:hAnsiTheme="minorEastAsia"/>
          <w:i/>
          <w:iCs/>
          <w:color w:val="FF0000"/>
          <w:szCs w:val="24"/>
        </w:rPr>
      </w:pPr>
      <w:r>
        <w:rPr>
          <w:rFonts w:hint="eastAsia" w:asciiTheme="minorEastAsia" w:hAnsiTheme="minorEastAsia"/>
          <w:i/>
          <w:iCs/>
          <w:color w:val="FF0000"/>
          <w:szCs w:val="24"/>
        </w:rPr>
        <w:t>应答人对采购文件的响应中，所提供的产品和服务应满足采购文件或保证系统运行所需的最低要求，如有遗漏，视同应答人认同免费提供遗漏部分。</w:t>
      </w:r>
    </w:p>
    <w:p w14:paraId="1DB7FD96">
      <w:pPr>
        <w:pStyle w:val="4"/>
        <w:rPr>
          <w:highlight w:val="darkGreen"/>
        </w:rPr>
      </w:pPr>
      <w:r>
        <w:rPr>
          <w:rFonts w:hint="eastAsia"/>
          <w:highlight w:val="darkGreen"/>
        </w:rPr>
        <w:t>总体方案（研发+售前）</w:t>
      </w:r>
    </w:p>
    <w:p w14:paraId="79920339">
      <w:pPr>
        <w:rPr>
          <w:i/>
          <w:iCs/>
          <w:color w:val="FF0000"/>
        </w:rPr>
      </w:pPr>
      <w:r>
        <w:rPr>
          <w:rFonts w:hint="eastAsia"/>
          <w:i/>
          <w:iCs/>
          <w:color w:val="FF0000"/>
        </w:rPr>
        <w:t>应答人可结合技术规范书1.7章节等采购文件内容进行编写，可包括业务需求分析、集成方案、相关管理功能等详细内容</w:t>
      </w:r>
    </w:p>
    <w:p w14:paraId="3C1B41BC">
      <w:pPr>
        <w:rPr>
          <w:i/>
          <w:iCs/>
          <w:color w:val="FF0000"/>
        </w:rPr>
      </w:pPr>
      <w:r>
        <w:rPr>
          <w:rFonts w:hint="eastAsia"/>
          <w:i/>
          <w:iCs/>
          <w:color w:val="FF0000"/>
        </w:rPr>
        <w:t>应答人可深刻理解咪咕公司数智孪生开放平台一期工程项目的建设需求，对本期建设的项目需求进行深入分析，综合考虑各方面因素提出最适合的可实施方案。方案力求内容完整，对本项目有明确定位和正确理解，运用实用高效的方案分析和设计方法提出合理的系统架构，充分展现应答人业务理解能力、方案设计能力和系统集成能力。</w:t>
      </w:r>
    </w:p>
    <w:p w14:paraId="5FFE53D3">
      <w:pPr>
        <w:rPr>
          <w:i/>
          <w:iCs/>
          <w:color w:val="FF0000"/>
        </w:rPr>
      </w:pPr>
      <w:r>
        <w:rPr>
          <w:rFonts w:hint="eastAsia"/>
          <w:i/>
          <w:iCs/>
          <w:color w:val="FF0000"/>
        </w:rPr>
        <w:t>总体方案可包括业务需求分析、集成方案、相关管理功能等详细内容。</w:t>
      </w:r>
    </w:p>
    <w:p w14:paraId="616CA57A">
      <w:pPr>
        <w:pStyle w:val="5"/>
      </w:pPr>
      <w:r>
        <w:rPr>
          <w:rFonts w:hint="eastAsia"/>
        </w:rPr>
        <w:t>业务需求分析</w:t>
      </w:r>
    </w:p>
    <w:p w14:paraId="1DDCF05F">
      <w:pPr>
        <w:pStyle w:val="5"/>
      </w:pPr>
      <w:r>
        <w:rPr>
          <w:rFonts w:hint="eastAsia"/>
        </w:rPr>
        <w:t>集成方案</w:t>
      </w:r>
    </w:p>
    <w:p w14:paraId="4A3672A0">
      <w:pPr>
        <w:pStyle w:val="6"/>
      </w:pPr>
      <w:r>
        <w:rPr>
          <w:rFonts w:hint="eastAsia"/>
        </w:rPr>
        <w:t>系统设计原则</w:t>
      </w:r>
    </w:p>
    <w:p w14:paraId="6FCC1F45">
      <w:pPr>
        <w:pStyle w:val="6"/>
      </w:pPr>
      <w:r>
        <w:rPr>
          <w:rFonts w:hint="eastAsia"/>
        </w:rPr>
        <w:t>系统架构</w:t>
      </w:r>
    </w:p>
    <w:p w14:paraId="12FA158A">
      <w:pPr>
        <w:pStyle w:val="6"/>
      </w:pPr>
      <w:r>
        <w:rPr>
          <w:rFonts w:hint="eastAsia"/>
        </w:rPr>
        <w:t>系统界面说明</w:t>
      </w:r>
    </w:p>
    <w:p w14:paraId="096F4FCA">
      <w:pPr>
        <w:pStyle w:val="6"/>
      </w:pPr>
      <w:r>
        <w:rPr>
          <w:rFonts w:hint="eastAsia"/>
        </w:rPr>
        <w:t>系统性能说明</w:t>
      </w:r>
    </w:p>
    <w:p w14:paraId="4DED3DA4">
      <w:pPr>
        <w:pStyle w:val="5"/>
      </w:pPr>
      <w:r>
        <w:rPr>
          <w:rFonts w:hint="eastAsia"/>
        </w:rPr>
        <w:t>相关管理功能说明</w:t>
      </w:r>
    </w:p>
    <w:p w14:paraId="089711DF">
      <w:pPr>
        <w:pStyle w:val="5"/>
      </w:pPr>
      <w:r>
        <w:rPr>
          <w:rFonts w:hint="eastAsia"/>
        </w:rPr>
        <w:t>项目管理方案</w:t>
      </w:r>
    </w:p>
    <w:p w14:paraId="73D2C020">
      <w:pPr>
        <w:pStyle w:val="6"/>
      </w:pPr>
      <w:r>
        <w:rPr>
          <w:rFonts w:hint="eastAsia"/>
        </w:rPr>
        <w:t>项目管理原则</w:t>
      </w:r>
    </w:p>
    <w:p w14:paraId="13B9B16E">
      <w:pPr>
        <w:pStyle w:val="52"/>
        <w:ind w:firstLine="480"/>
      </w:pPr>
      <w:r>
        <w:t>1.</w:t>
      </w:r>
      <w:r>
        <w:rPr>
          <w:rFonts w:hint="eastAsia"/>
        </w:rPr>
        <w:t>统一领导原则</w:t>
      </w:r>
    </w:p>
    <w:p w14:paraId="55D87C23">
      <w:pPr>
        <w:pStyle w:val="52"/>
        <w:ind w:firstLine="480"/>
      </w:pPr>
      <w:r>
        <w:rPr>
          <w:rFonts w:hint="eastAsia"/>
        </w:rPr>
        <w:t>基于项目考虑，为了保证有充分的资源为该项目服务，我方组成一个有项目实施各方领导组成的项目领导小组进行项目实施工作的统一领导。在项目实施阶段，我们会邀请用户方领导加入我们的项目领导小组，共同监督项目的成功实施。</w:t>
      </w:r>
    </w:p>
    <w:p w14:paraId="6D1F26E0">
      <w:pPr>
        <w:pStyle w:val="52"/>
        <w:ind w:firstLine="480"/>
      </w:pPr>
      <w:r>
        <w:rPr>
          <w:rFonts w:hint="eastAsia"/>
        </w:rPr>
        <w:t>2</w:t>
      </w:r>
      <w:r>
        <w:t>.</w:t>
      </w:r>
      <w:r>
        <w:rPr>
          <w:rFonts w:hint="eastAsia"/>
        </w:rPr>
        <w:t>协调工作原则</w:t>
      </w:r>
    </w:p>
    <w:p w14:paraId="5F23493F">
      <w:pPr>
        <w:pStyle w:val="52"/>
        <w:ind w:firstLine="480"/>
      </w:pPr>
      <w:r>
        <w:rPr>
          <w:rFonts w:hint="eastAsia"/>
        </w:rPr>
        <w:t>由于本项目与用户、供应商相关，如果不能很好地协调相关单位的关系，项目就很难保证能顺利实施。因此，在整个项目的实施过程中，我们将相当重视与不同单位的关系协调，充分保证各方面的关系融洽，保证各单位的工作条件在需要时能得到充分的满足，从而保证整个项目按计划在预期的时间内成功地实施。</w:t>
      </w:r>
    </w:p>
    <w:p w14:paraId="67BDE90D">
      <w:pPr>
        <w:pStyle w:val="52"/>
        <w:ind w:firstLine="480"/>
      </w:pPr>
      <w:r>
        <w:rPr>
          <w:rFonts w:hint="eastAsia"/>
        </w:rPr>
        <w:t>3</w:t>
      </w:r>
      <w:r>
        <w:t>.</w:t>
      </w:r>
      <w:r>
        <w:rPr>
          <w:rFonts w:hint="eastAsia"/>
        </w:rPr>
        <w:t>实时监控原则</w:t>
      </w:r>
    </w:p>
    <w:p w14:paraId="7BA27887">
      <w:pPr>
        <w:pStyle w:val="52"/>
        <w:ind w:firstLine="480"/>
      </w:pPr>
      <w:r>
        <w:rPr>
          <w:rFonts w:hint="eastAsia"/>
        </w:rPr>
        <w:t>本项目的实施所涉环节多，如果在整个项目的实施过程中得不到有效的监控，则一个环节所出现的问题就会延续到下一个环节并可能得到放大，这样对整个项目的成功将是十分危险的。因此，一旦项目开始实施，我们将会严格按计划进行，并进行实时的监控，在需要的时候根据实际情况对计划作出适当的调整，在尽可能的情况下做到防患于未然或尽早发现问题，从而采取防范措施和实施问题解决方案。</w:t>
      </w:r>
    </w:p>
    <w:p w14:paraId="06DBB488">
      <w:pPr>
        <w:pStyle w:val="6"/>
      </w:pPr>
      <w:r>
        <w:rPr>
          <w:rFonts w:hint="eastAsia"/>
        </w:rPr>
        <w:t>项目管理目标</w:t>
      </w:r>
    </w:p>
    <w:p w14:paraId="6CCDA1DA">
      <w:pPr>
        <w:pStyle w:val="52"/>
        <w:ind w:firstLine="480"/>
      </w:pPr>
      <w:r>
        <w:rPr>
          <w:rFonts w:hint="eastAsia"/>
        </w:rPr>
        <w:t>在本项目实施过程中，项目管理的目标就是运用项目管理的知识技能，通过建立有效的项目运作和监督控制机制，使本项目按照标书要求，高质量的完成。以客户为中心，实现项目参与各方的多赢。</w:t>
      </w:r>
    </w:p>
    <w:p w14:paraId="27C7107F">
      <w:pPr>
        <w:pStyle w:val="52"/>
        <w:ind w:firstLine="480"/>
      </w:pPr>
      <w:r>
        <w:rPr>
          <w:rFonts w:hint="eastAsia"/>
        </w:rPr>
        <w:t>1.贯彻、落实本项目建设计划</w:t>
      </w:r>
    </w:p>
    <w:p w14:paraId="1AD0ABFC">
      <w:pPr>
        <w:pStyle w:val="52"/>
        <w:ind w:firstLine="480"/>
      </w:pPr>
      <w:r>
        <w:rPr>
          <w:rFonts w:hint="eastAsia"/>
        </w:rPr>
        <w:t>我方根据本项目的要求，在项目的合同中确定项目的建设计划。有关各方将严格按照项目的计划实施工程。</w:t>
      </w:r>
    </w:p>
    <w:p w14:paraId="52629FD6">
      <w:pPr>
        <w:pStyle w:val="52"/>
        <w:ind w:firstLine="480"/>
      </w:pPr>
      <w:r>
        <w:rPr>
          <w:rFonts w:hint="eastAsia"/>
        </w:rPr>
        <w:t>2.保质、保量地完成系统安装调试</w:t>
      </w:r>
    </w:p>
    <w:p w14:paraId="2C9AC4E9">
      <w:pPr>
        <w:pStyle w:val="52"/>
        <w:ind w:firstLine="480"/>
      </w:pPr>
      <w:r>
        <w:rPr>
          <w:rFonts w:hint="eastAsia"/>
        </w:rPr>
        <w:t>我公司承诺：系统建设质量将严格地处于可控状态，保证达到本项目对系统建设的要求。</w:t>
      </w:r>
    </w:p>
    <w:p w14:paraId="4880F543">
      <w:pPr>
        <w:pStyle w:val="52"/>
        <w:ind w:firstLine="480"/>
      </w:pPr>
      <w:r>
        <w:rPr>
          <w:rFonts w:hint="eastAsia"/>
        </w:rPr>
        <w:t>3.对系统软件平台及应用、开发维护力量的培养</w:t>
      </w:r>
    </w:p>
    <w:p w14:paraId="164DE448">
      <w:pPr>
        <w:pStyle w:val="52"/>
        <w:ind w:firstLine="480"/>
      </w:pPr>
      <w:r>
        <w:rPr>
          <w:rFonts w:hint="eastAsia"/>
        </w:rPr>
        <w:t>我公司将对本项目有关的技术人员进行全面的培训，保证有能力负责系统的日常运作以及故障排除、系统功能扩充。</w:t>
      </w:r>
    </w:p>
    <w:p w14:paraId="66122B62">
      <w:pPr>
        <w:pStyle w:val="6"/>
      </w:pPr>
      <w:r>
        <w:rPr>
          <w:rFonts w:hint="eastAsia"/>
        </w:rPr>
        <w:t>项目进度管理</w:t>
      </w:r>
    </w:p>
    <w:p w14:paraId="6E198E36">
      <w:pPr>
        <w:pStyle w:val="52"/>
        <w:ind w:firstLine="480"/>
      </w:pPr>
      <w:r>
        <w:rPr>
          <w:rFonts w:hint="eastAsia"/>
        </w:rPr>
        <w:t>在项目开始前，我方项目经理将准备一个项目计划来确定各阶段划分和工作层次，并且为整个项目组（包括我公司和用户项目成员）设立阶段性完成的标志（里程碑）。</w:t>
      </w:r>
    </w:p>
    <w:p w14:paraId="6571B037">
      <w:pPr>
        <w:pStyle w:val="52"/>
        <w:ind w:firstLine="480"/>
      </w:pPr>
      <w:r>
        <w:rPr>
          <w:rFonts w:hint="eastAsia"/>
        </w:rPr>
        <w:t>在项目实施过程中，我方项目经理将根据情况对项目的任务进展、日程安排和资源调配作适当的改变。特别是在项目变更后，根据项目协调委员会的审议结果调整项目计划。</w:t>
      </w:r>
    </w:p>
    <w:p w14:paraId="55821EE5">
      <w:pPr>
        <w:pStyle w:val="52"/>
        <w:ind w:firstLine="480"/>
      </w:pPr>
      <w:r>
        <w:rPr>
          <w:rFonts w:hint="eastAsia"/>
        </w:rPr>
        <w:t>我方将制订并不断调整一份为完成有关合同所要求的工作而列的项目主要里程碑的时间表。来自我方和用户的业务和技术人员应该定期考察并修改这份时间表，从技术上监督项目管理的执行。</w:t>
      </w:r>
    </w:p>
    <w:p w14:paraId="7BE82D20">
      <w:pPr>
        <w:pStyle w:val="52"/>
        <w:ind w:firstLine="480"/>
      </w:pPr>
      <w:r>
        <w:rPr>
          <w:rFonts w:hint="eastAsia"/>
        </w:rPr>
        <w:t>具体的措施有：</w:t>
      </w:r>
    </w:p>
    <w:p w14:paraId="15182115">
      <w:pPr>
        <w:pStyle w:val="52"/>
        <w:ind w:firstLine="480"/>
      </w:pPr>
      <w:r>
        <w:rPr>
          <w:rFonts w:hint="eastAsia"/>
        </w:rPr>
        <w:t>1.我公司和用户的项目经理对本项目的实施进行进度控制</w:t>
      </w:r>
    </w:p>
    <w:p w14:paraId="59B9F13A">
      <w:pPr>
        <w:pStyle w:val="52"/>
        <w:ind w:firstLine="480"/>
      </w:pPr>
      <w:r>
        <w:rPr>
          <w:rFonts w:hint="eastAsia"/>
        </w:rPr>
        <w:t>（1）包括设计、开发、实施及满足各种需要的进度计划的编制和检查；</w:t>
      </w:r>
    </w:p>
    <w:p w14:paraId="4D682CAA">
      <w:pPr>
        <w:pStyle w:val="52"/>
        <w:ind w:firstLine="480"/>
      </w:pPr>
      <w:r>
        <w:rPr>
          <w:rFonts w:hint="eastAsia"/>
        </w:rPr>
        <w:t>（2）对设计、开发、施工各方面进度计划协调，经常性地对计划进度与实际进度进行比较分析，并及时调整；</w:t>
      </w:r>
    </w:p>
    <w:p w14:paraId="3086537F">
      <w:pPr>
        <w:pStyle w:val="52"/>
        <w:ind w:firstLine="480"/>
      </w:pPr>
      <w:r>
        <w:rPr>
          <w:rFonts w:hint="eastAsia"/>
        </w:rPr>
        <w:t>（3）及时对人力和物力资源，施工组织和施工顺序进行调整，以保证工期。</w:t>
      </w:r>
    </w:p>
    <w:p w14:paraId="2C3DEB88">
      <w:pPr>
        <w:pStyle w:val="52"/>
        <w:ind w:firstLine="480"/>
      </w:pPr>
      <w:r>
        <w:rPr>
          <w:rFonts w:hint="eastAsia"/>
        </w:rPr>
        <w:t>2.我方项目经理提供项目总进度计划及分项进度计划</w:t>
      </w:r>
    </w:p>
    <w:p w14:paraId="5E818351">
      <w:pPr>
        <w:pStyle w:val="52"/>
        <w:ind w:firstLine="480"/>
      </w:pPr>
      <w:r>
        <w:rPr>
          <w:rFonts w:hint="eastAsia"/>
        </w:rPr>
        <w:t>（1）根据项目的进度和合同要求，制定项目小组的单位进度表；</w:t>
      </w:r>
    </w:p>
    <w:p w14:paraId="29979C22">
      <w:pPr>
        <w:pStyle w:val="52"/>
        <w:ind w:firstLine="480"/>
      </w:pPr>
      <w:r>
        <w:rPr>
          <w:rFonts w:hint="eastAsia"/>
        </w:rPr>
        <w:t>（2）明确项目各阶段划分，设置项目分阶段完成检测点（里程碑），以确保每个环节的按时完成；</w:t>
      </w:r>
    </w:p>
    <w:p w14:paraId="384D98CC">
      <w:pPr>
        <w:pStyle w:val="52"/>
        <w:ind w:firstLine="480"/>
      </w:pPr>
      <w:r>
        <w:rPr>
          <w:rFonts w:hint="eastAsia"/>
        </w:rPr>
        <w:t>（3）明确各个人员的职责及集成商的项目实施范围。</w:t>
      </w:r>
    </w:p>
    <w:p w14:paraId="13EB98C9">
      <w:pPr>
        <w:pStyle w:val="52"/>
        <w:ind w:firstLine="480"/>
      </w:pPr>
      <w:r>
        <w:rPr>
          <w:rFonts w:hint="eastAsia"/>
        </w:rPr>
        <w:t>3.我方项目经理负责汇总项目阶段性工作报告，同用户方的项目经理一起审阅</w:t>
      </w:r>
    </w:p>
    <w:p w14:paraId="50512638">
      <w:pPr>
        <w:pStyle w:val="52"/>
        <w:ind w:firstLine="480"/>
      </w:pPr>
      <w:r>
        <w:rPr>
          <w:rFonts w:hint="eastAsia"/>
        </w:rPr>
        <w:t>4.我方项目经理撰写项目进度和状态报告计划</w:t>
      </w:r>
    </w:p>
    <w:p w14:paraId="12FED44E">
      <w:pPr>
        <w:pStyle w:val="52"/>
        <w:ind w:firstLine="480"/>
      </w:pPr>
      <w:r>
        <w:rPr>
          <w:rFonts w:hint="eastAsia"/>
        </w:rPr>
        <w:t>5.我方项目经理定期编制实际进度</w:t>
      </w:r>
    </w:p>
    <w:p w14:paraId="0B56BFFC">
      <w:pPr>
        <w:pStyle w:val="6"/>
      </w:pPr>
      <w:r>
        <w:rPr>
          <w:rFonts w:hint="eastAsia"/>
        </w:rPr>
        <w:t>项目质量保障方案</w:t>
      </w:r>
    </w:p>
    <w:p w14:paraId="2F58E184">
      <w:pPr>
        <w:pStyle w:val="52"/>
        <w:ind w:firstLine="480"/>
      </w:pPr>
      <w:r>
        <w:rPr>
          <w:rFonts w:hint="eastAsia"/>
        </w:rPr>
        <w:t>我公司的质量方针是“科技先导，质量第一，客户至上，服务一流”。我公司已经建立了非常健全、有效的质量保证体系，可保证产品及服务项目的研制、开发、设计、采购、生产、检验、试验、安装、调试、交付和服务的全过程都能实施有效的质量控制，使工程质量确有保证。</w:t>
      </w:r>
    </w:p>
    <w:p w14:paraId="53C5F4A0">
      <w:pPr>
        <w:pStyle w:val="7"/>
      </w:pPr>
      <w:r>
        <w:rPr>
          <w:rFonts w:hint="eastAsia"/>
        </w:rPr>
        <w:t>质量保证方针</w:t>
      </w:r>
    </w:p>
    <w:p w14:paraId="32689225">
      <w:pPr>
        <w:pStyle w:val="52"/>
        <w:ind w:firstLine="480"/>
      </w:pPr>
      <w:r>
        <w:rPr>
          <w:rFonts w:hint="eastAsia"/>
        </w:rPr>
        <w:t>为确保本项目的整个系统高质量完成，我公司将遵守有关国际标准(ISO9000)和国内质量标准，在服务项目过程中，从系统运维，详细维护方案，维护详细设计，到系统设备的维护过程、维护的详细指标、现场巡检、故障定位等全部过程进行严格的质量控制，强化管理，加强合作，责权明确，按照“创新、高效、优质、规范”质量方针，保证施工管理均衡有序，保证服务质量。</w:t>
      </w:r>
    </w:p>
    <w:p w14:paraId="70BB64CA">
      <w:pPr>
        <w:pStyle w:val="52"/>
        <w:ind w:firstLine="480"/>
      </w:pPr>
      <w:r>
        <w:rPr>
          <w:rFonts w:hint="eastAsia"/>
        </w:rPr>
        <w:t>1.质量标准体系与制度规范</w:t>
      </w:r>
    </w:p>
    <w:p w14:paraId="601680EF">
      <w:pPr>
        <w:pStyle w:val="52"/>
        <w:ind w:firstLine="480"/>
      </w:pPr>
      <w:r>
        <w:rPr>
          <w:rFonts w:hint="eastAsia"/>
        </w:rPr>
        <w:t>我公司针对本项目中的质量管理主要依据ISO9001来进行管理。相关的质量标准体系与制度规范如下：</w:t>
      </w:r>
    </w:p>
    <w:p w14:paraId="5A5D2BDC">
      <w:pPr>
        <w:pStyle w:val="52"/>
        <w:ind w:firstLine="480"/>
      </w:pPr>
      <w:r>
        <w:rPr>
          <w:rFonts w:hint="eastAsia"/>
        </w:rPr>
        <w:t>（1）系统维护工作制度；</w:t>
      </w:r>
    </w:p>
    <w:p w14:paraId="43688B5C">
      <w:pPr>
        <w:pStyle w:val="52"/>
        <w:ind w:firstLine="480"/>
      </w:pPr>
      <w:r>
        <w:rPr>
          <w:rFonts w:hint="eastAsia"/>
        </w:rPr>
        <w:t>（2）项目文档管理制度；</w:t>
      </w:r>
    </w:p>
    <w:p w14:paraId="1CB72C9A">
      <w:pPr>
        <w:pStyle w:val="52"/>
        <w:ind w:firstLine="480"/>
      </w:pPr>
      <w:r>
        <w:rPr>
          <w:rFonts w:hint="eastAsia"/>
        </w:rPr>
        <w:t>（3）抽检制度；</w:t>
      </w:r>
    </w:p>
    <w:p w14:paraId="3A36E42A">
      <w:pPr>
        <w:pStyle w:val="52"/>
        <w:ind w:firstLine="480"/>
      </w:pPr>
      <w:r>
        <w:rPr>
          <w:rFonts w:hint="eastAsia"/>
        </w:rPr>
        <w:t>（4）服务项目定期评估制度；</w:t>
      </w:r>
    </w:p>
    <w:p w14:paraId="66DBFF64">
      <w:pPr>
        <w:pStyle w:val="52"/>
        <w:ind w:firstLine="480"/>
      </w:pPr>
      <w:r>
        <w:rPr>
          <w:rFonts w:hint="eastAsia"/>
        </w:rPr>
        <w:t>（5）变更设计制度；</w:t>
      </w:r>
    </w:p>
    <w:p w14:paraId="20E17AE5">
      <w:pPr>
        <w:pStyle w:val="52"/>
        <w:ind w:firstLine="480"/>
      </w:pPr>
      <w:r>
        <w:rPr>
          <w:rFonts w:hint="eastAsia"/>
        </w:rPr>
        <w:t>（6）质量检验制度；</w:t>
      </w:r>
    </w:p>
    <w:p w14:paraId="05345553">
      <w:pPr>
        <w:pStyle w:val="52"/>
        <w:ind w:firstLine="480"/>
      </w:pPr>
      <w:r>
        <w:rPr>
          <w:rFonts w:hint="eastAsia"/>
        </w:rPr>
        <w:t>（7）事故处理制度；</w:t>
      </w:r>
    </w:p>
    <w:p w14:paraId="661634AB">
      <w:pPr>
        <w:pStyle w:val="7"/>
      </w:pPr>
      <w:r>
        <w:rPr>
          <w:rFonts w:hint="eastAsia"/>
        </w:rPr>
        <w:t>项目评估组织</w:t>
      </w:r>
    </w:p>
    <w:p w14:paraId="7B0A3C7B">
      <w:pPr>
        <w:pStyle w:val="52"/>
        <w:ind w:firstLine="480"/>
      </w:pPr>
      <w:r>
        <w:rPr>
          <w:rFonts w:hint="eastAsia"/>
        </w:rPr>
        <w:t>根据不同设备、软件的特点，对服务项目进行针对性分析评估，包括：</w:t>
      </w:r>
    </w:p>
    <w:p w14:paraId="52BF3EEE">
      <w:pPr>
        <w:pStyle w:val="52"/>
        <w:ind w:firstLine="480"/>
      </w:pPr>
      <w:r>
        <w:rPr>
          <w:rFonts w:hint="eastAsia"/>
        </w:rPr>
        <w:t>1.服务背景；</w:t>
      </w:r>
    </w:p>
    <w:p w14:paraId="0DDE213B">
      <w:pPr>
        <w:pStyle w:val="52"/>
        <w:ind w:firstLine="480"/>
      </w:pPr>
      <w:r>
        <w:rPr>
          <w:rFonts w:hint="eastAsia"/>
        </w:rPr>
        <w:t>2.技术特点；</w:t>
      </w:r>
    </w:p>
    <w:p w14:paraId="1DAD9613">
      <w:pPr>
        <w:pStyle w:val="52"/>
        <w:ind w:firstLine="480"/>
      </w:pPr>
      <w:r>
        <w:rPr>
          <w:rFonts w:hint="eastAsia"/>
        </w:rPr>
        <w:t>3.工作具体内容；</w:t>
      </w:r>
    </w:p>
    <w:p w14:paraId="27630EE0">
      <w:pPr>
        <w:pStyle w:val="52"/>
        <w:ind w:firstLine="480"/>
      </w:pPr>
      <w:r>
        <w:rPr>
          <w:rFonts w:hint="eastAsia"/>
        </w:rPr>
        <w:t>4.项目阶段性；</w:t>
      </w:r>
    </w:p>
    <w:p w14:paraId="1E3E7527">
      <w:pPr>
        <w:pStyle w:val="52"/>
        <w:ind w:firstLine="480"/>
      </w:pPr>
      <w:r>
        <w:rPr>
          <w:rFonts w:hint="eastAsia"/>
        </w:rPr>
        <w:t>5.非技术背景要求，如管理能力、综合素质、经验要求等。</w:t>
      </w:r>
    </w:p>
    <w:p w14:paraId="5D212179">
      <w:pPr>
        <w:pStyle w:val="52"/>
        <w:ind w:firstLine="480"/>
      </w:pPr>
      <w:r>
        <w:rPr>
          <w:rFonts w:hint="eastAsia"/>
        </w:rPr>
        <w:t>在服务的过程中对组织结构进行分析或合理性设计变更其组织的结构，使其维护资源配备更加合理，需要充分考虑如下因素：</w:t>
      </w:r>
    </w:p>
    <w:p w14:paraId="5B0E03A9">
      <w:pPr>
        <w:pStyle w:val="52"/>
        <w:ind w:firstLine="480"/>
      </w:pPr>
      <w:r>
        <w:rPr>
          <w:rFonts w:hint="eastAsia"/>
        </w:rPr>
        <w:t>1.组织机构（组）总体的合理性；</w:t>
      </w:r>
    </w:p>
    <w:p w14:paraId="43AF4907">
      <w:pPr>
        <w:pStyle w:val="52"/>
        <w:ind w:firstLine="480"/>
      </w:pPr>
      <w:r>
        <w:rPr>
          <w:rFonts w:hint="eastAsia"/>
        </w:rPr>
        <w:t>2.各个相关专业的齐备性；</w:t>
      </w:r>
    </w:p>
    <w:p w14:paraId="36917B31">
      <w:pPr>
        <w:pStyle w:val="52"/>
        <w:ind w:firstLine="480"/>
      </w:pPr>
      <w:r>
        <w:rPr>
          <w:rFonts w:hint="eastAsia"/>
        </w:rPr>
        <w:t>3.各个专业人员的配置比例；</w:t>
      </w:r>
    </w:p>
    <w:p w14:paraId="062FE4FD">
      <w:pPr>
        <w:pStyle w:val="52"/>
        <w:ind w:firstLine="480"/>
      </w:pPr>
      <w:r>
        <w:rPr>
          <w:rFonts w:hint="eastAsia"/>
        </w:rPr>
        <w:t>4.专业岗位职责明确；</w:t>
      </w:r>
    </w:p>
    <w:p w14:paraId="76707DBF">
      <w:pPr>
        <w:pStyle w:val="52"/>
        <w:ind w:firstLine="480"/>
      </w:pPr>
      <w:r>
        <w:rPr>
          <w:rFonts w:hint="eastAsia"/>
        </w:rPr>
        <w:t>5.各个岗位人员的综合背景和经验；</w:t>
      </w:r>
    </w:p>
    <w:p w14:paraId="5494FF4C">
      <w:pPr>
        <w:pStyle w:val="52"/>
        <w:ind w:firstLine="480"/>
      </w:pPr>
      <w:r>
        <w:rPr>
          <w:rFonts w:hint="eastAsia"/>
        </w:rPr>
        <w:t>6.对本项目的需求的匹配性。</w:t>
      </w:r>
    </w:p>
    <w:p w14:paraId="0908149B">
      <w:pPr>
        <w:pStyle w:val="7"/>
      </w:pPr>
      <w:r>
        <w:rPr>
          <w:rFonts w:hint="eastAsia"/>
        </w:rPr>
        <w:t>建立质量保证的组织</w:t>
      </w:r>
    </w:p>
    <w:p w14:paraId="3051ECF5">
      <w:pPr>
        <w:pStyle w:val="52"/>
        <w:ind w:firstLine="480"/>
      </w:pPr>
      <w:r>
        <w:rPr>
          <w:rFonts w:hint="eastAsia"/>
        </w:rPr>
        <w:t>在项目的管理过程中，通过对服务项目质量进行监控，客观地检查和监控“过程及服务的质量”。具体工作包括：</w:t>
      </w:r>
    </w:p>
    <w:p w14:paraId="51FC39E3">
      <w:pPr>
        <w:pStyle w:val="52"/>
        <w:ind w:firstLine="480"/>
      </w:pPr>
      <w:r>
        <w:rPr>
          <w:rFonts w:hint="eastAsia"/>
        </w:rPr>
        <w:t>1.客户意见的征集和反馈；</w:t>
      </w:r>
    </w:p>
    <w:p w14:paraId="54458CDC">
      <w:pPr>
        <w:pStyle w:val="52"/>
        <w:ind w:firstLine="480"/>
      </w:pPr>
      <w:r>
        <w:rPr>
          <w:rFonts w:hint="eastAsia"/>
        </w:rPr>
        <w:t>2.工程师工作质量的评测与绩效考核；</w:t>
      </w:r>
    </w:p>
    <w:p w14:paraId="0B39B422">
      <w:pPr>
        <w:pStyle w:val="52"/>
        <w:ind w:firstLine="480"/>
      </w:pPr>
      <w:r>
        <w:rPr>
          <w:rFonts w:hint="eastAsia"/>
        </w:rPr>
        <w:t>3.工作规范符合性评测制度的执行情况检查；</w:t>
      </w:r>
    </w:p>
    <w:p w14:paraId="3FC03885">
      <w:pPr>
        <w:pStyle w:val="52"/>
        <w:ind w:firstLine="480"/>
      </w:pPr>
      <w:r>
        <w:rPr>
          <w:rFonts w:hint="eastAsia"/>
        </w:rPr>
        <w:t>4.问题发现、处理工作制度的执行情况的检查；</w:t>
      </w:r>
    </w:p>
    <w:p w14:paraId="4C451AAF">
      <w:pPr>
        <w:pStyle w:val="52"/>
        <w:ind w:firstLine="480"/>
      </w:pPr>
      <w:r>
        <w:rPr>
          <w:rFonts w:hint="eastAsia"/>
        </w:rPr>
        <w:t>5.各类维护文档管理情况的检查；</w:t>
      </w:r>
    </w:p>
    <w:p w14:paraId="121D99A6">
      <w:pPr>
        <w:pStyle w:val="52"/>
        <w:ind w:firstLine="480"/>
      </w:pPr>
      <w:r>
        <w:rPr>
          <w:rFonts w:hint="eastAsia"/>
        </w:rPr>
        <w:t>6.阶段服务效果的评估；</w:t>
      </w:r>
    </w:p>
    <w:p w14:paraId="149C2244">
      <w:pPr>
        <w:pStyle w:val="52"/>
        <w:ind w:firstLine="480"/>
      </w:pPr>
      <w:r>
        <w:rPr>
          <w:rFonts w:hint="eastAsia"/>
        </w:rPr>
        <w:t>通过上述管理机制，我公司将项目的质量控制与如上所述的员工个人绩效考评密切结合起来；并通过一系列的工作制度，保证了系统集成工作流程的规范化；通过阶段性检查等措施，对具体工作的开展质量进行综合评估，确保项目整体目标的实现。</w:t>
      </w:r>
    </w:p>
    <w:p w14:paraId="49B218F6">
      <w:pPr>
        <w:pStyle w:val="7"/>
      </w:pPr>
      <w:r>
        <w:rPr>
          <w:rFonts w:hint="eastAsia"/>
        </w:rPr>
        <w:t>戴明质量环质量控制体系</w:t>
      </w:r>
    </w:p>
    <w:p w14:paraId="10EE6C4D">
      <w:pPr>
        <w:pStyle w:val="52"/>
        <w:ind w:firstLine="480"/>
      </w:pPr>
      <w:r>
        <w:rPr>
          <w:rFonts w:hint="eastAsia"/>
        </w:rPr>
        <w:t>我公司将通过戴明质量环质量控制体系，提供维护服务所需要进行一些活动。而维护服务的质量又在很大程度上取决于这些活动被组织起来的方式。戴明质量环(如下图)提供了一个简单而又有效的质量控制模型。该模型假定：为提供适当的质量，下列步骤应当反复地进行。</w:t>
      </w:r>
    </w:p>
    <w:p w14:paraId="25BD6D29">
      <w:pPr>
        <w:pStyle w:val="52"/>
        <w:numPr>
          <w:ilvl w:val="0"/>
          <w:numId w:val="31"/>
        </w:numPr>
        <w:ind w:firstLineChars="0"/>
      </w:pPr>
      <w:r>
        <w:rPr>
          <w:rFonts w:hint="eastAsia"/>
        </w:rPr>
        <w:t>计划</w:t>
      </w:r>
      <w:r>
        <w:t xml:space="preserve">(Plan)—— </w:t>
      </w:r>
      <w:r>
        <w:rPr>
          <w:rFonts w:hint="eastAsia"/>
        </w:rPr>
        <w:t>做什么，何时做，谁来做，怎样做以及用什么来做？</w:t>
      </w:r>
    </w:p>
    <w:p w14:paraId="6F1197A8">
      <w:pPr>
        <w:pStyle w:val="52"/>
        <w:numPr>
          <w:ilvl w:val="0"/>
          <w:numId w:val="31"/>
        </w:numPr>
        <w:ind w:firstLineChars="0"/>
      </w:pPr>
      <w:r>
        <w:rPr>
          <w:rFonts w:hint="eastAsia"/>
        </w:rPr>
        <w:t>实施</w:t>
      </w:r>
      <w:r>
        <w:t xml:space="preserve">(Do)—— </w:t>
      </w:r>
      <w:r>
        <w:rPr>
          <w:rFonts w:hint="eastAsia"/>
        </w:rPr>
        <w:t>计划的活动得到实施。</w:t>
      </w:r>
    </w:p>
    <w:p w14:paraId="10F3F91A">
      <w:pPr>
        <w:pStyle w:val="52"/>
        <w:numPr>
          <w:ilvl w:val="0"/>
          <w:numId w:val="31"/>
        </w:numPr>
        <w:ind w:firstLineChars="0"/>
      </w:pPr>
      <w:r>
        <w:rPr>
          <w:rFonts w:hint="eastAsia"/>
        </w:rPr>
        <w:t>检查</w:t>
      </w:r>
      <w:r>
        <w:t xml:space="preserve">(Check)—— </w:t>
      </w:r>
      <w:r>
        <w:rPr>
          <w:rFonts w:hint="eastAsia"/>
        </w:rPr>
        <w:t>确定活动是否达到了预期的效果。</w:t>
      </w:r>
    </w:p>
    <w:p w14:paraId="7AA811AA">
      <w:pPr>
        <w:pStyle w:val="52"/>
        <w:numPr>
          <w:ilvl w:val="0"/>
          <w:numId w:val="31"/>
        </w:numPr>
        <w:ind w:firstLineChars="0"/>
      </w:pPr>
      <w:r>
        <w:rPr>
          <w:rFonts w:hint="eastAsia"/>
        </w:rPr>
        <w:t>改进</w:t>
      </w:r>
      <w:r>
        <w:t xml:space="preserve">(Act)—— </w:t>
      </w:r>
      <w:r>
        <w:rPr>
          <w:rFonts w:hint="eastAsia"/>
        </w:rPr>
        <w:t>根据检查中收集的信息对计划进行调整。</w:t>
      </w:r>
    </w:p>
    <w:p w14:paraId="1CBAA1F1">
      <w:pPr>
        <w:pStyle w:val="52"/>
        <w:ind w:firstLine="480"/>
      </w:pPr>
      <w:r>
        <w:rPr>
          <w:rFonts w:hint="eastAsia"/>
        </w:rPr>
        <w:t>有效而及时的对客户维护进行调整意味着活动应当被分解为一个个的流程，并且针对每个流程都制定具体的计划和确定检查的时机。应当明确的是，谁负责组织这些活动，他们拥有多大的权限来修改计划和活动的规程，这些计划和规程不仅仅是针对每一项活动，同时也包括每一个流程。</w:t>
      </w:r>
    </w:p>
    <w:p w14:paraId="3EE365B4">
      <w:pPr>
        <w:pStyle w:val="52"/>
        <w:ind w:firstLine="0" w:firstLineChars="0"/>
        <w:jc w:val="center"/>
      </w:pPr>
      <w:r>
        <w:drawing>
          <wp:inline distT="0" distB="0" distL="0" distR="0">
            <wp:extent cx="2674620" cy="2438400"/>
            <wp:effectExtent l="0" t="0" r="0" b="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2674620" cy="2438400"/>
                    </a:xfrm>
                    <a:prstGeom prst="rect">
                      <a:avLst/>
                    </a:prstGeom>
                    <a:noFill/>
                    <a:ln>
                      <a:noFill/>
                    </a:ln>
                  </pic:spPr>
                </pic:pic>
              </a:graphicData>
            </a:graphic>
          </wp:inline>
        </w:drawing>
      </w:r>
    </w:p>
    <w:p w14:paraId="34C18B59">
      <w:pPr>
        <w:pStyle w:val="52"/>
        <w:ind w:firstLine="480"/>
      </w:pPr>
      <w:r>
        <w:rPr>
          <w:rFonts w:hint="eastAsia"/>
        </w:rPr>
        <w:t>质量管理是在提供服务的组织中工作的每一位员工的职责。每一位员工必须清楚，他们对组织的贡献会对他们同事的工作质量产生什么样的影响，以及最终会对组织作为一个整体所提供的服务产生何种影响。质量管理同时也意味着要持续地寻找改进组织的机会和实施质量改进活动。</w:t>
      </w:r>
    </w:p>
    <w:p w14:paraId="000BB0D3">
      <w:pPr>
        <w:pStyle w:val="52"/>
        <w:ind w:firstLine="480"/>
      </w:pPr>
      <w:r>
        <w:rPr>
          <w:rFonts w:hint="eastAsia"/>
        </w:rPr>
        <w:t>质量保证是组织内部的一个政策。它是指被组织用来确保其所提供的服务能够持续地满足客户的期望及相关协议的一整套措施和规程。质量保证可以确保由质量管理所产生的质量改进能够得以维持。</w:t>
      </w:r>
    </w:p>
    <w:p w14:paraId="5B8B39CF">
      <w:pPr>
        <w:pStyle w:val="52"/>
        <w:ind w:firstLine="480"/>
      </w:pPr>
      <w:r>
        <w:rPr>
          <w:rFonts w:hint="eastAsia"/>
        </w:rPr>
        <w:t>质量体系是与职责、规程和实施质量管理所需的资源相关的组织架构。</w:t>
      </w:r>
    </w:p>
    <w:p w14:paraId="0735AC05">
      <w:pPr>
        <w:pStyle w:val="52"/>
        <w:ind w:firstLine="480"/>
      </w:pPr>
      <w:r>
        <w:rPr>
          <w:rFonts w:hint="eastAsia"/>
        </w:rPr>
        <w:t>我公司一直认为一项ISO认证不能为提供的服务质量提供绝对保证，然而，它可以表明我公司已采取严格的质量保证措施并准备对其进行改进。</w:t>
      </w:r>
    </w:p>
    <w:p w14:paraId="3114F98F">
      <w:pPr>
        <w:pStyle w:val="52"/>
        <w:ind w:firstLine="480"/>
      </w:pPr>
      <w:r>
        <w:rPr>
          <w:rFonts w:hint="eastAsia"/>
        </w:rPr>
        <w:t>针对于本项目，我公司在遵循ISO的基础上，严格遵循新的ISO 9000系列标准ISO-9000-2000，更加关注一个组织进行经验学习和实施持续质量改进的能力。</w:t>
      </w:r>
    </w:p>
    <w:p w14:paraId="76CEC0C0">
      <w:pPr>
        <w:pStyle w:val="7"/>
      </w:pPr>
      <w:r>
        <w:rPr>
          <w:rFonts w:hint="eastAsia"/>
        </w:rPr>
        <w:t>服务质量问题响应</w:t>
      </w:r>
    </w:p>
    <w:p w14:paraId="4167A778">
      <w:pPr>
        <w:pStyle w:val="52"/>
        <w:ind w:firstLine="480"/>
      </w:pPr>
      <w:r>
        <w:rPr>
          <w:rFonts w:hint="eastAsia"/>
        </w:rPr>
        <w:t>1.服务态度问题</w:t>
      </w:r>
    </w:p>
    <w:p w14:paraId="40907B6A">
      <w:pPr>
        <w:pStyle w:val="52"/>
        <w:ind w:firstLine="480"/>
      </w:pPr>
      <w:r>
        <w:rPr>
          <w:rFonts w:hint="eastAsia"/>
        </w:rPr>
        <w:t>在维护期间，明显表现出任务执行滞后、交流不畅通，或所负职责多次出现质量问题，或工作态度表现恶劣，有明显敷衍和欺骗行为的技术支持人员和技术支持小组成员，客户人员均可以视为服务态度问题向我公司领导小组提出更换人员的要求，我公司在3日内做出答复，1周内派出替换人员。</w:t>
      </w:r>
    </w:p>
    <w:p w14:paraId="01DB5CAA">
      <w:pPr>
        <w:pStyle w:val="52"/>
        <w:ind w:firstLine="480"/>
      </w:pPr>
      <w:r>
        <w:rPr>
          <w:rFonts w:hint="eastAsia"/>
        </w:rPr>
        <w:t>我公司也可以根据报告、巡查或客户意见，判断技术支持人员和技术支持小组的服务情况，并对明显有态度的人员做出更换的决定。我公司在决定更换人员之前要以告知客户，并明确告知客户替换人选的到位时间，在得到客户认可后方可执行。</w:t>
      </w:r>
    </w:p>
    <w:p w14:paraId="577EA05A">
      <w:pPr>
        <w:pStyle w:val="52"/>
        <w:ind w:firstLine="480"/>
      </w:pPr>
      <w:r>
        <w:rPr>
          <w:rFonts w:hint="eastAsia"/>
        </w:rPr>
        <w:t>2.服务技能问题</w:t>
      </w:r>
    </w:p>
    <w:p w14:paraId="54EADED7">
      <w:r>
        <w:rPr>
          <w:rFonts w:hint="eastAsia"/>
        </w:rPr>
        <w:t>由于软、硬件安装、配置导致同一重大问题连续重复出现三次，或者出现运维工程师工作多次不能按时独立完成工作，或在所承担的主要技术方向上多次不能解决问题时，客户可以提出更换技术人员的要求，我公司会在3日内做出答复，1周内派出替换人员。</w:t>
      </w:r>
    </w:p>
    <w:p w14:paraId="60EB7EFF">
      <w:pPr>
        <w:pStyle w:val="7"/>
      </w:pPr>
      <w:r>
        <w:rPr>
          <w:rFonts w:hint="eastAsia"/>
        </w:rPr>
        <w:t>服务质量考核与评价</w:t>
      </w:r>
    </w:p>
    <w:p w14:paraId="75A5EA57">
      <w:pPr>
        <w:pStyle w:val="52"/>
        <w:ind w:firstLine="480"/>
      </w:pPr>
      <w:r>
        <w:rPr>
          <w:rFonts w:hint="eastAsia"/>
        </w:rPr>
        <w:t>采用目标管理法来进行实施服务的质量考核，对达到考核目标的给予认可。目标管理法是企业经营管理的一项基本管理办法，在实施管理中引入该方法是为了更好的提升服务质量，做到对工作的正确评价。</w:t>
      </w:r>
    </w:p>
    <w:p w14:paraId="791BF686">
      <w:pPr>
        <w:pStyle w:val="52"/>
        <w:ind w:firstLine="480"/>
      </w:pPr>
      <w:r>
        <w:rPr>
          <w:rFonts w:hint="eastAsia"/>
        </w:rPr>
        <w:t>设定要达到的实施考核指标和评价方法。考核指标是指具有代表性的实施工作，评价方法是对这些工作以量化的方式化分出差别，再通过汇总得到对实施工作的综合评价。考核指标与量化标准见下表。</w:t>
      </w:r>
    </w:p>
    <w:p w14:paraId="3C9A59B9">
      <w:pPr>
        <w:pStyle w:val="52"/>
        <w:ind w:firstLine="480"/>
      </w:pPr>
      <w:r>
        <w:rPr>
          <w:rFonts w:hint="eastAsia"/>
        </w:rPr>
        <w:t>目标法只是对实施工作考核的方式之一，对实施工作做出公正评价是一个相当复杂的工作，通过考核指标打分得到的结果会是做出评价的一个重要参考。另外，考核不是为了惩罚而是为了促进更好的工作，正确、公平的评价同样也会促进实施管理工作。</w:t>
      </w:r>
    </w:p>
    <w:p w14:paraId="51FAC7F4">
      <w:pPr>
        <w:pStyle w:val="6"/>
      </w:pPr>
      <w:r>
        <w:rPr>
          <w:rFonts w:hint="eastAsia"/>
        </w:rPr>
        <w:t>项目沟通管理</w:t>
      </w:r>
    </w:p>
    <w:p w14:paraId="40DB33AA">
      <w:pPr>
        <w:pStyle w:val="7"/>
      </w:pPr>
      <w:r>
        <w:rPr>
          <w:rFonts w:hint="eastAsia"/>
        </w:rPr>
        <w:t>沟通方式</w:t>
      </w:r>
    </w:p>
    <w:p w14:paraId="3459C9AA">
      <w:pPr>
        <w:pStyle w:val="52"/>
        <w:ind w:firstLine="480"/>
      </w:pPr>
      <w:r>
        <w:rPr>
          <w:rFonts w:hint="eastAsia"/>
        </w:rPr>
        <w:t>本方案可对会议、邮件、电话及日常口头沟通进行规范。</w:t>
      </w:r>
    </w:p>
    <w:p w14:paraId="09F65210"/>
    <w:p w14:paraId="5A65F0F2">
      <w:pPr>
        <w:pStyle w:val="7"/>
      </w:pPr>
      <w:r>
        <w:rPr>
          <w:rFonts w:hint="eastAsia"/>
        </w:rPr>
        <w:t>沟通路径</w:t>
      </w:r>
    </w:p>
    <w:p w14:paraId="13D95AB8">
      <w:pPr>
        <w:pStyle w:val="52"/>
        <w:ind w:firstLine="480"/>
      </w:pPr>
      <w:r>
        <w:rPr>
          <w:rFonts w:hint="eastAsia"/>
        </w:rPr>
        <w:t>项目组对外建立统一的沟通路径，包括与甲方业务人员、技术人员、其它干系人和关联项目组的沟通。其中，涉及业务和技术的问题，统一由项目经理牵头组织，所有沟通邮件统一由项目经理收发，并对收发内容负责。沟通前和沟通后，需要告知项目经理、甲方业务、技术负责人，并及时编写和发布沟通纪要。</w:t>
      </w:r>
    </w:p>
    <w:p w14:paraId="5233B31B">
      <w:pPr>
        <w:pStyle w:val="7"/>
      </w:pPr>
      <w:r>
        <w:rPr>
          <w:rFonts w:hint="eastAsia"/>
        </w:rPr>
        <w:t>管理制度</w:t>
      </w:r>
    </w:p>
    <w:p w14:paraId="246AF557">
      <w:pPr>
        <w:pStyle w:val="52"/>
        <w:ind w:firstLine="480"/>
      </w:pPr>
      <w:r>
        <w:rPr>
          <w:rFonts w:hint="eastAsia"/>
        </w:rPr>
        <w:t>会议方式：指项目组内部和外部就某问题、事项、风险等展开讨论、确认、评审等的正式沟通形式。会议沟通方式必须提前制定会议主题、讨论事项、参与人、时间及地点，并明确会议记录人；会议结束后，及时向相关与会人发布会议纪要。</w:t>
      </w:r>
    </w:p>
    <w:p w14:paraId="3652DEFA">
      <w:pPr>
        <w:pStyle w:val="52"/>
        <w:ind w:firstLine="480"/>
      </w:pPr>
      <w:r>
        <w:rPr>
          <w:rFonts w:hint="eastAsia"/>
        </w:rPr>
        <w:t>邮件方式：主要指项目组与外部人员（包括甲方人员、关联系统项目组及其他外包人员）通过邮件的形式讨论、确认问题和事项的形式。邮件为本项目中的正式沟通方式，邮件收发人需对其邮件内容负责。</w:t>
      </w:r>
    </w:p>
    <w:p w14:paraId="2440E487">
      <w:pPr>
        <w:pStyle w:val="52"/>
        <w:ind w:firstLine="480"/>
      </w:pPr>
      <w:r>
        <w:rPr>
          <w:rFonts w:hint="eastAsia"/>
        </w:rPr>
        <w:t>电话方式：主要指项目组与外部人员通过电话的形式讨论、确认问题和事项的形式。电话为本项目中的非正式沟通方式，电话沟通的内容必须以邮件或纪要的形式确认后，方可认为是有效沟通。</w:t>
      </w:r>
    </w:p>
    <w:p w14:paraId="688BE25C">
      <w:pPr>
        <w:pStyle w:val="52"/>
        <w:ind w:firstLine="480"/>
      </w:pPr>
      <w:r>
        <w:rPr>
          <w:rFonts w:hint="eastAsia"/>
        </w:rPr>
        <w:t>日常口头沟通：指项目组内部和外部日常工作时的口头沟通方式，口头沟通方式为非正式沟通方式，口头沟通的内容必须以邮件或纪要的形式确认后，方可认为是有效沟通。</w:t>
      </w:r>
    </w:p>
    <w:p w14:paraId="6EBAA07A">
      <w:pPr>
        <w:pStyle w:val="7"/>
      </w:pPr>
      <w:r>
        <w:rPr>
          <w:rFonts w:hint="eastAsia"/>
        </w:rPr>
        <w:t>沟通原则</w:t>
      </w:r>
    </w:p>
    <w:p w14:paraId="08AB6468">
      <w:pPr>
        <w:pStyle w:val="52"/>
        <w:ind w:firstLine="480"/>
      </w:pPr>
      <w:r>
        <w:rPr>
          <w:rFonts w:hint="eastAsia"/>
        </w:rPr>
        <w:t>1.要使用精确的表达方式</w:t>
      </w:r>
    </w:p>
    <w:p w14:paraId="32379577">
      <w:pPr>
        <w:pStyle w:val="52"/>
        <w:ind w:firstLine="480"/>
      </w:pPr>
      <w:r>
        <w:rPr>
          <w:rFonts w:hint="eastAsia"/>
        </w:rPr>
        <w:t>要把项目管理的相关想法用语言和非语言精确地表达出来，而且在使接收者从沟通的语言或非语言中得出所期望的理解。</w:t>
      </w:r>
    </w:p>
    <w:p w14:paraId="196DCC1A">
      <w:pPr>
        <w:pStyle w:val="52"/>
        <w:ind w:firstLine="480"/>
      </w:pPr>
      <w:r>
        <w:rPr>
          <w:rFonts w:hint="eastAsia"/>
        </w:rPr>
        <w:t>2.要进行信息的追踪与反馈</w:t>
      </w:r>
    </w:p>
    <w:p w14:paraId="243BBB11">
      <w:pPr>
        <w:pStyle w:val="52"/>
        <w:ind w:firstLine="480"/>
      </w:pPr>
      <w:r>
        <w:rPr>
          <w:rFonts w:hint="eastAsia"/>
        </w:rPr>
        <w:t>信息沟通后必须同时设法取得反馈，以弄清项目相关其他人员是否确已了解，是否愿意遵循，是否采取了相应的行动等。</w:t>
      </w:r>
    </w:p>
    <w:p w14:paraId="228448CE">
      <w:pPr>
        <w:pStyle w:val="52"/>
        <w:ind w:firstLine="480"/>
      </w:pPr>
      <w:r>
        <w:rPr>
          <w:rFonts w:hint="eastAsia"/>
        </w:rPr>
        <w:t>3.要言行一致地沟通</w:t>
      </w:r>
    </w:p>
    <w:p w14:paraId="47E9C134">
      <w:pPr>
        <w:pStyle w:val="52"/>
        <w:ind w:firstLine="480"/>
      </w:pPr>
      <w:r>
        <w:rPr>
          <w:rFonts w:hint="eastAsia"/>
        </w:rPr>
        <w:t>项目人员必须以自己的行动支持自己的想法和说法，而且更有效的沟通是“行重于言”。</w:t>
      </w:r>
    </w:p>
    <w:p w14:paraId="6DA5D4D5">
      <w:pPr>
        <w:pStyle w:val="52"/>
        <w:ind w:firstLine="480"/>
      </w:pPr>
      <w:r>
        <w:rPr>
          <w:rFonts w:hint="eastAsia"/>
        </w:rPr>
        <w:t>4.沟通时不仅要着眼于现在，还应该着眼于未来</w:t>
      </w:r>
    </w:p>
    <w:p w14:paraId="0DE2F3A1">
      <w:pPr>
        <w:pStyle w:val="52"/>
        <w:ind w:firstLine="480"/>
      </w:pPr>
      <w:r>
        <w:rPr>
          <w:rFonts w:hint="eastAsia"/>
        </w:rPr>
        <w:t>大多数的沟通，均要切合当前情况的需要，但是，沟通也不应忽视长远目标的配合。例如，一项有关如何改进绩效与促进士气的沟通，固然是为了处理眼前的问题，但同时也应该是为了改善长远的组织改革。</w:t>
      </w:r>
    </w:p>
    <w:p w14:paraId="56A931E4">
      <w:pPr>
        <w:pStyle w:val="52"/>
        <w:ind w:firstLine="480"/>
      </w:pPr>
      <w:r>
        <w:rPr>
          <w:rFonts w:hint="eastAsia"/>
        </w:rPr>
        <w:t>5.要注意倾听</w:t>
      </w:r>
    </w:p>
    <w:p w14:paraId="2C04E253">
      <w:pPr>
        <w:pStyle w:val="52"/>
        <w:ind w:firstLine="480"/>
      </w:pPr>
      <w:r>
        <w:rPr>
          <w:rFonts w:hint="eastAsia"/>
        </w:rPr>
        <w:t>项目人员在听取他人的陈述时，应专心致志，成为一个“好听众”，才能明确对方说些什么。</w:t>
      </w:r>
    </w:p>
    <w:p w14:paraId="4546593D">
      <w:pPr>
        <w:pStyle w:val="6"/>
      </w:pPr>
      <w:r>
        <w:rPr>
          <w:rFonts w:hint="eastAsia"/>
        </w:rPr>
        <w:t>项目风险管理</w:t>
      </w:r>
    </w:p>
    <w:p w14:paraId="07CBC79D">
      <w:pPr>
        <w:pStyle w:val="52"/>
        <w:ind w:firstLine="480"/>
      </w:pPr>
      <w:bookmarkStart w:id="6" w:name="_Hlk81922347"/>
      <w:r>
        <w:rPr>
          <w:rFonts w:hint="eastAsia"/>
        </w:rPr>
        <w:t>为了充分保障项目能按照预定实施计划顺利进行并达到预定效果，将在项目管理中特别注意风险及问题的管理与控制，尽早发现，分析并控制可能影响项目进展的风险和问题。</w:t>
      </w:r>
    </w:p>
    <w:p w14:paraId="2FB58224">
      <w:pPr>
        <w:pStyle w:val="52"/>
        <w:ind w:firstLine="480"/>
      </w:pPr>
      <w:r>
        <w:rPr>
          <w:rFonts w:hint="eastAsia"/>
        </w:rPr>
        <w:t>我方负责指定专人对实施中的风险列表进行管理与监控，甲方配合项目的风险管理，双方都应指定相关风险的责任人。</w:t>
      </w:r>
    </w:p>
    <w:p w14:paraId="614E6A14">
      <w:pPr>
        <w:pStyle w:val="52"/>
        <w:ind w:firstLine="480"/>
      </w:pPr>
      <w:r>
        <w:rPr>
          <w:rFonts w:hint="eastAsia"/>
        </w:rPr>
        <w:t>我方在实施期间，根据在相关领域的实施经验，识别项目存在的进度、质量、成本、范围上的风险，并与甲方共同进行风险评估，监控，制定应对与应急计划。具体风险分析及应对措施如下：</w:t>
      </w:r>
    </w:p>
    <w:bookmarkEnd w:id="6"/>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0E0E0"/>
        <w:tblLayout w:type="autofit"/>
        <w:tblCellMar>
          <w:top w:w="0" w:type="dxa"/>
          <w:left w:w="108" w:type="dxa"/>
          <w:bottom w:w="0" w:type="dxa"/>
          <w:right w:w="108" w:type="dxa"/>
        </w:tblCellMar>
      </w:tblPr>
      <w:tblGrid>
        <w:gridCol w:w="2383"/>
        <w:gridCol w:w="2707"/>
        <w:gridCol w:w="1263"/>
        <w:gridCol w:w="2707"/>
      </w:tblGrid>
      <w:tr w14:paraId="6F70B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0E0E0"/>
        </w:tblPrEx>
        <w:tc>
          <w:tcPr>
            <w:tcW w:w="1315" w:type="pct"/>
            <w:tcBorders>
              <w:bottom w:val="single" w:color="auto" w:sz="4" w:space="0"/>
            </w:tcBorders>
            <w:shd w:val="pct15" w:color="auto" w:fill="auto"/>
            <w:vAlign w:val="center"/>
          </w:tcPr>
          <w:p w14:paraId="18487AA7">
            <w:pPr>
              <w:spacing w:line="240" w:lineRule="auto"/>
              <w:jc w:val="center"/>
              <w:rPr>
                <w:rFonts w:ascii="宋体" w:hAnsi="宋体" w:cs="Arial"/>
                <w:sz w:val="21"/>
              </w:rPr>
            </w:pPr>
            <w:bookmarkStart w:id="7" w:name="_Hlk81922353"/>
            <w:r>
              <w:rPr>
                <w:rFonts w:ascii="宋体" w:hAnsi="宋体" w:cs="Arial"/>
                <w:sz w:val="21"/>
              </w:rPr>
              <w:t>风险事件</w:t>
            </w:r>
          </w:p>
        </w:tc>
        <w:tc>
          <w:tcPr>
            <w:tcW w:w="1494" w:type="pct"/>
            <w:tcBorders>
              <w:bottom w:val="single" w:color="auto" w:sz="4" w:space="0"/>
            </w:tcBorders>
            <w:shd w:val="pct15" w:color="auto" w:fill="auto"/>
            <w:vAlign w:val="center"/>
          </w:tcPr>
          <w:p w14:paraId="2F961609">
            <w:pPr>
              <w:spacing w:line="240" w:lineRule="auto"/>
              <w:jc w:val="center"/>
              <w:rPr>
                <w:rFonts w:ascii="宋体" w:hAnsi="宋体" w:cs="Arial"/>
                <w:sz w:val="21"/>
              </w:rPr>
            </w:pPr>
            <w:r>
              <w:rPr>
                <w:rFonts w:ascii="宋体" w:hAnsi="宋体" w:cs="Arial"/>
                <w:sz w:val="21"/>
              </w:rPr>
              <w:t>相关影响</w:t>
            </w:r>
          </w:p>
        </w:tc>
        <w:tc>
          <w:tcPr>
            <w:tcW w:w="697" w:type="pct"/>
            <w:tcBorders>
              <w:bottom w:val="single" w:color="auto" w:sz="4" w:space="0"/>
            </w:tcBorders>
            <w:shd w:val="pct15" w:color="auto" w:fill="auto"/>
            <w:vAlign w:val="center"/>
          </w:tcPr>
          <w:p w14:paraId="2BD8280B">
            <w:pPr>
              <w:spacing w:line="240" w:lineRule="auto"/>
              <w:jc w:val="center"/>
              <w:rPr>
                <w:rFonts w:ascii="宋体" w:hAnsi="宋体" w:cs="Arial"/>
                <w:sz w:val="21"/>
              </w:rPr>
            </w:pPr>
            <w:r>
              <w:rPr>
                <w:rFonts w:ascii="宋体" w:hAnsi="宋体" w:cs="Arial"/>
                <w:sz w:val="21"/>
              </w:rPr>
              <w:t>风险级别</w:t>
            </w:r>
          </w:p>
        </w:tc>
        <w:tc>
          <w:tcPr>
            <w:tcW w:w="1494" w:type="pct"/>
            <w:tcBorders>
              <w:bottom w:val="single" w:color="auto" w:sz="4" w:space="0"/>
            </w:tcBorders>
            <w:shd w:val="pct15" w:color="auto" w:fill="auto"/>
            <w:vAlign w:val="center"/>
          </w:tcPr>
          <w:p w14:paraId="1E85007F">
            <w:pPr>
              <w:spacing w:line="240" w:lineRule="auto"/>
              <w:jc w:val="center"/>
              <w:rPr>
                <w:rFonts w:ascii="宋体" w:hAnsi="宋体" w:cs="Arial"/>
                <w:sz w:val="21"/>
              </w:rPr>
            </w:pPr>
            <w:r>
              <w:rPr>
                <w:rFonts w:ascii="宋体" w:hAnsi="宋体" w:cs="Arial"/>
                <w:sz w:val="21"/>
              </w:rPr>
              <w:t>应对措施</w:t>
            </w:r>
          </w:p>
        </w:tc>
      </w:tr>
      <w:tr w14:paraId="1710D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0E0E0"/>
          <w:tblCellMar>
            <w:top w:w="0" w:type="dxa"/>
            <w:left w:w="108" w:type="dxa"/>
            <w:bottom w:w="0" w:type="dxa"/>
            <w:right w:w="108" w:type="dxa"/>
          </w:tblCellMar>
        </w:tblPrEx>
        <w:tc>
          <w:tcPr>
            <w:tcW w:w="5000" w:type="pct"/>
            <w:gridSpan w:val="4"/>
            <w:shd w:val="pct10" w:color="auto" w:fill="auto"/>
            <w:vAlign w:val="center"/>
          </w:tcPr>
          <w:p w14:paraId="52C6289D">
            <w:pPr>
              <w:spacing w:line="240" w:lineRule="auto"/>
              <w:jc w:val="center"/>
              <w:rPr>
                <w:rFonts w:ascii="宋体" w:hAnsi="宋体" w:cs="Arial"/>
                <w:sz w:val="21"/>
              </w:rPr>
            </w:pPr>
            <w:r>
              <w:rPr>
                <w:rFonts w:ascii="宋体" w:hAnsi="宋体" w:cs="Arial"/>
                <w:sz w:val="21"/>
              </w:rPr>
              <w:t>人员：</w:t>
            </w:r>
          </w:p>
        </w:tc>
      </w:tr>
      <w:tr w14:paraId="64D3F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0E0E0"/>
          <w:tblCellMar>
            <w:top w:w="0" w:type="dxa"/>
            <w:left w:w="108" w:type="dxa"/>
            <w:bottom w:w="0" w:type="dxa"/>
            <w:right w:w="108" w:type="dxa"/>
          </w:tblCellMar>
        </w:tblPrEx>
        <w:tc>
          <w:tcPr>
            <w:tcW w:w="1315" w:type="pct"/>
            <w:shd w:val="clear" w:color="auto" w:fill="auto"/>
            <w:vAlign w:val="center"/>
          </w:tcPr>
          <w:p w14:paraId="7D473C1D">
            <w:pPr>
              <w:spacing w:line="240" w:lineRule="auto"/>
              <w:jc w:val="center"/>
              <w:rPr>
                <w:rFonts w:ascii="宋体" w:hAnsi="宋体" w:cs="Arial"/>
                <w:sz w:val="21"/>
              </w:rPr>
            </w:pPr>
            <w:r>
              <w:rPr>
                <w:rFonts w:ascii="宋体" w:hAnsi="宋体" w:cs="Arial"/>
                <w:sz w:val="21"/>
              </w:rPr>
              <w:t>人员的变动</w:t>
            </w:r>
          </w:p>
        </w:tc>
        <w:tc>
          <w:tcPr>
            <w:tcW w:w="1494" w:type="pct"/>
            <w:shd w:val="clear" w:color="auto" w:fill="auto"/>
            <w:vAlign w:val="center"/>
          </w:tcPr>
          <w:p w14:paraId="30DA2B2F">
            <w:pPr>
              <w:spacing w:line="240" w:lineRule="auto"/>
              <w:jc w:val="center"/>
              <w:rPr>
                <w:rFonts w:ascii="宋体" w:hAnsi="宋体" w:cs="Arial"/>
                <w:sz w:val="21"/>
              </w:rPr>
            </w:pPr>
            <w:r>
              <w:rPr>
                <w:rFonts w:hint="eastAsia" w:ascii="宋体" w:hAnsi="宋体" w:cs="Arial"/>
                <w:sz w:val="21"/>
              </w:rPr>
              <w:t>新加入成员的对项目不熟悉</w:t>
            </w:r>
          </w:p>
        </w:tc>
        <w:tc>
          <w:tcPr>
            <w:tcW w:w="697" w:type="pct"/>
            <w:shd w:val="clear" w:color="auto" w:fill="auto"/>
            <w:vAlign w:val="center"/>
          </w:tcPr>
          <w:p w14:paraId="3CB76D49">
            <w:pPr>
              <w:spacing w:line="240" w:lineRule="auto"/>
              <w:jc w:val="center"/>
              <w:rPr>
                <w:rFonts w:ascii="宋体" w:hAnsi="宋体" w:cs="Arial"/>
                <w:sz w:val="21"/>
              </w:rPr>
            </w:pPr>
            <w:r>
              <w:rPr>
                <w:rFonts w:ascii="宋体" w:hAnsi="宋体" w:cs="Arial"/>
                <w:sz w:val="21"/>
              </w:rPr>
              <w:t>高</w:t>
            </w:r>
          </w:p>
        </w:tc>
        <w:tc>
          <w:tcPr>
            <w:tcW w:w="1494" w:type="pct"/>
            <w:shd w:val="clear" w:color="auto" w:fill="auto"/>
            <w:vAlign w:val="center"/>
          </w:tcPr>
          <w:p w14:paraId="63E860BC">
            <w:pPr>
              <w:spacing w:line="240" w:lineRule="auto"/>
              <w:jc w:val="center"/>
              <w:rPr>
                <w:rFonts w:ascii="宋体" w:hAnsi="宋体" w:cs="Arial"/>
                <w:sz w:val="21"/>
              </w:rPr>
            </w:pPr>
            <w:r>
              <w:rPr>
                <w:rFonts w:ascii="宋体" w:hAnsi="宋体" w:cs="Arial"/>
                <w:sz w:val="21"/>
              </w:rPr>
              <w:t>新成员应提前介入，尽快进入角色</w:t>
            </w:r>
          </w:p>
        </w:tc>
      </w:tr>
      <w:tr w14:paraId="59353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0E0E0"/>
          <w:tblCellMar>
            <w:top w:w="0" w:type="dxa"/>
            <w:left w:w="108" w:type="dxa"/>
            <w:bottom w:w="0" w:type="dxa"/>
            <w:right w:w="108" w:type="dxa"/>
          </w:tblCellMar>
        </w:tblPrEx>
        <w:tc>
          <w:tcPr>
            <w:tcW w:w="1315" w:type="pct"/>
            <w:shd w:val="clear" w:color="auto" w:fill="auto"/>
            <w:vAlign w:val="center"/>
          </w:tcPr>
          <w:p w14:paraId="32A901F0">
            <w:pPr>
              <w:spacing w:line="240" w:lineRule="auto"/>
              <w:jc w:val="center"/>
              <w:rPr>
                <w:rFonts w:ascii="宋体" w:hAnsi="宋体" w:cs="Arial"/>
                <w:sz w:val="21"/>
              </w:rPr>
            </w:pPr>
            <w:r>
              <w:rPr>
                <w:rFonts w:ascii="宋体" w:hAnsi="宋体" w:cs="Arial"/>
                <w:sz w:val="21"/>
              </w:rPr>
              <w:t>成员的能力</w:t>
            </w:r>
          </w:p>
        </w:tc>
        <w:tc>
          <w:tcPr>
            <w:tcW w:w="1494" w:type="pct"/>
            <w:shd w:val="clear" w:color="auto" w:fill="auto"/>
            <w:vAlign w:val="center"/>
          </w:tcPr>
          <w:p w14:paraId="18BC154E">
            <w:pPr>
              <w:spacing w:line="240" w:lineRule="auto"/>
              <w:jc w:val="center"/>
              <w:rPr>
                <w:rFonts w:ascii="宋体" w:hAnsi="宋体" w:cs="Arial"/>
                <w:sz w:val="21"/>
              </w:rPr>
            </w:pPr>
            <w:r>
              <w:rPr>
                <w:rFonts w:hint="eastAsia" w:ascii="宋体" w:hAnsi="宋体" w:cs="Arial"/>
                <w:sz w:val="21"/>
              </w:rPr>
              <w:t>成员对业务不了解</w:t>
            </w:r>
            <w:r>
              <w:rPr>
                <w:rFonts w:ascii="宋体" w:hAnsi="宋体" w:cs="Arial"/>
                <w:sz w:val="21"/>
              </w:rPr>
              <w:t>，</w:t>
            </w:r>
            <w:r>
              <w:rPr>
                <w:rFonts w:hint="eastAsia" w:ascii="宋体" w:hAnsi="宋体" w:cs="Arial"/>
                <w:sz w:val="21"/>
              </w:rPr>
              <w:t>难以</w:t>
            </w:r>
            <w:r>
              <w:rPr>
                <w:rFonts w:ascii="宋体" w:hAnsi="宋体" w:cs="Arial"/>
                <w:sz w:val="21"/>
              </w:rPr>
              <w:t>把握业务需求</w:t>
            </w:r>
          </w:p>
        </w:tc>
        <w:tc>
          <w:tcPr>
            <w:tcW w:w="697" w:type="pct"/>
            <w:shd w:val="clear" w:color="auto" w:fill="auto"/>
            <w:vAlign w:val="center"/>
          </w:tcPr>
          <w:p w14:paraId="0289FEE5">
            <w:pPr>
              <w:spacing w:line="240" w:lineRule="auto"/>
              <w:jc w:val="center"/>
              <w:rPr>
                <w:rFonts w:ascii="宋体" w:hAnsi="宋体" w:cs="Arial"/>
                <w:sz w:val="21"/>
              </w:rPr>
            </w:pPr>
            <w:r>
              <w:rPr>
                <w:rFonts w:ascii="宋体" w:hAnsi="宋体" w:cs="Arial"/>
                <w:sz w:val="21"/>
              </w:rPr>
              <w:t>中</w:t>
            </w:r>
          </w:p>
        </w:tc>
        <w:tc>
          <w:tcPr>
            <w:tcW w:w="1494" w:type="pct"/>
            <w:shd w:val="clear" w:color="auto" w:fill="auto"/>
            <w:vAlign w:val="center"/>
          </w:tcPr>
          <w:p w14:paraId="03045B75">
            <w:pPr>
              <w:spacing w:line="240" w:lineRule="auto"/>
              <w:jc w:val="center"/>
              <w:rPr>
                <w:rFonts w:ascii="宋体" w:hAnsi="宋体" w:cs="Arial"/>
                <w:sz w:val="21"/>
              </w:rPr>
            </w:pPr>
            <w:r>
              <w:rPr>
                <w:rFonts w:hint="eastAsia" w:ascii="宋体" w:hAnsi="宋体" w:cs="Arial"/>
                <w:sz w:val="21"/>
              </w:rPr>
              <w:t>需求和设计人员由有一定工作年限的人员担任</w:t>
            </w:r>
          </w:p>
        </w:tc>
      </w:tr>
      <w:tr w14:paraId="34C1C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0E0E0"/>
          <w:tblCellMar>
            <w:top w:w="0" w:type="dxa"/>
            <w:left w:w="108" w:type="dxa"/>
            <w:bottom w:w="0" w:type="dxa"/>
            <w:right w:w="108" w:type="dxa"/>
          </w:tblCellMar>
        </w:tblPrEx>
        <w:tc>
          <w:tcPr>
            <w:tcW w:w="5000" w:type="pct"/>
            <w:gridSpan w:val="4"/>
            <w:shd w:val="clear" w:color="auto" w:fill="D9D9D9"/>
            <w:vAlign w:val="center"/>
          </w:tcPr>
          <w:p w14:paraId="69852AA4">
            <w:pPr>
              <w:spacing w:line="240" w:lineRule="auto"/>
              <w:jc w:val="center"/>
              <w:rPr>
                <w:rFonts w:ascii="宋体" w:hAnsi="宋体" w:cs="Arial"/>
                <w:sz w:val="21"/>
              </w:rPr>
            </w:pPr>
            <w:r>
              <w:rPr>
                <w:rFonts w:hint="eastAsia" w:ascii="宋体" w:hAnsi="宋体" w:cs="Arial"/>
                <w:sz w:val="21"/>
              </w:rPr>
              <w:t>需求：</w:t>
            </w:r>
          </w:p>
        </w:tc>
      </w:tr>
      <w:tr w14:paraId="63180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0E0E0"/>
          <w:tblCellMar>
            <w:top w:w="0" w:type="dxa"/>
            <w:left w:w="108" w:type="dxa"/>
            <w:bottom w:w="0" w:type="dxa"/>
            <w:right w:w="108" w:type="dxa"/>
          </w:tblCellMar>
        </w:tblPrEx>
        <w:tc>
          <w:tcPr>
            <w:tcW w:w="1315" w:type="pct"/>
            <w:shd w:val="clear" w:color="auto" w:fill="auto"/>
            <w:vAlign w:val="center"/>
          </w:tcPr>
          <w:p w14:paraId="08088FCD">
            <w:pPr>
              <w:spacing w:line="240" w:lineRule="auto"/>
              <w:jc w:val="center"/>
              <w:rPr>
                <w:rFonts w:ascii="宋体" w:hAnsi="宋体" w:cs="Arial"/>
                <w:sz w:val="21"/>
              </w:rPr>
            </w:pPr>
            <w:r>
              <w:rPr>
                <w:rFonts w:hint="eastAsia" w:ascii="宋体" w:hAnsi="宋体" w:cs="Arial"/>
                <w:sz w:val="21"/>
              </w:rPr>
              <w:t>需求不明确</w:t>
            </w:r>
          </w:p>
        </w:tc>
        <w:tc>
          <w:tcPr>
            <w:tcW w:w="1494" w:type="pct"/>
            <w:shd w:val="clear" w:color="auto" w:fill="auto"/>
            <w:vAlign w:val="center"/>
          </w:tcPr>
          <w:p w14:paraId="4B8169BD">
            <w:pPr>
              <w:spacing w:line="240" w:lineRule="auto"/>
              <w:jc w:val="center"/>
              <w:rPr>
                <w:rFonts w:ascii="宋体" w:hAnsi="宋体" w:cs="Arial"/>
                <w:sz w:val="21"/>
              </w:rPr>
            </w:pPr>
            <w:r>
              <w:rPr>
                <w:rFonts w:hint="eastAsia" w:ascii="宋体" w:hAnsi="宋体" w:cs="Arial"/>
                <w:sz w:val="21"/>
              </w:rPr>
              <w:t>不能有效收集到具体的需求，造成项目建设方向偏离</w:t>
            </w:r>
          </w:p>
        </w:tc>
        <w:tc>
          <w:tcPr>
            <w:tcW w:w="697" w:type="pct"/>
            <w:shd w:val="clear" w:color="auto" w:fill="auto"/>
            <w:vAlign w:val="center"/>
          </w:tcPr>
          <w:p w14:paraId="3EC24F54">
            <w:pPr>
              <w:spacing w:line="240" w:lineRule="auto"/>
              <w:jc w:val="center"/>
              <w:rPr>
                <w:rFonts w:ascii="宋体" w:hAnsi="宋体" w:cs="Arial"/>
                <w:sz w:val="21"/>
              </w:rPr>
            </w:pPr>
            <w:r>
              <w:rPr>
                <w:rFonts w:hint="eastAsia" w:ascii="宋体" w:hAnsi="宋体" w:cs="Arial"/>
                <w:sz w:val="21"/>
              </w:rPr>
              <w:t>高</w:t>
            </w:r>
          </w:p>
        </w:tc>
        <w:tc>
          <w:tcPr>
            <w:tcW w:w="1494" w:type="pct"/>
            <w:shd w:val="clear" w:color="auto" w:fill="auto"/>
            <w:vAlign w:val="center"/>
          </w:tcPr>
          <w:p w14:paraId="3F6A10EC">
            <w:pPr>
              <w:spacing w:line="240" w:lineRule="auto"/>
              <w:jc w:val="center"/>
              <w:rPr>
                <w:rFonts w:ascii="宋体" w:hAnsi="宋体" w:cs="Arial"/>
                <w:sz w:val="21"/>
              </w:rPr>
            </w:pPr>
            <w:r>
              <w:rPr>
                <w:rFonts w:hint="eastAsia" w:ascii="宋体" w:hAnsi="宋体" w:cs="Arial"/>
                <w:sz w:val="21"/>
              </w:rPr>
              <w:t>加大调研投入、重视数据采集，并进行严格的需求确认和评审。</w:t>
            </w:r>
          </w:p>
        </w:tc>
      </w:tr>
      <w:tr w14:paraId="3640C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0E0E0"/>
          <w:tblCellMar>
            <w:top w:w="0" w:type="dxa"/>
            <w:left w:w="108" w:type="dxa"/>
            <w:bottom w:w="0" w:type="dxa"/>
            <w:right w:w="108" w:type="dxa"/>
          </w:tblCellMar>
        </w:tblPrEx>
        <w:tc>
          <w:tcPr>
            <w:tcW w:w="1315" w:type="pct"/>
            <w:shd w:val="clear" w:color="auto" w:fill="auto"/>
            <w:vAlign w:val="center"/>
          </w:tcPr>
          <w:p w14:paraId="2C7FBD39">
            <w:pPr>
              <w:spacing w:line="240" w:lineRule="auto"/>
              <w:jc w:val="center"/>
              <w:rPr>
                <w:rFonts w:ascii="宋体" w:hAnsi="宋体" w:cs="Arial"/>
                <w:sz w:val="21"/>
              </w:rPr>
            </w:pPr>
            <w:r>
              <w:rPr>
                <w:rFonts w:hint="eastAsia" w:ascii="宋体" w:hAnsi="宋体" w:cs="Arial"/>
                <w:sz w:val="21"/>
              </w:rPr>
              <w:t>需求发生变化</w:t>
            </w:r>
          </w:p>
        </w:tc>
        <w:tc>
          <w:tcPr>
            <w:tcW w:w="1494" w:type="pct"/>
            <w:shd w:val="clear" w:color="auto" w:fill="auto"/>
            <w:vAlign w:val="center"/>
          </w:tcPr>
          <w:p w14:paraId="3B8AF27F">
            <w:pPr>
              <w:spacing w:line="240" w:lineRule="auto"/>
              <w:jc w:val="center"/>
              <w:rPr>
                <w:rFonts w:ascii="宋体" w:hAnsi="宋体" w:cs="Arial"/>
                <w:sz w:val="21"/>
              </w:rPr>
            </w:pPr>
            <w:r>
              <w:rPr>
                <w:rFonts w:hint="eastAsia" w:ascii="宋体" w:hAnsi="宋体" w:cs="Arial"/>
                <w:sz w:val="21"/>
              </w:rPr>
              <w:t>需求在项目建设过程中发生变化，影响项目进度</w:t>
            </w:r>
          </w:p>
        </w:tc>
        <w:tc>
          <w:tcPr>
            <w:tcW w:w="697" w:type="pct"/>
            <w:shd w:val="clear" w:color="auto" w:fill="auto"/>
            <w:vAlign w:val="center"/>
          </w:tcPr>
          <w:p w14:paraId="5C85D437">
            <w:pPr>
              <w:spacing w:line="240" w:lineRule="auto"/>
              <w:jc w:val="center"/>
              <w:rPr>
                <w:rFonts w:ascii="宋体" w:hAnsi="宋体" w:cs="Arial"/>
                <w:sz w:val="21"/>
              </w:rPr>
            </w:pPr>
            <w:r>
              <w:rPr>
                <w:rFonts w:hint="eastAsia" w:ascii="宋体" w:hAnsi="宋体" w:cs="Arial"/>
                <w:sz w:val="21"/>
              </w:rPr>
              <w:t>中</w:t>
            </w:r>
          </w:p>
        </w:tc>
        <w:tc>
          <w:tcPr>
            <w:tcW w:w="1494" w:type="pct"/>
            <w:shd w:val="clear" w:color="auto" w:fill="auto"/>
            <w:vAlign w:val="center"/>
          </w:tcPr>
          <w:p w14:paraId="152B3945">
            <w:pPr>
              <w:spacing w:line="240" w:lineRule="auto"/>
              <w:jc w:val="center"/>
              <w:rPr>
                <w:rFonts w:ascii="宋体" w:hAnsi="宋体" w:cs="Arial"/>
                <w:sz w:val="21"/>
              </w:rPr>
            </w:pPr>
            <w:r>
              <w:rPr>
                <w:rFonts w:hint="eastAsia" w:ascii="宋体" w:hAnsi="宋体" w:cs="Arial"/>
                <w:sz w:val="21"/>
              </w:rPr>
              <w:t>在重大变更时与客户沟通，调整项目计划或考虑到下一期完成。</w:t>
            </w:r>
          </w:p>
        </w:tc>
      </w:tr>
      <w:tr w14:paraId="43FDF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0E0E0"/>
          <w:tblCellMar>
            <w:top w:w="0" w:type="dxa"/>
            <w:left w:w="108" w:type="dxa"/>
            <w:bottom w:w="0" w:type="dxa"/>
            <w:right w:w="108" w:type="dxa"/>
          </w:tblCellMar>
        </w:tblPrEx>
        <w:tc>
          <w:tcPr>
            <w:tcW w:w="5000" w:type="pct"/>
            <w:gridSpan w:val="4"/>
            <w:shd w:val="pct10" w:color="auto" w:fill="auto"/>
            <w:vAlign w:val="center"/>
          </w:tcPr>
          <w:p w14:paraId="6DFDFDC9">
            <w:pPr>
              <w:spacing w:line="240" w:lineRule="auto"/>
              <w:jc w:val="center"/>
              <w:rPr>
                <w:rFonts w:ascii="宋体" w:hAnsi="宋体" w:cs="Arial"/>
                <w:sz w:val="21"/>
              </w:rPr>
            </w:pPr>
            <w:r>
              <w:rPr>
                <w:rFonts w:ascii="宋体" w:hAnsi="宋体" w:cs="Arial"/>
                <w:sz w:val="21"/>
              </w:rPr>
              <w:t>设备</w:t>
            </w:r>
            <w:r>
              <w:rPr>
                <w:rFonts w:hint="eastAsia" w:ascii="宋体" w:hAnsi="宋体" w:cs="Arial"/>
                <w:sz w:val="21"/>
              </w:rPr>
              <w:t>和基础软件</w:t>
            </w:r>
            <w:r>
              <w:rPr>
                <w:rFonts w:ascii="宋体" w:hAnsi="宋体" w:cs="Arial"/>
                <w:sz w:val="21"/>
              </w:rPr>
              <w:t>：</w:t>
            </w:r>
          </w:p>
        </w:tc>
      </w:tr>
      <w:tr w14:paraId="269D9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0E0E0"/>
          <w:tblCellMar>
            <w:top w:w="0" w:type="dxa"/>
            <w:left w:w="108" w:type="dxa"/>
            <w:bottom w:w="0" w:type="dxa"/>
            <w:right w:w="108" w:type="dxa"/>
          </w:tblCellMar>
        </w:tblPrEx>
        <w:tc>
          <w:tcPr>
            <w:tcW w:w="1315" w:type="pct"/>
            <w:shd w:val="clear" w:color="auto" w:fill="auto"/>
            <w:vAlign w:val="center"/>
          </w:tcPr>
          <w:p w14:paraId="00E2233D">
            <w:pPr>
              <w:spacing w:line="240" w:lineRule="auto"/>
              <w:jc w:val="center"/>
              <w:rPr>
                <w:rFonts w:ascii="宋体" w:hAnsi="宋体" w:cs="Arial"/>
                <w:sz w:val="21"/>
              </w:rPr>
            </w:pPr>
            <w:r>
              <w:rPr>
                <w:rFonts w:ascii="宋体" w:hAnsi="宋体" w:cs="Arial"/>
                <w:sz w:val="21"/>
              </w:rPr>
              <w:t>设备</w:t>
            </w:r>
            <w:r>
              <w:rPr>
                <w:rFonts w:hint="eastAsia" w:ascii="宋体" w:hAnsi="宋体" w:cs="Arial"/>
                <w:sz w:val="21"/>
              </w:rPr>
              <w:t>及软件</w:t>
            </w:r>
            <w:r>
              <w:rPr>
                <w:rFonts w:ascii="宋体" w:hAnsi="宋体" w:cs="Arial"/>
                <w:sz w:val="21"/>
              </w:rPr>
              <w:t>采购的及时程度</w:t>
            </w:r>
          </w:p>
        </w:tc>
        <w:tc>
          <w:tcPr>
            <w:tcW w:w="1494" w:type="pct"/>
            <w:shd w:val="clear" w:color="auto" w:fill="auto"/>
            <w:vAlign w:val="center"/>
          </w:tcPr>
          <w:p w14:paraId="7E6E8484">
            <w:pPr>
              <w:spacing w:line="240" w:lineRule="auto"/>
              <w:jc w:val="center"/>
              <w:rPr>
                <w:rFonts w:ascii="宋体" w:hAnsi="宋体" w:cs="Arial"/>
                <w:sz w:val="21"/>
              </w:rPr>
            </w:pPr>
            <w:r>
              <w:rPr>
                <w:rFonts w:ascii="宋体" w:hAnsi="宋体" w:cs="Arial"/>
                <w:sz w:val="21"/>
              </w:rPr>
              <w:t>采购不及时，影响安装进度</w:t>
            </w:r>
          </w:p>
        </w:tc>
        <w:tc>
          <w:tcPr>
            <w:tcW w:w="697" w:type="pct"/>
            <w:shd w:val="clear" w:color="auto" w:fill="auto"/>
            <w:vAlign w:val="center"/>
          </w:tcPr>
          <w:p w14:paraId="70DEC658">
            <w:pPr>
              <w:spacing w:line="240" w:lineRule="auto"/>
              <w:jc w:val="center"/>
              <w:rPr>
                <w:rFonts w:ascii="宋体" w:hAnsi="宋体" w:cs="Arial"/>
                <w:sz w:val="21"/>
              </w:rPr>
            </w:pPr>
            <w:r>
              <w:rPr>
                <w:rFonts w:ascii="宋体" w:hAnsi="宋体" w:cs="Arial"/>
                <w:sz w:val="21"/>
              </w:rPr>
              <w:t>低</w:t>
            </w:r>
          </w:p>
        </w:tc>
        <w:tc>
          <w:tcPr>
            <w:tcW w:w="1494" w:type="pct"/>
            <w:shd w:val="clear" w:color="auto" w:fill="auto"/>
            <w:vAlign w:val="center"/>
          </w:tcPr>
          <w:p w14:paraId="2D6C163B">
            <w:pPr>
              <w:spacing w:line="240" w:lineRule="auto"/>
              <w:jc w:val="center"/>
              <w:rPr>
                <w:rFonts w:ascii="宋体" w:hAnsi="宋体" w:cs="Arial"/>
                <w:sz w:val="21"/>
              </w:rPr>
            </w:pPr>
            <w:r>
              <w:rPr>
                <w:rFonts w:ascii="宋体" w:hAnsi="宋体" w:cs="Arial"/>
                <w:sz w:val="21"/>
              </w:rPr>
              <w:t>跟踪采购计划，</w:t>
            </w:r>
            <w:r>
              <w:rPr>
                <w:rFonts w:hint="eastAsia" w:ascii="宋体" w:hAnsi="宋体" w:cs="Arial"/>
                <w:sz w:val="21"/>
              </w:rPr>
              <w:t>加强跟踪</w:t>
            </w:r>
          </w:p>
        </w:tc>
      </w:tr>
      <w:tr w14:paraId="2FCD6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0E0E0"/>
          <w:tblCellMar>
            <w:top w:w="0" w:type="dxa"/>
            <w:left w:w="108" w:type="dxa"/>
            <w:bottom w:w="0" w:type="dxa"/>
            <w:right w:w="108" w:type="dxa"/>
          </w:tblCellMar>
        </w:tblPrEx>
        <w:tc>
          <w:tcPr>
            <w:tcW w:w="5000" w:type="pct"/>
            <w:gridSpan w:val="4"/>
            <w:shd w:val="pct10" w:color="auto" w:fill="auto"/>
            <w:vAlign w:val="center"/>
          </w:tcPr>
          <w:p w14:paraId="07ADC0E3">
            <w:pPr>
              <w:spacing w:line="240" w:lineRule="auto"/>
              <w:jc w:val="center"/>
              <w:rPr>
                <w:rFonts w:ascii="宋体" w:hAnsi="宋体" w:cs="Arial"/>
                <w:sz w:val="21"/>
              </w:rPr>
            </w:pPr>
            <w:r>
              <w:rPr>
                <w:rFonts w:ascii="宋体" w:hAnsi="宋体" w:cs="Arial"/>
                <w:sz w:val="21"/>
              </w:rPr>
              <w:t>技术：</w:t>
            </w:r>
          </w:p>
        </w:tc>
      </w:tr>
      <w:tr w14:paraId="2CA9C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0E0E0"/>
          <w:tblCellMar>
            <w:top w:w="0" w:type="dxa"/>
            <w:left w:w="108" w:type="dxa"/>
            <w:bottom w:w="0" w:type="dxa"/>
            <w:right w:w="108" w:type="dxa"/>
          </w:tblCellMar>
        </w:tblPrEx>
        <w:tc>
          <w:tcPr>
            <w:tcW w:w="1315" w:type="pct"/>
            <w:shd w:val="clear" w:color="auto" w:fill="auto"/>
            <w:vAlign w:val="center"/>
          </w:tcPr>
          <w:p w14:paraId="75EFC7B5">
            <w:pPr>
              <w:spacing w:line="240" w:lineRule="auto"/>
              <w:jc w:val="center"/>
              <w:rPr>
                <w:rFonts w:ascii="宋体" w:hAnsi="宋体" w:cs="Arial"/>
                <w:sz w:val="21"/>
              </w:rPr>
            </w:pPr>
            <w:r>
              <w:rPr>
                <w:rFonts w:hint="eastAsia" w:ascii="宋体" w:hAnsi="宋体" w:cs="Arial"/>
                <w:sz w:val="21"/>
              </w:rPr>
              <w:t>系统</w:t>
            </w:r>
            <w:r>
              <w:rPr>
                <w:rFonts w:ascii="宋体" w:hAnsi="宋体" w:cs="Arial"/>
                <w:sz w:val="21"/>
              </w:rPr>
              <w:t>的开发质量</w:t>
            </w:r>
          </w:p>
        </w:tc>
        <w:tc>
          <w:tcPr>
            <w:tcW w:w="1494" w:type="pct"/>
            <w:shd w:val="clear" w:color="auto" w:fill="auto"/>
            <w:vAlign w:val="center"/>
          </w:tcPr>
          <w:p w14:paraId="0ACD5707">
            <w:pPr>
              <w:spacing w:line="240" w:lineRule="auto"/>
              <w:jc w:val="center"/>
              <w:rPr>
                <w:rFonts w:ascii="宋体" w:hAnsi="宋体" w:cs="Arial"/>
                <w:sz w:val="21"/>
              </w:rPr>
            </w:pPr>
            <w:r>
              <w:rPr>
                <w:rFonts w:ascii="宋体" w:hAnsi="宋体" w:cs="Arial"/>
                <w:sz w:val="21"/>
              </w:rPr>
              <w:t>开发质量直接影响实施进度及质量，影响项目成员的心态</w:t>
            </w:r>
          </w:p>
        </w:tc>
        <w:tc>
          <w:tcPr>
            <w:tcW w:w="697" w:type="pct"/>
            <w:shd w:val="clear" w:color="auto" w:fill="auto"/>
            <w:vAlign w:val="center"/>
          </w:tcPr>
          <w:p w14:paraId="02906D28">
            <w:pPr>
              <w:spacing w:line="240" w:lineRule="auto"/>
              <w:jc w:val="center"/>
              <w:rPr>
                <w:rFonts w:ascii="宋体" w:hAnsi="宋体" w:cs="Arial"/>
                <w:sz w:val="21"/>
              </w:rPr>
            </w:pPr>
            <w:r>
              <w:rPr>
                <w:rFonts w:ascii="宋体" w:hAnsi="宋体" w:cs="Arial"/>
                <w:sz w:val="21"/>
              </w:rPr>
              <w:t>高</w:t>
            </w:r>
          </w:p>
        </w:tc>
        <w:tc>
          <w:tcPr>
            <w:tcW w:w="1494" w:type="pct"/>
            <w:shd w:val="clear" w:color="auto" w:fill="auto"/>
            <w:vAlign w:val="center"/>
          </w:tcPr>
          <w:p w14:paraId="79B84130">
            <w:pPr>
              <w:spacing w:line="240" w:lineRule="auto"/>
              <w:jc w:val="center"/>
              <w:rPr>
                <w:rFonts w:ascii="宋体" w:hAnsi="宋体" w:cs="Arial"/>
                <w:sz w:val="21"/>
              </w:rPr>
            </w:pPr>
            <w:r>
              <w:rPr>
                <w:rFonts w:ascii="宋体" w:hAnsi="宋体" w:cs="Arial"/>
                <w:sz w:val="21"/>
              </w:rPr>
              <w:t>提供标准的建模工具及集成接口</w:t>
            </w:r>
            <w:r>
              <w:rPr>
                <w:rFonts w:hint="eastAsia" w:ascii="宋体" w:hAnsi="宋体" w:cs="Arial"/>
                <w:sz w:val="21"/>
              </w:rPr>
              <w:t>，</w:t>
            </w:r>
            <w:r>
              <w:rPr>
                <w:rFonts w:ascii="宋体" w:hAnsi="宋体" w:cs="Arial"/>
                <w:sz w:val="21"/>
              </w:rPr>
              <w:t>通过严格的测试保障开发质量</w:t>
            </w:r>
            <w:r>
              <w:rPr>
                <w:rFonts w:hint="eastAsia" w:ascii="宋体" w:hAnsi="宋体" w:cs="Arial"/>
                <w:sz w:val="21"/>
              </w:rPr>
              <w:t>。</w:t>
            </w:r>
          </w:p>
        </w:tc>
      </w:tr>
      <w:tr w14:paraId="6F6BB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0E0E0"/>
          <w:tblCellMar>
            <w:top w:w="0" w:type="dxa"/>
            <w:left w:w="108" w:type="dxa"/>
            <w:bottom w:w="0" w:type="dxa"/>
            <w:right w:w="108" w:type="dxa"/>
          </w:tblCellMar>
        </w:tblPrEx>
        <w:tc>
          <w:tcPr>
            <w:tcW w:w="5000" w:type="pct"/>
            <w:gridSpan w:val="4"/>
            <w:shd w:val="pct10" w:color="auto" w:fill="auto"/>
            <w:vAlign w:val="center"/>
          </w:tcPr>
          <w:p w14:paraId="095DD2C6">
            <w:pPr>
              <w:spacing w:line="240" w:lineRule="auto"/>
              <w:jc w:val="center"/>
              <w:rPr>
                <w:rFonts w:ascii="宋体" w:hAnsi="宋体" w:cs="Arial"/>
                <w:sz w:val="21"/>
              </w:rPr>
            </w:pPr>
            <w:r>
              <w:rPr>
                <w:rFonts w:hint="eastAsia" w:ascii="宋体" w:hAnsi="宋体" w:cs="Arial"/>
                <w:sz w:val="21"/>
              </w:rPr>
              <w:t>协调</w:t>
            </w:r>
            <w:r>
              <w:rPr>
                <w:rFonts w:ascii="宋体" w:hAnsi="宋体" w:cs="Arial"/>
                <w:sz w:val="21"/>
              </w:rPr>
              <w:t>：</w:t>
            </w:r>
          </w:p>
        </w:tc>
      </w:tr>
      <w:tr w14:paraId="7192C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0E0E0"/>
          <w:tblCellMar>
            <w:top w:w="0" w:type="dxa"/>
            <w:left w:w="108" w:type="dxa"/>
            <w:bottom w:w="0" w:type="dxa"/>
            <w:right w:w="108" w:type="dxa"/>
          </w:tblCellMar>
        </w:tblPrEx>
        <w:tc>
          <w:tcPr>
            <w:tcW w:w="1315" w:type="pct"/>
            <w:shd w:val="clear" w:color="auto" w:fill="auto"/>
            <w:vAlign w:val="center"/>
          </w:tcPr>
          <w:p w14:paraId="115A206E">
            <w:pPr>
              <w:spacing w:line="240" w:lineRule="auto"/>
              <w:jc w:val="center"/>
              <w:rPr>
                <w:rFonts w:ascii="宋体" w:hAnsi="宋体" w:cs="Arial"/>
                <w:sz w:val="21"/>
              </w:rPr>
            </w:pPr>
            <w:r>
              <w:rPr>
                <w:rFonts w:hint="eastAsia" w:ascii="宋体" w:hAnsi="宋体" w:cs="Arial"/>
                <w:sz w:val="21"/>
              </w:rPr>
              <w:t>用户配合及领导关注</w:t>
            </w:r>
          </w:p>
        </w:tc>
        <w:tc>
          <w:tcPr>
            <w:tcW w:w="1494" w:type="pct"/>
            <w:shd w:val="clear" w:color="auto" w:fill="auto"/>
            <w:vAlign w:val="center"/>
          </w:tcPr>
          <w:p w14:paraId="499ACF70">
            <w:pPr>
              <w:spacing w:line="240" w:lineRule="auto"/>
              <w:jc w:val="center"/>
              <w:rPr>
                <w:rFonts w:ascii="宋体" w:hAnsi="宋体" w:cs="Arial"/>
                <w:sz w:val="21"/>
              </w:rPr>
            </w:pPr>
            <w:r>
              <w:rPr>
                <w:rFonts w:hint="eastAsia" w:ascii="宋体" w:hAnsi="宋体" w:cs="Arial"/>
                <w:sz w:val="21"/>
              </w:rPr>
              <w:t>影响项目周期及成果</w:t>
            </w:r>
          </w:p>
        </w:tc>
        <w:tc>
          <w:tcPr>
            <w:tcW w:w="697" w:type="pct"/>
            <w:shd w:val="clear" w:color="auto" w:fill="auto"/>
            <w:vAlign w:val="center"/>
          </w:tcPr>
          <w:p w14:paraId="5314CD5C">
            <w:pPr>
              <w:spacing w:line="240" w:lineRule="auto"/>
              <w:jc w:val="center"/>
              <w:rPr>
                <w:rFonts w:ascii="宋体" w:hAnsi="宋体" w:cs="Arial"/>
                <w:sz w:val="21"/>
              </w:rPr>
            </w:pPr>
            <w:r>
              <w:rPr>
                <w:rFonts w:hint="eastAsia" w:ascii="宋体" w:hAnsi="宋体" w:cs="Arial"/>
                <w:sz w:val="21"/>
              </w:rPr>
              <w:t>中</w:t>
            </w:r>
          </w:p>
        </w:tc>
        <w:tc>
          <w:tcPr>
            <w:tcW w:w="1494" w:type="pct"/>
            <w:shd w:val="clear" w:color="auto" w:fill="auto"/>
            <w:vAlign w:val="center"/>
          </w:tcPr>
          <w:p w14:paraId="60171BCF">
            <w:pPr>
              <w:spacing w:line="240" w:lineRule="auto"/>
              <w:jc w:val="center"/>
              <w:rPr>
                <w:rFonts w:ascii="宋体" w:hAnsi="宋体" w:cs="Arial"/>
                <w:sz w:val="21"/>
              </w:rPr>
            </w:pPr>
            <w:r>
              <w:rPr>
                <w:rFonts w:hint="eastAsia" w:ascii="宋体" w:hAnsi="宋体" w:cs="Arial"/>
                <w:sz w:val="21"/>
              </w:rPr>
              <w:t>采用周例会的方式进行项目的整体协调、进展通报，确保项目相关人员及时了解项目情况，积极配合。</w:t>
            </w:r>
          </w:p>
        </w:tc>
      </w:tr>
      <w:bookmarkEnd w:id="7"/>
    </w:tbl>
    <w:p w14:paraId="078C79EA">
      <w:pPr>
        <w:pStyle w:val="6"/>
      </w:pPr>
      <w:r>
        <w:rPr>
          <w:rFonts w:hint="eastAsia"/>
        </w:rPr>
        <w:t>人力资源管理</w:t>
      </w:r>
    </w:p>
    <w:p w14:paraId="1475E9F3">
      <w:pPr>
        <w:pStyle w:val="52"/>
        <w:numPr>
          <w:ilvl w:val="0"/>
          <w:numId w:val="32"/>
        </w:numPr>
        <w:ind w:firstLineChars="0"/>
        <w:jc w:val="both"/>
        <w:rPr>
          <w:b/>
        </w:rPr>
      </w:pPr>
      <w:r>
        <w:rPr>
          <w:rFonts w:hint="eastAsia"/>
          <w:b/>
        </w:rPr>
        <w:t>人力资源管理前提</w:t>
      </w:r>
    </w:p>
    <w:p w14:paraId="0A9CD304">
      <w:pPr>
        <w:pStyle w:val="52"/>
        <w:ind w:firstLine="480"/>
      </w:pPr>
      <w:r>
        <w:rPr>
          <w:rFonts w:hint="eastAsia"/>
        </w:rPr>
        <w:t>为确保本项目计划的正常执行，我方将按要求，协调相应资源保质保量地投入到本项目，并及时正确地完成所分配的任务。</w:t>
      </w:r>
    </w:p>
    <w:p w14:paraId="3D57FBB9">
      <w:pPr>
        <w:pStyle w:val="52"/>
        <w:ind w:firstLine="480"/>
      </w:pPr>
      <w:r>
        <w:rPr>
          <w:rFonts w:hint="eastAsia"/>
        </w:rPr>
        <w:t>在我方入场前，会向甲方提供参与人员详细资料，甲方有权根据项目实际情况要求调换，或在项目实施过程中发现资料与实际人员不符时，有权要求进行调换，我方会尽快的予以满足。</w:t>
      </w:r>
    </w:p>
    <w:p w14:paraId="7360B5AE">
      <w:pPr>
        <w:pStyle w:val="52"/>
        <w:ind w:firstLine="480"/>
      </w:pPr>
      <w:r>
        <w:rPr>
          <w:rFonts w:hint="eastAsia"/>
        </w:rPr>
        <w:t>如果根据项目需要或甲方/我方请求或不可抗拒的原因，需要对于我方参与本项目的相关人员进行调整（包括人员的增减和更换）时，双方将本着对项目负责的原则，在进行充分协商并取得甲方同意后尽快完成人员的调整。另外甲方对于我方不能胜任项目工作的人员，有权提出调整要求。</w:t>
      </w:r>
    </w:p>
    <w:p w14:paraId="6026CD5E">
      <w:pPr>
        <w:pStyle w:val="52"/>
        <w:ind w:firstLine="480"/>
      </w:pPr>
      <w:r>
        <w:rPr>
          <w:rFonts w:hint="eastAsia"/>
        </w:rPr>
        <w:t>我方项目组成员必须遵守甲方项目作息制度，我方项目组成员离开项目组（包括：请假等）须提早通知甲方，并在甲方确认不影响项目进度时方可离开。</w:t>
      </w:r>
    </w:p>
    <w:p w14:paraId="4BA18469">
      <w:pPr>
        <w:pStyle w:val="52"/>
        <w:numPr>
          <w:ilvl w:val="0"/>
          <w:numId w:val="32"/>
        </w:numPr>
        <w:ind w:firstLineChars="0"/>
        <w:jc w:val="both"/>
        <w:rPr>
          <w:b/>
        </w:rPr>
      </w:pPr>
      <w:r>
        <w:rPr>
          <w:rFonts w:hint="eastAsia"/>
          <w:b/>
        </w:rPr>
        <w:t>人力资源投入管理</w:t>
      </w:r>
    </w:p>
    <w:p w14:paraId="0E619441">
      <w:pPr>
        <w:pStyle w:val="52"/>
        <w:ind w:firstLine="480"/>
      </w:pPr>
      <w:r>
        <w:rPr>
          <w:rFonts w:hint="eastAsia"/>
        </w:rPr>
        <w:t>我方所有人员在本项目工作期间所有工作行为均代表我方公司，我方对自身工作过程和结果承担全部责任，为有效完成工作说明书内容，根据项目实施的工作量估算，为确保项目按进度完成，我方在项目实施过程中保证投入足够的人力资源，并且投入的人力能够完全胜任自己的工作。同时，投入的人力资源中保证有相当比例的骨干人员。骨干人员在项目实施期间全职投入，其他人员可根据项目实施需要进行配备。骨干人员具备类似项目的实施经验，熟悉产品的技术架构及实现，熟悉系统的性能调优，有应用服务器以及数据库服务器集群的实施经验。</w:t>
      </w:r>
    </w:p>
    <w:p w14:paraId="50812880">
      <w:pPr>
        <w:pStyle w:val="52"/>
        <w:ind w:firstLine="480"/>
      </w:pPr>
      <w:r>
        <w:rPr>
          <w:rFonts w:hint="eastAsia"/>
        </w:rPr>
        <w:t>我方人员进场前需经过甲方资质审核并进行面试，面试不通过或进场后发现能力不符合项目要求的甲方有权要求我方在规定时间内予以调换。</w:t>
      </w:r>
    </w:p>
    <w:p w14:paraId="4406283F">
      <w:r>
        <w:rPr>
          <w:rFonts w:hint="eastAsia"/>
        </w:rPr>
        <w:t>我方人员在进场后，将严格遵守甲方保密规定进行相关工作。</w:t>
      </w:r>
    </w:p>
    <w:p w14:paraId="54C57017">
      <w:pPr>
        <w:pStyle w:val="6"/>
      </w:pPr>
      <w:r>
        <w:rPr>
          <w:rFonts w:hint="eastAsia"/>
        </w:rPr>
        <w:t>变更管理</w:t>
      </w:r>
    </w:p>
    <w:p w14:paraId="036850A8">
      <w:pPr>
        <w:pStyle w:val="52"/>
        <w:ind w:firstLine="480"/>
      </w:pPr>
      <w:r>
        <w:rPr>
          <w:rFonts w:hint="eastAsia"/>
        </w:rPr>
        <w:t>为了保证项目开发工作的相对稳定性，提高工作效率，确保开发质量。对影响项目计划的变更，制定出处理变更的规范的、统一的方法和过程，估算出因变更引起的相应的资源、费用、和时间的变化以及变更确立后，变更的发布、执行、和过程质量的控制。</w:t>
      </w:r>
    </w:p>
    <w:p w14:paraId="53EAE8F0">
      <w:pPr>
        <w:pStyle w:val="52"/>
        <w:ind w:firstLine="480"/>
      </w:pPr>
      <w:r>
        <w:rPr>
          <w:rFonts w:hint="eastAsia"/>
        </w:rPr>
        <w:t>本项目成立变更控制委员会，一般为单数组成（甲方人数＝我方＋1），由甲方指定人员任变更控制委员会主任;</w:t>
      </w:r>
    </w:p>
    <w:p w14:paraId="75F729F5">
      <w:pPr>
        <w:pStyle w:val="52"/>
        <w:ind w:firstLine="480"/>
      </w:pPr>
      <w:r>
        <w:rPr>
          <w:rFonts w:hint="eastAsia"/>
        </w:rPr>
        <w:t>变更的审批由变更控制委员会表决决定，2/3人数通过为表决通过，变更控制委员会主任有最终否决权。</w:t>
      </w:r>
    </w:p>
    <w:p w14:paraId="261195FD">
      <w:pPr>
        <w:pStyle w:val="52"/>
        <w:ind w:firstLine="480"/>
      </w:pPr>
      <w:r>
        <w:rPr>
          <w:rFonts w:hint="eastAsia"/>
        </w:rPr>
        <w:t>如变更控制委员会无法对变更做出最后决定，由变更控制委员会主任将变更申请提交项目管理高层进行裁决。</w:t>
      </w:r>
    </w:p>
    <w:p w14:paraId="0BB3D9AA">
      <w:pPr>
        <w:pStyle w:val="52"/>
        <w:numPr>
          <w:ilvl w:val="0"/>
          <w:numId w:val="32"/>
        </w:numPr>
        <w:ind w:firstLineChars="0"/>
        <w:jc w:val="both"/>
        <w:rPr>
          <w:b/>
        </w:rPr>
      </w:pPr>
      <w:r>
        <w:rPr>
          <w:rFonts w:hint="eastAsia"/>
          <w:b/>
        </w:rPr>
        <w:t>变更控制流程</w:t>
      </w:r>
    </w:p>
    <w:p w14:paraId="0DB1FE91">
      <w:pPr>
        <w:pStyle w:val="52"/>
        <w:ind w:firstLine="480"/>
      </w:pPr>
      <w:r>
        <w:t>1.</w:t>
      </w:r>
      <w:r>
        <w:rPr>
          <w:rFonts w:hint="eastAsia"/>
        </w:rPr>
        <w:t>发起变更</w:t>
      </w:r>
    </w:p>
    <w:p w14:paraId="007FAFCF">
      <w:pPr>
        <w:pStyle w:val="52"/>
        <w:ind w:firstLine="480"/>
      </w:pPr>
      <w:r>
        <w:rPr>
          <w:rFonts w:hint="eastAsia"/>
        </w:rPr>
        <w:t>提出变更要求必须填写《变更申请表》。《变更申请表》由变更申请人填写。变更控制委员会审议变更申请的有效性和变更的必要性，决定拒绝变更申请或者要求我方对申请的变更进行评估。</w:t>
      </w:r>
    </w:p>
    <w:tbl>
      <w:tblPr>
        <w:tblStyle w:val="32"/>
        <w:tblW w:w="5000" w:type="pct"/>
        <w:tblInd w:w="0" w:type="dxa"/>
        <w:tblLayout w:type="autofit"/>
        <w:tblCellMar>
          <w:top w:w="0" w:type="dxa"/>
          <w:left w:w="108" w:type="dxa"/>
          <w:bottom w:w="0" w:type="dxa"/>
          <w:right w:w="108" w:type="dxa"/>
        </w:tblCellMar>
      </w:tblPr>
      <w:tblGrid>
        <w:gridCol w:w="3061"/>
        <w:gridCol w:w="2625"/>
        <w:gridCol w:w="1312"/>
        <w:gridCol w:w="2072"/>
      </w:tblGrid>
      <w:tr w14:paraId="323ECCD7">
        <w:tblPrEx>
          <w:tblCellMar>
            <w:top w:w="0" w:type="dxa"/>
            <w:left w:w="108" w:type="dxa"/>
            <w:bottom w:w="0" w:type="dxa"/>
            <w:right w:w="108" w:type="dxa"/>
          </w:tblCellMar>
        </w:tblPrEx>
        <w:trPr>
          <w:trHeight w:val="280" w:hRule="atLeast"/>
        </w:trPr>
        <w:tc>
          <w:tcPr>
            <w:tcW w:w="5000" w:type="pct"/>
            <w:gridSpan w:val="4"/>
            <w:tcBorders>
              <w:top w:val="single" w:color="auto" w:sz="4" w:space="0"/>
              <w:left w:val="single" w:color="auto" w:sz="4" w:space="0"/>
              <w:bottom w:val="single" w:color="auto" w:sz="4" w:space="0"/>
              <w:right w:val="single" w:color="auto" w:sz="4" w:space="0"/>
            </w:tcBorders>
            <w:shd w:val="clear" w:color="000000" w:fill="FFFFFF"/>
            <w:vAlign w:val="center"/>
          </w:tcPr>
          <w:p w14:paraId="3D885557">
            <w:pPr>
              <w:widowControl/>
              <w:spacing w:line="240" w:lineRule="auto"/>
              <w:jc w:val="center"/>
              <w:rPr>
                <w:rFonts w:ascii="宋体" w:hAnsi="宋体" w:eastAsia="宋体" w:cs="宋体"/>
                <w:b/>
                <w:bCs/>
                <w:color w:val="000000"/>
                <w:kern w:val="0"/>
                <w:sz w:val="20"/>
                <w:szCs w:val="20"/>
              </w:rPr>
            </w:pPr>
            <w:r>
              <w:rPr>
                <w:rFonts w:hint="eastAsia" w:ascii="宋体" w:hAnsi="宋体" w:eastAsia="宋体" w:cs="宋体"/>
                <w:b/>
                <w:bCs/>
                <w:color w:val="000000"/>
                <w:kern w:val="0"/>
                <w:szCs w:val="20"/>
              </w:rPr>
              <w:t>变更申请单</w:t>
            </w:r>
          </w:p>
        </w:tc>
      </w:tr>
      <w:tr w14:paraId="14158786">
        <w:tblPrEx>
          <w:tblCellMar>
            <w:top w:w="0" w:type="dxa"/>
            <w:left w:w="108" w:type="dxa"/>
            <w:bottom w:w="0" w:type="dxa"/>
            <w:right w:w="108" w:type="dxa"/>
          </w:tblCellMar>
        </w:tblPrEx>
        <w:trPr>
          <w:trHeight w:val="363" w:hRule="atLeast"/>
        </w:trPr>
        <w:tc>
          <w:tcPr>
            <w:tcW w:w="1688" w:type="pct"/>
            <w:tcBorders>
              <w:top w:val="nil"/>
              <w:left w:val="single" w:color="auto" w:sz="4" w:space="0"/>
              <w:bottom w:val="single" w:color="auto" w:sz="4" w:space="0"/>
              <w:right w:val="single" w:color="auto" w:sz="4" w:space="0"/>
            </w:tcBorders>
            <w:shd w:val="clear" w:color="000000" w:fill="C0C0C0"/>
            <w:vAlign w:val="center"/>
          </w:tcPr>
          <w:p w14:paraId="2E451811">
            <w:pPr>
              <w:widowControl/>
              <w:spacing w:line="240" w:lineRule="auto"/>
              <w:rPr>
                <w:rFonts w:ascii="宋体" w:hAnsi="宋体" w:eastAsia="宋体" w:cs="宋体"/>
                <w:b/>
                <w:bCs/>
                <w:color w:val="000000"/>
                <w:kern w:val="0"/>
                <w:sz w:val="21"/>
              </w:rPr>
            </w:pPr>
            <w:r>
              <w:rPr>
                <w:rFonts w:hint="eastAsia" w:ascii="宋体" w:hAnsi="宋体" w:eastAsia="宋体" w:cs="宋体"/>
                <w:b/>
                <w:bCs/>
                <w:color w:val="000000"/>
                <w:kern w:val="0"/>
                <w:sz w:val="21"/>
              </w:rPr>
              <w:t>项目名称</w:t>
            </w:r>
          </w:p>
        </w:tc>
        <w:tc>
          <w:tcPr>
            <w:tcW w:w="1447" w:type="pct"/>
            <w:tcBorders>
              <w:top w:val="nil"/>
              <w:left w:val="nil"/>
              <w:bottom w:val="single" w:color="auto" w:sz="4" w:space="0"/>
              <w:right w:val="single" w:color="auto" w:sz="4" w:space="0"/>
            </w:tcBorders>
            <w:shd w:val="clear" w:color="auto" w:fill="auto"/>
            <w:vAlign w:val="center"/>
          </w:tcPr>
          <w:p w14:paraId="2BB9145A">
            <w:pPr>
              <w:widowControl/>
              <w:spacing w:line="240" w:lineRule="auto"/>
              <w:rPr>
                <w:rFonts w:ascii="宋体" w:hAnsi="宋体" w:eastAsia="宋体" w:cs="宋体"/>
                <w:color w:val="000000"/>
                <w:kern w:val="0"/>
                <w:sz w:val="21"/>
              </w:rPr>
            </w:pPr>
          </w:p>
        </w:tc>
        <w:tc>
          <w:tcPr>
            <w:tcW w:w="723" w:type="pct"/>
            <w:tcBorders>
              <w:top w:val="nil"/>
              <w:left w:val="nil"/>
              <w:bottom w:val="single" w:color="auto" w:sz="4" w:space="0"/>
              <w:right w:val="single" w:color="auto" w:sz="4" w:space="0"/>
            </w:tcBorders>
            <w:shd w:val="clear" w:color="000000" w:fill="C0C0C0"/>
            <w:vAlign w:val="center"/>
          </w:tcPr>
          <w:p w14:paraId="764E81CE">
            <w:pPr>
              <w:widowControl/>
              <w:spacing w:line="240" w:lineRule="auto"/>
              <w:rPr>
                <w:rFonts w:ascii="宋体" w:hAnsi="宋体" w:eastAsia="宋体" w:cs="宋体"/>
                <w:b/>
                <w:bCs/>
                <w:color w:val="000000"/>
                <w:kern w:val="0"/>
                <w:sz w:val="21"/>
              </w:rPr>
            </w:pPr>
            <w:r>
              <w:rPr>
                <w:rFonts w:hint="eastAsia" w:ascii="宋体" w:hAnsi="宋体" w:eastAsia="宋体" w:cs="宋体"/>
                <w:b/>
                <w:bCs/>
                <w:color w:val="000000"/>
                <w:kern w:val="0"/>
                <w:sz w:val="21"/>
              </w:rPr>
              <w:t>变更单编号</w:t>
            </w:r>
          </w:p>
        </w:tc>
        <w:tc>
          <w:tcPr>
            <w:tcW w:w="1143" w:type="pct"/>
            <w:tcBorders>
              <w:top w:val="nil"/>
              <w:left w:val="nil"/>
              <w:bottom w:val="single" w:color="auto" w:sz="4" w:space="0"/>
              <w:right w:val="single" w:color="auto" w:sz="4" w:space="0"/>
            </w:tcBorders>
            <w:shd w:val="clear" w:color="auto" w:fill="auto"/>
            <w:vAlign w:val="center"/>
          </w:tcPr>
          <w:p w14:paraId="3CD6B61F">
            <w:pPr>
              <w:widowControl/>
              <w:spacing w:line="240" w:lineRule="auto"/>
              <w:rPr>
                <w:rFonts w:ascii="宋体" w:hAnsi="宋体" w:eastAsia="宋体" w:cs="宋体"/>
                <w:color w:val="000000"/>
                <w:kern w:val="0"/>
                <w:sz w:val="21"/>
              </w:rPr>
            </w:pPr>
          </w:p>
        </w:tc>
      </w:tr>
      <w:tr w14:paraId="435E3905">
        <w:tblPrEx>
          <w:tblCellMar>
            <w:top w:w="0" w:type="dxa"/>
            <w:left w:w="108" w:type="dxa"/>
            <w:bottom w:w="0" w:type="dxa"/>
            <w:right w:w="108" w:type="dxa"/>
          </w:tblCellMar>
        </w:tblPrEx>
        <w:trPr>
          <w:trHeight w:val="280" w:hRule="atLeast"/>
        </w:trPr>
        <w:tc>
          <w:tcPr>
            <w:tcW w:w="1688" w:type="pct"/>
            <w:tcBorders>
              <w:top w:val="nil"/>
              <w:left w:val="single" w:color="auto" w:sz="4" w:space="0"/>
              <w:bottom w:val="single" w:color="auto" w:sz="4" w:space="0"/>
              <w:right w:val="single" w:color="auto" w:sz="4" w:space="0"/>
            </w:tcBorders>
            <w:shd w:val="clear" w:color="000000" w:fill="C0C0C0"/>
            <w:vAlign w:val="center"/>
          </w:tcPr>
          <w:p w14:paraId="18FCE55E">
            <w:pPr>
              <w:widowControl/>
              <w:spacing w:line="240" w:lineRule="auto"/>
              <w:rPr>
                <w:rFonts w:ascii="宋体" w:hAnsi="宋体" w:eastAsia="宋体" w:cs="宋体"/>
                <w:b/>
                <w:bCs/>
                <w:color w:val="000000"/>
                <w:kern w:val="0"/>
                <w:sz w:val="21"/>
              </w:rPr>
            </w:pPr>
            <w:r>
              <w:rPr>
                <w:rFonts w:hint="eastAsia" w:ascii="宋体" w:hAnsi="宋体" w:eastAsia="宋体" w:cs="宋体"/>
                <w:b/>
                <w:bCs/>
                <w:color w:val="000000"/>
                <w:kern w:val="0"/>
                <w:sz w:val="21"/>
              </w:rPr>
              <w:t>提出单位</w:t>
            </w:r>
          </w:p>
        </w:tc>
        <w:tc>
          <w:tcPr>
            <w:tcW w:w="1447" w:type="pct"/>
            <w:tcBorders>
              <w:top w:val="nil"/>
              <w:left w:val="nil"/>
              <w:bottom w:val="single" w:color="auto" w:sz="4" w:space="0"/>
              <w:right w:val="single" w:color="auto" w:sz="4" w:space="0"/>
            </w:tcBorders>
            <w:shd w:val="clear" w:color="auto" w:fill="auto"/>
            <w:vAlign w:val="center"/>
          </w:tcPr>
          <w:p w14:paraId="38F7F7C7">
            <w:pPr>
              <w:widowControl/>
              <w:spacing w:line="240" w:lineRule="auto"/>
              <w:rPr>
                <w:rFonts w:ascii="宋体" w:hAnsi="宋体" w:eastAsia="宋体" w:cs="宋体"/>
                <w:color w:val="000000"/>
                <w:kern w:val="0"/>
                <w:sz w:val="21"/>
              </w:rPr>
            </w:pPr>
          </w:p>
        </w:tc>
        <w:tc>
          <w:tcPr>
            <w:tcW w:w="723" w:type="pct"/>
            <w:tcBorders>
              <w:top w:val="nil"/>
              <w:left w:val="nil"/>
              <w:bottom w:val="single" w:color="auto" w:sz="4" w:space="0"/>
              <w:right w:val="single" w:color="auto" w:sz="4" w:space="0"/>
            </w:tcBorders>
            <w:shd w:val="clear" w:color="000000" w:fill="C0C0C0"/>
            <w:vAlign w:val="center"/>
          </w:tcPr>
          <w:p w14:paraId="1BE962B7">
            <w:pPr>
              <w:widowControl/>
              <w:spacing w:line="240" w:lineRule="auto"/>
              <w:rPr>
                <w:rFonts w:ascii="宋体" w:hAnsi="宋体" w:eastAsia="宋体" w:cs="宋体"/>
                <w:b/>
                <w:bCs/>
                <w:color w:val="000000"/>
                <w:kern w:val="0"/>
                <w:sz w:val="21"/>
              </w:rPr>
            </w:pPr>
            <w:r>
              <w:rPr>
                <w:rFonts w:hint="eastAsia" w:ascii="宋体" w:hAnsi="宋体" w:eastAsia="宋体" w:cs="宋体"/>
                <w:b/>
                <w:bCs/>
                <w:color w:val="000000"/>
                <w:kern w:val="0"/>
                <w:sz w:val="21"/>
              </w:rPr>
              <w:t>提出人</w:t>
            </w:r>
          </w:p>
        </w:tc>
        <w:tc>
          <w:tcPr>
            <w:tcW w:w="1143" w:type="pct"/>
            <w:tcBorders>
              <w:top w:val="nil"/>
              <w:left w:val="nil"/>
              <w:bottom w:val="single" w:color="auto" w:sz="4" w:space="0"/>
              <w:right w:val="single" w:color="auto" w:sz="4" w:space="0"/>
            </w:tcBorders>
            <w:shd w:val="clear" w:color="auto" w:fill="auto"/>
            <w:vAlign w:val="center"/>
          </w:tcPr>
          <w:p w14:paraId="637CBCA7">
            <w:pPr>
              <w:widowControl/>
              <w:spacing w:line="240" w:lineRule="auto"/>
              <w:rPr>
                <w:rFonts w:ascii="宋体" w:hAnsi="宋体" w:eastAsia="宋体" w:cs="宋体"/>
                <w:color w:val="000000"/>
                <w:kern w:val="0"/>
                <w:sz w:val="21"/>
              </w:rPr>
            </w:pPr>
          </w:p>
        </w:tc>
      </w:tr>
      <w:tr w14:paraId="614F269A">
        <w:tblPrEx>
          <w:tblCellMar>
            <w:top w:w="0" w:type="dxa"/>
            <w:left w:w="108" w:type="dxa"/>
            <w:bottom w:w="0" w:type="dxa"/>
            <w:right w:w="108" w:type="dxa"/>
          </w:tblCellMar>
        </w:tblPrEx>
        <w:trPr>
          <w:trHeight w:val="280" w:hRule="atLeast"/>
        </w:trPr>
        <w:tc>
          <w:tcPr>
            <w:tcW w:w="1688" w:type="pct"/>
            <w:tcBorders>
              <w:top w:val="nil"/>
              <w:left w:val="single" w:color="auto" w:sz="4" w:space="0"/>
              <w:bottom w:val="single" w:color="auto" w:sz="4" w:space="0"/>
              <w:right w:val="single" w:color="auto" w:sz="4" w:space="0"/>
            </w:tcBorders>
            <w:shd w:val="clear" w:color="000000" w:fill="C0C0C0"/>
            <w:vAlign w:val="center"/>
          </w:tcPr>
          <w:p w14:paraId="10BE534E">
            <w:pPr>
              <w:widowControl/>
              <w:spacing w:line="240" w:lineRule="auto"/>
              <w:rPr>
                <w:rFonts w:ascii="宋体" w:hAnsi="宋体" w:eastAsia="宋体" w:cs="宋体"/>
                <w:b/>
                <w:bCs/>
                <w:color w:val="000000"/>
                <w:kern w:val="0"/>
                <w:sz w:val="21"/>
              </w:rPr>
            </w:pPr>
            <w:r>
              <w:rPr>
                <w:rFonts w:hint="eastAsia" w:ascii="宋体" w:hAnsi="宋体" w:eastAsia="宋体" w:cs="宋体"/>
                <w:b/>
                <w:bCs/>
                <w:color w:val="000000"/>
                <w:kern w:val="0"/>
                <w:sz w:val="21"/>
              </w:rPr>
              <w:t>联系电话</w:t>
            </w:r>
          </w:p>
        </w:tc>
        <w:tc>
          <w:tcPr>
            <w:tcW w:w="1447" w:type="pct"/>
            <w:tcBorders>
              <w:top w:val="nil"/>
              <w:left w:val="nil"/>
              <w:bottom w:val="single" w:color="auto" w:sz="4" w:space="0"/>
              <w:right w:val="single" w:color="auto" w:sz="4" w:space="0"/>
            </w:tcBorders>
            <w:shd w:val="clear" w:color="auto" w:fill="auto"/>
            <w:vAlign w:val="center"/>
          </w:tcPr>
          <w:p w14:paraId="708E8CAF">
            <w:pPr>
              <w:widowControl/>
              <w:spacing w:line="240" w:lineRule="auto"/>
              <w:rPr>
                <w:rFonts w:ascii="宋体" w:hAnsi="宋体" w:eastAsia="宋体" w:cs="宋体"/>
                <w:color w:val="000000"/>
                <w:kern w:val="0"/>
                <w:sz w:val="21"/>
              </w:rPr>
            </w:pPr>
          </w:p>
        </w:tc>
        <w:tc>
          <w:tcPr>
            <w:tcW w:w="723" w:type="pct"/>
            <w:tcBorders>
              <w:top w:val="nil"/>
              <w:left w:val="nil"/>
              <w:bottom w:val="single" w:color="auto" w:sz="4" w:space="0"/>
              <w:right w:val="single" w:color="auto" w:sz="4" w:space="0"/>
            </w:tcBorders>
            <w:shd w:val="clear" w:color="000000" w:fill="C0C0C0"/>
            <w:vAlign w:val="center"/>
          </w:tcPr>
          <w:p w14:paraId="27B7FC01">
            <w:pPr>
              <w:widowControl/>
              <w:spacing w:line="240" w:lineRule="auto"/>
              <w:rPr>
                <w:rFonts w:ascii="宋体" w:hAnsi="宋体" w:eastAsia="宋体" w:cs="宋体"/>
                <w:b/>
                <w:bCs/>
                <w:color w:val="000000"/>
                <w:kern w:val="0"/>
                <w:sz w:val="21"/>
              </w:rPr>
            </w:pPr>
            <w:r>
              <w:rPr>
                <w:rFonts w:hint="eastAsia" w:ascii="宋体" w:hAnsi="宋体" w:eastAsia="宋体" w:cs="宋体"/>
                <w:b/>
                <w:bCs/>
                <w:color w:val="000000"/>
                <w:kern w:val="0"/>
                <w:sz w:val="21"/>
              </w:rPr>
              <w:t>填报日期</w:t>
            </w:r>
          </w:p>
        </w:tc>
        <w:tc>
          <w:tcPr>
            <w:tcW w:w="1143" w:type="pct"/>
            <w:tcBorders>
              <w:top w:val="nil"/>
              <w:left w:val="nil"/>
              <w:bottom w:val="single" w:color="auto" w:sz="4" w:space="0"/>
              <w:right w:val="single" w:color="auto" w:sz="4" w:space="0"/>
            </w:tcBorders>
            <w:shd w:val="clear" w:color="auto" w:fill="auto"/>
            <w:vAlign w:val="center"/>
          </w:tcPr>
          <w:p w14:paraId="584B7187">
            <w:pPr>
              <w:widowControl/>
              <w:spacing w:line="240" w:lineRule="auto"/>
              <w:rPr>
                <w:rFonts w:ascii="宋体" w:hAnsi="宋体" w:eastAsia="宋体" w:cs="宋体"/>
                <w:color w:val="000000"/>
                <w:kern w:val="0"/>
                <w:sz w:val="21"/>
              </w:rPr>
            </w:pPr>
          </w:p>
        </w:tc>
      </w:tr>
      <w:tr w14:paraId="4B49A235">
        <w:tblPrEx>
          <w:tblCellMar>
            <w:top w:w="0" w:type="dxa"/>
            <w:left w:w="108" w:type="dxa"/>
            <w:bottom w:w="0" w:type="dxa"/>
            <w:right w:w="108" w:type="dxa"/>
          </w:tblCellMar>
        </w:tblPrEx>
        <w:trPr>
          <w:trHeight w:val="280" w:hRule="atLeast"/>
        </w:trPr>
        <w:tc>
          <w:tcPr>
            <w:tcW w:w="1688" w:type="pct"/>
            <w:tcBorders>
              <w:top w:val="nil"/>
              <w:left w:val="single" w:color="auto" w:sz="4" w:space="0"/>
              <w:bottom w:val="single" w:color="auto" w:sz="4" w:space="0"/>
              <w:right w:val="single" w:color="auto" w:sz="4" w:space="0"/>
            </w:tcBorders>
            <w:shd w:val="clear" w:color="000000" w:fill="C0C0C0"/>
            <w:vAlign w:val="center"/>
          </w:tcPr>
          <w:p w14:paraId="3488C4A0">
            <w:pPr>
              <w:widowControl/>
              <w:spacing w:line="240" w:lineRule="auto"/>
              <w:rPr>
                <w:rFonts w:ascii="宋体" w:hAnsi="宋体" w:eastAsia="宋体" w:cs="宋体"/>
                <w:b/>
                <w:bCs/>
                <w:color w:val="000000"/>
                <w:kern w:val="0"/>
                <w:sz w:val="21"/>
              </w:rPr>
            </w:pPr>
            <w:r>
              <w:rPr>
                <w:rFonts w:hint="eastAsia" w:ascii="宋体" w:hAnsi="宋体" w:eastAsia="宋体" w:cs="宋体"/>
                <w:b/>
                <w:bCs/>
                <w:color w:val="000000"/>
                <w:kern w:val="0"/>
                <w:sz w:val="21"/>
              </w:rPr>
              <w:t>变更类型</w:t>
            </w:r>
          </w:p>
        </w:tc>
        <w:tc>
          <w:tcPr>
            <w:tcW w:w="1447" w:type="pct"/>
            <w:tcBorders>
              <w:top w:val="nil"/>
              <w:left w:val="nil"/>
              <w:bottom w:val="single" w:color="auto" w:sz="4" w:space="0"/>
              <w:right w:val="single" w:color="auto" w:sz="4" w:space="0"/>
            </w:tcBorders>
            <w:shd w:val="clear" w:color="auto" w:fill="auto"/>
            <w:vAlign w:val="center"/>
          </w:tcPr>
          <w:p w14:paraId="7DEC106D">
            <w:pPr>
              <w:widowControl/>
              <w:spacing w:line="240" w:lineRule="auto"/>
              <w:rPr>
                <w:rFonts w:ascii="宋体" w:hAnsi="宋体" w:eastAsia="宋体" w:cs="宋体"/>
                <w:color w:val="000000"/>
                <w:kern w:val="0"/>
                <w:sz w:val="21"/>
              </w:rPr>
            </w:pPr>
          </w:p>
        </w:tc>
        <w:tc>
          <w:tcPr>
            <w:tcW w:w="723" w:type="pct"/>
            <w:tcBorders>
              <w:top w:val="nil"/>
              <w:left w:val="nil"/>
              <w:bottom w:val="single" w:color="auto" w:sz="4" w:space="0"/>
              <w:right w:val="single" w:color="auto" w:sz="4" w:space="0"/>
            </w:tcBorders>
            <w:shd w:val="clear" w:color="000000" w:fill="C0C0C0"/>
            <w:vAlign w:val="center"/>
          </w:tcPr>
          <w:p w14:paraId="643F31C9">
            <w:pPr>
              <w:widowControl/>
              <w:spacing w:line="240" w:lineRule="auto"/>
              <w:rPr>
                <w:rFonts w:ascii="宋体" w:hAnsi="宋体" w:eastAsia="宋体" w:cs="宋体"/>
                <w:b/>
                <w:bCs/>
                <w:color w:val="000000"/>
                <w:kern w:val="0"/>
                <w:sz w:val="21"/>
              </w:rPr>
            </w:pPr>
            <w:r>
              <w:rPr>
                <w:rFonts w:hint="eastAsia" w:ascii="宋体" w:hAnsi="宋体" w:eastAsia="宋体" w:cs="宋体"/>
                <w:b/>
                <w:bCs/>
                <w:color w:val="000000"/>
                <w:kern w:val="0"/>
                <w:sz w:val="21"/>
              </w:rPr>
              <w:t>要求完成</w:t>
            </w:r>
          </w:p>
        </w:tc>
        <w:tc>
          <w:tcPr>
            <w:tcW w:w="1143" w:type="pct"/>
            <w:tcBorders>
              <w:top w:val="nil"/>
              <w:left w:val="nil"/>
              <w:bottom w:val="single" w:color="auto" w:sz="4" w:space="0"/>
              <w:right w:val="single" w:color="auto" w:sz="4" w:space="0"/>
            </w:tcBorders>
            <w:shd w:val="clear" w:color="auto" w:fill="auto"/>
            <w:vAlign w:val="center"/>
          </w:tcPr>
          <w:p w14:paraId="6765E686">
            <w:pPr>
              <w:widowControl/>
              <w:spacing w:line="240" w:lineRule="auto"/>
              <w:rPr>
                <w:rFonts w:ascii="宋体" w:hAnsi="宋体" w:eastAsia="宋体" w:cs="宋体"/>
                <w:color w:val="000000"/>
                <w:kern w:val="0"/>
                <w:sz w:val="21"/>
              </w:rPr>
            </w:pPr>
          </w:p>
        </w:tc>
      </w:tr>
      <w:tr w14:paraId="10752831">
        <w:tblPrEx>
          <w:tblCellMar>
            <w:top w:w="0" w:type="dxa"/>
            <w:left w:w="108" w:type="dxa"/>
            <w:bottom w:w="0" w:type="dxa"/>
            <w:right w:w="108" w:type="dxa"/>
          </w:tblCellMar>
        </w:tblPrEx>
        <w:trPr>
          <w:trHeight w:val="280" w:hRule="atLeast"/>
        </w:trPr>
        <w:tc>
          <w:tcPr>
            <w:tcW w:w="1688" w:type="pct"/>
            <w:tcBorders>
              <w:top w:val="nil"/>
              <w:left w:val="single" w:color="auto" w:sz="4" w:space="0"/>
              <w:bottom w:val="single" w:color="auto" w:sz="4" w:space="0"/>
              <w:right w:val="single" w:color="auto" w:sz="4" w:space="0"/>
            </w:tcBorders>
            <w:shd w:val="clear" w:color="000000" w:fill="C0C0C0"/>
            <w:vAlign w:val="center"/>
          </w:tcPr>
          <w:p w14:paraId="62E0AAEF">
            <w:pPr>
              <w:widowControl/>
              <w:spacing w:line="240" w:lineRule="auto"/>
              <w:rPr>
                <w:rFonts w:ascii="宋体" w:hAnsi="宋体" w:eastAsia="宋体" w:cs="宋体"/>
                <w:b/>
                <w:bCs/>
                <w:color w:val="000000"/>
                <w:kern w:val="0"/>
                <w:sz w:val="21"/>
              </w:rPr>
            </w:pPr>
            <w:r>
              <w:rPr>
                <w:rFonts w:hint="eastAsia" w:ascii="宋体" w:hAnsi="宋体" w:eastAsia="宋体" w:cs="宋体"/>
                <w:b/>
                <w:bCs/>
                <w:color w:val="000000"/>
                <w:kern w:val="0"/>
                <w:sz w:val="21"/>
              </w:rPr>
              <w:t>变更说明</w:t>
            </w:r>
          </w:p>
        </w:tc>
        <w:tc>
          <w:tcPr>
            <w:tcW w:w="3312" w:type="pct"/>
            <w:gridSpan w:val="3"/>
            <w:tcBorders>
              <w:top w:val="single" w:color="auto" w:sz="4" w:space="0"/>
              <w:left w:val="nil"/>
              <w:bottom w:val="single" w:color="auto" w:sz="4" w:space="0"/>
              <w:right w:val="single" w:color="auto" w:sz="4" w:space="0"/>
            </w:tcBorders>
            <w:shd w:val="clear" w:color="auto" w:fill="auto"/>
            <w:vAlign w:val="center"/>
          </w:tcPr>
          <w:p w14:paraId="600A914D">
            <w:pPr>
              <w:widowControl/>
              <w:spacing w:line="240" w:lineRule="auto"/>
              <w:rPr>
                <w:rFonts w:ascii="宋体" w:hAnsi="宋体" w:eastAsia="宋体" w:cs="宋体"/>
                <w:color w:val="000000"/>
                <w:kern w:val="0"/>
                <w:sz w:val="21"/>
              </w:rPr>
            </w:pPr>
          </w:p>
        </w:tc>
      </w:tr>
      <w:tr w14:paraId="3E0ACF00">
        <w:tblPrEx>
          <w:tblCellMar>
            <w:top w:w="0" w:type="dxa"/>
            <w:left w:w="108" w:type="dxa"/>
            <w:bottom w:w="0" w:type="dxa"/>
            <w:right w:w="108" w:type="dxa"/>
          </w:tblCellMar>
        </w:tblPrEx>
        <w:trPr>
          <w:trHeight w:val="280" w:hRule="atLeast"/>
        </w:trPr>
        <w:tc>
          <w:tcPr>
            <w:tcW w:w="1688" w:type="pct"/>
            <w:tcBorders>
              <w:top w:val="nil"/>
              <w:left w:val="single" w:color="auto" w:sz="4" w:space="0"/>
              <w:bottom w:val="single" w:color="auto" w:sz="4" w:space="0"/>
              <w:right w:val="single" w:color="auto" w:sz="4" w:space="0"/>
            </w:tcBorders>
            <w:shd w:val="clear" w:color="000000" w:fill="C0C0C0"/>
            <w:vAlign w:val="center"/>
          </w:tcPr>
          <w:p w14:paraId="7993A4E2">
            <w:pPr>
              <w:widowControl/>
              <w:spacing w:line="240" w:lineRule="auto"/>
              <w:rPr>
                <w:rFonts w:ascii="宋体" w:hAnsi="宋体" w:eastAsia="宋体" w:cs="宋体"/>
                <w:b/>
                <w:bCs/>
                <w:color w:val="000000"/>
                <w:kern w:val="0"/>
                <w:sz w:val="21"/>
              </w:rPr>
            </w:pPr>
            <w:r>
              <w:rPr>
                <w:rFonts w:hint="eastAsia" w:ascii="宋体" w:hAnsi="宋体" w:eastAsia="宋体" w:cs="宋体"/>
                <w:b/>
                <w:bCs/>
                <w:color w:val="000000"/>
                <w:kern w:val="0"/>
                <w:sz w:val="21"/>
              </w:rPr>
              <w:t>变更原因</w:t>
            </w:r>
          </w:p>
        </w:tc>
        <w:tc>
          <w:tcPr>
            <w:tcW w:w="3312" w:type="pct"/>
            <w:gridSpan w:val="3"/>
            <w:tcBorders>
              <w:top w:val="single" w:color="auto" w:sz="4" w:space="0"/>
              <w:left w:val="nil"/>
              <w:bottom w:val="single" w:color="auto" w:sz="4" w:space="0"/>
              <w:right w:val="single" w:color="auto" w:sz="4" w:space="0"/>
            </w:tcBorders>
            <w:shd w:val="clear" w:color="auto" w:fill="auto"/>
            <w:vAlign w:val="center"/>
          </w:tcPr>
          <w:p w14:paraId="30295E13">
            <w:pPr>
              <w:widowControl/>
              <w:spacing w:line="240" w:lineRule="auto"/>
              <w:rPr>
                <w:rFonts w:ascii="宋体" w:hAnsi="宋体" w:eastAsia="宋体" w:cs="宋体"/>
                <w:color w:val="000000"/>
                <w:kern w:val="0"/>
                <w:sz w:val="21"/>
              </w:rPr>
            </w:pPr>
          </w:p>
        </w:tc>
      </w:tr>
      <w:tr w14:paraId="65912CF3">
        <w:tblPrEx>
          <w:tblCellMar>
            <w:top w:w="0" w:type="dxa"/>
            <w:left w:w="108" w:type="dxa"/>
            <w:bottom w:w="0" w:type="dxa"/>
            <w:right w:w="108" w:type="dxa"/>
          </w:tblCellMar>
        </w:tblPrEx>
        <w:trPr>
          <w:trHeight w:val="208" w:hRule="atLeast"/>
        </w:trPr>
        <w:tc>
          <w:tcPr>
            <w:tcW w:w="1688" w:type="pct"/>
            <w:tcBorders>
              <w:top w:val="nil"/>
              <w:left w:val="single" w:color="auto" w:sz="4" w:space="0"/>
              <w:bottom w:val="single" w:color="auto" w:sz="4" w:space="0"/>
              <w:right w:val="single" w:color="auto" w:sz="4" w:space="0"/>
            </w:tcBorders>
            <w:shd w:val="clear" w:color="000000" w:fill="C0C0C0"/>
            <w:vAlign w:val="center"/>
          </w:tcPr>
          <w:p w14:paraId="3FB41382">
            <w:pPr>
              <w:widowControl/>
              <w:spacing w:line="240" w:lineRule="auto"/>
              <w:rPr>
                <w:rFonts w:ascii="宋体" w:hAnsi="宋体" w:eastAsia="宋体" w:cs="宋体"/>
                <w:b/>
                <w:bCs/>
                <w:color w:val="000000"/>
                <w:kern w:val="0"/>
                <w:sz w:val="21"/>
              </w:rPr>
            </w:pPr>
            <w:r>
              <w:rPr>
                <w:rFonts w:hint="eastAsia" w:ascii="宋体" w:hAnsi="宋体" w:eastAsia="宋体" w:cs="宋体"/>
                <w:b/>
                <w:bCs/>
                <w:color w:val="000000"/>
                <w:kern w:val="0"/>
                <w:sz w:val="21"/>
              </w:rPr>
              <w:t>变更影响的配置项</w:t>
            </w:r>
          </w:p>
        </w:tc>
        <w:tc>
          <w:tcPr>
            <w:tcW w:w="3312" w:type="pct"/>
            <w:gridSpan w:val="3"/>
            <w:tcBorders>
              <w:top w:val="single" w:color="auto" w:sz="4" w:space="0"/>
              <w:left w:val="nil"/>
              <w:bottom w:val="single" w:color="auto" w:sz="4" w:space="0"/>
              <w:right w:val="single" w:color="auto" w:sz="4" w:space="0"/>
            </w:tcBorders>
            <w:shd w:val="clear" w:color="auto" w:fill="auto"/>
            <w:vAlign w:val="center"/>
          </w:tcPr>
          <w:p w14:paraId="7A5D3A44">
            <w:pPr>
              <w:widowControl/>
              <w:spacing w:line="240" w:lineRule="auto"/>
              <w:rPr>
                <w:rFonts w:ascii="宋体" w:hAnsi="宋体" w:eastAsia="宋体" w:cs="宋体"/>
                <w:color w:val="000000"/>
                <w:kern w:val="0"/>
                <w:sz w:val="21"/>
              </w:rPr>
            </w:pPr>
          </w:p>
        </w:tc>
      </w:tr>
      <w:tr w14:paraId="69B5D280">
        <w:tblPrEx>
          <w:tblCellMar>
            <w:top w:w="0" w:type="dxa"/>
            <w:left w:w="108" w:type="dxa"/>
            <w:bottom w:w="0" w:type="dxa"/>
            <w:right w:w="108" w:type="dxa"/>
          </w:tblCellMar>
        </w:tblPrEx>
        <w:trPr>
          <w:trHeight w:val="244" w:hRule="atLeast"/>
        </w:trPr>
        <w:tc>
          <w:tcPr>
            <w:tcW w:w="1688" w:type="pct"/>
            <w:tcBorders>
              <w:top w:val="nil"/>
              <w:left w:val="single" w:color="auto" w:sz="4" w:space="0"/>
              <w:bottom w:val="single" w:color="auto" w:sz="4" w:space="0"/>
              <w:right w:val="single" w:color="auto" w:sz="4" w:space="0"/>
            </w:tcBorders>
            <w:shd w:val="clear" w:color="000000" w:fill="C0C0C0"/>
            <w:vAlign w:val="center"/>
          </w:tcPr>
          <w:p w14:paraId="0D765600">
            <w:pPr>
              <w:widowControl/>
              <w:spacing w:line="240" w:lineRule="auto"/>
              <w:rPr>
                <w:rFonts w:ascii="宋体" w:hAnsi="宋体" w:eastAsia="宋体" w:cs="宋体"/>
                <w:b/>
                <w:bCs/>
                <w:color w:val="000000"/>
                <w:kern w:val="0"/>
                <w:sz w:val="21"/>
              </w:rPr>
            </w:pPr>
            <w:r>
              <w:rPr>
                <w:rFonts w:hint="eastAsia" w:ascii="宋体" w:hAnsi="宋体" w:eastAsia="宋体" w:cs="宋体"/>
                <w:b/>
                <w:bCs/>
                <w:color w:val="000000"/>
                <w:kern w:val="0"/>
                <w:sz w:val="21"/>
              </w:rPr>
              <w:t>范围影响估计</w:t>
            </w:r>
          </w:p>
        </w:tc>
        <w:tc>
          <w:tcPr>
            <w:tcW w:w="3312" w:type="pct"/>
            <w:gridSpan w:val="3"/>
            <w:tcBorders>
              <w:top w:val="single" w:color="auto" w:sz="4" w:space="0"/>
              <w:left w:val="nil"/>
              <w:bottom w:val="single" w:color="auto" w:sz="4" w:space="0"/>
              <w:right w:val="single" w:color="auto" w:sz="4" w:space="0"/>
            </w:tcBorders>
            <w:shd w:val="clear" w:color="auto" w:fill="auto"/>
            <w:vAlign w:val="center"/>
          </w:tcPr>
          <w:p w14:paraId="0FCDEACF">
            <w:pPr>
              <w:widowControl/>
              <w:spacing w:line="240" w:lineRule="auto"/>
              <w:rPr>
                <w:rFonts w:ascii="宋体" w:hAnsi="宋体" w:eastAsia="宋体" w:cs="宋体"/>
                <w:color w:val="000000"/>
                <w:kern w:val="0"/>
                <w:sz w:val="21"/>
              </w:rPr>
            </w:pPr>
          </w:p>
        </w:tc>
      </w:tr>
      <w:tr w14:paraId="71F3A988">
        <w:tblPrEx>
          <w:tblCellMar>
            <w:top w:w="0" w:type="dxa"/>
            <w:left w:w="108" w:type="dxa"/>
            <w:bottom w:w="0" w:type="dxa"/>
            <w:right w:w="108" w:type="dxa"/>
          </w:tblCellMar>
        </w:tblPrEx>
        <w:trPr>
          <w:trHeight w:val="280" w:hRule="atLeast"/>
        </w:trPr>
        <w:tc>
          <w:tcPr>
            <w:tcW w:w="1688" w:type="pct"/>
            <w:tcBorders>
              <w:top w:val="nil"/>
              <w:left w:val="single" w:color="auto" w:sz="4" w:space="0"/>
              <w:bottom w:val="single" w:color="auto" w:sz="4" w:space="0"/>
              <w:right w:val="single" w:color="auto" w:sz="4" w:space="0"/>
            </w:tcBorders>
            <w:shd w:val="clear" w:color="000000" w:fill="C0C0C0"/>
            <w:vAlign w:val="center"/>
          </w:tcPr>
          <w:p w14:paraId="7F596764">
            <w:pPr>
              <w:widowControl/>
              <w:spacing w:line="240" w:lineRule="auto"/>
              <w:rPr>
                <w:rFonts w:ascii="宋体" w:hAnsi="宋体" w:eastAsia="宋体" w:cs="宋体"/>
                <w:b/>
                <w:bCs/>
                <w:color w:val="000000"/>
                <w:kern w:val="0"/>
                <w:sz w:val="21"/>
              </w:rPr>
            </w:pPr>
            <w:r>
              <w:rPr>
                <w:rFonts w:hint="eastAsia" w:ascii="宋体" w:hAnsi="宋体" w:eastAsia="宋体" w:cs="宋体"/>
                <w:b/>
                <w:bCs/>
                <w:color w:val="000000"/>
                <w:kern w:val="0"/>
                <w:sz w:val="21"/>
              </w:rPr>
              <w:t>工作量影响估计</w:t>
            </w:r>
          </w:p>
        </w:tc>
        <w:tc>
          <w:tcPr>
            <w:tcW w:w="3312" w:type="pct"/>
            <w:gridSpan w:val="3"/>
            <w:tcBorders>
              <w:top w:val="single" w:color="auto" w:sz="4" w:space="0"/>
              <w:left w:val="nil"/>
              <w:bottom w:val="single" w:color="auto" w:sz="4" w:space="0"/>
              <w:right w:val="single" w:color="auto" w:sz="4" w:space="0"/>
            </w:tcBorders>
            <w:shd w:val="clear" w:color="auto" w:fill="auto"/>
            <w:vAlign w:val="center"/>
          </w:tcPr>
          <w:p w14:paraId="23E060F0">
            <w:pPr>
              <w:widowControl/>
              <w:spacing w:line="240" w:lineRule="auto"/>
              <w:rPr>
                <w:rFonts w:ascii="宋体" w:hAnsi="宋体" w:eastAsia="宋体" w:cs="宋体"/>
                <w:color w:val="000000"/>
                <w:kern w:val="0"/>
                <w:sz w:val="21"/>
              </w:rPr>
            </w:pPr>
          </w:p>
        </w:tc>
      </w:tr>
      <w:tr w14:paraId="65389433">
        <w:tblPrEx>
          <w:tblCellMar>
            <w:top w:w="0" w:type="dxa"/>
            <w:left w:w="108" w:type="dxa"/>
            <w:bottom w:w="0" w:type="dxa"/>
            <w:right w:w="108" w:type="dxa"/>
          </w:tblCellMar>
        </w:tblPrEx>
        <w:trPr>
          <w:trHeight w:val="317" w:hRule="atLeast"/>
        </w:trPr>
        <w:tc>
          <w:tcPr>
            <w:tcW w:w="1688" w:type="pct"/>
            <w:tcBorders>
              <w:top w:val="nil"/>
              <w:left w:val="single" w:color="auto" w:sz="4" w:space="0"/>
              <w:bottom w:val="single" w:color="auto" w:sz="4" w:space="0"/>
              <w:right w:val="single" w:color="auto" w:sz="4" w:space="0"/>
            </w:tcBorders>
            <w:shd w:val="clear" w:color="000000" w:fill="C0C0C0"/>
            <w:vAlign w:val="center"/>
          </w:tcPr>
          <w:p w14:paraId="2BBBB826">
            <w:pPr>
              <w:widowControl/>
              <w:spacing w:line="240" w:lineRule="auto"/>
              <w:rPr>
                <w:rFonts w:ascii="宋体" w:hAnsi="宋体" w:eastAsia="宋体" w:cs="宋体"/>
                <w:b/>
                <w:bCs/>
                <w:color w:val="000000"/>
                <w:kern w:val="0"/>
                <w:sz w:val="21"/>
              </w:rPr>
            </w:pPr>
            <w:r>
              <w:rPr>
                <w:rFonts w:hint="eastAsia" w:ascii="宋体" w:hAnsi="宋体" w:eastAsia="宋体" w:cs="宋体"/>
                <w:b/>
                <w:bCs/>
                <w:color w:val="000000"/>
                <w:kern w:val="0"/>
                <w:sz w:val="21"/>
              </w:rPr>
              <w:t>进度影响估计</w:t>
            </w:r>
          </w:p>
        </w:tc>
        <w:tc>
          <w:tcPr>
            <w:tcW w:w="3312" w:type="pct"/>
            <w:gridSpan w:val="3"/>
            <w:tcBorders>
              <w:top w:val="single" w:color="auto" w:sz="4" w:space="0"/>
              <w:left w:val="nil"/>
              <w:bottom w:val="single" w:color="auto" w:sz="4" w:space="0"/>
              <w:right w:val="single" w:color="auto" w:sz="4" w:space="0"/>
            </w:tcBorders>
            <w:shd w:val="clear" w:color="auto" w:fill="auto"/>
            <w:vAlign w:val="center"/>
          </w:tcPr>
          <w:p w14:paraId="5B945974">
            <w:pPr>
              <w:widowControl/>
              <w:spacing w:line="240" w:lineRule="auto"/>
              <w:rPr>
                <w:rFonts w:ascii="宋体" w:hAnsi="宋体" w:eastAsia="宋体" w:cs="宋体"/>
                <w:color w:val="000000"/>
                <w:kern w:val="0"/>
                <w:sz w:val="21"/>
              </w:rPr>
            </w:pPr>
          </w:p>
        </w:tc>
      </w:tr>
      <w:tr w14:paraId="523EA138">
        <w:tblPrEx>
          <w:tblCellMar>
            <w:top w:w="0" w:type="dxa"/>
            <w:left w:w="108" w:type="dxa"/>
            <w:bottom w:w="0" w:type="dxa"/>
            <w:right w:w="108" w:type="dxa"/>
          </w:tblCellMar>
        </w:tblPrEx>
        <w:trPr>
          <w:trHeight w:val="352" w:hRule="atLeast"/>
        </w:trPr>
        <w:tc>
          <w:tcPr>
            <w:tcW w:w="1688" w:type="pct"/>
            <w:tcBorders>
              <w:top w:val="nil"/>
              <w:left w:val="single" w:color="auto" w:sz="4" w:space="0"/>
              <w:bottom w:val="single" w:color="auto" w:sz="4" w:space="0"/>
              <w:right w:val="single" w:color="auto" w:sz="4" w:space="0"/>
            </w:tcBorders>
            <w:shd w:val="clear" w:color="000000" w:fill="C0C0C0"/>
            <w:vAlign w:val="center"/>
          </w:tcPr>
          <w:p w14:paraId="469A594B">
            <w:pPr>
              <w:widowControl/>
              <w:spacing w:line="240" w:lineRule="auto"/>
              <w:rPr>
                <w:rFonts w:ascii="宋体" w:hAnsi="宋体" w:eastAsia="宋体" w:cs="宋体"/>
                <w:b/>
                <w:bCs/>
                <w:color w:val="000000"/>
                <w:kern w:val="0"/>
                <w:sz w:val="21"/>
              </w:rPr>
            </w:pPr>
            <w:r>
              <w:rPr>
                <w:rFonts w:hint="eastAsia" w:ascii="宋体" w:hAnsi="宋体" w:eastAsia="宋体" w:cs="宋体"/>
                <w:b/>
                <w:bCs/>
                <w:color w:val="000000"/>
                <w:kern w:val="0"/>
                <w:sz w:val="21"/>
              </w:rPr>
              <w:t>成本影响估计</w:t>
            </w:r>
          </w:p>
        </w:tc>
        <w:tc>
          <w:tcPr>
            <w:tcW w:w="3312" w:type="pct"/>
            <w:gridSpan w:val="3"/>
            <w:tcBorders>
              <w:top w:val="single" w:color="auto" w:sz="4" w:space="0"/>
              <w:left w:val="nil"/>
              <w:bottom w:val="single" w:color="auto" w:sz="4" w:space="0"/>
              <w:right w:val="single" w:color="auto" w:sz="4" w:space="0"/>
            </w:tcBorders>
            <w:shd w:val="clear" w:color="auto" w:fill="auto"/>
            <w:vAlign w:val="center"/>
          </w:tcPr>
          <w:p w14:paraId="2A607A40">
            <w:pPr>
              <w:widowControl/>
              <w:spacing w:line="240" w:lineRule="auto"/>
              <w:rPr>
                <w:rFonts w:ascii="宋体" w:hAnsi="宋体" w:eastAsia="宋体" w:cs="宋体"/>
                <w:color w:val="000000"/>
                <w:kern w:val="0"/>
                <w:sz w:val="21"/>
              </w:rPr>
            </w:pPr>
          </w:p>
        </w:tc>
      </w:tr>
      <w:tr w14:paraId="07086767">
        <w:tblPrEx>
          <w:tblCellMar>
            <w:top w:w="0" w:type="dxa"/>
            <w:left w:w="108" w:type="dxa"/>
            <w:bottom w:w="0" w:type="dxa"/>
            <w:right w:w="108" w:type="dxa"/>
          </w:tblCellMar>
        </w:tblPrEx>
        <w:trPr>
          <w:trHeight w:val="272" w:hRule="atLeast"/>
        </w:trPr>
        <w:tc>
          <w:tcPr>
            <w:tcW w:w="1688" w:type="pct"/>
            <w:tcBorders>
              <w:top w:val="nil"/>
              <w:left w:val="single" w:color="auto" w:sz="4" w:space="0"/>
              <w:bottom w:val="single" w:color="auto" w:sz="4" w:space="0"/>
              <w:right w:val="single" w:color="auto" w:sz="4" w:space="0"/>
            </w:tcBorders>
            <w:shd w:val="clear" w:color="000000" w:fill="C0C0C0"/>
            <w:vAlign w:val="center"/>
          </w:tcPr>
          <w:p w14:paraId="47BBD57C">
            <w:pPr>
              <w:widowControl/>
              <w:spacing w:line="240" w:lineRule="auto"/>
              <w:rPr>
                <w:rFonts w:ascii="宋体" w:hAnsi="宋体" w:eastAsia="宋体" w:cs="宋体"/>
                <w:b/>
                <w:bCs/>
                <w:color w:val="000000"/>
                <w:kern w:val="0"/>
                <w:sz w:val="21"/>
              </w:rPr>
            </w:pPr>
            <w:r>
              <w:rPr>
                <w:rFonts w:hint="eastAsia" w:ascii="宋体" w:hAnsi="宋体" w:eastAsia="宋体" w:cs="宋体"/>
                <w:b/>
                <w:bCs/>
                <w:color w:val="000000"/>
                <w:kern w:val="0"/>
                <w:sz w:val="21"/>
              </w:rPr>
              <w:t>质量影响估计</w:t>
            </w:r>
          </w:p>
        </w:tc>
        <w:tc>
          <w:tcPr>
            <w:tcW w:w="3312" w:type="pct"/>
            <w:gridSpan w:val="3"/>
            <w:tcBorders>
              <w:top w:val="single" w:color="auto" w:sz="4" w:space="0"/>
              <w:left w:val="nil"/>
              <w:bottom w:val="single" w:color="auto" w:sz="4" w:space="0"/>
              <w:right w:val="single" w:color="auto" w:sz="4" w:space="0"/>
            </w:tcBorders>
            <w:shd w:val="clear" w:color="auto" w:fill="auto"/>
            <w:vAlign w:val="center"/>
          </w:tcPr>
          <w:p w14:paraId="0BF9BE5B">
            <w:pPr>
              <w:widowControl/>
              <w:spacing w:line="240" w:lineRule="auto"/>
              <w:rPr>
                <w:rFonts w:ascii="宋体" w:hAnsi="宋体" w:eastAsia="宋体" w:cs="宋体"/>
                <w:color w:val="000000"/>
                <w:kern w:val="0"/>
                <w:sz w:val="21"/>
              </w:rPr>
            </w:pPr>
          </w:p>
        </w:tc>
      </w:tr>
    </w:tbl>
    <w:p w14:paraId="687392B0">
      <w:pPr>
        <w:pStyle w:val="52"/>
        <w:ind w:firstLine="480"/>
      </w:pPr>
      <w:r>
        <w:rPr>
          <w:rFonts w:hint="eastAsia"/>
        </w:rPr>
        <w:t>2.评估变更</w:t>
      </w:r>
    </w:p>
    <w:p w14:paraId="34CF5396">
      <w:pPr>
        <w:pStyle w:val="52"/>
        <w:ind w:firstLine="480"/>
      </w:pPr>
      <w:r>
        <w:rPr>
          <w:rFonts w:hint="eastAsia"/>
        </w:rPr>
        <w:t>我方指定的评估人员将充分评估变更对项目整体计划、进度、费用及质量的影响，进行全面的评估，在五个工作日内，填写变更评估表，以书面形式提交甲方。</w:t>
      </w:r>
    </w:p>
    <w:tbl>
      <w:tblPr>
        <w:tblStyle w:val="32"/>
        <w:tblW w:w="5000" w:type="pct"/>
        <w:tblInd w:w="0" w:type="dxa"/>
        <w:tblLayout w:type="autofit"/>
        <w:tblCellMar>
          <w:top w:w="0" w:type="dxa"/>
          <w:left w:w="108" w:type="dxa"/>
          <w:bottom w:w="0" w:type="dxa"/>
          <w:right w:w="108" w:type="dxa"/>
        </w:tblCellMar>
      </w:tblPr>
      <w:tblGrid>
        <w:gridCol w:w="2266"/>
        <w:gridCol w:w="2837"/>
        <w:gridCol w:w="1562"/>
        <w:gridCol w:w="2405"/>
      </w:tblGrid>
      <w:tr w14:paraId="2A1CF60D">
        <w:tblPrEx>
          <w:tblCellMar>
            <w:top w:w="0" w:type="dxa"/>
            <w:left w:w="108" w:type="dxa"/>
            <w:bottom w:w="0" w:type="dxa"/>
            <w:right w:w="108" w:type="dxa"/>
          </w:tblCellMar>
        </w:tblPrEx>
        <w:trPr>
          <w:trHeight w:val="280" w:hRule="atLeast"/>
        </w:trPr>
        <w:tc>
          <w:tcPr>
            <w:tcW w:w="5000" w:type="pct"/>
            <w:gridSpan w:val="4"/>
            <w:tcBorders>
              <w:top w:val="single" w:color="auto" w:sz="4" w:space="0"/>
              <w:left w:val="single" w:color="auto" w:sz="4" w:space="0"/>
              <w:bottom w:val="single" w:color="auto" w:sz="4" w:space="0"/>
              <w:right w:val="single" w:color="auto" w:sz="4" w:space="0"/>
            </w:tcBorders>
            <w:shd w:val="clear" w:color="000000" w:fill="FFFFFF"/>
            <w:vAlign w:val="center"/>
          </w:tcPr>
          <w:p w14:paraId="10C67FAE">
            <w:pPr>
              <w:widowControl/>
              <w:spacing w:line="240" w:lineRule="auto"/>
              <w:jc w:val="center"/>
              <w:rPr>
                <w:rFonts w:ascii="宋体" w:hAnsi="宋体" w:eastAsia="宋体" w:cs="宋体"/>
                <w:b/>
                <w:bCs/>
                <w:color w:val="000000"/>
                <w:kern w:val="0"/>
                <w:szCs w:val="24"/>
              </w:rPr>
            </w:pPr>
            <w:r>
              <w:rPr>
                <w:rFonts w:hint="eastAsia" w:ascii="宋体" w:hAnsi="宋体" w:eastAsia="宋体" w:cs="宋体"/>
                <w:b/>
                <w:bCs/>
                <w:color w:val="000000"/>
                <w:kern w:val="0"/>
                <w:szCs w:val="24"/>
              </w:rPr>
              <w:t>变更评估单</w:t>
            </w:r>
          </w:p>
        </w:tc>
      </w:tr>
      <w:tr w14:paraId="4546AC81">
        <w:tblPrEx>
          <w:tblCellMar>
            <w:top w:w="0" w:type="dxa"/>
            <w:left w:w="108" w:type="dxa"/>
            <w:bottom w:w="0" w:type="dxa"/>
            <w:right w:w="108" w:type="dxa"/>
          </w:tblCellMar>
        </w:tblPrEx>
        <w:trPr>
          <w:trHeight w:val="280" w:hRule="atLeast"/>
        </w:trPr>
        <w:tc>
          <w:tcPr>
            <w:tcW w:w="1249" w:type="pct"/>
            <w:tcBorders>
              <w:top w:val="nil"/>
              <w:left w:val="single" w:color="auto" w:sz="4" w:space="0"/>
              <w:bottom w:val="single" w:color="auto" w:sz="4" w:space="0"/>
              <w:right w:val="single" w:color="auto" w:sz="4" w:space="0"/>
            </w:tcBorders>
            <w:shd w:val="clear" w:color="000000" w:fill="C0C0C0"/>
            <w:vAlign w:val="center"/>
          </w:tcPr>
          <w:p w14:paraId="34182146">
            <w:pPr>
              <w:widowControl/>
              <w:spacing w:line="240" w:lineRule="auto"/>
              <w:rPr>
                <w:rFonts w:ascii="宋体" w:hAnsi="宋体" w:eastAsia="宋体" w:cs="宋体"/>
                <w:b/>
                <w:bCs/>
                <w:color w:val="000000"/>
                <w:kern w:val="0"/>
                <w:sz w:val="21"/>
              </w:rPr>
            </w:pPr>
            <w:r>
              <w:rPr>
                <w:rFonts w:hint="eastAsia" w:ascii="宋体" w:hAnsi="宋体" w:eastAsia="宋体" w:cs="宋体"/>
                <w:b/>
                <w:bCs/>
                <w:color w:val="000000"/>
                <w:kern w:val="0"/>
                <w:sz w:val="21"/>
              </w:rPr>
              <w:t>项目名称</w:t>
            </w:r>
          </w:p>
        </w:tc>
        <w:tc>
          <w:tcPr>
            <w:tcW w:w="1564" w:type="pct"/>
            <w:tcBorders>
              <w:top w:val="nil"/>
              <w:left w:val="nil"/>
              <w:bottom w:val="single" w:color="auto" w:sz="4" w:space="0"/>
              <w:right w:val="single" w:color="auto" w:sz="4" w:space="0"/>
            </w:tcBorders>
            <w:shd w:val="clear" w:color="auto" w:fill="auto"/>
            <w:vAlign w:val="center"/>
          </w:tcPr>
          <w:p w14:paraId="1CC13806">
            <w:pPr>
              <w:widowControl/>
              <w:spacing w:line="240" w:lineRule="auto"/>
              <w:rPr>
                <w:rFonts w:ascii="宋体" w:hAnsi="宋体" w:eastAsia="宋体" w:cs="宋体"/>
                <w:color w:val="000000"/>
                <w:kern w:val="0"/>
                <w:sz w:val="21"/>
              </w:rPr>
            </w:pPr>
          </w:p>
        </w:tc>
        <w:tc>
          <w:tcPr>
            <w:tcW w:w="861" w:type="pct"/>
            <w:tcBorders>
              <w:top w:val="nil"/>
              <w:left w:val="nil"/>
              <w:bottom w:val="single" w:color="auto" w:sz="4" w:space="0"/>
              <w:right w:val="single" w:color="auto" w:sz="4" w:space="0"/>
            </w:tcBorders>
            <w:shd w:val="clear" w:color="000000" w:fill="C0C0C0"/>
            <w:vAlign w:val="center"/>
          </w:tcPr>
          <w:p w14:paraId="3B8EFD7F">
            <w:pPr>
              <w:widowControl/>
              <w:spacing w:line="240" w:lineRule="auto"/>
              <w:rPr>
                <w:rFonts w:ascii="宋体" w:hAnsi="宋体" w:eastAsia="宋体" w:cs="宋体"/>
                <w:b/>
                <w:bCs/>
                <w:color w:val="000000"/>
                <w:kern w:val="0"/>
                <w:sz w:val="21"/>
              </w:rPr>
            </w:pPr>
            <w:r>
              <w:rPr>
                <w:rFonts w:hint="eastAsia" w:ascii="宋体" w:hAnsi="宋体" w:eastAsia="宋体" w:cs="宋体"/>
                <w:b/>
                <w:bCs/>
                <w:color w:val="000000"/>
                <w:kern w:val="0"/>
                <w:sz w:val="21"/>
              </w:rPr>
              <w:t>变更单编号</w:t>
            </w:r>
          </w:p>
        </w:tc>
        <w:tc>
          <w:tcPr>
            <w:tcW w:w="1326" w:type="pct"/>
            <w:tcBorders>
              <w:top w:val="nil"/>
              <w:left w:val="nil"/>
              <w:bottom w:val="single" w:color="auto" w:sz="4" w:space="0"/>
              <w:right w:val="single" w:color="auto" w:sz="4" w:space="0"/>
            </w:tcBorders>
            <w:shd w:val="clear" w:color="auto" w:fill="auto"/>
            <w:vAlign w:val="center"/>
          </w:tcPr>
          <w:p w14:paraId="779FB744">
            <w:pPr>
              <w:widowControl/>
              <w:spacing w:line="240" w:lineRule="auto"/>
              <w:rPr>
                <w:rFonts w:ascii="宋体" w:hAnsi="宋体" w:eastAsia="宋体" w:cs="宋体"/>
                <w:color w:val="000000"/>
                <w:kern w:val="0"/>
                <w:sz w:val="21"/>
              </w:rPr>
            </w:pPr>
          </w:p>
        </w:tc>
      </w:tr>
      <w:tr w14:paraId="6F8A6967">
        <w:tblPrEx>
          <w:tblCellMar>
            <w:top w:w="0" w:type="dxa"/>
            <w:left w:w="108" w:type="dxa"/>
            <w:bottom w:w="0" w:type="dxa"/>
            <w:right w:w="108" w:type="dxa"/>
          </w:tblCellMar>
        </w:tblPrEx>
        <w:trPr>
          <w:trHeight w:val="280" w:hRule="atLeast"/>
        </w:trPr>
        <w:tc>
          <w:tcPr>
            <w:tcW w:w="1249" w:type="pct"/>
            <w:tcBorders>
              <w:top w:val="nil"/>
              <w:left w:val="single" w:color="auto" w:sz="4" w:space="0"/>
              <w:bottom w:val="single" w:color="auto" w:sz="4" w:space="0"/>
              <w:right w:val="single" w:color="auto" w:sz="4" w:space="0"/>
            </w:tcBorders>
            <w:shd w:val="clear" w:color="000000" w:fill="C0C0C0"/>
            <w:vAlign w:val="center"/>
          </w:tcPr>
          <w:p w14:paraId="4354B3FE">
            <w:pPr>
              <w:widowControl/>
              <w:spacing w:line="240" w:lineRule="auto"/>
              <w:rPr>
                <w:rFonts w:ascii="宋体" w:hAnsi="宋体" w:eastAsia="宋体" w:cs="宋体"/>
                <w:b/>
                <w:bCs/>
                <w:color w:val="000000"/>
                <w:kern w:val="0"/>
                <w:sz w:val="21"/>
              </w:rPr>
            </w:pPr>
            <w:r>
              <w:rPr>
                <w:rFonts w:hint="eastAsia" w:ascii="宋体" w:hAnsi="宋体" w:eastAsia="宋体" w:cs="宋体"/>
                <w:b/>
                <w:bCs/>
                <w:color w:val="000000"/>
                <w:kern w:val="0"/>
                <w:sz w:val="21"/>
              </w:rPr>
              <w:t>评估单位</w:t>
            </w:r>
          </w:p>
        </w:tc>
        <w:tc>
          <w:tcPr>
            <w:tcW w:w="1564" w:type="pct"/>
            <w:tcBorders>
              <w:top w:val="nil"/>
              <w:left w:val="nil"/>
              <w:bottom w:val="single" w:color="auto" w:sz="4" w:space="0"/>
              <w:right w:val="single" w:color="auto" w:sz="4" w:space="0"/>
            </w:tcBorders>
            <w:shd w:val="clear" w:color="auto" w:fill="auto"/>
            <w:vAlign w:val="center"/>
          </w:tcPr>
          <w:p w14:paraId="2389FD07">
            <w:pPr>
              <w:widowControl/>
              <w:spacing w:line="240" w:lineRule="auto"/>
              <w:rPr>
                <w:rFonts w:ascii="宋体" w:hAnsi="宋体" w:eastAsia="宋体" w:cs="宋体"/>
                <w:color w:val="000000"/>
                <w:kern w:val="0"/>
                <w:sz w:val="21"/>
              </w:rPr>
            </w:pPr>
          </w:p>
        </w:tc>
        <w:tc>
          <w:tcPr>
            <w:tcW w:w="861" w:type="pct"/>
            <w:tcBorders>
              <w:top w:val="nil"/>
              <w:left w:val="nil"/>
              <w:bottom w:val="single" w:color="auto" w:sz="4" w:space="0"/>
              <w:right w:val="single" w:color="auto" w:sz="4" w:space="0"/>
            </w:tcBorders>
            <w:shd w:val="clear" w:color="000000" w:fill="C0C0C0"/>
            <w:vAlign w:val="center"/>
          </w:tcPr>
          <w:p w14:paraId="7FBCC2A4">
            <w:pPr>
              <w:widowControl/>
              <w:spacing w:line="240" w:lineRule="auto"/>
              <w:rPr>
                <w:rFonts w:ascii="宋体" w:hAnsi="宋体" w:eastAsia="宋体" w:cs="宋体"/>
                <w:b/>
                <w:bCs/>
                <w:color w:val="000000"/>
                <w:kern w:val="0"/>
                <w:sz w:val="21"/>
              </w:rPr>
            </w:pPr>
            <w:r>
              <w:rPr>
                <w:rFonts w:hint="eastAsia" w:ascii="宋体" w:hAnsi="宋体" w:eastAsia="宋体" w:cs="宋体"/>
                <w:b/>
                <w:bCs/>
                <w:color w:val="000000"/>
                <w:kern w:val="0"/>
                <w:sz w:val="21"/>
              </w:rPr>
              <w:t>评估人</w:t>
            </w:r>
          </w:p>
        </w:tc>
        <w:tc>
          <w:tcPr>
            <w:tcW w:w="1326" w:type="pct"/>
            <w:tcBorders>
              <w:top w:val="nil"/>
              <w:left w:val="nil"/>
              <w:bottom w:val="single" w:color="auto" w:sz="4" w:space="0"/>
              <w:right w:val="single" w:color="auto" w:sz="4" w:space="0"/>
            </w:tcBorders>
            <w:shd w:val="clear" w:color="auto" w:fill="auto"/>
            <w:vAlign w:val="center"/>
          </w:tcPr>
          <w:p w14:paraId="07840A43">
            <w:pPr>
              <w:widowControl/>
              <w:spacing w:line="240" w:lineRule="auto"/>
              <w:rPr>
                <w:rFonts w:ascii="宋体" w:hAnsi="宋体" w:eastAsia="宋体" w:cs="宋体"/>
                <w:color w:val="000000"/>
                <w:kern w:val="0"/>
                <w:sz w:val="21"/>
              </w:rPr>
            </w:pPr>
          </w:p>
        </w:tc>
      </w:tr>
      <w:tr w14:paraId="299C39ED">
        <w:tblPrEx>
          <w:tblCellMar>
            <w:top w:w="0" w:type="dxa"/>
            <w:left w:w="108" w:type="dxa"/>
            <w:bottom w:w="0" w:type="dxa"/>
            <w:right w:w="108" w:type="dxa"/>
          </w:tblCellMar>
        </w:tblPrEx>
        <w:trPr>
          <w:trHeight w:val="280" w:hRule="atLeast"/>
        </w:trPr>
        <w:tc>
          <w:tcPr>
            <w:tcW w:w="1249" w:type="pct"/>
            <w:tcBorders>
              <w:top w:val="nil"/>
              <w:left w:val="single" w:color="auto" w:sz="4" w:space="0"/>
              <w:bottom w:val="single" w:color="auto" w:sz="4" w:space="0"/>
              <w:right w:val="single" w:color="auto" w:sz="4" w:space="0"/>
            </w:tcBorders>
            <w:shd w:val="clear" w:color="000000" w:fill="C0C0C0"/>
            <w:vAlign w:val="center"/>
          </w:tcPr>
          <w:p w14:paraId="2BFA960C">
            <w:pPr>
              <w:widowControl/>
              <w:spacing w:line="240" w:lineRule="auto"/>
              <w:rPr>
                <w:rFonts w:ascii="宋体" w:hAnsi="宋体" w:eastAsia="宋体" w:cs="宋体"/>
                <w:b/>
                <w:bCs/>
                <w:color w:val="000000"/>
                <w:kern w:val="0"/>
                <w:sz w:val="21"/>
              </w:rPr>
            </w:pPr>
            <w:r>
              <w:rPr>
                <w:rFonts w:hint="eastAsia" w:ascii="宋体" w:hAnsi="宋体" w:eastAsia="宋体" w:cs="宋体"/>
                <w:b/>
                <w:bCs/>
                <w:color w:val="000000"/>
                <w:kern w:val="0"/>
                <w:sz w:val="21"/>
              </w:rPr>
              <w:t>联系电话</w:t>
            </w:r>
          </w:p>
        </w:tc>
        <w:tc>
          <w:tcPr>
            <w:tcW w:w="1564" w:type="pct"/>
            <w:tcBorders>
              <w:top w:val="nil"/>
              <w:left w:val="nil"/>
              <w:bottom w:val="single" w:color="auto" w:sz="4" w:space="0"/>
              <w:right w:val="single" w:color="auto" w:sz="4" w:space="0"/>
            </w:tcBorders>
            <w:shd w:val="clear" w:color="auto" w:fill="auto"/>
            <w:vAlign w:val="center"/>
          </w:tcPr>
          <w:p w14:paraId="475B0720">
            <w:pPr>
              <w:widowControl/>
              <w:spacing w:line="240" w:lineRule="auto"/>
              <w:rPr>
                <w:rFonts w:ascii="宋体" w:hAnsi="宋体" w:eastAsia="宋体" w:cs="宋体"/>
                <w:color w:val="000000"/>
                <w:kern w:val="0"/>
                <w:sz w:val="21"/>
              </w:rPr>
            </w:pPr>
          </w:p>
        </w:tc>
        <w:tc>
          <w:tcPr>
            <w:tcW w:w="861" w:type="pct"/>
            <w:tcBorders>
              <w:top w:val="nil"/>
              <w:left w:val="nil"/>
              <w:bottom w:val="single" w:color="auto" w:sz="4" w:space="0"/>
              <w:right w:val="single" w:color="auto" w:sz="4" w:space="0"/>
            </w:tcBorders>
            <w:shd w:val="clear" w:color="000000" w:fill="C0C0C0"/>
            <w:vAlign w:val="center"/>
          </w:tcPr>
          <w:p w14:paraId="0A2D3C62">
            <w:pPr>
              <w:widowControl/>
              <w:spacing w:line="240" w:lineRule="auto"/>
              <w:rPr>
                <w:rFonts w:ascii="宋体" w:hAnsi="宋体" w:eastAsia="宋体" w:cs="宋体"/>
                <w:b/>
                <w:bCs/>
                <w:color w:val="000000"/>
                <w:kern w:val="0"/>
                <w:sz w:val="21"/>
              </w:rPr>
            </w:pPr>
            <w:r>
              <w:rPr>
                <w:rFonts w:hint="eastAsia" w:ascii="宋体" w:hAnsi="宋体" w:eastAsia="宋体" w:cs="宋体"/>
                <w:b/>
                <w:bCs/>
                <w:color w:val="000000"/>
                <w:kern w:val="0"/>
                <w:sz w:val="21"/>
              </w:rPr>
              <w:t>评估日期</w:t>
            </w:r>
          </w:p>
        </w:tc>
        <w:tc>
          <w:tcPr>
            <w:tcW w:w="1326" w:type="pct"/>
            <w:tcBorders>
              <w:top w:val="nil"/>
              <w:left w:val="nil"/>
              <w:bottom w:val="single" w:color="auto" w:sz="4" w:space="0"/>
              <w:right w:val="single" w:color="auto" w:sz="4" w:space="0"/>
            </w:tcBorders>
            <w:shd w:val="clear" w:color="auto" w:fill="auto"/>
            <w:vAlign w:val="center"/>
          </w:tcPr>
          <w:p w14:paraId="04722258">
            <w:pPr>
              <w:widowControl/>
              <w:spacing w:line="240" w:lineRule="auto"/>
              <w:rPr>
                <w:rFonts w:ascii="宋体" w:hAnsi="宋体" w:eastAsia="宋体" w:cs="宋体"/>
                <w:color w:val="000000"/>
                <w:kern w:val="0"/>
                <w:sz w:val="21"/>
              </w:rPr>
            </w:pPr>
          </w:p>
        </w:tc>
      </w:tr>
      <w:tr w14:paraId="182EC54D">
        <w:tblPrEx>
          <w:tblCellMar>
            <w:top w:w="0" w:type="dxa"/>
            <w:left w:w="108" w:type="dxa"/>
            <w:bottom w:w="0" w:type="dxa"/>
            <w:right w:w="108" w:type="dxa"/>
          </w:tblCellMar>
        </w:tblPrEx>
        <w:trPr>
          <w:trHeight w:val="280" w:hRule="atLeast"/>
        </w:trPr>
        <w:tc>
          <w:tcPr>
            <w:tcW w:w="1249" w:type="pct"/>
            <w:tcBorders>
              <w:top w:val="nil"/>
              <w:left w:val="single" w:color="auto" w:sz="4" w:space="0"/>
              <w:bottom w:val="single" w:color="auto" w:sz="4" w:space="0"/>
              <w:right w:val="single" w:color="auto" w:sz="4" w:space="0"/>
            </w:tcBorders>
            <w:shd w:val="clear" w:color="000000" w:fill="C0C0C0"/>
            <w:vAlign w:val="center"/>
          </w:tcPr>
          <w:p w14:paraId="6966F629">
            <w:pPr>
              <w:widowControl/>
              <w:spacing w:line="240" w:lineRule="auto"/>
              <w:rPr>
                <w:rFonts w:ascii="宋体" w:hAnsi="宋体" w:eastAsia="宋体" w:cs="宋体"/>
                <w:b/>
                <w:bCs/>
                <w:color w:val="000000"/>
                <w:kern w:val="0"/>
                <w:sz w:val="21"/>
              </w:rPr>
            </w:pPr>
            <w:r>
              <w:rPr>
                <w:rFonts w:hint="eastAsia" w:ascii="宋体" w:hAnsi="宋体" w:eastAsia="宋体" w:cs="宋体"/>
                <w:b/>
                <w:bCs/>
                <w:color w:val="000000"/>
                <w:kern w:val="0"/>
                <w:sz w:val="21"/>
              </w:rPr>
              <w:t>变更影响的配置项</w:t>
            </w:r>
          </w:p>
        </w:tc>
        <w:tc>
          <w:tcPr>
            <w:tcW w:w="3751" w:type="pct"/>
            <w:gridSpan w:val="3"/>
            <w:tcBorders>
              <w:top w:val="single" w:color="auto" w:sz="4" w:space="0"/>
              <w:left w:val="nil"/>
              <w:bottom w:val="single" w:color="auto" w:sz="4" w:space="0"/>
              <w:right w:val="single" w:color="auto" w:sz="4" w:space="0"/>
            </w:tcBorders>
            <w:shd w:val="clear" w:color="auto" w:fill="auto"/>
            <w:vAlign w:val="center"/>
          </w:tcPr>
          <w:p w14:paraId="2DFE8486">
            <w:pPr>
              <w:widowControl/>
              <w:spacing w:line="240" w:lineRule="auto"/>
              <w:rPr>
                <w:rFonts w:ascii="宋体" w:hAnsi="宋体" w:eastAsia="宋体" w:cs="宋体"/>
                <w:color w:val="000000"/>
                <w:kern w:val="0"/>
                <w:sz w:val="21"/>
              </w:rPr>
            </w:pPr>
          </w:p>
        </w:tc>
      </w:tr>
      <w:tr w14:paraId="596C611E">
        <w:tblPrEx>
          <w:tblCellMar>
            <w:top w:w="0" w:type="dxa"/>
            <w:left w:w="108" w:type="dxa"/>
            <w:bottom w:w="0" w:type="dxa"/>
            <w:right w:w="108" w:type="dxa"/>
          </w:tblCellMar>
        </w:tblPrEx>
        <w:trPr>
          <w:trHeight w:val="280" w:hRule="atLeast"/>
        </w:trPr>
        <w:tc>
          <w:tcPr>
            <w:tcW w:w="1249" w:type="pct"/>
            <w:tcBorders>
              <w:top w:val="nil"/>
              <w:left w:val="single" w:color="auto" w:sz="4" w:space="0"/>
              <w:bottom w:val="single" w:color="auto" w:sz="4" w:space="0"/>
              <w:right w:val="single" w:color="auto" w:sz="4" w:space="0"/>
            </w:tcBorders>
            <w:shd w:val="clear" w:color="000000" w:fill="C0C0C0"/>
            <w:vAlign w:val="center"/>
          </w:tcPr>
          <w:p w14:paraId="5553CC6D">
            <w:pPr>
              <w:widowControl/>
              <w:spacing w:line="240" w:lineRule="auto"/>
              <w:rPr>
                <w:rFonts w:ascii="宋体" w:hAnsi="宋体" w:eastAsia="宋体" w:cs="宋体"/>
                <w:b/>
                <w:bCs/>
                <w:color w:val="000000"/>
                <w:kern w:val="0"/>
                <w:sz w:val="21"/>
              </w:rPr>
            </w:pPr>
            <w:r>
              <w:rPr>
                <w:rFonts w:hint="eastAsia" w:ascii="宋体" w:hAnsi="宋体" w:eastAsia="宋体" w:cs="宋体"/>
                <w:b/>
                <w:bCs/>
                <w:color w:val="000000"/>
                <w:kern w:val="0"/>
                <w:sz w:val="21"/>
              </w:rPr>
              <w:t>范围影响评估</w:t>
            </w:r>
          </w:p>
        </w:tc>
        <w:tc>
          <w:tcPr>
            <w:tcW w:w="3751" w:type="pct"/>
            <w:gridSpan w:val="3"/>
            <w:tcBorders>
              <w:top w:val="single" w:color="auto" w:sz="4" w:space="0"/>
              <w:left w:val="nil"/>
              <w:bottom w:val="single" w:color="auto" w:sz="4" w:space="0"/>
              <w:right w:val="single" w:color="auto" w:sz="4" w:space="0"/>
            </w:tcBorders>
            <w:shd w:val="clear" w:color="auto" w:fill="auto"/>
            <w:vAlign w:val="center"/>
          </w:tcPr>
          <w:p w14:paraId="0AD646F2">
            <w:pPr>
              <w:widowControl/>
              <w:spacing w:line="240" w:lineRule="auto"/>
              <w:rPr>
                <w:rFonts w:ascii="宋体" w:hAnsi="宋体" w:eastAsia="宋体" w:cs="宋体"/>
                <w:color w:val="000000"/>
                <w:kern w:val="0"/>
                <w:sz w:val="21"/>
              </w:rPr>
            </w:pPr>
          </w:p>
        </w:tc>
      </w:tr>
      <w:tr w14:paraId="49EF7AFF">
        <w:tblPrEx>
          <w:tblCellMar>
            <w:top w:w="0" w:type="dxa"/>
            <w:left w:w="108" w:type="dxa"/>
            <w:bottom w:w="0" w:type="dxa"/>
            <w:right w:w="108" w:type="dxa"/>
          </w:tblCellMar>
        </w:tblPrEx>
        <w:trPr>
          <w:trHeight w:val="280" w:hRule="atLeast"/>
        </w:trPr>
        <w:tc>
          <w:tcPr>
            <w:tcW w:w="1249" w:type="pct"/>
            <w:tcBorders>
              <w:top w:val="nil"/>
              <w:left w:val="single" w:color="auto" w:sz="4" w:space="0"/>
              <w:bottom w:val="single" w:color="auto" w:sz="4" w:space="0"/>
              <w:right w:val="single" w:color="auto" w:sz="4" w:space="0"/>
            </w:tcBorders>
            <w:shd w:val="clear" w:color="000000" w:fill="C0C0C0"/>
            <w:vAlign w:val="center"/>
          </w:tcPr>
          <w:p w14:paraId="2DD6A65F">
            <w:pPr>
              <w:widowControl/>
              <w:spacing w:line="240" w:lineRule="auto"/>
              <w:rPr>
                <w:rFonts w:ascii="宋体" w:hAnsi="宋体" w:eastAsia="宋体" w:cs="宋体"/>
                <w:b/>
                <w:bCs/>
                <w:color w:val="000000"/>
                <w:kern w:val="0"/>
                <w:sz w:val="21"/>
              </w:rPr>
            </w:pPr>
            <w:r>
              <w:rPr>
                <w:rFonts w:hint="eastAsia" w:ascii="宋体" w:hAnsi="宋体" w:eastAsia="宋体" w:cs="宋体"/>
                <w:b/>
                <w:bCs/>
                <w:color w:val="000000"/>
                <w:kern w:val="0"/>
                <w:sz w:val="21"/>
              </w:rPr>
              <w:t>工作量评估</w:t>
            </w:r>
          </w:p>
        </w:tc>
        <w:tc>
          <w:tcPr>
            <w:tcW w:w="3751" w:type="pct"/>
            <w:gridSpan w:val="3"/>
            <w:tcBorders>
              <w:top w:val="single" w:color="auto" w:sz="4" w:space="0"/>
              <w:left w:val="nil"/>
              <w:bottom w:val="single" w:color="auto" w:sz="4" w:space="0"/>
              <w:right w:val="single" w:color="auto" w:sz="4" w:space="0"/>
            </w:tcBorders>
            <w:shd w:val="clear" w:color="auto" w:fill="auto"/>
            <w:vAlign w:val="center"/>
          </w:tcPr>
          <w:p w14:paraId="1EB968A0">
            <w:pPr>
              <w:widowControl/>
              <w:spacing w:line="240" w:lineRule="auto"/>
              <w:rPr>
                <w:rFonts w:ascii="宋体" w:hAnsi="宋体" w:eastAsia="宋体" w:cs="宋体"/>
                <w:color w:val="000000"/>
                <w:kern w:val="0"/>
                <w:sz w:val="21"/>
              </w:rPr>
            </w:pPr>
          </w:p>
        </w:tc>
      </w:tr>
      <w:tr w14:paraId="6F1F6635">
        <w:tblPrEx>
          <w:tblCellMar>
            <w:top w:w="0" w:type="dxa"/>
            <w:left w:w="108" w:type="dxa"/>
            <w:bottom w:w="0" w:type="dxa"/>
            <w:right w:w="108" w:type="dxa"/>
          </w:tblCellMar>
        </w:tblPrEx>
        <w:trPr>
          <w:trHeight w:val="280" w:hRule="atLeast"/>
        </w:trPr>
        <w:tc>
          <w:tcPr>
            <w:tcW w:w="1249" w:type="pct"/>
            <w:tcBorders>
              <w:top w:val="nil"/>
              <w:left w:val="single" w:color="auto" w:sz="4" w:space="0"/>
              <w:bottom w:val="single" w:color="auto" w:sz="4" w:space="0"/>
              <w:right w:val="single" w:color="auto" w:sz="4" w:space="0"/>
            </w:tcBorders>
            <w:shd w:val="clear" w:color="000000" w:fill="C0C0C0"/>
            <w:vAlign w:val="center"/>
          </w:tcPr>
          <w:p w14:paraId="034E5D4F">
            <w:pPr>
              <w:widowControl/>
              <w:spacing w:line="240" w:lineRule="auto"/>
              <w:rPr>
                <w:rFonts w:ascii="宋体" w:hAnsi="宋体" w:eastAsia="宋体" w:cs="宋体"/>
                <w:b/>
                <w:bCs/>
                <w:color w:val="000000"/>
                <w:kern w:val="0"/>
                <w:sz w:val="21"/>
              </w:rPr>
            </w:pPr>
            <w:r>
              <w:rPr>
                <w:rFonts w:hint="eastAsia" w:ascii="宋体" w:hAnsi="宋体" w:eastAsia="宋体" w:cs="宋体"/>
                <w:b/>
                <w:bCs/>
                <w:color w:val="000000"/>
                <w:kern w:val="0"/>
                <w:sz w:val="21"/>
              </w:rPr>
              <w:t>进度影响评估</w:t>
            </w:r>
          </w:p>
        </w:tc>
        <w:tc>
          <w:tcPr>
            <w:tcW w:w="3751" w:type="pct"/>
            <w:gridSpan w:val="3"/>
            <w:tcBorders>
              <w:top w:val="single" w:color="auto" w:sz="4" w:space="0"/>
              <w:left w:val="nil"/>
              <w:bottom w:val="single" w:color="auto" w:sz="4" w:space="0"/>
              <w:right w:val="single" w:color="auto" w:sz="4" w:space="0"/>
            </w:tcBorders>
            <w:shd w:val="clear" w:color="auto" w:fill="auto"/>
            <w:vAlign w:val="center"/>
          </w:tcPr>
          <w:p w14:paraId="705E5CEA">
            <w:pPr>
              <w:widowControl/>
              <w:spacing w:line="240" w:lineRule="auto"/>
              <w:rPr>
                <w:rFonts w:ascii="宋体" w:hAnsi="宋体" w:eastAsia="宋体" w:cs="宋体"/>
                <w:color w:val="000000"/>
                <w:kern w:val="0"/>
                <w:sz w:val="21"/>
              </w:rPr>
            </w:pPr>
          </w:p>
        </w:tc>
      </w:tr>
      <w:tr w14:paraId="0F54F59B">
        <w:tblPrEx>
          <w:tblCellMar>
            <w:top w:w="0" w:type="dxa"/>
            <w:left w:w="108" w:type="dxa"/>
            <w:bottom w:w="0" w:type="dxa"/>
            <w:right w:w="108" w:type="dxa"/>
          </w:tblCellMar>
        </w:tblPrEx>
        <w:trPr>
          <w:trHeight w:val="280" w:hRule="atLeast"/>
        </w:trPr>
        <w:tc>
          <w:tcPr>
            <w:tcW w:w="1249" w:type="pct"/>
            <w:tcBorders>
              <w:top w:val="nil"/>
              <w:left w:val="single" w:color="auto" w:sz="4" w:space="0"/>
              <w:bottom w:val="single" w:color="auto" w:sz="4" w:space="0"/>
              <w:right w:val="single" w:color="auto" w:sz="4" w:space="0"/>
            </w:tcBorders>
            <w:shd w:val="clear" w:color="000000" w:fill="C0C0C0"/>
            <w:vAlign w:val="center"/>
          </w:tcPr>
          <w:p w14:paraId="22A0F112">
            <w:pPr>
              <w:widowControl/>
              <w:spacing w:line="240" w:lineRule="auto"/>
              <w:rPr>
                <w:rFonts w:ascii="宋体" w:hAnsi="宋体" w:eastAsia="宋体" w:cs="宋体"/>
                <w:b/>
                <w:bCs/>
                <w:color w:val="000000"/>
                <w:kern w:val="0"/>
                <w:sz w:val="21"/>
              </w:rPr>
            </w:pPr>
            <w:r>
              <w:rPr>
                <w:rFonts w:hint="eastAsia" w:ascii="宋体" w:hAnsi="宋体" w:eastAsia="宋体" w:cs="宋体"/>
                <w:b/>
                <w:bCs/>
                <w:color w:val="000000"/>
                <w:kern w:val="0"/>
                <w:sz w:val="21"/>
              </w:rPr>
              <w:t>成本影响评估</w:t>
            </w:r>
          </w:p>
        </w:tc>
        <w:tc>
          <w:tcPr>
            <w:tcW w:w="3751" w:type="pct"/>
            <w:gridSpan w:val="3"/>
            <w:tcBorders>
              <w:top w:val="single" w:color="auto" w:sz="4" w:space="0"/>
              <w:left w:val="nil"/>
              <w:bottom w:val="single" w:color="auto" w:sz="4" w:space="0"/>
              <w:right w:val="single" w:color="auto" w:sz="4" w:space="0"/>
            </w:tcBorders>
            <w:shd w:val="clear" w:color="auto" w:fill="auto"/>
            <w:vAlign w:val="center"/>
          </w:tcPr>
          <w:p w14:paraId="134D1616">
            <w:pPr>
              <w:widowControl/>
              <w:spacing w:line="240" w:lineRule="auto"/>
              <w:rPr>
                <w:rFonts w:ascii="宋体" w:hAnsi="宋体" w:eastAsia="宋体" w:cs="宋体"/>
                <w:color w:val="000000"/>
                <w:kern w:val="0"/>
                <w:sz w:val="21"/>
              </w:rPr>
            </w:pPr>
          </w:p>
        </w:tc>
      </w:tr>
      <w:tr w14:paraId="387709A7">
        <w:tblPrEx>
          <w:tblCellMar>
            <w:top w:w="0" w:type="dxa"/>
            <w:left w:w="108" w:type="dxa"/>
            <w:bottom w:w="0" w:type="dxa"/>
            <w:right w:w="108" w:type="dxa"/>
          </w:tblCellMar>
        </w:tblPrEx>
        <w:trPr>
          <w:trHeight w:val="280" w:hRule="atLeast"/>
        </w:trPr>
        <w:tc>
          <w:tcPr>
            <w:tcW w:w="1249" w:type="pct"/>
            <w:tcBorders>
              <w:top w:val="nil"/>
              <w:left w:val="single" w:color="auto" w:sz="4" w:space="0"/>
              <w:bottom w:val="single" w:color="auto" w:sz="4" w:space="0"/>
              <w:right w:val="single" w:color="auto" w:sz="4" w:space="0"/>
            </w:tcBorders>
            <w:shd w:val="clear" w:color="000000" w:fill="C0C0C0"/>
            <w:vAlign w:val="center"/>
          </w:tcPr>
          <w:p w14:paraId="495EE3D8">
            <w:pPr>
              <w:widowControl/>
              <w:spacing w:line="240" w:lineRule="auto"/>
              <w:rPr>
                <w:rFonts w:ascii="宋体" w:hAnsi="宋体" w:eastAsia="宋体" w:cs="宋体"/>
                <w:b/>
                <w:bCs/>
                <w:color w:val="000000"/>
                <w:kern w:val="0"/>
                <w:sz w:val="21"/>
              </w:rPr>
            </w:pPr>
            <w:r>
              <w:rPr>
                <w:rFonts w:hint="eastAsia" w:ascii="宋体" w:hAnsi="宋体" w:eastAsia="宋体" w:cs="宋体"/>
                <w:b/>
                <w:bCs/>
                <w:color w:val="000000"/>
                <w:kern w:val="0"/>
                <w:sz w:val="21"/>
              </w:rPr>
              <w:t>质量影响评估</w:t>
            </w:r>
          </w:p>
        </w:tc>
        <w:tc>
          <w:tcPr>
            <w:tcW w:w="3751" w:type="pct"/>
            <w:gridSpan w:val="3"/>
            <w:tcBorders>
              <w:top w:val="single" w:color="auto" w:sz="4" w:space="0"/>
              <w:left w:val="nil"/>
              <w:bottom w:val="single" w:color="auto" w:sz="4" w:space="0"/>
              <w:right w:val="single" w:color="auto" w:sz="4" w:space="0"/>
            </w:tcBorders>
            <w:shd w:val="clear" w:color="auto" w:fill="auto"/>
            <w:vAlign w:val="center"/>
          </w:tcPr>
          <w:p w14:paraId="5857B992">
            <w:pPr>
              <w:widowControl/>
              <w:spacing w:line="240" w:lineRule="auto"/>
              <w:rPr>
                <w:rFonts w:ascii="宋体" w:hAnsi="宋体" w:eastAsia="宋体" w:cs="宋体"/>
                <w:color w:val="000000"/>
                <w:kern w:val="0"/>
                <w:sz w:val="21"/>
              </w:rPr>
            </w:pPr>
          </w:p>
        </w:tc>
      </w:tr>
      <w:tr w14:paraId="0CE678C0">
        <w:tblPrEx>
          <w:tblCellMar>
            <w:top w:w="0" w:type="dxa"/>
            <w:left w:w="108" w:type="dxa"/>
            <w:bottom w:w="0" w:type="dxa"/>
            <w:right w:w="108" w:type="dxa"/>
          </w:tblCellMar>
        </w:tblPrEx>
        <w:trPr>
          <w:trHeight w:val="280" w:hRule="atLeast"/>
        </w:trPr>
        <w:tc>
          <w:tcPr>
            <w:tcW w:w="1249" w:type="pct"/>
            <w:tcBorders>
              <w:top w:val="nil"/>
              <w:left w:val="single" w:color="auto" w:sz="4" w:space="0"/>
              <w:bottom w:val="single" w:color="auto" w:sz="4" w:space="0"/>
              <w:right w:val="single" w:color="auto" w:sz="4" w:space="0"/>
            </w:tcBorders>
            <w:shd w:val="clear" w:color="000000" w:fill="C0C0C0"/>
            <w:vAlign w:val="center"/>
          </w:tcPr>
          <w:p w14:paraId="49BA2FEC">
            <w:pPr>
              <w:widowControl/>
              <w:spacing w:line="240" w:lineRule="auto"/>
              <w:rPr>
                <w:rFonts w:ascii="宋体" w:hAnsi="宋体" w:eastAsia="宋体" w:cs="宋体"/>
                <w:b/>
                <w:bCs/>
                <w:color w:val="000000"/>
                <w:kern w:val="0"/>
                <w:sz w:val="21"/>
              </w:rPr>
            </w:pPr>
            <w:r>
              <w:rPr>
                <w:rFonts w:hint="eastAsia" w:ascii="宋体" w:hAnsi="宋体" w:eastAsia="宋体" w:cs="宋体"/>
                <w:b/>
                <w:bCs/>
                <w:color w:val="000000"/>
                <w:kern w:val="0"/>
                <w:sz w:val="21"/>
              </w:rPr>
              <w:t>评估结论</w:t>
            </w:r>
          </w:p>
        </w:tc>
        <w:tc>
          <w:tcPr>
            <w:tcW w:w="3751" w:type="pct"/>
            <w:gridSpan w:val="3"/>
            <w:tcBorders>
              <w:top w:val="single" w:color="auto" w:sz="4" w:space="0"/>
              <w:left w:val="nil"/>
              <w:bottom w:val="single" w:color="auto" w:sz="4" w:space="0"/>
              <w:right w:val="single" w:color="auto" w:sz="4" w:space="0"/>
            </w:tcBorders>
            <w:shd w:val="clear" w:color="auto" w:fill="auto"/>
            <w:vAlign w:val="center"/>
          </w:tcPr>
          <w:p w14:paraId="06CD4BED">
            <w:pPr>
              <w:widowControl/>
              <w:spacing w:line="240" w:lineRule="auto"/>
              <w:rPr>
                <w:rFonts w:ascii="宋体" w:hAnsi="宋体" w:eastAsia="宋体" w:cs="宋体"/>
                <w:color w:val="000000"/>
                <w:kern w:val="0"/>
                <w:sz w:val="21"/>
              </w:rPr>
            </w:pPr>
          </w:p>
        </w:tc>
      </w:tr>
      <w:tr w14:paraId="221E7A5B">
        <w:tblPrEx>
          <w:tblCellMar>
            <w:top w:w="0" w:type="dxa"/>
            <w:left w:w="108" w:type="dxa"/>
            <w:bottom w:w="0" w:type="dxa"/>
            <w:right w:w="108" w:type="dxa"/>
          </w:tblCellMar>
        </w:tblPrEx>
        <w:trPr>
          <w:trHeight w:val="280" w:hRule="atLeast"/>
        </w:trPr>
        <w:tc>
          <w:tcPr>
            <w:tcW w:w="1249" w:type="pct"/>
            <w:tcBorders>
              <w:top w:val="nil"/>
              <w:left w:val="single" w:color="auto" w:sz="4" w:space="0"/>
              <w:bottom w:val="single" w:color="auto" w:sz="4" w:space="0"/>
              <w:right w:val="single" w:color="auto" w:sz="4" w:space="0"/>
            </w:tcBorders>
            <w:shd w:val="clear" w:color="000000" w:fill="C0C0C0"/>
            <w:vAlign w:val="center"/>
          </w:tcPr>
          <w:p w14:paraId="00B31354">
            <w:pPr>
              <w:widowControl/>
              <w:spacing w:line="240" w:lineRule="auto"/>
              <w:rPr>
                <w:rFonts w:ascii="宋体" w:hAnsi="宋体" w:eastAsia="宋体" w:cs="宋体"/>
                <w:b/>
                <w:bCs/>
                <w:color w:val="000000"/>
                <w:kern w:val="0"/>
                <w:sz w:val="21"/>
              </w:rPr>
            </w:pPr>
            <w:r>
              <w:rPr>
                <w:rFonts w:hint="eastAsia" w:ascii="宋体" w:hAnsi="宋体" w:eastAsia="宋体" w:cs="宋体"/>
                <w:b/>
                <w:bCs/>
                <w:color w:val="000000"/>
                <w:kern w:val="0"/>
                <w:sz w:val="21"/>
              </w:rPr>
              <w:t>其他建议</w:t>
            </w:r>
          </w:p>
        </w:tc>
        <w:tc>
          <w:tcPr>
            <w:tcW w:w="3751" w:type="pct"/>
            <w:gridSpan w:val="3"/>
            <w:tcBorders>
              <w:top w:val="single" w:color="auto" w:sz="4" w:space="0"/>
              <w:left w:val="nil"/>
              <w:bottom w:val="single" w:color="auto" w:sz="4" w:space="0"/>
              <w:right w:val="single" w:color="auto" w:sz="4" w:space="0"/>
            </w:tcBorders>
            <w:shd w:val="clear" w:color="auto" w:fill="auto"/>
            <w:vAlign w:val="center"/>
          </w:tcPr>
          <w:p w14:paraId="70F92C1E">
            <w:pPr>
              <w:widowControl/>
              <w:spacing w:line="240" w:lineRule="auto"/>
              <w:rPr>
                <w:rFonts w:ascii="宋体" w:hAnsi="宋体" w:eastAsia="宋体" w:cs="宋体"/>
                <w:color w:val="000000"/>
                <w:kern w:val="0"/>
                <w:sz w:val="21"/>
              </w:rPr>
            </w:pPr>
          </w:p>
        </w:tc>
      </w:tr>
      <w:tr w14:paraId="2306EE23">
        <w:tblPrEx>
          <w:tblCellMar>
            <w:top w:w="0" w:type="dxa"/>
            <w:left w:w="108" w:type="dxa"/>
            <w:bottom w:w="0" w:type="dxa"/>
            <w:right w:w="108" w:type="dxa"/>
          </w:tblCellMar>
        </w:tblPrEx>
        <w:trPr>
          <w:trHeight w:val="280" w:hRule="atLeast"/>
        </w:trPr>
        <w:tc>
          <w:tcPr>
            <w:tcW w:w="1249" w:type="pct"/>
            <w:tcBorders>
              <w:top w:val="nil"/>
              <w:left w:val="single" w:color="auto" w:sz="4" w:space="0"/>
              <w:bottom w:val="single" w:color="auto" w:sz="4" w:space="0"/>
              <w:right w:val="single" w:color="auto" w:sz="4" w:space="0"/>
            </w:tcBorders>
            <w:shd w:val="clear" w:color="000000" w:fill="C0C0C0"/>
            <w:vAlign w:val="center"/>
          </w:tcPr>
          <w:p w14:paraId="0648B307">
            <w:pPr>
              <w:widowControl/>
              <w:spacing w:line="240" w:lineRule="auto"/>
              <w:rPr>
                <w:rFonts w:ascii="宋体" w:hAnsi="宋体" w:eastAsia="宋体" w:cs="宋体"/>
                <w:b/>
                <w:bCs/>
                <w:color w:val="000000"/>
                <w:kern w:val="0"/>
                <w:sz w:val="21"/>
              </w:rPr>
            </w:pPr>
            <w:r>
              <w:rPr>
                <w:rFonts w:hint="eastAsia" w:ascii="宋体" w:hAnsi="宋体" w:eastAsia="宋体" w:cs="宋体"/>
                <w:b/>
                <w:bCs/>
                <w:color w:val="000000"/>
                <w:kern w:val="0"/>
                <w:sz w:val="21"/>
              </w:rPr>
              <w:t>评估人签字</w:t>
            </w:r>
          </w:p>
        </w:tc>
        <w:tc>
          <w:tcPr>
            <w:tcW w:w="3751" w:type="pct"/>
            <w:gridSpan w:val="3"/>
            <w:tcBorders>
              <w:top w:val="single" w:color="auto" w:sz="4" w:space="0"/>
              <w:left w:val="nil"/>
              <w:bottom w:val="single" w:color="auto" w:sz="4" w:space="0"/>
              <w:right w:val="single" w:color="auto" w:sz="4" w:space="0"/>
            </w:tcBorders>
            <w:shd w:val="clear" w:color="auto" w:fill="auto"/>
            <w:vAlign w:val="center"/>
          </w:tcPr>
          <w:p w14:paraId="2E08CF56">
            <w:pPr>
              <w:widowControl/>
              <w:spacing w:line="240" w:lineRule="auto"/>
              <w:rPr>
                <w:rFonts w:ascii="宋体" w:hAnsi="宋体" w:eastAsia="宋体" w:cs="宋体"/>
                <w:color w:val="000000"/>
                <w:kern w:val="0"/>
                <w:sz w:val="21"/>
              </w:rPr>
            </w:pPr>
          </w:p>
        </w:tc>
      </w:tr>
    </w:tbl>
    <w:p w14:paraId="5BEA6AA9">
      <w:pPr>
        <w:pStyle w:val="52"/>
        <w:ind w:firstLine="480"/>
      </w:pPr>
      <w:r>
        <w:t>3.</w:t>
      </w:r>
      <w:r>
        <w:rPr>
          <w:rFonts w:hint="eastAsia"/>
        </w:rPr>
        <w:t>审批变更</w:t>
      </w:r>
    </w:p>
    <w:p w14:paraId="4B0ACD34">
      <w:pPr>
        <w:pStyle w:val="52"/>
        <w:ind w:firstLine="480"/>
      </w:pPr>
      <w:r>
        <w:rPr>
          <w:rFonts w:hint="eastAsia"/>
        </w:rPr>
        <w:t>变更控制委员会对变更请求进行审批，由变更控制委员会主任签署书面变更审批单，有效变更审批间必须在审批结论中明确是否通过变更申请。</w:t>
      </w:r>
    </w:p>
    <w:p w14:paraId="786F2EBC">
      <w:pPr>
        <w:pStyle w:val="52"/>
        <w:ind w:firstLine="480"/>
      </w:pPr>
      <w:r>
        <w:rPr>
          <w:rFonts w:hint="eastAsia"/>
        </w:rPr>
        <w:t>涉及合同变更的不在变更控制委员会审批范围内，根据购买合同规定的条款进行审批。</w:t>
      </w:r>
    </w:p>
    <w:p w14:paraId="5C60E33F">
      <w:pPr>
        <w:pStyle w:val="52"/>
        <w:ind w:firstLine="480"/>
      </w:pPr>
      <w:r>
        <w:rPr>
          <w:rFonts w:hint="eastAsia"/>
        </w:rPr>
        <w:t>4.变更执行评估</w:t>
      </w:r>
    </w:p>
    <w:p w14:paraId="0BFAD8F5">
      <w:pPr>
        <w:pStyle w:val="52"/>
        <w:ind w:firstLine="480"/>
      </w:pPr>
      <w:r>
        <w:rPr>
          <w:rFonts w:hint="eastAsia"/>
        </w:rPr>
        <w:t>变更控制委员会中我方委员负责填报变更执行结果评估表，对执行结果进行评估跟踪，并将结果向变更控制委员会主任报告。</w:t>
      </w:r>
    </w:p>
    <w:tbl>
      <w:tblPr>
        <w:tblStyle w:val="32"/>
        <w:tblW w:w="5000" w:type="pct"/>
        <w:tblInd w:w="0" w:type="dxa"/>
        <w:tblLayout w:type="autofit"/>
        <w:tblCellMar>
          <w:top w:w="0" w:type="dxa"/>
          <w:left w:w="108" w:type="dxa"/>
          <w:bottom w:w="0" w:type="dxa"/>
          <w:right w:w="108" w:type="dxa"/>
        </w:tblCellMar>
      </w:tblPr>
      <w:tblGrid>
        <w:gridCol w:w="1839"/>
        <w:gridCol w:w="2839"/>
        <w:gridCol w:w="1420"/>
        <w:gridCol w:w="2972"/>
      </w:tblGrid>
      <w:tr w14:paraId="13C73406">
        <w:tblPrEx>
          <w:tblCellMar>
            <w:top w:w="0" w:type="dxa"/>
            <w:left w:w="108" w:type="dxa"/>
            <w:bottom w:w="0" w:type="dxa"/>
            <w:right w:w="108" w:type="dxa"/>
          </w:tblCellMar>
        </w:tblPrEx>
        <w:trPr>
          <w:trHeight w:val="280" w:hRule="atLeast"/>
        </w:trPr>
        <w:tc>
          <w:tcPr>
            <w:tcW w:w="5000" w:type="pct"/>
            <w:gridSpan w:val="4"/>
            <w:tcBorders>
              <w:top w:val="single" w:color="auto" w:sz="4" w:space="0"/>
              <w:left w:val="single" w:color="auto" w:sz="4" w:space="0"/>
              <w:bottom w:val="single" w:color="auto" w:sz="4" w:space="0"/>
              <w:right w:val="single" w:color="auto" w:sz="4" w:space="0"/>
            </w:tcBorders>
            <w:shd w:val="clear" w:color="000000" w:fill="FFFFFF"/>
            <w:vAlign w:val="center"/>
          </w:tcPr>
          <w:p w14:paraId="3161E627">
            <w:pPr>
              <w:widowControl/>
              <w:spacing w:line="240" w:lineRule="auto"/>
              <w:jc w:val="center"/>
              <w:rPr>
                <w:rFonts w:ascii="宋体" w:hAnsi="宋体" w:eastAsia="宋体" w:cs="宋体"/>
                <w:b/>
                <w:bCs/>
                <w:color w:val="000000"/>
                <w:kern w:val="0"/>
                <w:sz w:val="21"/>
              </w:rPr>
            </w:pPr>
            <w:r>
              <w:rPr>
                <w:rFonts w:hint="eastAsia" w:ascii="宋体" w:hAnsi="宋体" w:eastAsia="宋体" w:cs="宋体"/>
                <w:b/>
                <w:bCs/>
                <w:color w:val="000000"/>
                <w:kern w:val="0"/>
                <w:sz w:val="21"/>
              </w:rPr>
              <w:t>变更执行评估单</w:t>
            </w:r>
          </w:p>
        </w:tc>
      </w:tr>
      <w:tr w14:paraId="4345DDD3">
        <w:tblPrEx>
          <w:tblCellMar>
            <w:top w:w="0" w:type="dxa"/>
            <w:left w:w="108" w:type="dxa"/>
            <w:bottom w:w="0" w:type="dxa"/>
            <w:right w:w="108" w:type="dxa"/>
          </w:tblCellMar>
        </w:tblPrEx>
        <w:trPr>
          <w:trHeight w:val="280" w:hRule="atLeast"/>
        </w:trPr>
        <w:tc>
          <w:tcPr>
            <w:tcW w:w="1014" w:type="pct"/>
            <w:tcBorders>
              <w:top w:val="nil"/>
              <w:left w:val="single" w:color="auto" w:sz="4" w:space="0"/>
              <w:bottom w:val="single" w:color="auto" w:sz="4" w:space="0"/>
              <w:right w:val="single" w:color="auto" w:sz="4" w:space="0"/>
            </w:tcBorders>
            <w:shd w:val="clear" w:color="000000" w:fill="C0C0C0"/>
            <w:vAlign w:val="center"/>
          </w:tcPr>
          <w:p w14:paraId="5C237317">
            <w:pPr>
              <w:widowControl/>
              <w:spacing w:line="240" w:lineRule="auto"/>
              <w:rPr>
                <w:rFonts w:ascii="宋体" w:hAnsi="宋体" w:eastAsia="宋体" w:cs="宋体"/>
                <w:b/>
                <w:bCs/>
                <w:color w:val="000000"/>
                <w:kern w:val="0"/>
                <w:sz w:val="21"/>
              </w:rPr>
            </w:pPr>
            <w:r>
              <w:rPr>
                <w:rFonts w:hint="eastAsia" w:ascii="宋体" w:hAnsi="宋体" w:eastAsia="宋体" w:cs="宋体"/>
                <w:b/>
                <w:bCs/>
                <w:color w:val="000000"/>
                <w:kern w:val="0"/>
                <w:sz w:val="21"/>
              </w:rPr>
              <w:t>项目名称</w:t>
            </w:r>
          </w:p>
        </w:tc>
        <w:tc>
          <w:tcPr>
            <w:tcW w:w="1565" w:type="pct"/>
            <w:tcBorders>
              <w:top w:val="nil"/>
              <w:left w:val="nil"/>
              <w:bottom w:val="single" w:color="auto" w:sz="4" w:space="0"/>
              <w:right w:val="single" w:color="auto" w:sz="4" w:space="0"/>
            </w:tcBorders>
            <w:shd w:val="clear" w:color="auto" w:fill="auto"/>
            <w:vAlign w:val="center"/>
          </w:tcPr>
          <w:p w14:paraId="570319F0">
            <w:pPr>
              <w:widowControl/>
              <w:spacing w:line="240" w:lineRule="auto"/>
              <w:rPr>
                <w:rFonts w:ascii="宋体" w:hAnsi="宋体" w:eastAsia="宋体" w:cs="宋体"/>
                <w:color w:val="000000"/>
                <w:kern w:val="0"/>
                <w:sz w:val="21"/>
              </w:rPr>
            </w:pPr>
          </w:p>
        </w:tc>
        <w:tc>
          <w:tcPr>
            <w:tcW w:w="783" w:type="pct"/>
            <w:tcBorders>
              <w:top w:val="nil"/>
              <w:left w:val="nil"/>
              <w:bottom w:val="single" w:color="auto" w:sz="4" w:space="0"/>
              <w:right w:val="single" w:color="auto" w:sz="4" w:space="0"/>
            </w:tcBorders>
            <w:shd w:val="clear" w:color="000000" w:fill="C0C0C0"/>
            <w:vAlign w:val="center"/>
          </w:tcPr>
          <w:p w14:paraId="2D06EB33">
            <w:pPr>
              <w:widowControl/>
              <w:spacing w:line="240" w:lineRule="auto"/>
              <w:rPr>
                <w:rFonts w:ascii="宋体" w:hAnsi="宋体" w:eastAsia="宋体" w:cs="宋体"/>
                <w:b/>
                <w:bCs/>
                <w:color w:val="000000"/>
                <w:kern w:val="0"/>
                <w:sz w:val="21"/>
              </w:rPr>
            </w:pPr>
            <w:r>
              <w:rPr>
                <w:rFonts w:hint="eastAsia" w:ascii="宋体" w:hAnsi="宋体" w:eastAsia="宋体" w:cs="宋体"/>
                <w:b/>
                <w:bCs/>
                <w:color w:val="000000"/>
                <w:kern w:val="0"/>
                <w:sz w:val="21"/>
              </w:rPr>
              <w:t>变更单编号</w:t>
            </w:r>
          </w:p>
        </w:tc>
        <w:tc>
          <w:tcPr>
            <w:tcW w:w="1638" w:type="pct"/>
            <w:tcBorders>
              <w:top w:val="nil"/>
              <w:left w:val="nil"/>
              <w:bottom w:val="single" w:color="auto" w:sz="4" w:space="0"/>
              <w:right w:val="single" w:color="auto" w:sz="4" w:space="0"/>
            </w:tcBorders>
            <w:shd w:val="clear" w:color="auto" w:fill="auto"/>
            <w:vAlign w:val="center"/>
          </w:tcPr>
          <w:p w14:paraId="7D79C34A">
            <w:pPr>
              <w:widowControl/>
              <w:spacing w:line="240" w:lineRule="auto"/>
              <w:rPr>
                <w:rFonts w:ascii="宋体" w:hAnsi="宋体" w:eastAsia="宋体" w:cs="宋体"/>
                <w:color w:val="000000"/>
                <w:kern w:val="0"/>
                <w:sz w:val="21"/>
              </w:rPr>
            </w:pPr>
          </w:p>
        </w:tc>
      </w:tr>
      <w:tr w14:paraId="17787F6A">
        <w:tblPrEx>
          <w:tblCellMar>
            <w:top w:w="0" w:type="dxa"/>
            <w:left w:w="108" w:type="dxa"/>
            <w:bottom w:w="0" w:type="dxa"/>
            <w:right w:w="108" w:type="dxa"/>
          </w:tblCellMar>
        </w:tblPrEx>
        <w:trPr>
          <w:trHeight w:val="280" w:hRule="atLeast"/>
        </w:trPr>
        <w:tc>
          <w:tcPr>
            <w:tcW w:w="1014" w:type="pct"/>
            <w:tcBorders>
              <w:top w:val="nil"/>
              <w:left w:val="single" w:color="auto" w:sz="4" w:space="0"/>
              <w:bottom w:val="single" w:color="auto" w:sz="4" w:space="0"/>
              <w:right w:val="single" w:color="auto" w:sz="4" w:space="0"/>
            </w:tcBorders>
            <w:shd w:val="clear" w:color="000000" w:fill="C0C0C0"/>
            <w:vAlign w:val="center"/>
          </w:tcPr>
          <w:p w14:paraId="6A5BCFE0">
            <w:pPr>
              <w:widowControl/>
              <w:spacing w:line="240" w:lineRule="auto"/>
              <w:rPr>
                <w:rFonts w:ascii="宋体" w:hAnsi="宋体" w:eastAsia="宋体" w:cs="宋体"/>
                <w:b/>
                <w:bCs/>
                <w:color w:val="000000"/>
                <w:kern w:val="0"/>
                <w:sz w:val="21"/>
              </w:rPr>
            </w:pPr>
            <w:r>
              <w:rPr>
                <w:rFonts w:hint="eastAsia" w:ascii="宋体" w:hAnsi="宋体" w:eastAsia="宋体" w:cs="宋体"/>
                <w:b/>
                <w:bCs/>
                <w:color w:val="000000"/>
                <w:kern w:val="0"/>
                <w:sz w:val="21"/>
              </w:rPr>
              <w:t>审批单位</w:t>
            </w:r>
          </w:p>
        </w:tc>
        <w:tc>
          <w:tcPr>
            <w:tcW w:w="1565" w:type="pct"/>
            <w:tcBorders>
              <w:top w:val="nil"/>
              <w:left w:val="nil"/>
              <w:bottom w:val="single" w:color="auto" w:sz="4" w:space="0"/>
              <w:right w:val="single" w:color="auto" w:sz="4" w:space="0"/>
            </w:tcBorders>
            <w:shd w:val="clear" w:color="auto" w:fill="auto"/>
            <w:vAlign w:val="center"/>
          </w:tcPr>
          <w:p w14:paraId="5F42B79D">
            <w:pPr>
              <w:widowControl/>
              <w:spacing w:line="240" w:lineRule="auto"/>
              <w:rPr>
                <w:rFonts w:ascii="宋体" w:hAnsi="宋体" w:eastAsia="宋体" w:cs="宋体"/>
                <w:color w:val="000000"/>
                <w:kern w:val="0"/>
                <w:sz w:val="21"/>
              </w:rPr>
            </w:pPr>
          </w:p>
        </w:tc>
        <w:tc>
          <w:tcPr>
            <w:tcW w:w="783" w:type="pct"/>
            <w:tcBorders>
              <w:top w:val="nil"/>
              <w:left w:val="nil"/>
              <w:bottom w:val="single" w:color="auto" w:sz="4" w:space="0"/>
              <w:right w:val="single" w:color="auto" w:sz="4" w:space="0"/>
            </w:tcBorders>
            <w:shd w:val="clear" w:color="000000" w:fill="C0C0C0"/>
            <w:vAlign w:val="center"/>
          </w:tcPr>
          <w:p w14:paraId="1D8AE9D0">
            <w:pPr>
              <w:widowControl/>
              <w:spacing w:line="240" w:lineRule="auto"/>
              <w:rPr>
                <w:rFonts w:ascii="宋体" w:hAnsi="宋体" w:eastAsia="宋体" w:cs="宋体"/>
                <w:b/>
                <w:bCs/>
                <w:color w:val="000000"/>
                <w:kern w:val="0"/>
                <w:sz w:val="21"/>
              </w:rPr>
            </w:pPr>
            <w:r>
              <w:rPr>
                <w:rFonts w:hint="eastAsia" w:ascii="宋体" w:hAnsi="宋体" w:eastAsia="宋体" w:cs="宋体"/>
                <w:b/>
                <w:bCs/>
                <w:color w:val="000000"/>
                <w:kern w:val="0"/>
                <w:sz w:val="21"/>
              </w:rPr>
              <w:t>审批人</w:t>
            </w:r>
          </w:p>
        </w:tc>
        <w:tc>
          <w:tcPr>
            <w:tcW w:w="1638" w:type="pct"/>
            <w:tcBorders>
              <w:top w:val="nil"/>
              <w:left w:val="nil"/>
              <w:bottom w:val="single" w:color="auto" w:sz="4" w:space="0"/>
              <w:right w:val="single" w:color="auto" w:sz="4" w:space="0"/>
            </w:tcBorders>
            <w:shd w:val="clear" w:color="auto" w:fill="auto"/>
            <w:vAlign w:val="center"/>
          </w:tcPr>
          <w:p w14:paraId="753899FD">
            <w:pPr>
              <w:widowControl/>
              <w:spacing w:line="240" w:lineRule="auto"/>
              <w:rPr>
                <w:rFonts w:ascii="宋体" w:hAnsi="宋体" w:eastAsia="宋体" w:cs="宋体"/>
                <w:color w:val="000000"/>
                <w:kern w:val="0"/>
                <w:sz w:val="21"/>
              </w:rPr>
            </w:pPr>
          </w:p>
        </w:tc>
      </w:tr>
      <w:tr w14:paraId="0032D1DA">
        <w:tblPrEx>
          <w:tblCellMar>
            <w:top w:w="0" w:type="dxa"/>
            <w:left w:w="108" w:type="dxa"/>
            <w:bottom w:w="0" w:type="dxa"/>
            <w:right w:w="108" w:type="dxa"/>
          </w:tblCellMar>
        </w:tblPrEx>
        <w:trPr>
          <w:trHeight w:val="280" w:hRule="atLeast"/>
        </w:trPr>
        <w:tc>
          <w:tcPr>
            <w:tcW w:w="1014" w:type="pct"/>
            <w:tcBorders>
              <w:top w:val="nil"/>
              <w:left w:val="single" w:color="auto" w:sz="4" w:space="0"/>
              <w:bottom w:val="single" w:color="auto" w:sz="4" w:space="0"/>
              <w:right w:val="single" w:color="auto" w:sz="4" w:space="0"/>
            </w:tcBorders>
            <w:shd w:val="clear" w:color="000000" w:fill="C0C0C0"/>
            <w:vAlign w:val="center"/>
          </w:tcPr>
          <w:p w14:paraId="04BCCCC5">
            <w:pPr>
              <w:widowControl/>
              <w:spacing w:line="240" w:lineRule="auto"/>
              <w:rPr>
                <w:rFonts w:ascii="宋体" w:hAnsi="宋体" w:eastAsia="宋体" w:cs="宋体"/>
                <w:b/>
                <w:bCs/>
                <w:color w:val="000000"/>
                <w:kern w:val="0"/>
                <w:sz w:val="21"/>
              </w:rPr>
            </w:pPr>
            <w:r>
              <w:rPr>
                <w:rFonts w:hint="eastAsia" w:ascii="宋体" w:hAnsi="宋体" w:eastAsia="宋体" w:cs="宋体"/>
                <w:b/>
                <w:bCs/>
                <w:color w:val="000000"/>
                <w:kern w:val="0"/>
                <w:sz w:val="21"/>
              </w:rPr>
              <w:t>联系电话</w:t>
            </w:r>
          </w:p>
        </w:tc>
        <w:tc>
          <w:tcPr>
            <w:tcW w:w="1565" w:type="pct"/>
            <w:tcBorders>
              <w:top w:val="nil"/>
              <w:left w:val="nil"/>
              <w:bottom w:val="single" w:color="auto" w:sz="4" w:space="0"/>
              <w:right w:val="single" w:color="auto" w:sz="4" w:space="0"/>
            </w:tcBorders>
            <w:shd w:val="clear" w:color="auto" w:fill="auto"/>
            <w:vAlign w:val="center"/>
          </w:tcPr>
          <w:p w14:paraId="5A084B13">
            <w:pPr>
              <w:widowControl/>
              <w:spacing w:line="240" w:lineRule="auto"/>
              <w:rPr>
                <w:rFonts w:ascii="宋体" w:hAnsi="宋体" w:eastAsia="宋体" w:cs="宋体"/>
                <w:color w:val="000000"/>
                <w:kern w:val="0"/>
                <w:sz w:val="21"/>
              </w:rPr>
            </w:pPr>
          </w:p>
        </w:tc>
        <w:tc>
          <w:tcPr>
            <w:tcW w:w="783" w:type="pct"/>
            <w:tcBorders>
              <w:top w:val="nil"/>
              <w:left w:val="nil"/>
              <w:bottom w:val="single" w:color="auto" w:sz="4" w:space="0"/>
              <w:right w:val="single" w:color="auto" w:sz="4" w:space="0"/>
            </w:tcBorders>
            <w:shd w:val="clear" w:color="000000" w:fill="C0C0C0"/>
            <w:vAlign w:val="center"/>
          </w:tcPr>
          <w:p w14:paraId="0B3509DF">
            <w:pPr>
              <w:widowControl/>
              <w:spacing w:line="240" w:lineRule="auto"/>
              <w:rPr>
                <w:rFonts w:ascii="宋体" w:hAnsi="宋体" w:eastAsia="宋体" w:cs="宋体"/>
                <w:b/>
                <w:bCs/>
                <w:color w:val="000000"/>
                <w:kern w:val="0"/>
                <w:sz w:val="21"/>
              </w:rPr>
            </w:pPr>
            <w:r>
              <w:rPr>
                <w:rFonts w:hint="eastAsia" w:ascii="宋体" w:hAnsi="宋体" w:eastAsia="宋体" w:cs="宋体"/>
                <w:b/>
                <w:bCs/>
                <w:color w:val="000000"/>
                <w:kern w:val="0"/>
                <w:sz w:val="21"/>
              </w:rPr>
              <w:t>评估日期</w:t>
            </w:r>
          </w:p>
        </w:tc>
        <w:tc>
          <w:tcPr>
            <w:tcW w:w="1638" w:type="pct"/>
            <w:tcBorders>
              <w:top w:val="nil"/>
              <w:left w:val="nil"/>
              <w:bottom w:val="single" w:color="auto" w:sz="4" w:space="0"/>
              <w:right w:val="single" w:color="auto" w:sz="4" w:space="0"/>
            </w:tcBorders>
            <w:shd w:val="clear" w:color="auto" w:fill="auto"/>
            <w:vAlign w:val="center"/>
          </w:tcPr>
          <w:p w14:paraId="0CC86E0E">
            <w:pPr>
              <w:widowControl/>
              <w:spacing w:line="240" w:lineRule="auto"/>
              <w:rPr>
                <w:rFonts w:ascii="宋体" w:hAnsi="宋体" w:eastAsia="宋体" w:cs="宋体"/>
                <w:color w:val="000000"/>
                <w:kern w:val="0"/>
                <w:sz w:val="21"/>
              </w:rPr>
            </w:pPr>
          </w:p>
        </w:tc>
      </w:tr>
      <w:tr w14:paraId="3CAB802A">
        <w:tblPrEx>
          <w:tblCellMar>
            <w:top w:w="0" w:type="dxa"/>
            <w:left w:w="108" w:type="dxa"/>
            <w:bottom w:w="0" w:type="dxa"/>
            <w:right w:w="108" w:type="dxa"/>
          </w:tblCellMar>
        </w:tblPrEx>
        <w:trPr>
          <w:trHeight w:val="280" w:hRule="atLeast"/>
        </w:trPr>
        <w:tc>
          <w:tcPr>
            <w:tcW w:w="1014" w:type="pct"/>
            <w:tcBorders>
              <w:top w:val="nil"/>
              <w:left w:val="single" w:color="auto" w:sz="4" w:space="0"/>
              <w:bottom w:val="single" w:color="auto" w:sz="4" w:space="0"/>
              <w:right w:val="single" w:color="auto" w:sz="4" w:space="0"/>
            </w:tcBorders>
            <w:shd w:val="clear" w:color="000000" w:fill="C0C0C0"/>
            <w:vAlign w:val="center"/>
          </w:tcPr>
          <w:p w14:paraId="38A9459A">
            <w:pPr>
              <w:widowControl/>
              <w:spacing w:line="240" w:lineRule="auto"/>
              <w:rPr>
                <w:rFonts w:ascii="宋体" w:hAnsi="宋体" w:eastAsia="宋体" w:cs="宋体"/>
                <w:b/>
                <w:bCs/>
                <w:color w:val="000000"/>
                <w:kern w:val="0"/>
                <w:sz w:val="21"/>
              </w:rPr>
            </w:pPr>
            <w:r>
              <w:rPr>
                <w:rFonts w:hint="eastAsia" w:ascii="宋体" w:hAnsi="宋体" w:eastAsia="宋体" w:cs="宋体"/>
                <w:b/>
                <w:bCs/>
                <w:color w:val="000000"/>
                <w:kern w:val="0"/>
                <w:sz w:val="21"/>
              </w:rPr>
              <w:t>评估结论</w:t>
            </w:r>
          </w:p>
        </w:tc>
        <w:tc>
          <w:tcPr>
            <w:tcW w:w="3986" w:type="pct"/>
            <w:gridSpan w:val="3"/>
            <w:tcBorders>
              <w:top w:val="single" w:color="auto" w:sz="4" w:space="0"/>
              <w:left w:val="nil"/>
              <w:bottom w:val="single" w:color="auto" w:sz="4" w:space="0"/>
              <w:right w:val="single" w:color="auto" w:sz="4" w:space="0"/>
            </w:tcBorders>
            <w:shd w:val="clear" w:color="auto" w:fill="auto"/>
            <w:vAlign w:val="center"/>
          </w:tcPr>
          <w:p w14:paraId="50E001A2">
            <w:pPr>
              <w:widowControl/>
              <w:spacing w:line="240" w:lineRule="auto"/>
              <w:rPr>
                <w:rFonts w:ascii="宋体" w:hAnsi="宋体" w:eastAsia="宋体" w:cs="宋体"/>
                <w:color w:val="000000"/>
                <w:kern w:val="0"/>
                <w:sz w:val="21"/>
              </w:rPr>
            </w:pPr>
          </w:p>
        </w:tc>
      </w:tr>
      <w:tr w14:paraId="51724EBF">
        <w:tblPrEx>
          <w:tblCellMar>
            <w:top w:w="0" w:type="dxa"/>
            <w:left w:w="108" w:type="dxa"/>
            <w:bottom w:w="0" w:type="dxa"/>
            <w:right w:w="108" w:type="dxa"/>
          </w:tblCellMar>
        </w:tblPrEx>
        <w:trPr>
          <w:trHeight w:val="280" w:hRule="atLeast"/>
        </w:trPr>
        <w:tc>
          <w:tcPr>
            <w:tcW w:w="1014" w:type="pct"/>
            <w:tcBorders>
              <w:top w:val="nil"/>
              <w:left w:val="single" w:color="auto" w:sz="4" w:space="0"/>
              <w:bottom w:val="single" w:color="auto" w:sz="4" w:space="0"/>
              <w:right w:val="single" w:color="auto" w:sz="4" w:space="0"/>
            </w:tcBorders>
            <w:shd w:val="clear" w:color="000000" w:fill="C0C0C0"/>
            <w:vAlign w:val="center"/>
          </w:tcPr>
          <w:p w14:paraId="1A609CB5">
            <w:pPr>
              <w:widowControl/>
              <w:spacing w:line="240" w:lineRule="auto"/>
              <w:rPr>
                <w:rFonts w:ascii="宋体" w:hAnsi="宋体" w:eastAsia="宋体" w:cs="宋体"/>
                <w:b/>
                <w:bCs/>
                <w:color w:val="000000"/>
                <w:kern w:val="0"/>
                <w:sz w:val="21"/>
              </w:rPr>
            </w:pPr>
            <w:r>
              <w:rPr>
                <w:rFonts w:hint="eastAsia" w:ascii="宋体" w:hAnsi="宋体" w:eastAsia="宋体" w:cs="宋体"/>
                <w:b/>
                <w:bCs/>
                <w:color w:val="000000"/>
                <w:kern w:val="0"/>
                <w:sz w:val="21"/>
              </w:rPr>
              <w:t>建议</w:t>
            </w:r>
          </w:p>
        </w:tc>
        <w:tc>
          <w:tcPr>
            <w:tcW w:w="3986" w:type="pct"/>
            <w:gridSpan w:val="3"/>
            <w:tcBorders>
              <w:top w:val="single" w:color="auto" w:sz="4" w:space="0"/>
              <w:left w:val="nil"/>
              <w:bottom w:val="single" w:color="auto" w:sz="4" w:space="0"/>
              <w:right w:val="single" w:color="auto" w:sz="4" w:space="0"/>
            </w:tcBorders>
            <w:shd w:val="clear" w:color="auto" w:fill="auto"/>
            <w:vAlign w:val="center"/>
          </w:tcPr>
          <w:p w14:paraId="0768903E">
            <w:pPr>
              <w:widowControl/>
              <w:spacing w:line="240" w:lineRule="auto"/>
              <w:rPr>
                <w:rFonts w:ascii="宋体" w:hAnsi="宋体" w:eastAsia="宋体" w:cs="宋体"/>
                <w:color w:val="000000"/>
                <w:kern w:val="0"/>
                <w:sz w:val="21"/>
              </w:rPr>
            </w:pPr>
          </w:p>
        </w:tc>
      </w:tr>
      <w:tr w14:paraId="2553E3A1">
        <w:tblPrEx>
          <w:tblCellMar>
            <w:top w:w="0" w:type="dxa"/>
            <w:left w:w="108" w:type="dxa"/>
            <w:bottom w:w="0" w:type="dxa"/>
            <w:right w:w="108" w:type="dxa"/>
          </w:tblCellMar>
        </w:tblPrEx>
        <w:trPr>
          <w:trHeight w:val="280" w:hRule="atLeast"/>
        </w:trPr>
        <w:tc>
          <w:tcPr>
            <w:tcW w:w="1014" w:type="pct"/>
            <w:tcBorders>
              <w:top w:val="nil"/>
              <w:left w:val="single" w:color="auto" w:sz="4" w:space="0"/>
              <w:bottom w:val="single" w:color="auto" w:sz="4" w:space="0"/>
              <w:right w:val="single" w:color="auto" w:sz="4" w:space="0"/>
            </w:tcBorders>
            <w:shd w:val="clear" w:color="000000" w:fill="C0C0C0"/>
            <w:vAlign w:val="center"/>
          </w:tcPr>
          <w:p w14:paraId="2943E661">
            <w:pPr>
              <w:widowControl/>
              <w:spacing w:line="240" w:lineRule="auto"/>
              <w:rPr>
                <w:rFonts w:ascii="宋体" w:hAnsi="宋体" w:eastAsia="宋体" w:cs="宋体"/>
                <w:b/>
                <w:bCs/>
                <w:color w:val="000000"/>
                <w:kern w:val="0"/>
                <w:sz w:val="21"/>
              </w:rPr>
            </w:pPr>
            <w:r>
              <w:rPr>
                <w:rFonts w:hint="eastAsia" w:ascii="宋体" w:hAnsi="宋体" w:eastAsia="宋体" w:cs="宋体"/>
                <w:b/>
                <w:bCs/>
                <w:color w:val="000000"/>
                <w:kern w:val="0"/>
                <w:sz w:val="21"/>
              </w:rPr>
              <w:t>评估人签字</w:t>
            </w:r>
          </w:p>
        </w:tc>
        <w:tc>
          <w:tcPr>
            <w:tcW w:w="3986" w:type="pct"/>
            <w:gridSpan w:val="3"/>
            <w:tcBorders>
              <w:top w:val="single" w:color="auto" w:sz="4" w:space="0"/>
              <w:left w:val="nil"/>
              <w:bottom w:val="single" w:color="auto" w:sz="4" w:space="0"/>
              <w:right w:val="single" w:color="auto" w:sz="4" w:space="0"/>
            </w:tcBorders>
            <w:shd w:val="clear" w:color="auto" w:fill="auto"/>
            <w:vAlign w:val="center"/>
          </w:tcPr>
          <w:p w14:paraId="2CE9EDC8">
            <w:pPr>
              <w:widowControl/>
              <w:spacing w:line="240" w:lineRule="auto"/>
              <w:rPr>
                <w:rFonts w:ascii="宋体" w:hAnsi="宋体" w:eastAsia="宋体" w:cs="宋体"/>
                <w:color w:val="000000"/>
                <w:kern w:val="0"/>
                <w:sz w:val="21"/>
              </w:rPr>
            </w:pPr>
          </w:p>
        </w:tc>
      </w:tr>
    </w:tbl>
    <w:p w14:paraId="488EAA4C">
      <w:pPr>
        <w:pStyle w:val="5"/>
      </w:pPr>
      <w:r>
        <w:rPr>
          <w:rFonts w:hint="eastAsia"/>
        </w:rPr>
        <w:t>工作成果及验收方案</w:t>
      </w:r>
    </w:p>
    <w:p w14:paraId="3C39AD95">
      <w:pPr>
        <w:pStyle w:val="5"/>
        <w:rPr>
          <w:rFonts w:asciiTheme="minorEastAsia" w:hAnsiTheme="minorEastAsia" w:eastAsiaTheme="minorEastAsia"/>
        </w:rPr>
      </w:pPr>
      <w:bookmarkStart w:id="8" w:name="_Toc34940531"/>
      <w:bookmarkStart w:id="9" w:name="_Toc82096193"/>
      <w:r>
        <w:rPr>
          <w:rFonts w:asciiTheme="minorEastAsia" w:hAnsiTheme="minorEastAsia" w:eastAsiaTheme="minorEastAsia"/>
        </w:rPr>
        <w:t>工作成果及验收方案</w:t>
      </w:r>
      <w:bookmarkEnd w:id="8"/>
      <w:bookmarkEnd w:id="9"/>
    </w:p>
    <w:p w14:paraId="0BC50ACB">
      <w:pPr>
        <w:pStyle w:val="6"/>
      </w:pPr>
      <w:bookmarkStart w:id="10" w:name="_Toc34940532"/>
      <w:bookmarkStart w:id="11" w:name="_Toc82096194"/>
      <w:r>
        <w:rPr>
          <w:rFonts w:hint="eastAsia"/>
        </w:rPr>
        <w:t>各阶段工作成果</w:t>
      </w:r>
      <w:bookmarkEnd w:id="10"/>
      <w:bookmarkEnd w:id="11"/>
    </w:p>
    <w:p w14:paraId="213BC32C">
      <w:pPr>
        <w:pStyle w:val="7"/>
      </w:pPr>
      <w:r>
        <w:rPr>
          <w:rFonts w:hint="eastAsia"/>
        </w:rPr>
        <w:t>需求分析与需求管理</w:t>
      </w:r>
    </w:p>
    <w:p w14:paraId="0CBB3605">
      <w:pPr>
        <w:pStyle w:val="8"/>
      </w:pPr>
      <w:r>
        <w:rPr>
          <w:rFonts w:hint="eastAsia"/>
        </w:rPr>
        <w:t>任务项说明</w:t>
      </w:r>
    </w:p>
    <w:p w14:paraId="051418CA">
      <w:pPr>
        <w:pStyle w:val="52"/>
        <w:ind w:firstLine="480"/>
      </w:pPr>
      <w:r>
        <w:rPr>
          <w:rFonts w:hint="eastAsia"/>
        </w:rPr>
        <w:t>甲方提供需求说明书，我方在充分理解的基础上，根据确认的需求说明书，我方进行需求分析，分解功能性需求（包括业务功能、用户体验）和非功能性需求（包括技术支持需求、性能需求等），形成需求分析说明书，并编写用户测试计划。并在确认的需求分析基础上，进行需求的管理工作。</w:t>
      </w:r>
    </w:p>
    <w:p w14:paraId="6F07AEFC">
      <w:pPr>
        <w:pStyle w:val="8"/>
      </w:pPr>
      <w:r>
        <w:rPr>
          <w:rFonts w:hint="eastAsia"/>
        </w:rPr>
        <w:t>我方职责</w:t>
      </w:r>
    </w:p>
    <w:p w14:paraId="14D0DCD4">
      <w:pPr>
        <w:pStyle w:val="52"/>
        <w:ind w:firstLine="480"/>
      </w:pPr>
      <w:r>
        <w:rPr>
          <w:rFonts w:hint="eastAsia"/>
        </w:rPr>
        <w:t>我方要正确理解甲方需求说明书中描述的项目需求；编写项目需求分析说明书及用户测试计划。并提供生成需求跟踪矩阵进行需求管理。</w:t>
      </w:r>
    </w:p>
    <w:p w14:paraId="2BB47E6B">
      <w:pPr>
        <w:pStyle w:val="8"/>
      </w:pPr>
      <w:r>
        <w:rPr>
          <w:rFonts w:hint="eastAsia"/>
        </w:rPr>
        <w:t>甲方职责</w:t>
      </w:r>
    </w:p>
    <w:p w14:paraId="46629AB3">
      <w:pPr>
        <w:pStyle w:val="52"/>
        <w:ind w:firstLine="480"/>
      </w:pPr>
      <w:r>
        <w:rPr>
          <w:rFonts w:hint="eastAsia"/>
        </w:rPr>
        <w:t>提供项目需求说明书，对需求说明书具有解释权；负责解释我方在阅读、理解、分析需求说明书过程中遇到的问题；负责组织所需的评审工作，签字确认我方提交的需求分析说明书。对实施过程进度进行监控与计划调整。</w:t>
      </w:r>
    </w:p>
    <w:p w14:paraId="4FD597F9">
      <w:pPr>
        <w:pStyle w:val="8"/>
      </w:pPr>
      <w:r>
        <w:rPr>
          <w:rFonts w:hint="eastAsia"/>
        </w:rPr>
        <w:t>提交文件</w:t>
      </w:r>
    </w:p>
    <w:p w14:paraId="50340838">
      <w:pPr>
        <w:pStyle w:val="52"/>
        <w:ind w:firstLine="480"/>
      </w:pPr>
      <w:r>
        <w:rPr>
          <w:rFonts w:hint="eastAsia"/>
        </w:rPr>
        <w:t>《需求分析说明书》</w:t>
      </w:r>
    </w:p>
    <w:p w14:paraId="772C213C">
      <w:pPr>
        <w:pStyle w:val="52"/>
        <w:ind w:firstLine="480"/>
      </w:pPr>
      <w:r>
        <w:rPr>
          <w:rFonts w:hint="eastAsia"/>
        </w:rPr>
        <w:t>《用户测试计划》</w:t>
      </w:r>
    </w:p>
    <w:p w14:paraId="7303F347">
      <w:pPr>
        <w:pStyle w:val="52"/>
        <w:ind w:firstLine="480"/>
      </w:pPr>
      <w:r>
        <w:rPr>
          <w:rFonts w:hint="eastAsia"/>
        </w:rPr>
        <w:t>《需求跟踪矩阵》</w:t>
      </w:r>
    </w:p>
    <w:p w14:paraId="7998EDFD">
      <w:pPr>
        <w:pStyle w:val="8"/>
      </w:pPr>
      <w:r>
        <w:rPr>
          <w:rFonts w:hint="eastAsia"/>
        </w:rPr>
        <w:t>完成标志</w:t>
      </w:r>
    </w:p>
    <w:p w14:paraId="7AEF0535">
      <w:pPr>
        <w:pStyle w:val="52"/>
        <w:ind w:firstLine="480"/>
      </w:pPr>
      <w:r>
        <w:rPr>
          <w:rFonts w:hint="eastAsia"/>
        </w:rPr>
        <w:t>《需求分析说明书》通过由项目申请单位组织的评审确认, 且经甲方验收合格。其他提交件通过项目实施单位的确认。</w:t>
      </w:r>
    </w:p>
    <w:p w14:paraId="3EA7BDA9">
      <w:pPr>
        <w:pStyle w:val="8"/>
      </w:pPr>
      <w:r>
        <w:rPr>
          <w:rFonts w:hint="eastAsia"/>
        </w:rPr>
        <w:t>执行时段及周期</w:t>
      </w:r>
    </w:p>
    <w:p w14:paraId="4423DC87">
      <w:pPr>
        <w:pStyle w:val="52"/>
        <w:ind w:firstLine="480"/>
      </w:pPr>
      <w:r>
        <w:rPr>
          <w:rFonts w:hint="eastAsia"/>
        </w:rPr>
        <w:t>作为设计的前置工作，该阶段工作的具体实施时间按项目周期计划进行。</w:t>
      </w:r>
    </w:p>
    <w:p w14:paraId="2ED0029B">
      <w:pPr>
        <w:pStyle w:val="7"/>
      </w:pPr>
      <w:r>
        <w:rPr>
          <w:rFonts w:hint="eastAsia"/>
        </w:rPr>
        <w:t>概要设计</w:t>
      </w:r>
    </w:p>
    <w:p w14:paraId="7D00CCCC">
      <w:pPr>
        <w:pStyle w:val="8"/>
      </w:pPr>
      <w:r>
        <w:rPr>
          <w:rFonts w:hint="eastAsia"/>
        </w:rPr>
        <w:t>任务项说明</w:t>
      </w:r>
    </w:p>
    <w:p w14:paraId="22BD9BCE">
      <w:pPr>
        <w:pStyle w:val="52"/>
        <w:ind w:firstLine="480"/>
      </w:pPr>
      <w:r>
        <w:rPr>
          <w:rFonts w:hint="eastAsia"/>
        </w:rPr>
        <w:t>根据经过甲方确认的《需求分析说明书》中本期合同范围内的开发内容，我方进行概要设计，形成项目概要设计说明书及系统集成测试计划与案例。</w:t>
      </w:r>
    </w:p>
    <w:p w14:paraId="5F0F04AD">
      <w:pPr>
        <w:pStyle w:val="8"/>
      </w:pPr>
      <w:r>
        <w:rPr>
          <w:rFonts w:hint="eastAsia"/>
        </w:rPr>
        <w:t>我方职责</w:t>
      </w:r>
    </w:p>
    <w:p w14:paraId="5E334EB1">
      <w:pPr>
        <w:pStyle w:val="52"/>
        <w:ind w:firstLine="480"/>
      </w:pPr>
      <w:r>
        <w:rPr>
          <w:rFonts w:hint="eastAsia"/>
        </w:rPr>
        <w:t>正确根据需求分析说明书，并在双方确认的规范下，进行系统概要设计工作，完成概要设计及集成测试计划和相关案例的编制工作，集成测试计划包括系统内集成及系统间协同方案。</w:t>
      </w:r>
    </w:p>
    <w:p w14:paraId="715EC114">
      <w:pPr>
        <w:pStyle w:val="8"/>
      </w:pPr>
      <w:r>
        <w:rPr>
          <w:rFonts w:hint="eastAsia"/>
        </w:rPr>
        <w:t>甲方职责</w:t>
      </w:r>
    </w:p>
    <w:p w14:paraId="5B2201DE">
      <w:pPr>
        <w:pStyle w:val="52"/>
        <w:ind w:firstLine="480"/>
      </w:pPr>
      <w:r>
        <w:rPr>
          <w:rFonts w:hint="eastAsia"/>
        </w:rPr>
        <w:t>负责对实施过程进度进行监控与计划调整。参与概要设计工作，在我方对工作中提供业务上及系统上的咨询和帮助。组织所需的评审工作。</w:t>
      </w:r>
    </w:p>
    <w:p w14:paraId="42AE872D">
      <w:pPr>
        <w:pStyle w:val="8"/>
      </w:pPr>
      <w:r>
        <w:rPr>
          <w:rFonts w:hint="eastAsia"/>
        </w:rPr>
        <w:t>提交文件</w:t>
      </w:r>
    </w:p>
    <w:p w14:paraId="3C84A7E8">
      <w:pPr>
        <w:pStyle w:val="52"/>
        <w:ind w:firstLine="480"/>
      </w:pPr>
      <w:r>
        <w:rPr>
          <w:rFonts w:hint="eastAsia"/>
        </w:rPr>
        <w:t>《概要设计说明书》</w:t>
      </w:r>
    </w:p>
    <w:p w14:paraId="482A51F6">
      <w:pPr>
        <w:pStyle w:val="52"/>
        <w:ind w:firstLine="480"/>
      </w:pPr>
      <w:r>
        <w:rPr>
          <w:rFonts w:hint="eastAsia"/>
        </w:rPr>
        <w:t>《集成测试计划》</w:t>
      </w:r>
    </w:p>
    <w:p w14:paraId="1A972CAD">
      <w:pPr>
        <w:pStyle w:val="52"/>
        <w:ind w:firstLine="480"/>
      </w:pPr>
      <w:r>
        <w:rPr>
          <w:rFonts w:hint="eastAsia"/>
        </w:rPr>
        <w:t>《集成测试案例》</w:t>
      </w:r>
    </w:p>
    <w:p w14:paraId="3499A850">
      <w:pPr>
        <w:pStyle w:val="8"/>
      </w:pPr>
      <w:r>
        <w:rPr>
          <w:rFonts w:hint="eastAsia"/>
        </w:rPr>
        <w:t>完成标志</w:t>
      </w:r>
    </w:p>
    <w:p w14:paraId="05DAD923">
      <w:pPr>
        <w:pStyle w:val="52"/>
        <w:ind w:firstLine="480"/>
      </w:pPr>
      <w:r>
        <w:rPr>
          <w:rFonts w:hint="eastAsia"/>
        </w:rPr>
        <w:t>提交件通过由我方组织的评审确认,且经甲方验收合格。</w:t>
      </w:r>
    </w:p>
    <w:p w14:paraId="37C8BF8C">
      <w:pPr>
        <w:pStyle w:val="8"/>
      </w:pPr>
      <w:r>
        <w:rPr>
          <w:rFonts w:hint="eastAsia"/>
        </w:rPr>
        <w:t>执行时段及周期</w:t>
      </w:r>
    </w:p>
    <w:p w14:paraId="2B6941AA">
      <w:pPr>
        <w:pStyle w:val="52"/>
        <w:ind w:firstLine="480"/>
      </w:pPr>
      <w:r>
        <w:rPr>
          <w:rFonts w:hint="eastAsia"/>
        </w:rPr>
        <w:t>该阶段工作的具体实施时间按项目周期计划进行。</w:t>
      </w:r>
    </w:p>
    <w:p w14:paraId="0008EE81">
      <w:pPr>
        <w:pStyle w:val="7"/>
      </w:pPr>
      <w:r>
        <w:rPr>
          <w:rFonts w:hint="eastAsia"/>
        </w:rPr>
        <w:t>详细设计</w:t>
      </w:r>
    </w:p>
    <w:p w14:paraId="71B272DF">
      <w:pPr>
        <w:pStyle w:val="8"/>
      </w:pPr>
      <w:r>
        <w:rPr>
          <w:rFonts w:hint="eastAsia"/>
        </w:rPr>
        <w:t>任务项说明</w:t>
      </w:r>
    </w:p>
    <w:p w14:paraId="65EDD510">
      <w:pPr>
        <w:pStyle w:val="52"/>
        <w:ind w:firstLine="480"/>
      </w:pPr>
      <w:r>
        <w:rPr>
          <w:rFonts w:hint="eastAsia"/>
        </w:rPr>
        <w:t>根据经过甲方确认的《概要设计说明书》中本期合同范围内的开发内容，我方进行系统详细设计，形成项目详细设计说明书及单元测试计划与案例。</w:t>
      </w:r>
    </w:p>
    <w:p w14:paraId="7013BE9F">
      <w:pPr>
        <w:pStyle w:val="8"/>
      </w:pPr>
      <w:r>
        <w:rPr>
          <w:rFonts w:hint="eastAsia"/>
        </w:rPr>
        <w:t>我方职责</w:t>
      </w:r>
    </w:p>
    <w:p w14:paraId="4084C49C">
      <w:pPr>
        <w:pStyle w:val="52"/>
        <w:ind w:firstLine="480"/>
      </w:pPr>
      <w:r>
        <w:rPr>
          <w:rFonts w:hint="eastAsia"/>
        </w:rPr>
        <w:t>根据概要设计说明书，并在双方确认的规范下，进行详细设计工作，完成详细设计及单元测试计划及相关案例的编制工作。</w:t>
      </w:r>
    </w:p>
    <w:p w14:paraId="40776F69">
      <w:pPr>
        <w:pStyle w:val="8"/>
      </w:pPr>
      <w:r>
        <w:rPr>
          <w:rFonts w:hint="eastAsia"/>
        </w:rPr>
        <w:t>甲方职责</w:t>
      </w:r>
    </w:p>
    <w:p w14:paraId="40F9E7B6">
      <w:pPr>
        <w:pStyle w:val="52"/>
        <w:ind w:firstLine="480"/>
      </w:pPr>
      <w:r>
        <w:rPr>
          <w:rFonts w:hint="eastAsia"/>
        </w:rPr>
        <w:t>负责对实施过程进度进行监控与进行计划调整。参与详细设计工作，在乙方对工作中提供业务上及系统上的咨询和帮助。组织所需的评审工作。</w:t>
      </w:r>
    </w:p>
    <w:p w14:paraId="4E3AFF6B">
      <w:pPr>
        <w:pStyle w:val="8"/>
      </w:pPr>
      <w:r>
        <w:rPr>
          <w:rFonts w:hint="eastAsia"/>
        </w:rPr>
        <w:t>提交物</w:t>
      </w:r>
    </w:p>
    <w:p w14:paraId="48657E97">
      <w:pPr>
        <w:pStyle w:val="52"/>
        <w:ind w:firstLine="480"/>
      </w:pPr>
      <w:r>
        <w:rPr>
          <w:rFonts w:hint="eastAsia"/>
        </w:rPr>
        <w:t>《详细设计说明书》</w:t>
      </w:r>
    </w:p>
    <w:p w14:paraId="78B65512">
      <w:pPr>
        <w:pStyle w:val="52"/>
        <w:ind w:firstLine="480"/>
      </w:pPr>
      <w:r>
        <w:rPr>
          <w:rFonts w:hint="eastAsia"/>
        </w:rPr>
        <w:t>《单元测试计划》</w:t>
      </w:r>
    </w:p>
    <w:p w14:paraId="05EA9B2A">
      <w:pPr>
        <w:pStyle w:val="52"/>
        <w:ind w:firstLine="480"/>
      </w:pPr>
      <w:r>
        <w:rPr>
          <w:rFonts w:hint="eastAsia"/>
        </w:rPr>
        <w:t>《单元测试案例》</w:t>
      </w:r>
    </w:p>
    <w:p w14:paraId="144F450B">
      <w:pPr>
        <w:pStyle w:val="8"/>
      </w:pPr>
      <w:r>
        <w:rPr>
          <w:rFonts w:hint="eastAsia"/>
        </w:rPr>
        <w:t>完成标志</w:t>
      </w:r>
    </w:p>
    <w:p w14:paraId="401885F9">
      <w:pPr>
        <w:pStyle w:val="52"/>
        <w:ind w:firstLine="480"/>
      </w:pPr>
      <w:r>
        <w:rPr>
          <w:rFonts w:hint="eastAsia"/>
        </w:rPr>
        <w:t>提交件通过由项目实施单位组织的评审确认, 且经甲方验收合格。</w:t>
      </w:r>
    </w:p>
    <w:p w14:paraId="07D8662C">
      <w:pPr>
        <w:pStyle w:val="8"/>
      </w:pPr>
      <w:r>
        <w:rPr>
          <w:rFonts w:hint="eastAsia"/>
        </w:rPr>
        <w:t>执行时段及周期</w:t>
      </w:r>
    </w:p>
    <w:p w14:paraId="13D448C1">
      <w:pPr>
        <w:pStyle w:val="52"/>
        <w:ind w:firstLine="480"/>
        <w:rPr>
          <w:rFonts w:hAnsi="Trebuchet MS"/>
        </w:rPr>
      </w:pPr>
      <w:r>
        <w:rPr>
          <w:rFonts w:hint="eastAsia" w:hAnsi="Trebuchet MS"/>
        </w:rPr>
        <w:t>作为编码和单元测试的前置工作，</w:t>
      </w:r>
      <w:r>
        <w:rPr>
          <w:rFonts w:hint="eastAsia"/>
        </w:rPr>
        <w:t>该阶段工作的具体实施时间按前面所列计划进行。</w:t>
      </w:r>
    </w:p>
    <w:p w14:paraId="51F7D261">
      <w:pPr>
        <w:pStyle w:val="7"/>
      </w:pPr>
      <w:r>
        <w:rPr>
          <w:rFonts w:hint="eastAsia"/>
        </w:rPr>
        <w:t>开发与单元测试</w:t>
      </w:r>
    </w:p>
    <w:p w14:paraId="2B4EAAE8">
      <w:pPr>
        <w:pStyle w:val="8"/>
      </w:pPr>
      <w:r>
        <w:rPr>
          <w:rFonts w:hint="eastAsia"/>
        </w:rPr>
        <w:t>任务项说明</w:t>
      </w:r>
    </w:p>
    <w:p w14:paraId="03FF4DB1">
      <w:pPr>
        <w:pStyle w:val="52"/>
        <w:ind w:firstLine="480"/>
      </w:pPr>
      <w:r>
        <w:rPr>
          <w:rFonts w:hint="eastAsia"/>
        </w:rPr>
        <w:t>根据经过确认的《详细设计说明书》中本期合同范围内的开发内容，进行编码与单元测试工作，形成系统源码及单元测试报告。并同时出具操作手册，用户手册，技术手册等相关文档。</w:t>
      </w:r>
    </w:p>
    <w:p w14:paraId="745436BF">
      <w:pPr>
        <w:pStyle w:val="52"/>
        <w:ind w:firstLine="480"/>
      </w:pPr>
      <w:r>
        <w:rPr>
          <w:rFonts w:hint="eastAsia"/>
        </w:rPr>
        <w:t>完成测试版本的准备工作，保证测试环境就绪。</w:t>
      </w:r>
    </w:p>
    <w:p w14:paraId="5DC5271C">
      <w:pPr>
        <w:pStyle w:val="8"/>
      </w:pPr>
      <w:r>
        <w:rPr>
          <w:rFonts w:hint="eastAsia"/>
        </w:rPr>
        <w:t>我方职责</w:t>
      </w:r>
    </w:p>
    <w:p w14:paraId="6F7A4266">
      <w:pPr>
        <w:pStyle w:val="52"/>
        <w:ind w:firstLine="480"/>
      </w:pPr>
      <w:r>
        <w:rPr>
          <w:rFonts w:hint="eastAsia"/>
        </w:rPr>
        <w:t>我方项目组根据确认的详细设计说明书，进行系统的源代码开发，并完成代码的单测试，提交系统的测试版本。</w:t>
      </w:r>
    </w:p>
    <w:p w14:paraId="40522C1B">
      <w:pPr>
        <w:pStyle w:val="52"/>
        <w:ind w:firstLine="480"/>
      </w:pPr>
      <w:r>
        <w:rPr>
          <w:rFonts w:hint="eastAsia"/>
        </w:rPr>
        <w:t>根据系统的实施情况，编制完成操作手册，用户手册，技术手册等相关文档。</w:t>
      </w:r>
    </w:p>
    <w:p w14:paraId="2B72D4C3">
      <w:pPr>
        <w:pStyle w:val="8"/>
      </w:pPr>
      <w:r>
        <w:rPr>
          <w:rFonts w:hint="eastAsia"/>
        </w:rPr>
        <w:t>甲方职责</w:t>
      </w:r>
    </w:p>
    <w:p w14:paraId="6F590538">
      <w:pPr>
        <w:pStyle w:val="52"/>
        <w:ind w:firstLine="480"/>
      </w:pPr>
      <w:r>
        <w:rPr>
          <w:rFonts w:hint="eastAsia"/>
        </w:rPr>
        <w:t>负责对实施过程进度进行监控与进行计划调整。在乙方对工作中提供业务上及系统上的咨询和帮助。组织所需的同行审查及走查工作。</w:t>
      </w:r>
    </w:p>
    <w:p w14:paraId="452A2104">
      <w:pPr>
        <w:pStyle w:val="52"/>
        <w:ind w:firstLine="480"/>
      </w:pPr>
      <w:r>
        <w:rPr>
          <w:rFonts w:hint="eastAsia"/>
        </w:rPr>
        <w:t>负责准备集成及系统集成测试的测试环境。</w:t>
      </w:r>
    </w:p>
    <w:p w14:paraId="7C41710A">
      <w:pPr>
        <w:pStyle w:val="8"/>
      </w:pPr>
      <w:r>
        <w:rPr>
          <w:rFonts w:hint="eastAsia"/>
        </w:rPr>
        <w:t>提交文件</w:t>
      </w:r>
    </w:p>
    <w:p w14:paraId="759A7D9F">
      <w:pPr>
        <w:pStyle w:val="52"/>
        <w:ind w:firstLine="480"/>
      </w:pPr>
      <w:r>
        <w:rPr>
          <w:rFonts w:hint="eastAsia"/>
        </w:rPr>
        <w:t>《源代码》</w:t>
      </w:r>
    </w:p>
    <w:p w14:paraId="42D239AB">
      <w:pPr>
        <w:pStyle w:val="52"/>
        <w:ind w:firstLine="480"/>
      </w:pPr>
      <w:r>
        <w:rPr>
          <w:rFonts w:hint="eastAsia"/>
        </w:rPr>
        <w:t>《单元测试报告》</w:t>
      </w:r>
    </w:p>
    <w:p w14:paraId="15FB272C">
      <w:pPr>
        <w:pStyle w:val="52"/>
        <w:ind w:firstLine="480"/>
      </w:pPr>
      <w:r>
        <w:rPr>
          <w:rFonts w:hint="eastAsia"/>
        </w:rPr>
        <w:t>《用户操作手册》</w:t>
      </w:r>
    </w:p>
    <w:p w14:paraId="5F1A727D">
      <w:pPr>
        <w:pStyle w:val="8"/>
      </w:pPr>
      <w:r>
        <w:rPr>
          <w:rFonts w:hint="eastAsia"/>
        </w:rPr>
        <w:t>完成标志</w:t>
      </w:r>
    </w:p>
    <w:p w14:paraId="14A70565">
      <w:pPr>
        <w:pStyle w:val="52"/>
        <w:ind w:firstLine="480"/>
      </w:pPr>
      <w:r>
        <w:rPr>
          <w:rFonts w:hint="eastAsia"/>
        </w:rPr>
        <w:t>提交件通过由项目实施单位组织的评审确认, 且经甲方验收合格。</w:t>
      </w:r>
    </w:p>
    <w:p w14:paraId="6686C151">
      <w:pPr>
        <w:pStyle w:val="8"/>
      </w:pPr>
      <w:r>
        <w:rPr>
          <w:rFonts w:hint="eastAsia"/>
        </w:rPr>
        <w:t>执行时段及周期</w:t>
      </w:r>
    </w:p>
    <w:p w14:paraId="5AB32128">
      <w:pPr>
        <w:pStyle w:val="52"/>
        <w:ind w:firstLine="480"/>
        <w:rPr>
          <w:rFonts w:hAnsi="Trebuchet MS"/>
        </w:rPr>
      </w:pPr>
      <w:bookmarkStart w:id="12" w:name="_Toc34940533"/>
      <w:r>
        <w:rPr>
          <w:rFonts w:hint="eastAsia" w:hAnsi="Trebuchet MS"/>
        </w:rPr>
        <w:t>作为集成测试的前置工作，</w:t>
      </w:r>
      <w:r>
        <w:rPr>
          <w:rFonts w:hint="eastAsia"/>
        </w:rPr>
        <w:t>该阶段工作的具体实施时间按前面所列计划进行</w:t>
      </w:r>
      <w:r>
        <w:rPr>
          <w:rFonts w:hint="eastAsia" w:hAnsi="Trebuchet MS"/>
        </w:rPr>
        <w:t>。</w:t>
      </w:r>
    </w:p>
    <w:p w14:paraId="250BE87B">
      <w:pPr>
        <w:pStyle w:val="7"/>
      </w:pPr>
      <w:r>
        <w:rPr>
          <w:rFonts w:hint="eastAsia"/>
        </w:rPr>
        <w:t>测试</w:t>
      </w:r>
    </w:p>
    <w:p w14:paraId="54E26E34">
      <w:pPr>
        <w:pStyle w:val="8"/>
      </w:pPr>
      <w:r>
        <w:rPr>
          <w:rFonts w:hint="eastAsia"/>
        </w:rPr>
        <w:t>任务项说明</w:t>
      </w:r>
    </w:p>
    <w:p w14:paraId="0DAAB196">
      <w:pPr>
        <w:pStyle w:val="52"/>
        <w:ind w:firstLine="480"/>
      </w:pPr>
      <w:r>
        <w:rPr>
          <w:rFonts w:hint="eastAsia"/>
        </w:rPr>
        <w:t>根据系统集成测试计划与系统集成测试案例进行系统内集成测试、系统间集成测试等工作，并提请项目申请单位进行用户测试工作，最终出具系统集成测试报告、用户测试报告及维护手册等。</w:t>
      </w:r>
    </w:p>
    <w:p w14:paraId="686B8229">
      <w:pPr>
        <w:pStyle w:val="52"/>
        <w:ind w:firstLine="480"/>
      </w:pPr>
      <w:r>
        <w:rPr>
          <w:rFonts w:hint="eastAsia"/>
        </w:rPr>
        <w:t>进行试运行上线的准备工作。</w:t>
      </w:r>
    </w:p>
    <w:p w14:paraId="7F6D4159">
      <w:pPr>
        <w:pStyle w:val="8"/>
      </w:pPr>
      <w:r>
        <w:rPr>
          <w:rFonts w:hint="eastAsia"/>
        </w:rPr>
        <w:t>我方职责</w:t>
      </w:r>
    </w:p>
    <w:p w14:paraId="1D70E719">
      <w:pPr>
        <w:pStyle w:val="52"/>
        <w:ind w:firstLine="480"/>
      </w:pPr>
      <w:r>
        <w:rPr>
          <w:rFonts w:hint="eastAsia"/>
        </w:rPr>
        <w:t>根据系统集成测试计划与系统集成测试案例进行集成测试、系统集成测试工作，出具系统集成测试报告，包括压力测试报告。并在用户测试报告中提供支持，对与需求不符的缺陷，通过变更流程进行修改。</w:t>
      </w:r>
    </w:p>
    <w:p w14:paraId="0F5E75FD">
      <w:pPr>
        <w:pStyle w:val="52"/>
        <w:ind w:firstLine="480"/>
      </w:pPr>
      <w:r>
        <w:rPr>
          <w:rFonts w:hint="eastAsia"/>
        </w:rPr>
        <w:t>并在当期完成试运行工作所需材料，包括上线方案，应急计划，安装实施工艺等。</w:t>
      </w:r>
    </w:p>
    <w:p w14:paraId="35E11E76">
      <w:pPr>
        <w:pStyle w:val="8"/>
      </w:pPr>
      <w:r>
        <w:rPr>
          <w:rFonts w:hint="eastAsia"/>
        </w:rPr>
        <w:t>甲方职责</w:t>
      </w:r>
    </w:p>
    <w:p w14:paraId="185A6D83">
      <w:pPr>
        <w:pStyle w:val="52"/>
        <w:ind w:firstLine="480"/>
      </w:pPr>
      <w:r>
        <w:rPr>
          <w:rFonts w:hint="eastAsia"/>
        </w:rPr>
        <w:t>负责对实施过程进度进行监控与进行计划调整。对乙方在工作中提供业务上及系统上的咨询和帮助。组织质量控制活动。</w:t>
      </w:r>
    </w:p>
    <w:p w14:paraId="6027E97E">
      <w:pPr>
        <w:pStyle w:val="52"/>
        <w:ind w:firstLine="480"/>
      </w:pPr>
      <w:r>
        <w:rPr>
          <w:rFonts w:hint="eastAsia"/>
        </w:rPr>
        <w:t>负责测试环境的保证工作及测试过程中的版本控制工作。</w:t>
      </w:r>
    </w:p>
    <w:p w14:paraId="76357BBC">
      <w:pPr>
        <w:pStyle w:val="52"/>
        <w:ind w:firstLine="480"/>
      </w:pPr>
      <w:r>
        <w:rPr>
          <w:rFonts w:hint="eastAsia"/>
        </w:rPr>
        <w:t>负责组织申请单位进行用户测试工作。</w:t>
      </w:r>
    </w:p>
    <w:p w14:paraId="7CD8C9E3">
      <w:pPr>
        <w:pStyle w:val="52"/>
        <w:ind w:firstLine="480"/>
      </w:pPr>
      <w:r>
        <w:rPr>
          <w:rFonts w:hint="eastAsia"/>
        </w:rPr>
        <w:t>负责协调试运行上线相关准备工作。</w:t>
      </w:r>
    </w:p>
    <w:p w14:paraId="23C60D91">
      <w:pPr>
        <w:pStyle w:val="8"/>
      </w:pPr>
      <w:r>
        <w:rPr>
          <w:rFonts w:hint="eastAsia"/>
        </w:rPr>
        <w:t>提交件</w:t>
      </w:r>
    </w:p>
    <w:p w14:paraId="00033026">
      <w:pPr>
        <w:pStyle w:val="52"/>
        <w:ind w:firstLine="480"/>
      </w:pPr>
      <w:r>
        <w:rPr>
          <w:rFonts w:hint="eastAsia"/>
        </w:rPr>
        <w:t>《集成测试报告》</w:t>
      </w:r>
    </w:p>
    <w:p w14:paraId="155AC553">
      <w:pPr>
        <w:pStyle w:val="52"/>
        <w:ind w:firstLine="480"/>
      </w:pPr>
      <w:r>
        <w:rPr>
          <w:rFonts w:hint="eastAsia"/>
        </w:rPr>
        <w:t>《用户测试报告》</w:t>
      </w:r>
    </w:p>
    <w:p w14:paraId="5650B860">
      <w:pPr>
        <w:pStyle w:val="52"/>
        <w:ind w:firstLine="480"/>
      </w:pPr>
      <w:r>
        <w:rPr>
          <w:rFonts w:hint="eastAsia"/>
        </w:rPr>
        <w:t>《上线方案》</w:t>
      </w:r>
    </w:p>
    <w:p w14:paraId="71BE1D84">
      <w:pPr>
        <w:pStyle w:val="52"/>
        <w:ind w:firstLine="480"/>
      </w:pPr>
      <w:r>
        <w:rPr>
          <w:rFonts w:hint="eastAsia"/>
        </w:rPr>
        <w:t>《应急计划》</w:t>
      </w:r>
    </w:p>
    <w:p w14:paraId="257F42FF">
      <w:pPr>
        <w:pStyle w:val="52"/>
        <w:ind w:firstLine="480"/>
      </w:pPr>
      <w:r>
        <w:rPr>
          <w:rFonts w:hint="eastAsia"/>
        </w:rPr>
        <w:t>《安装实施工艺》</w:t>
      </w:r>
    </w:p>
    <w:p w14:paraId="1E39F5CC">
      <w:pPr>
        <w:pStyle w:val="52"/>
        <w:ind w:firstLine="480"/>
      </w:pPr>
      <w:r>
        <w:rPr>
          <w:rFonts w:hint="eastAsia"/>
        </w:rPr>
        <w:t>《培训手册》</w:t>
      </w:r>
    </w:p>
    <w:p w14:paraId="30975FB0">
      <w:pPr>
        <w:pStyle w:val="8"/>
      </w:pPr>
      <w:r>
        <w:rPr>
          <w:rFonts w:hint="eastAsia"/>
        </w:rPr>
        <w:t>完成标志</w:t>
      </w:r>
    </w:p>
    <w:p w14:paraId="3A3EAED7">
      <w:pPr>
        <w:pStyle w:val="52"/>
        <w:ind w:firstLine="480"/>
      </w:pPr>
      <w:r>
        <w:rPr>
          <w:rFonts w:hint="eastAsia"/>
        </w:rPr>
        <w:t>提交件通过由项目实施单位组织的评审确认, 且经甲方验收合格。</w:t>
      </w:r>
    </w:p>
    <w:p w14:paraId="11C64806">
      <w:pPr>
        <w:pStyle w:val="8"/>
      </w:pPr>
      <w:r>
        <w:rPr>
          <w:rFonts w:hint="eastAsia"/>
        </w:rPr>
        <w:t>执行时段及周期</w:t>
      </w:r>
    </w:p>
    <w:p w14:paraId="7EC5C074">
      <w:pPr>
        <w:pStyle w:val="52"/>
        <w:ind w:firstLine="480"/>
      </w:pPr>
      <w:r>
        <w:rPr>
          <w:rFonts w:hint="eastAsia" w:hAnsi="Trebuchet MS"/>
        </w:rPr>
        <w:t>作为试运行和用户测试的前置工作，</w:t>
      </w:r>
      <w:r>
        <w:rPr>
          <w:rFonts w:hint="eastAsia"/>
        </w:rPr>
        <w:t>该阶段工作的具体实施时间按前面所列计划进行。</w:t>
      </w:r>
    </w:p>
    <w:p w14:paraId="03751DC7">
      <w:pPr>
        <w:pStyle w:val="7"/>
      </w:pPr>
      <w:r>
        <w:rPr>
          <w:rFonts w:hint="eastAsia"/>
        </w:rPr>
        <w:t>试运行</w:t>
      </w:r>
    </w:p>
    <w:p w14:paraId="3F0403AE">
      <w:pPr>
        <w:pStyle w:val="8"/>
      </w:pPr>
      <w:r>
        <w:rPr>
          <w:rFonts w:hint="eastAsia"/>
        </w:rPr>
        <w:t>任务项说明</w:t>
      </w:r>
    </w:p>
    <w:p w14:paraId="180E0062">
      <w:pPr>
        <w:pStyle w:val="52"/>
        <w:ind w:firstLine="480"/>
      </w:pPr>
      <w:r>
        <w:rPr>
          <w:rFonts w:hint="eastAsia"/>
        </w:rPr>
        <w:t>开展试运行的培训工作，建设试运行环境，在甲方指定的分行进行受批准的版本试运行工作。</w:t>
      </w:r>
    </w:p>
    <w:p w14:paraId="6C315EBB">
      <w:pPr>
        <w:pStyle w:val="8"/>
      </w:pPr>
      <w:r>
        <w:rPr>
          <w:rFonts w:hint="eastAsia"/>
        </w:rPr>
        <w:t>我方职责</w:t>
      </w:r>
    </w:p>
    <w:p w14:paraId="3D0C0F70">
      <w:pPr>
        <w:pStyle w:val="52"/>
        <w:ind w:firstLine="480"/>
      </w:pPr>
      <w:r>
        <w:rPr>
          <w:rFonts w:hint="eastAsia"/>
        </w:rPr>
        <w:t>提供试运行的上线方案，提供试运行培训，协助进行试运行环境建设，在试运行过程中提供现场运行和支持，解决出现问题。并更新维护手册，完成常见问题处理手册。</w:t>
      </w:r>
    </w:p>
    <w:p w14:paraId="12B91DEC">
      <w:pPr>
        <w:pStyle w:val="8"/>
      </w:pPr>
      <w:r>
        <w:rPr>
          <w:rFonts w:hint="eastAsia"/>
        </w:rPr>
        <w:t>甲方职责</w:t>
      </w:r>
    </w:p>
    <w:p w14:paraId="62BD9F3B">
      <w:pPr>
        <w:pStyle w:val="52"/>
        <w:ind w:firstLine="480"/>
      </w:pPr>
      <w:r>
        <w:rPr>
          <w:rFonts w:hint="eastAsia"/>
        </w:rPr>
        <w:t>负责审批上线方案，具体组织试运行工作，出具试运行报告。</w:t>
      </w:r>
    </w:p>
    <w:p w14:paraId="1F9272A0">
      <w:pPr>
        <w:pStyle w:val="8"/>
      </w:pPr>
      <w:r>
        <w:rPr>
          <w:rFonts w:hint="eastAsia"/>
        </w:rPr>
        <w:t>提交件</w:t>
      </w:r>
    </w:p>
    <w:p w14:paraId="504435F2">
      <w:pPr>
        <w:pStyle w:val="52"/>
        <w:ind w:firstLine="480"/>
      </w:pPr>
      <w:r>
        <w:rPr>
          <w:rFonts w:hint="eastAsia"/>
        </w:rPr>
        <w:t>《试运行报告》</w:t>
      </w:r>
    </w:p>
    <w:p w14:paraId="63D66C3D">
      <w:pPr>
        <w:pStyle w:val="52"/>
        <w:ind w:firstLine="480"/>
      </w:pPr>
      <w:r>
        <w:rPr>
          <w:rFonts w:hint="eastAsia"/>
        </w:rPr>
        <w:t>《运行维护手册》</w:t>
      </w:r>
    </w:p>
    <w:p w14:paraId="34034C82">
      <w:pPr>
        <w:pStyle w:val="52"/>
        <w:ind w:firstLine="480"/>
      </w:pPr>
      <w:r>
        <w:rPr>
          <w:rFonts w:hint="eastAsia"/>
        </w:rPr>
        <w:t>《常见问题处理手册》</w:t>
      </w:r>
    </w:p>
    <w:p w14:paraId="7D9AE3BA">
      <w:pPr>
        <w:pStyle w:val="52"/>
        <w:ind w:firstLine="480"/>
      </w:pPr>
      <w:r>
        <w:rPr>
          <w:rFonts w:hint="eastAsia"/>
        </w:rPr>
        <w:t>《运行保障计划》</w:t>
      </w:r>
    </w:p>
    <w:p w14:paraId="3A1F41DE">
      <w:pPr>
        <w:pStyle w:val="8"/>
      </w:pPr>
      <w:r>
        <w:rPr>
          <w:rFonts w:hint="eastAsia"/>
        </w:rPr>
        <w:t>完成标志</w:t>
      </w:r>
    </w:p>
    <w:p w14:paraId="5C2EBFAF">
      <w:pPr>
        <w:pStyle w:val="52"/>
        <w:ind w:firstLine="480"/>
      </w:pPr>
      <w:r>
        <w:rPr>
          <w:rFonts w:hint="eastAsia"/>
        </w:rPr>
        <w:t>项目试运行单位出具项目试运行报告，确认试运行成功，且经甲方验收合格。</w:t>
      </w:r>
    </w:p>
    <w:p w14:paraId="087C74D8">
      <w:pPr>
        <w:pStyle w:val="8"/>
      </w:pPr>
      <w:r>
        <w:rPr>
          <w:rFonts w:hint="eastAsia"/>
        </w:rPr>
        <w:t>执行时段及周期</w:t>
      </w:r>
    </w:p>
    <w:p w14:paraId="299B34E6">
      <w:pPr>
        <w:pStyle w:val="52"/>
        <w:ind w:firstLine="480"/>
        <w:rPr>
          <w:rFonts w:hAnsi="Trebuchet MS"/>
        </w:rPr>
      </w:pPr>
      <w:r>
        <w:rPr>
          <w:rFonts w:hint="eastAsia" w:hAnsi="Trebuchet MS"/>
        </w:rPr>
        <w:t>作为项目推广上线的前置工作，</w:t>
      </w:r>
      <w:r>
        <w:rPr>
          <w:rFonts w:hint="eastAsia"/>
        </w:rPr>
        <w:t>该阶段工作的具体实施时间按前面所列计划进行。</w:t>
      </w:r>
    </w:p>
    <w:p w14:paraId="42491866">
      <w:pPr>
        <w:pStyle w:val="6"/>
      </w:pPr>
      <w:bookmarkStart w:id="13" w:name="_Toc82096195"/>
      <w:r>
        <w:rPr>
          <w:rFonts w:hint="eastAsia"/>
        </w:rPr>
        <w:t>知识产权</w:t>
      </w:r>
      <w:bookmarkEnd w:id="12"/>
      <w:bookmarkEnd w:id="13"/>
    </w:p>
    <w:p w14:paraId="0939C76B">
      <w:pPr>
        <w:pStyle w:val="52"/>
        <w:ind w:firstLine="480"/>
      </w:pPr>
      <w:r>
        <w:rPr>
          <w:rFonts w:hint="eastAsia"/>
        </w:rPr>
        <w:t>我方承诺，我方在本项目中所开发的软件的知识产权，（包括但不限于文档知识产权以及应用软件源代码）归中国建设银行和我方共有。</w:t>
      </w:r>
    </w:p>
    <w:p w14:paraId="08A3F67E">
      <w:pPr>
        <w:pStyle w:val="6"/>
      </w:pPr>
      <w:bookmarkStart w:id="14" w:name="_Toc82096196"/>
      <w:r>
        <w:rPr>
          <w:rFonts w:hint="eastAsia"/>
        </w:rPr>
        <w:t>保密要求</w:t>
      </w:r>
      <w:bookmarkEnd w:id="14"/>
    </w:p>
    <w:p w14:paraId="1533F01B">
      <w:pPr>
        <w:pStyle w:val="52"/>
        <w:numPr>
          <w:ilvl w:val="0"/>
          <w:numId w:val="33"/>
        </w:numPr>
        <w:ind w:firstLineChars="0"/>
        <w:jc w:val="both"/>
        <w:rPr>
          <w:b/>
        </w:rPr>
      </w:pPr>
      <w:r>
        <w:rPr>
          <w:rFonts w:hint="eastAsia"/>
          <w:b/>
        </w:rPr>
        <w:t>人员管理</w:t>
      </w:r>
    </w:p>
    <w:p w14:paraId="048EF55C">
      <w:pPr>
        <w:pStyle w:val="52"/>
        <w:ind w:firstLine="480"/>
      </w:pPr>
      <w:r>
        <w:rPr>
          <w:rFonts w:hint="eastAsia"/>
        </w:rPr>
        <w:t>我方工程师在甲方办公场地工作，应按甲方相关流程办理人员入场手续，并签订保密承诺函。我方人员在进场后，将严格遵守甲方保密规定进行相关工作。</w:t>
      </w:r>
    </w:p>
    <w:p w14:paraId="7B676AB6">
      <w:pPr>
        <w:pStyle w:val="52"/>
        <w:numPr>
          <w:ilvl w:val="0"/>
          <w:numId w:val="33"/>
        </w:numPr>
        <w:ind w:firstLineChars="0"/>
        <w:jc w:val="both"/>
        <w:rPr>
          <w:b/>
        </w:rPr>
      </w:pPr>
      <w:r>
        <w:rPr>
          <w:rFonts w:hint="eastAsia"/>
          <w:b/>
        </w:rPr>
        <w:t>文档管理</w:t>
      </w:r>
    </w:p>
    <w:p w14:paraId="4975D355">
      <w:pPr>
        <w:pStyle w:val="52"/>
        <w:ind w:firstLine="480"/>
      </w:pPr>
      <w:r>
        <w:rPr>
          <w:rFonts w:hint="eastAsia"/>
        </w:rPr>
        <w:t>1.文档的流通与检索</w:t>
      </w:r>
    </w:p>
    <w:p w14:paraId="4839509A">
      <w:pPr>
        <w:pStyle w:val="52"/>
        <w:numPr>
          <w:ilvl w:val="0"/>
          <w:numId w:val="34"/>
        </w:numPr>
        <w:ind w:firstLineChars="0"/>
        <w:jc w:val="both"/>
      </w:pPr>
      <w:r>
        <w:rPr>
          <w:rFonts w:hint="eastAsia"/>
        </w:rPr>
        <w:t>经审核的新文档按时流通到指定收件人</w:t>
      </w:r>
    </w:p>
    <w:p w14:paraId="59D5ECED">
      <w:pPr>
        <w:pStyle w:val="52"/>
        <w:numPr>
          <w:ilvl w:val="0"/>
          <w:numId w:val="34"/>
        </w:numPr>
        <w:ind w:firstLineChars="0"/>
        <w:jc w:val="both"/>
      </w:pPr>
      <w:r>
        <w:rPr>
          <w:rFonts w:hint="eastAsia"/>
        </w:rPr>
        <w:t>保证副本的有效、准确、保密性</w:t>
      </w:r>
    </w:p>
    <w:p w14:paraId="7EEF16C9">
      <w:pPr>
        <w:pStyle w:val="52"/>
        <w:ind w:firstLine="480"/>
      </w:pPr>
      <w:r>
        <w:t>2.</w:t>
      </w:r>
      <w:r>
        <w:rPr>
          <w:rFonts w:hint="eastAsia"/>
        </w:rPr>
        <w:t>文档保密、包括文档的废止</w:t>
      </w:r>
    </w:p>
    <w:p w14:paraId="354A234B">
      <w:pPr>
        <w:pStyle w:val="52"/>
        <w:numPr>
          <w:ilvl w:val="0"/>
          <w:numId w:val="35"/>
        </w:numPr>
        <w:ind w:firstLineChars="0"/>
        <w:jc w:val="both"/>
      </w:pPr>
      <w:r>
        <w:rPr>
          <w:rFonts w:hint="eastAsia"/>
        </w:rPr>
        <w:t>严格按照文档类型的限制访问</w:t>
      </w:r>
    </w:p>
    <w:p w14:paraId="7838BAE6">
      <w:pPr>
        <w:pStyle w:val="52"/>
        <w:numPr>
          <w:ilvl w:val="0"/>
          <w:numId w:val="35"/>
        </w:numPr>
        <w:ind w:firstLineChars="0"/>
        <w:jc w:val="both"/>
      </w:pPr>
      <w:r>
        <w:rPr>
          <w:rFonts w:hint="eastAsia"/>
        </w:rPr>
        <w:t>防止非授权人员改变存储的文档</w:t>
      </w:r>
    </w:p>
    <w:p w14:paraId="336714C6">
      <w:pPr>
        <w:pStyle w:val="52"/>
        <w:numPr>
          <w:ilvl w:val="0"/>
          <w:numId w:val="35"/>
        </w:numPr>
        <w:ind w:firstLineChars="0"/>
        <w:jc w:val="both"/>
      </w:pPr>
      <w:r>
        <w:rPr>
          <w:rFonts w:hint="eastAsia"/>
        </w:rPr>
        <w:t>提供电子或纸质的备份</w:t>
      </w:r>
    </w:p>
    <w:p w14:paraId="1494B64A">
      <w:pPr>
        <w:pStyle w:val="52"/>
        <w:numPr>
          <w:ilvl w:val="0"/>
          <w:numId w:val="35"/>
        </w:numPr>
        <w:ind w:firstLineChars="0"/>
        <w:jc w:val="both"/>
      </w:pPr>
      <w:r>
        <w:rPr>
          <w:rFonts w:hint="eastAsia"/>
        </w:rPr>
        <w:t>确定存储期限</w:t>
      </w:r>
    </w:p>
    <w:p w14:paraId="2821FDDD">
      <w:pPr>
        <w:pStyle w:val="6"/>
      </w:pPr>
      <w:bookmarkStart w:id="15" w:name="_Toc82096197"/>
      <w:r>
        <w:rPr>
          <w:rFonts w:hint="eastAsia"/>
        </w:rPr>
        <w:t>提交件及质量标准</w:t>
      </w:r>
      <w:bookmarkEnd w:id="15"/>
    </w:p>
    <w:p w14:paraId="3B14DDFA">
      <w:pPr>
        <w:pStyle w:val="7"/>
      </w:pPr>
      <w:r>
        <w:rPr>
          <w:rFonts w:hint="eastAsia"/>
        </w:rPr>
        <w:t>项目提交文件</w:t>
      </w:r>
    </w:p>
    <w:tbl>
      <w:tblPr>
        <w:tblStyle w:val="32"/>
        <w:tblW w:w="5000" w:type="pct"/>
        <w:tblInd w:w="0" w:type="dxa"/>
        <w:tblLayout w:type="autofit"/>
        <w:tblCellMar>
          <w:top w:w="0" w:type="dxa"/>
          <w:left w:w="108" w:type="dxa"/>
          <w:bottom w:w="0" w:type="dxa"/>
          <w:right w:w="108" w:type="dxa"/>
        </w:tblCellMar>
      </w:tblPr>
      <w:tblGrid>
        <w:gridCol w:w="3213"/>
        <w:gridCol w:w="1620"/>
        <w:gridCol w:w="1549"/>
        <w:gridCol w:w="2688"/>
      </w:tblGrid>
      <w:tr w14:paraId="27FCE590">
        <w:tblPrEx>
          <w:tblCellMar>
            <w:top w:w="0" w:type="dxa"/>
            <w:left w:w="108" w:type="dxa"/>
            <w:bottom w:w="0" w:type="dxa"/>
            <w:right w:w="108" w:type="dxa"/>
          </w:tblCellMar>
        </w:tblPrEx>
        <w:trPr>
          <w:trHeight w:val="280" w:hRule="atLeast"/>
        </w:trPr>
        <w:tc>
          <w:tcPr>
            <w:tcW w:w="1771" w:type="pct"/>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A949FBB">
            <w:pPr>
              <w:widowControl/>
              <w:spacing w:line="240" w:lineRule="auto"/>
              <w:jc w:val="center"/>
              <w:rPr>
                <w:rFonts w:ascii="宋体" w:hAnsi="宋体" w:eastAsia="宋体" w:cs="宋体"/>
                <w:b/>
                <w:bCs/>
                <w:color w:val="000000"/>
                <w:kern w:val="0"/>
                <w:sz w:val="21"/>
              </w:rPr>
            </w:pPr>
            <w:r>
              <w:rPr>
                <w:rFonts w:hint="eastAsia" w:ascii="宋体" w:hAnsi="宋体" w:eastAsia="宋体" w:cs="宋体"/>
                <w:b/>
                <w:bCs/>
                <w:color w:val="000000"/>
                <w:kern w:val="0"/>
                <w:sz w:val="21"/>
              </w:rPr>
              <w:t>交付物名称</w:t>
            </w:r>
          </w:p>
        </w:tc>
        <w:tc>
          <w:tcPr>
            <w:tcW w:w="893" w:type="pct"/>
            <w:tcBorders>
              <w:top w:val="single" w:color="auto" w:sz="4" w:space="0"/>
              <w:left w:val="nil"/>
              <w:bottom w:val="single" w:color="auto" w:sz="4" w:space="0"/>
              <w:right w:val="single" w:color="auto" w:sz="4" w:space="0"/>
            </w:tcBorders>
            <w:shd w:val="clear" w:color="auto" w:fill="BEBEBE" w:themeFill="background1" w:themeFillShade="BF"/>
            <w:vAlign w:val="center"/>
          </w:tcPr>
          <w:p w14:paraId="22C08F98">
            <w:pPr>
              <w:widowControl/>
              <w:spacing w:line="240" w:lineRule="auto"/>
              <w:jc w:val="center"/>
              <w:rPr>
                <w:rFonts w:ascii="宋体" w:hAnsi="宋体" w:eastAsia="宋体" w:cs="宋体"/>
                <w:b/>
                <w:bCs/>
                <w:color w:val="000000"/>
                <w:kern w:val="0"/>
                <w:sz w:val="21"/>
              </w:rPr>
            </w:pPr>
            <w:r>
              <w:rPr>
                <w:rFonts w:hint="eastAsia" w:ascii="宋体" w:hAnsi="宋体" w:eastAsia="宋体" w:cs="宋体"/>
                <w:b/>
                <w:bCs/>
                <w:color w:val="000000"/>
                <w:kern w:val="0"/>
                <w:sz w:val="21"/>
              </w:rPr>
              <w:t>介质形式</w:t>
            </w:r>
          </w:p>
        </w:tc>
        <w:tc>
          <w:tcPr>
            <w:tcW w:w="854" w:type="pct"/>
            <w:tcBorders>
              <w:top w:val="single" w:color="auto" w:sz="4" w:space="0"/>
              <w:left w:val="nil"/>
              <w:bottom w:val="single" w:color="auto" w:sz="4" w:space="0"/>
              <w:right w:val="single" w:color="auto" w:sz="4" w:space="0"/>
            </w:tcBorders>
            <w:shd w:val="clear" w:color="auto" w:fill="BEBEBE" w:themeFill="background1" w:themeFillShade="BF"/>
            <w:vAlign w:val="center"/>
          </w:tcPr>
          <w:p w14:paraId="505178B5">
            <w:pPr>
              <w:widowControl/>
              <w:spacing w:line="240" w:lineRule="auto"/>
              <w:jc w:val="center"/>
              <w:rPr>
                <w:rFonts w:ascii="宋体" w:hAnsi="宋体" w:eastAsia="宋体" w:cs="宋体"/>
                <w:b/>
                <w:bCs/>
                <w:color w:val="000000"/>
                <w:kern w:val="0"/>
                <w:sz w:val="21"/>
              </w:rPr>
            </w:pPr>
            <w:r>
              <w:rPr>
                <w:rFonts w:hint="eastAsia" w:ascii="宋体" w:hAnsi="宋体" w:eastAsia="宋体" w:cs="宋体"/>
                <w:b/>
                <w:bCs/>
                <w:color w:val="000000"/>
                <w:kern w:val="0"/>
                <w:sz w:val="21"/>
              </w:rPr>
              <w:t>责任方</w:t>
            </w:r>
          </w:p>
        </w:tc>
        <w:tc>
          <w:tcPr>
            <w:tcW w:w="1482" w:type="pct"/>
            <w:tcBorders>
              <w:top w:val="single" w:color="auto" w:sz="4" w:space="0"/>
              <w:left w:val="nil"/>
              <w:bottom w:val="single" w:color="auto" w:sz="4" w:space="0"/>
              <w:right w:val="single" w:color="auto" w:sz="4" w:space="0"/>
            </w:tcBorders>
            <w:shd w:val="clear" w:color="auto" w:fill="BEBEBE" w:themeFill="background1" w:themeFillShade="BF"/>
            <w:vAlign w:val="center"/>
          </w:tcPr>
          <w:p w14:paraId="6090A453">
            <w:pPr>
              <w:widowControl/>
              <w:spacing w:line="240" w:lineRule="auto"/>
              <w:jc w:val="center"/>
              <w:rPr>
                <w:rFonts w:ascii="宋体" w:hAnsi="宋体" w:eastAsia="宋体" w:cs="宋体"/>
                <w:b/>
                <w:bCs/>
                <w:color w:val="000000"/>
                <w:kern w:val="0"/>
                <w:sz w:val="21"/>
              </w:rPr>
            </w:pPr>
            <w:r>
              <w:rPr>
                <w:rFonts w:hint="eastAsia" w:ascii="宋体" w:hAnsi="宋体" w:eastAsia="宋体" w:cs="宋体"/>
                <w:b/>
                <w:bCs/>
                <w:color w:val="000000"/>
                <w:kern w:val="0"/>
                <w:sz w:val="21"/>
              </w:rPr>
              <w:t>备注</w:t>
            </w:r>
          </w:p>
        </w:tc>
      </w:tr>
      <w:tr w14:paraId="067866B5">
        <w:tblPrEx>
          <w:tblCellMar>
            <w:top w:w="0" w:type="dxa"/>
            <w:left w:w="108" w:type="dxa"/>
            <w:bottom w:w="0" w:type="dxa"/>
            <w:right w:w="108" w:type="dxa"/>
          </w:tblCellMar>
        </w:tblPrEx>
        <w:trPr>
          <w:trHeight w:val="558" w:hRule="atLeast"/>
        </w:trPr>
        <w:tc>
          <w:tcPr>
            <w:tcW w:w="1771" w:type="pct"/>
            <w:tcBorders>
              <w:top w:val="nil"/>
              <w:left w:val="single" w:color="auto" w:sz="4" w:space="0"/>
              <w:bottom w:val="single" w:color="auto" w:sz="4" w:space="0"/>
              <w:right w:val="single" w:color="auto" w:sz="4" w:space="0"/>
            </w:tcBorders>
            <w:shd w:val="clear" w:color="auto" w:fill="auto"/>
            <w:vAlign w:val="center"/>
          </w:tcPr>
          <w:p w14:paraId="2BFF7DE3">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源代码</w:t>
            </w:r>
          </w:p>
        </w:tc>
        <w:tc>
          <w:tcPr>
            <w:tcW w:w="893" w:type="pct"/>
            <w:tcBorders>
              <w:top w:val="nil"/>
              <w:left w:val="nil"/>
              <w:bottom w:val="single" w:color="auto" w:sz="4" w:space="0"/>
              <w:right w:val="single" w:color="auto" w:sz="4" w:space="0"/>
            </w:tcBorders>
            <w:shd w:val="clear" w:color="auto" w:fill="auto"/>
            <w:vAlign w:val="center"/>
          </w:tcPr>
          <w:p w14:paraId="038D2644">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电子</w:t>
            </w:r>
          </w:p>
        </w:tc>
        <w:tc>
          <w:tcPr>
            <w:tcW w:w="854" w:type="pct"/>
            <w:tcBorders>
              <w:top w:val="nil"/>
              <w:left w:val="nil"/>
              <w:bottom w:val="single" w:color="auto" w:sz="4" w:space="0"/>
              <w:right w:val="single" w:color="auto" w:sz="4" w:space="0"/>
            </w:tcBorders>
            <w:shd w:val="clear" w:color="auto" w:fill="auto"/>
            <w:vAlign w:val="center"/>
          </w:tcPr>
          <w:p w14:paraId="5901A60A">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建行+优锘</w:t>
            </w:r>
          </w:p>
        </w:tc>
        <w:tc>
          <w:tcPr>
            <w:tcW w:w="1482" w:type="pct"/>
            <w:tcBorders>
              <w:top w:val="nil"/>
              <w:left w:val="nil"/>
              <w:bottom w:val="single" w:color="auto" w:sz="4" w:space="0"/>
              <w:right w:val="single" w:color="auto" w:sz="4" w:space="0"/>
            </w:tcBorders>
            <w:shd w:val="clear" w:color="auto" w:fill="auto"/>
            <w:vAlign w:val="center"/>
          </w:tcPr>
          <w:p w14:paraId="2F4BB556">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试运行前提交，包括所有系统、构件、链接库</w:t>
            </w:r>
          </w:p>
        </w:tc>
      </w:tr>
      <w:tr w14:paraId="22248FB7">
        <w:tblPrEx>
          <w:tblCellMar>
            <w:top w:w="0" w:type="dxa"/>
            <w:left w:w="108" w:type="dxa"/>
            <w:bottom w:w="0" w:type="dxa"/>
            <w:right w:w="108" w:type="dxa"/>
          </w:tblCellMar>
        </w:tblPrEx>
        <w:trPr>
          <w:trHeight w:val="280" w:hRule="atLeast"/>
        </w:trPr>
        <w:tc>
          <w:tcPr>
            <w:tcW w:w="1771" w:type="pct"/>
            <w:tcBorders>
              <w:top w:val="nil"/>
              <w:left w:val="single" w:color="auto" w:sz="4" w:space="0"/>
              <w:bottom w:val="single" w:color="auto" w:sz="4" w:space="0"/>
              <w:right w:val="single" w:color="auto" w:sz="4" w:space="0"/>
            </w:tcBorders>
            <w:shd w:val="clear" w:color="auto" w:fill="auto"/>
            <w:vAlign w:val="center"/>
          </w:tcPr>
          <w:p w14:paraId="5408E5A6">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《项目计划书》</w:t>
            </w:r>
          </w:p>
        </w:tc>
        <w:tc>
          <w:tcPr>
            <w:tcW w:w="893" w:type="pct"/>
            <w:tcBorders>
              <w:top w:val="nil"/>
              <w:left w:val="nil"/>
              <w:bottom w:val="single" w:color="auto" w:sz="4" w:space="0"/>
              <w:right w:val="single" w:color="auto" w:sz="4" w:space="0"/>
            </w:tcBorders>
            <w:shd w:val="clear" w:color="auto" w:fill="auto"/>
            <w:vAlign w:val="center"/>
          </w:tcPr>
          <w:p w14:paraId="745EFE79">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电子</w:t>
            </w:r>
          </w:p>
        </w:tc>
        <w:tc>
          <w:tcPr>
            <w:tcW w:w="854" w:type="pct"/>
            <w:tcBorders>
              <w:top w:val="nil"/>
              <w:left w:val="nil"/>
              <w:bottom w:val="single" w:color="auto" w:sz="4" w:space="0"/>
              <w:right w:val="single" w:color="auto" w:sz="4" w:space="0"/>
            </w:tcBorders>
            <w:shd w:val="clear" w:color="auto" w:fill="auto"/>
            <w:vAlign w:val="center"/>
          </w:tcPr>
          <w:p w14:paraId="7B555ABE">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建行+优锘</w:t>
            </w:r>
          </w:p>
        </w:tc>
        <w:tc>
          <w:tcPr>
            <w:tcW w:w="1482" w:type="pct"/>
            <w:tcBorders>
              <w:top w:val="nil"/>
              <w:left w:val="nil"/>
              <w:bottom w:val="single" w:color="auto" w:sz="4" w:space="0"/>
              <w:right w:val="single" w:color="auto" w:sz="4" w:space="0"/>
            </w:tcBorders>
            <w:shd w:val="clear" w:color="auto" w:fill="auto"/>
            <w:vAlign w:val="center"/>
          </w:tcPr>
          <w:p w14:paraId="148735B8">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计划阶段提交</w:t>
            </w:r>
          </w:p>
        </w:tc>
      </w:tr>
      <w:tr w14:paraId="33500334">
        <w:tblPrEx>
          <w:tblCellMar>
            <w:top w:w="0" w:type="dxa"/>
            <w:left w:w="108" w:type="dxa"/>
            <w:bottom w:w="0" w:type="dxa"/>
            <w:right w:w="108" w:type="dxa"/>
          </w:tblCellMar>
        </w:tblPrEx>
        <w:trPr>
          <w:trHeight w:val="280" w:hRule="atLeast"/>
        </w:trPr>
        <w:tc>
          <w:tcPr>
            <w:tcW w:w="1771" w:type="pct"/>
            <w:tcBorders>
              <w:top w:val="nil"/>
              <w:left w:val="single" w:color="auto" w:sz="4" w:space="0"/>
              <w:bottom w:val="single" w:color="auto" w:sz="4" w:space="0"/>
              <w:right w:val="single" w:color="auto" w:sz="4" w:space="0"/>
            </w:tcBorders>
            <w:shd w:val="clear" w:color="auto" w:fill="auto"/>
            <w:vAlign w:val="center"/>
          </w:tcPr>
          <w:p w14:paraId="6FAA17F9">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《实施方案》</w:t>
            </w:r>
          </w:p>
        </w:tc>
        <w:tc>
          <w:tcPr>
            <w:tcW w:w="893" w:type="pct"/>
            <w:tcBorders>
              <w:top w:val="nil"/>
              <w:left w:val="nil"/>
              <w:bottom w:val="single" w:color="auto" w:sz="4" w:space="0"/>
              <w:right w:val="single" w:color="auto" w:sz="4" w:space="0"/>
            </w:tcBorders>
            <w:shd w:val="clear" w:color="auto" w:fill="auto"/>
            <w:vAlign w:val="center"/>
          </w:tcPr>
          <w:p w14:paraId="6B66AA02">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电子</w:t>
            </w:r>
          </w:p>
        </w:tc>
        <w:tc>
          <w:tcPr>
            <w:tcW w:w="854" w:type="pct"/>
            <w:tcBorders>
              <w:top w:val="nil"/>
              <w:left w:val="nil"/>
              <w:bottom w:val="single" w:color="auto" w:sz="4" w:space="0"/>
              <w:right w:val="single" w:color="auto" w:sz="4" w:space="0"/>
            </w:tcBorders>
            <w:shd w:val="clear" w:color="auto" w:fill="auto"/>
            <w:vAlign w:val="center"/>
          </w:tcPr>
          <w:p w14:paraId="5C9506FC">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建行+优锘</w:t>
            </w:r>
          </w:p>
        </w:tc>
        <w:tc>
          <w:tcPr>
            <w:tcW w:w="1482" w:type="pct"/>
            <w:tcBorders>
              <w:top w:val="nil"/>
              <w:left w:val="nil"/>
              <w:bottom w:val="single" w:color="auto" w:sz="4" w:space="0"/>
              <w:right w:val="single" w:color="auto" w:sz="4" w:space="0"/>
            </w:tcBorders>
            <w:shd w:val="clear" w:color="auto" w:fill="auto"/>
            <w:vAlign w:val="center"/>
          </w:tcPr>
          <w:p w14:paraId="5C39DFEA">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计划阶段提交</w:t>
            </w:r>
          </w:p>
        </w:tc>
      </w:tr>
      <w:tr w14:paraId="6D5CFF3B">
        <w:tblPrEx>
          <w:tblCellMar>
            <w:top w:w="0" w:type="dxa"/>
            <w:left w:w="108" w:type="dxa"/>
            <w:bottom w:w="0" w:type="dxa"/>
            <w:right w:w="108" w:type="dxa"/>
          </w:tblCellMar>
        </w:tblPrEx>
        <w:trPr>
          <w:trHeight w:val="280" w:hRule="atLeast"/>
        </w:trPr>
        <w:tc>
          <w:tcPr>
            <w:tcW w:w="1771" w:type="pct"/>
            <w:tcBorders>
              <w:top w:val="nil"/>
              <w:left w:val="single" w:color="auto" w:sz="4" w:space="0"/>
              <w:bottom w:val="single" w:color="auto" w:sz="4" w:space="0"/>
              <w:right w:val="single" w:color="auto" w:sz="4" w:space="0"/>
            </w:tcBorders>
            <w:shd w:val="clear" w:color="auto" w:fill="auto"/>
            <w:vAlign w:val="center"/>
          </w:tcPr>
          <w:p w14:paraId="1F97AAA6">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《需求分析说明书》</w:t>
            </w:r>
          </w:p>
        </w:tc>
        <w:tc>
          <w:tcPr>
            <w:tcW w:w="893" w:type="pct"/>
            <w:tcBorders>
              <w:top w:val="nil"/>
              <w:left w:val="nil"/>
              <w:bottom w:val="single" w:color="auto" w:sz="4" w:space="0"/>
              <w:right w:val="single" w:color="auto" w:sz="4" w:space="0"/>
            </w:tcBorders>
            <w:shd w:val="clear" w:color="auto" w:fill="auto"/>
            <w:vAlign w:val="center"/>
          </w:tcPr>
          <w:p w14:paraId="187A6418">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电子</w:t>
            </w:r>
          </w:p>
        </w:tc>
        <w:tc>
          <w:tcPr>
            <w:tcW w:w="854" w:type="pct"/>
            <w:tcBorders>
              <w:top w:val="nil"/>
              <w:left w:val="nil"/>
              <w:bottom w:val="single" w:color="auto" w:sz="4" w:space="0"/>
              <w:right w:val="single" w:color="auto" w:sz="4" w:space="0"/>
            </w:tcBorders>
            <w:shd w:val="clear" w:color="auto" w:fill="auto"/>
            <w:vAlign w:val="center"/>
          </w:tcPr>
          <w:p w14:paraId="2A5EB2A1">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建行+优锘</w:t>
            </w:r>
          </w:p>
        </w:tc>
        <w:tc>
          <w:tcPr>
            <w:tcW w:w="1482" w:type="pct"/>
            <w:tcBorders>
              <w:top w:val="nil"/>
              <w:left w:val="nil"/>
              <w:bottom w:val="single" w:color="auto" w:sz="4" w:space="0"/>
              <w:right w:val="single" w:color="auto" w:sz="4" w:space="0"/>
            </w:tcBorders>
            <w:shd w:val="clear" w:color="auto" w:fill="auto"/>
            <w:vAlign w:val="center"/>
          </w:tcPr>
          <w:p w14:paraId="0DF79006">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计划阶段提交</w:t>
            </w:r>
          </w:p>
        </w:tc>
      </w:tr>
      <w:tr w14:paraId="49D14ABD">
        <w:tblPrEx>
          <w:tblCellMar>
            <w:top w:w="0" w:type="dxa"/>
            <w:left w:w="108" w:type="dxa"/>
            <w:bottom w:w="0" w:type="dxa"/>
            <w:right w:w="108" w:type="dxa"/>
          </w:tblCellMar>
        </w:tblPrEx>
        <w:trPr>
          <w:trHeight w:val="280" w:hRule="atLeast"/>
        </w:trPr>
        <w:tc>
          <w:tcPr>
            <w:tcW w:w="1771" w:type="pct"/>
            <w:tcBorders>
              <w:top w:val="nil"/>
              <w:left w:val="single" w:color="auto" w:sz="4" w:space="0"/>
              <w:bottom w:val="single" w:color="auto" w:sz="4" w:space="0"/>
              <w:right w:val="single" w:color="auto" w:sz="4" w:space="0"/>
            </w:tcBorders>
            <w:shd w:val="clear" w:color="auto" w:fill="auto"/>
            <w:vAlign w:val="center"/>
          </w:tcPr>
          <w:p w14:paraId="23B87E76">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《用户测试计划》</w:t>
            </w:r>
          </w:p>
        </w:tc>
        <w:tc>
          <w:tcPr>
            <w:tcW w:w="893" w:type="pct"/>
            <w:tcBorders>
              <w:top w:val="nil"/>
              <w:left w:val="nil"/>
              <w:bottom w:val="single" w:color="auto" w:sz="4" w:space="0"/>
              <w:right w:val="single" w:color="auto" w:sz="4" w:space="0"/>
            </w:tcBorders>
            <w:shd w:val="clear" w:color="auto" w:fill="auto"/>
            <w:vAlign w:val="center"/>
          </w:tcPr>
          <w:p w14:paraId="77D82A70">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电子</w:t>
            </w:r>
          </w:p>
        </w:tc>
        <w:tc>
          <w:tcPr>
            <w:tcW w:w="854" w:type="pct"/>
            <w:tcBorders>
              <w:top w:val="nil"/>
              <w:left w:val="nil"/>
              <w:bottom w:val="single" w:color="auto" w:sz="4" w:space="0"/>
              <w:right w:val="single" w:color="auto" w:sz="4" w:space="0"/>
            </w:tcBorders>
            <w:shd w:val="clear" w:color="auto" w:fill="auto"/>
            <w:vAlign w:val="center"/>
          </w:tcPr>
          <w:p w14:paraId="3AE10605">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建行</w:t>
            </w:r>
          </w:p>
        </w:tc>
        <w:tc>
          <w:tcPr>
            <w:tcW w:w="1482" w:type="pct"/>
            <w:tcBorders>
              <w:top w:val="nil"/>
              <w:left w:val="nil"/>
              <w:bottom w:val="single" w:color="auto" w:sz="4" w:space="0"/>
              <w:right w:val="single" w:color="auto" w:sz="4" w:space="0"/>
            </w:tcBorders>
            <w:shd w:val="clear" w:color="auto" w:fill="auto"/>
            <w:vAlign w:val="center"/>
          </w:tcPr>
          <w:p w14:paraId="65B0C70E">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实施阶段提交</w:t>
            </w:r>
          </w:p>
        </w:tc>
      </w:tr>
      <w:tr w14:paraId="7DF1066A">
        <w:tblPrEx>
          <w:tblCellMar>
            <w:top w:w="0" w:type="dxa"/>
            <w:left w:w="108" w:type="dxa"/>
            <w:bottom w:w="0" w:type="dxa"/>
            <w:right w:w="108" w:type="dxa"/>
          </w:tblCellMar>
        </w:tblPrEx>
        <w:trPr>
          <w:trHeight w:val="280" w:hRule="atLeast"/>
        </w:trPr>
        <w:tc>
          <w:tcPr>
            <w:tcW w:w="1771" w:type="pct"/>
            <w:tcBorders>
              <w:top w:val="nil"/>
              <w:left w:val="single" w:color="auto" w:sz="4" w:space="0"/>
              <w:bottom w:val="single" w:color="auto" w:sz="4" w:space="0"/>
              <w:right w:val="single" w:color="auto" w:sz="4" w:space="0"/>
            </w:tcBorders>
            <w:shd w:val="clear" w:color="auto" w:fill="auto"/>
            <w:vAlign w:val="center"/>
          </w:tcPr>
          <w:p w14:paraId="7D2D08A7">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《测试案例》</w:t>
            </w:r>
          </w:p>
        </w:tc>
        <w:tc>
          <w:tcPr>
            <w:tcW w:w="893" w:type="pct"/>
            <w:tcBorders>
              <w:top w:val="nil"/>
              <w:left w:val="nil"/>
              <w:bottom w:val="single" w:color="auto" w:sz="4" w:space="0"/>
              <w:right w:val="single" w:color="auto" w:sz="4" w:space="0"/>
            </w:tcBorders>
            <w:shd w:val="clear" w:color="auto" w:fill="auto"/>
            <w:vAlign w:val="center"/>
          </w:tcPr>
          <w:p w14:paraId="43B1E042">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电子</w:t>
            </w:r>
          </w:p>
        </w:tc>
        <w:tc>
          <w:tcPr>
            <w:tcW w:w="854" w:type="pct"/>
            <w:tcBorders>
              <w:top w:val="nil"/>
              <w:left w:val="nil"/>
              <w:bottom w:val="single" w:color="auto" w:sz="4" w:space="0"/>
              <w:right w:val="single" w:color="auto" w:sz="4" w:space="0"/>
            </w:tcBorders>
            <w:shd w:val="clear" w:color="auto" w:fill="auto"/>
            <w:vAlign w:val="center"/>
          </w:tcPr>
          <w:p w14:paraId="19F52BE8">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建行+优锘</w:t>
            </w:r>
          </w:p>
        </w:tc>
        <w:tc>
          <w:tcPr>
            <w:tcW w:w="1482" w:type="pct"/>
            <w:tcBorders>
              <w:top w:val="nil"/>
              <w:left w:val="nil"/>
              <w:bottom w:val="single" w:color="auto" w:sz="4" w:space="0"/>
              <w:right w:val="single" w:color="auto" w:sz="4" w:space="0"/>
            </w:tcBorders>
            <w:shd w:val="clear" w:color="auto" w:fill="auto"/>
            <w:vAlign w:val="center"/>
          </w:tcPr>
          <w:p w14:paraId="6DA21448">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实施阶段提交</w:t>
            </w:r>
          </w:p>
        </w:tc>
      </w:tr>
      <w:tr w14:paraId="2A2F43AB">
        <w:tblPrEx>
          <w:tblCellMar>
            <w:top w:w="0" w:type="dxa"/>
            <w:left w:w="108" w:type="dxa"/>
            <w:bottom w:w="0" w:type="dxa"/>
            <w:right w:w="108" w:type="dxa"/>
          </w:tblCellMar>
        </w:tblPrEx>
        <w:trPr>
          <w:trHeight w:val="280" w:hRule="atLeast"/>
        </w:trPr>
        <w:tc>
          <w:tcPr>
            <w:tcW w:w="1771" w:type="pct"/>
            <w:tcBorders>
              <w:top w:val="nil"/>
              <w:left w:val="single" w:color="auto" w:sz="4" w:space="0"/>
              <w:bottom w:val="single" w:color="auto" w:sz="4" w:space="0"/>
              <w:right w:val="single" w:color="auto" w:sz="4" w:space="0"/>
            </w:tcBorders>
            <w:shd w:val="clear" w:color="auto" w:fill="auto"/>
            <w:vAlign w:val="center"/>
          </w:tcPr>
          <w:p w14:paraId="228FFEE1">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《概要设计说明书》</w:t>
            </w:r>
          </w:p>
        </w:tc>
        <w:tc>
          <w:tcPr>
            <w:tcW w:w="893" w:type="pct"/>
            <w:tcBorders>
              <w:top w:val="nil"/>
              <w:left w:val="nil"/>
              <w:bottom w:val="single" w:color="auto" w:sz="4" w:space="0"/>
              <w:right w:val="single" w:color="auto" w:sz="4" w:space="0"/>
            </w:tcBorders>
            <w:shd w:val="clear" w:color="auto" w:fill="auto"/>
            <w:vAlign w:val="center"/>
          </w:tcPr>
          <w:p w14:paraId="0931C6A6">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电子</w:t>
            </w:r>
          </w:p>
        </w:tc>
        <w:tc>
          <w:tcPr>
            <w:tcW w:w="854" w:type="pct"/>
            <w:tcBorders>
              <w:top w:val="nil"/>
              <w:left w:val="nil"/>
              <w:bottom w:val="single" w:color="auto" w:sz="4" w:space="0"/>
              <w:right w:val="single" w:color="auto" w:sz="4" w:space="0"/>
            </w:tcBorders>
            <w:shd w:val="clear" w:color="auto" w:fill="auto"/>
            <w:vAlign w:val="center"/>
          </w:tcPr>
          <w:p w14:paraId="559E77AA">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建行+优锘</w:t>
            </w:r>
          </w:p>
        </w:tc>
        <w:tc>
          <w:tcPr>
            <w:tcW w:w="1482" w:type="pct"/>
            <w:tcBorders>
              <w:top w:val="nil"/>
              <w:left w:val="nil"/>
              <w:bottom w:val="single" w:color="auto" w:sz="4" w:space="0"/>
              <w:right w:val="single" w:color="auto" w:sz="4" w:space="0"/>
            </w:tcBorders>
            <w:shd w:val="clear" w:color="auto" w:fill="auto"/>
            <w:vAlign w:val="center"/>
          </w:tcPr>
          <w:p w14:paraId="3B6198CA">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实施阶段提交</w:t>
            </w:r>
          </w:p>
        </w:tc>
      </w:tr>
      <w:tr w14:paraId="20B95A32">
        <w:tblPrEx>
          <w:tblCellMar>
            <w:top w:w="0" w:type="dxa"/>
            <w:left w:w="108" w:type="dxa"/>
            <w:bottom w:w="0" w:type="dxa"/>
            <w:right w:w="108" w:type="dxa"/>
          </w:tblCellMar>
        </w:tblPrEx>
        <w:trPr>
          <w:trHeight w:val="280" w:hRule="atLeast"/>
        </w:trPr>
        <w:tc>
          <w:tcPr>
            <w:tcW w:w="1771" w:type="pct"/>
            <w:tcBorders>
              <w:top w:val="nil"/>
              <w:left w:val="single" w:color="auto" w:sz="4" w:space="0"/>
              <w:bottom w:val="single" w:color="auto" w:sz="4" w:space="0"/>
              <w:right w:val="single" w:color="auto" w:sz="4" w:space="0"/>
            </w:tcBorders>
            <w:shd w:val="clear" w:color="auto" w:fill="auto"/>
            <w:vAlign w:val="center"/>
          </w:tcPr>
          <w:p w14:paraId="7243B921">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《系统集成测试计划》</w:t>
            </w:r>
          </w:p>
        </w:tc>
        <w:tc>
          <w:tcPr>
            <w:tcW w:w="893" w:type="pct"/>
            <w:tcBorders>
              <w:top w:val="nil"/>
              <w:left w:val="nil"/>
              <w:bottom w:val="single" w:color="auto" w:sz="4" w:space="0"/>
              <w:right w:val="single" w:color="auto" w:sz="4" w:space="0"/>
            </w:tcBorders>
            <w:shd w:val="clear" w:color="auto" w:fill="auto"/>
            <w:vAlign w:val="center"/>
          </w:tcPr>
          <w:p w14:paraId="2B22282B">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电子</w:t>
            </w:r>
          </w:p>
        </w:tc>
        <w:tc>
          <w:tcPr>
            <w:tcW w:w="854" w:type="pct"/>
            <w:tcBorders>
              <w:top w:val="nil"/>
              <w:left w:val="nil"/>
              <w:bottom w:val="single" w:color="auto" w:sz="4" w:space="0"/>
              <w:right w:val="single" w:color="auto" w:sz="4" w:space="0"/>
            </w:tcBorders>
            <w:shd w:val="clear" w:color="auto" w:fill="auto"/>
            <w:vAlign w:val="center"/>
          </w:tcPr>
          <w:p w14:paraId="586BB2CA">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建行+优锘</w:t>
            </w:r>
          </w:p>
        </w:tc>
        <w:tc>
          <w:tcPr>
            <w:tcW w:w="1482" w:type="pct"/>
            <w:tcBorders>
              <w:top w:val="nil"/>
              <w:left w:val="nil"/>
              <w:bottom w:val="single" w:color="auto" w:sz="4" w:space="0"/>
              <w:right w:val="single" w:color="auto" w:sz="4" w:space="0"/>
            </w:tcBorders>
            <w:shd w:val="clear" w:color="auto" w:fill="auto"/>
            <w:vAlign w:val="center"/>
          </w:tcPr>
          <w:p w14:paraId="36B6DFED">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实施阶段提交</w:t>
            </w:r>
          </w:p>
        </w:tc>
      </w:tr>
      <w:tr w14:paraId="2EC9E5E9">
        <w:tblPrEx>
          <w:tblCellMar>
            <w:top w:w="0" w:type="dxa"/>
            <w:left w:w="108" w:type="dxa"/>
            <w:bottom w:w="0" w:type="dxa"/>
            <w:right w:w="108" w:type="dxa"/>
          </w:tblCellMar>
        </w:tblPrEx>
        <w:trPr>
          <w:trHeight w:val="280" w:hRule="atLeast"/>
        </w:trPr>
        <w:tc>
          <w:tcPr>
            <w:tcW w:w="1771" w:type="pct"/>
            <w:tcBorders>
              <w:top w:val="nil"/>
              <w:left w:val="single" w:color="auto" w:sz="4" w:space="0"/>
              <w:bottom w:val="single" w:color="auto" w:sz="4" w:space="0"/>
              <w:right w:val="single" w:color="auto" w:sz="4" w:space="0"/>
            </w:tcBorders>
            <w:shd w:val="clear" w:color="auto" w:fill="auto"/>
            <w:vAlign w:val="center"/>
          </w:tcPr>
          <w:p w14:paraId="01C5F481">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《用户操作手册》</w:t>
            </w:r>
          </w:p>
        </w:tc>
        <w:tc>
          <w:tcPr>
            <w:tcW w:w="893" w:type="pct"/>
            <w:tcBorders>
              <w:top w:val="nil"/>
              <w:left w:val="nil"/>
              <w:bottom w:val="single" w:color="auto" w:sz="4" w:space="0"/>
              <w:right w:val="single" w:color="auto" w:sz="4" w:space="0"/>
            </w:tcBorders>
            <w:shd w:val="clear" w:color="auto" w:fill="auto"/>
            <w:vAlign w:val="center"/>
          </w:tcPr>
          <w:p w14:paraId="22419F27">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电子</w:t>
            </w:r>
          </w:p>
        </w:tc>
        <w:tc>
          <w:tcPr>
            <w:tcW w:w="854" w:type="pct"/>
            <w:tcBorders>
              <w:top w:val="nil"/>
              <w:left w:val="nil"/>
              <w:bottom w:val="single" w:color="auto" w:sz="4" w:space="0"/>
              <w:right w:val="single" w:color="auto" w:sz="4" w:space="0"/>
            </w:tcBorders>
            <w:shd w:val="clear" w:color="auto" w:fill="auto"/>
            <w:vAlign w:val="center"/>
          </w:tcPr>
          <w:p w14:paraId="4A836E0A">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建行+优锘</w:t>
            </w:r>
          </w:p>
        </w:tc>
        <w:tc>
          <w:tcPr>
            <w:tcW w:w="1482" w:type="pct"/>
            <w:tcBorders>
              <w:top w:val="nil"/>
              <w:left w:val="nil"/>
              <w:bottom w:val="single" w:color="auto" w:sz="4" w:space="0"/>
              <w:right w:val="single" w:color="auto" w:sz="4" w:space="0"/>
            </w:tcBorders>
            <w:shd w:val="clear" w:color="auto" w:fill="auto"/>
            <w:vAlign w:val="center"/>
          </w:tcPr>
          <w:p w14:paraId="2F21626E">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实施阶段提交</w:t>
            </w:r>
          </w:p>
        </w:tc>
      </w:tr>
      <w:tr w14:paraId="30050224">
        <w:tblPrEx>
          <w:tblCellMar>
            <w:top w:w="0" w:type="dxa"/>
            <w:left w:w="108" w:type="dxa"/>
            <w:bottom w:w="0" w:type="dxa"/>
            <w:right w:w="108" w:type="dxa"/>
          </w:tblCellMar>
        </w:tblPrEx>
        <w:trPr>
          <w:trHeight w:val="280" w:hRule="atLeast"/>
        </w:trPr>
        <w:tc>
          <w:tcPr>
            <w:tcW w:w="1771" w:type="pct"/>
            <w:tcBorders>
              <w:top w:val="nil"/>
              <w:left w:val="single" w:color="auto" w:sz="4" w:space="0"/>
              <w:bottom w:val="single" w:color="auto" w:sz="4" w:space="0"/>
              <w:right w:val="single" w:color="auto" w:sz="4" w:space="0"/>
            </w:tcBorders>
            <w:shd w:val="clear" w:color="auto" w:fill="auto"/>
            <w:vAlign w:val="center"/>
          </w:tcPr>
          <w:p w14:paraId="1285EE38">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《运行维护手册》</w:t>
            </w:r>
          </w:p>
        </w:tc>
        <w:tc>
          <w:tcPr>
            <w:tcW w:w="893" w:type="pct"/>
            <w:tcBorders>
              <w:top w:val="nil"/>
              <w:left w:val="nil"/>
              <w:bottom w:val="single" w:color="auto" w:sz="4" w:space="0"/>
              <w:right w:val="single" w:color="auto" w:sz="4" w:space="0"/>
            </w:tcBorders>
            <w:shd w:val="clear" w:color="auto" w:fill="auto"/>
            <w:vAlign w:val="center"/>
          </w:tcPr>
          <w:p w14:paraId="37109444">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电子</w:t>
            </w:r>
          </w:p>
        </w:tc>
        <w:tc>
          <w:tcPr>
            <w:tcW w:w="854" w:type="pct"/>
            <w:tcBorders>
              <w:top w:val="nil"/>
              <w:left w:val="nil"/>
              <w:bottom w:val="single" w:color="auto" w:sz="4" w:space="0"/>
              <w:right w:val="single" w:color="auto" w:sz="4" w:space="0"/>
            </w:tcBorders>
            <w:shd w:val="clear" w:color="auto" w:fill="auto"/>
            <w:vAlign w:val="center"/>
          </w:tcPr>
          <w:p w14:paraId="1214B7D8">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建行+优锘</w:t>
            </w:r>
          </w:p>
        </w:tc>
        <w:tc>
          <w:tcPr>
            <w:tcW w:w="1482" w:type="pct"/>
            <w:tcBorders>
              <w:top w:val="nil"/>
              <w:left w:val="nil"/>
              <w:bottom w:val="single" w:color="auto" w:sz="4" w:space="0"/>
              <w:right w:val="single" w:color="auto" w:sz="4" w:space="0"/>
            </w:tcBorders>
            <w:shd w:val="clear" w:color="auto" w:fill="auto"/>
            <w:vAlign w:val="center"/>
          </w:tcPr>
          <w:p w14:paraId="3FDD835B">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测试阶段提交</w:t>
            </w:r>
          </w:p>
        </w:tc>
      </w:tr>
      <w:tr w14:paraId="7254581B">
        <w:tblPrEx>
          <w:tblCellMar>
            <w:top w:w="0" w:type="dxa"/>
            <w:left w:w="108" w:type="dxa"/>
            <w:bottom w:w="0" w:type="dxa"/>
            <w:right w:w="108" w:type="dxa"/>
          </w:tblCellMar>
        </w:tblPrEx>
        <w:trPr>
          <w:trHeight w:val="280" w:hRule="atLeast"/>
        </w:trPr>
        <w:tc>
          <w:tcPr>
            <w:tcW w:w="1771" w:type="pct"/>
            <w:tcBorders>
              <w:top w:val="nil"/>
              <w:left w:val="single" w:color="auto" w:sz="4" w:space="0"/>
              <w:bottom w:val="single" w:color="auto" w:sz="4" w:space="0"/>
              <w:right w:val="single" w:color="auto" w:sz="4" w:space="0"/>
            </w:tcBorders>
            <w:shd w:val="clear" w:color="auto" w:fill="auto"/>
            <w:vAlign w:val="center"/>
          </w:tcPr>
          <w:p w14:paraId="4B2FEEE0">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《常见问题处理手册》</w:t>
            </w:r>
          </w:p>
        </w:tc>
        <w:tc>
          <w:tcPr>
            <w:tcW w:w="893" w:type="pct"/>
            <w:tcBorders>
              <w:top w:val="nil"/>
              <w:left w:val="nil"/>
              <w:bottom w:val="single" w:color="auto" w:sz="4" w:space="0"/>
              <w:right w:val="single" w:color="auto" w:sz="4" w:space="0"/>
            </w:tcBorders>
            <w:shd w:val="clear" w:color="auto" w:fill="auto"/>
            <w:vAlign w:val="center"/>
          </w:tcPr>
          <w:p w14:paraId="08EBF260">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电子</w:t>
            </w:r>
          </w:p>
        </w:tc>
        <w:tc>
          <w:tcPr>
            <w:tcW w:w="854" w:type="pct"/>
            <w:tcBorders>
              <w:top w:val="nil"/>
              <w:left w:val="nil"/>
              <w:bottom w:val="single" w:color="auto" w:sz="4" w:space="0"/>
              <w:right w:val="single" w:color="auto" w:sz="4" w:space="0"/>
            </w:tcBorders>
            <w:shd w:val="clear" w:color="auto" w:fill="auto"/>
            <w:vAlign w:val="center"/>
          </w:tcPr>
          <w:p w14:paraId="5EBE0F09">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建行+优锘</w:t>
            </w:r>
          </w:p>
        </w:tc>
        <w:tc>
          <w:tcPr>
            <w:tcW w:w="1482" w:type="pct"/>
            <w:tcBorders>
              <w:top w:val="nil"/>
              <w:left w:val="nil"/>
              <w:bottom w:val="single" w:color="auto" w:sz="4" w:space="0"/>
              <w:right w:val="single" w:color="auto" w:sz="4" w:space="0"/>
            </w:tcBorders>
            <w:shd w:val="clear" w:color="auto" w:fill="auto"/>
            <w:vAlign w:val="center"/>
          </w:tcPr>
          <w:p w14:paraId="3C53B505">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测试阶段提交</w:t>
            </w:r>
          </w:p>
        </w:tc>
      </w:tr>
      <w:tr w14:paraId="50A25FB7">
        <w:tblPrEx>
          <w:tblCellMar>
            <w:top w:w="0" w:type="dxa"/>
            <w:left w:w="108" w:type="dxa"/>
            <w:bottom w:w="0" w:type="dxa"/>
            <w:right w:w="108" w:type="dxa"/>
          </w:tblCellMar>
        </w:tblPrEx>
        <w:trPr>
          <w:trHeight w:val="280" w:hRule="atLeast"/>
        </w:trPr>
        <w:tc>
          <w:tcPr>
            <w:tcW w:w="1771" w:type="pct"/>
            <w:tcBorders>
              <w:top w:val="nil"/>
              <w:left w:val="single" w:color="auto" w:sz="4" w:space="0"/>
              <w:bottom w:val="single" w:color="auto" w:sz="4" w:space="0"/>
              <w:right w:val="single" w:color="auto" w:sz="4" w:space="0"/>
            </w:tcBorders>
            <w:shd w:val="clear" w:color="auto" w:fill="auto"/>
            <w:vAlign w:val="center"/>
          </w:tcPr>
          <w:p w14:paraId="28C4F51A">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《培训手册》</w:t>
            </w:r>
          </w:p>
        </w:tc>
        <w:tc>
          <w:tcPr>
            <w:tcW w:w="893" w:type="pct"/>
            <w:tcBorders>
              <w:top w:val="nil"/>
              <w:left w:val="nil"/>
              <w:bottom w:val="single" w:color="auto" w:sz="4" w:space="0"/>
              <w:right w:val="single" w:color="auto" w:sz="4" w:space="0"/>
            </w:tcBorders>
            <w:shd w:val="clear" w:color="auto" w:fill="auto"/>
            <w:vAlign w:val="center"/>
          </w:tcPr>
          <w:p w14:paraId="26FBB280">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电子</w:t>
            </w:r>
          </w:p>
        </w:tc>
        <w:tc>
          <w:tcPr>
            <w:tcW w:w="854" w:type="pct"/>
            <w:tcBorders>
              <w:top w:val="nil"/>
              <w:left w:val="nil"/>
              <w:bottom w:val="single" w:color="auto" w:sz="4" w:space="0"/>
              <w:right w:val="single" w:color="auto" w:sz="4" w:space="0"/>
            </w:tcBorders>
            <w:shd w:val="clear" w:color="auto" w:fill="auto"/>
            <w:vAlign w:val="center"/>
          </w:tcPr>
          <w:p w14:paraId="20FB99FD">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建行+优锘</w:t>
            </w:r>
          </w:p>
        </w:tc>
        <w:tc>
          <w:tcPr>
            <w:tcW w:w="1482" w:type="pct"/>
            <w:tcBorders>
              <w:top w:val="nil"/>
              <w:left w:val="nil"/>
              <w:bottom w:val="single" w:color="auto" w:sz="4" w:space="0"/>
              <w:right w:val="single" w:color="auto" w:sz="4" w:space="0"/>
            </w:tcBorders>
            <w:shd w:val="clear" w:color="auto" w:fill="auto"/>
            <w:vAlign w:val="center"/>
          </w:tcPr>
          <w:p w14:paraId="6F4F4F4E">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实施阶段提交</w:t>
            </w:r>
          </w:p>
        </w:tc>
      </w:tr>
      <w:tr w14:paraId="0C5FAABB">
        <w:tblPrEx>
          <w:tblCellMar>
            <w:top w:w="0" w:type="dxa"/>
            <w:left w:w="108" w:type="dxa"/>
            <w:bottom w:w="0" w:type="dxa"/>
            <w:right w:w="108" w:type="dxa"/>
          </w:tblCellMar>
        </w:tblPrEx>
        <w:trPr>
          <w:trHeight w:val="280" w:hRule="atLeast"/>
        </w:trPr>
        <w:tc>
          <w:tcPr>
            <w:tcW w:w="1771" w:type="pct"/>
            <w:tcBorders>
              <w:top w:val="nil"/>
              <w:left w:val="single" w:color="auto" w:sz="4" w:space="0"/>
              <w:bottom w:val="single" w:color="auto" w:sz="4" w:space="0"/>
              <w:right w:val="single" w:color="auto" w:sz="4" w:space="0"/>
            </w:tcBorders>
            <w:shd w:val="clear" w:color="auto" w:fill="auto"/>
            <w:vAlign w:val="center"/>
          </w:tcPr>
          <w:p w14:paraId="003EDD68">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《用户测试报告》</w:t>
            </w:r>
          </w:p>
        </w:tc>
        <w:tc>
          <w:tcPr>
            <w:tcW w:w="893" w:type="pct"/>
            <w:tcBorders>
              <w:top w:val="nil"/>
              <w:left w:val="nil"/>
              <w:bottom w:val="single" w:color="auto" w:sz="4" w:space="0"/>
              <w:right w:val="single" w:color="auto" w:sz="4" w:space="0"/>
            </w:tcBorders>
            <w:shd w:val="clear" w:color="auto" w:fill="auto"/>
            <w:vAlign w:val="center"/>
          </w:tcPr>
          <w:p w14:paraId="06C07DCE">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电子</w:t>
            </w:r>
          </w:p>
        </w:tc>
        <w:tc>
          <w:tcPr>
            <w:tcW w:w="854" w:type="pct"/>
            <w:tcBorders>
              <w:top w:val="nil"/>
              <w:left w:val="nil"/>
              <w:bottom w:val="single" w:color="auto" w:sz="4" w:space="0"/>
              <w:right w:val="single" w:color="auto" w:sz="4" w:space="0"/>
            </w:tcBorders>
            <w:shd w:val="clear" w:color="auto" w:fill="auto"/>
            <w:vAlign w:val="center"/>
          </w:tcPr>
          <w:p w14:paraId="21A702F5">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建行</w:t>
            </w:r>
          </w:p>
        </w:tc>
        <w:tc>
          <w:tcPr>
            <w:tcW w:w="1482" w:type="pct"/>
            <w:tcBorders>
              <w:top w:val="nil"/>
              <w:left w:val="nil"/>
              <w:bottom w:val="single" w:color="auto" w:sz="4" w:space="0"/>
              <w:right w:val="single" w:color="auto" w:sz="4" w:space="0"/>
            </w:tcBorders>
            <w:shd w:val="clear" w:color="auto" w:fill="auto"/>
            <w:vAlign w:val="center"/>
          </w:tcPr>
          <w:p w14:paraId="1F293EEC">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实施阶段提交</w:t>
            </w:r>
          </w:p>
        </w:tc>
      </w:tr>
      <w:tr w14:paraId="76867A2D">
        <w:tblPrEx>
          <w:tblCellMar>
            <w:top w:w="0" w:type="dxa"/>
            <w:left w:w="108" w:type="dxa"/>
            <w:bottom w:w="0" w:type="dxa"/>
            <w:right w:w="108" w:type="dxa"/>
          </w:tblCellMar>
        </w:tblPrEx>
        <w:trPr>
          <w:trHeight w:val="280" w:hRule="atLeast"/>
        </w:trPr>
        <w:tc>
          <w:tcPr>
            <w:tcW w:w="1771" w:type="pct"/>
            <w:tcBorders>
              <w:top w:val="nil"/>
              <w:left w:val="single" w:color="auto" w:sz="4" w:space="0"/>
              <w:bottom w:val="single" w:color="auto" w:sz="4" w:space="0"/>
              <w:right w:val="single" w:color="auto" w:sz="4" w:space="0"/>
            </w:tcBorders>
            <w:shd w:val="clear" w:color="auto" w:fill="auto"/>
            <w:vAlign w:val="center"/>
          </w:tcPr>
          <w:p w14:paraId="4D259299">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《试运行报告》</w:t>
            </w:r>
          </w:p>
        </w:tc>
        <w:tc>
          <w:tcPr>
            <w:tcW w:w="893" w:type="pct"/>
            <w:tcBorders>
              <w:top w:val="nil"/>
              <w:left w:val="nil"/>
              <w:bottom w:val="single" w:color="auto" w:sz="4" w:space="0"/>
              <w:right w:val="single" w:color="auto" w:sz="4" w:space="0"/>
            </w:tcBorders>
            <w:shd w:val="clear" w:color="auto" w:fill="auto"/>
            <w:vAlign w:val="center"/>
          </w:tcPr>
          <w:p w14:paraId="3575E4CA">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电子</w:t>
            </w:r>
          </w:p>
        </w:tc>
        <w:tc>
          <w:tcPr>
            <w:tcW w:w="854" w:type="pct"/>
            <w:tcBorders>
              <w:top w:val="nil"/>
              <w:left w:val="nil"/>
              <w:bottom w:val="single" w:color="auto" w:sz="4" w:space="0"/>
              <w:right w:val="single" w:color="auto" w:sz="4" w:space="0"/>
            </w:tcBorders>
            <w:shd w:val="clear" w:color="auto" w:fill="auto"/>
            <w:vAlign w:val="center"/>
          </w:tcPr>
          <w:p w14:paraId="06D6FC71">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建行</w:t>
            </w:r>
          </w:p>
        </w:tc>
        <w:tc>
          <w:tcPr>
            <w:tcW w:w="1482" w:type="pct"/>
            <w:tcBorders>
              <w:top w:val="nil"/>
              <w:left w:val="nil"/>
              <w:bottom w:val="single" w:color="auto" w:sz="4" w:space="0"/>
              <w:right w:val="single" w:color="auto" w:sz="4" w:space="0"/>
            </w:tcBorders>
            <w:shd w:val="clear" w:color="auto" w:fill="auto"/>
            <w:vAlign w:val="center"/>
          </w:tcPr>
          <w:p w14:paraId="009F337A">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收尾阶段提交</w:t>
            </w:r>
          </w:p>
        </w:tc>
      </w:tr>
      <w:tr w14:paraId="0BDD5D0E">
        <w:tblPrEx>
          <w:tblCellMar>
            <w:top w:w="0" w:type="dxa"/>
            <w:left w:w="108" w:type="dxa"/>
            <w:bottom w:w="0" w:type="dxa"/>
            <w:right w:w="108" w:type="dxa"/>
          </w:tblCellMar>
        </w:tblPrEx>
        <w:trPr>
          <w:trHeight w:val="280" w:hRule="atLeast"/>
        </w:trPr>
        <w:tc>
          <w:tcPr>
            <w:tcW w:w="1771" w:type="pct"/>
            <w:tcBorders>
              <w:top w:val="nil"/>
              <w:left w:val="single" w:color="auto" w:sz="4" w:space="0"/>
              <w:bottom w:val="single" w:color="auto" w:sz="4" w:space="0"/>
              <w:right w:val="single" w:color="auto" w:sz="4" w:space="0"/>
            </w:tcBorders>
            <w:shd w:val="clear" w:color="auto" w:fill="auto"/>
            <w:vAlign w:val="center"/>
          </w:tcPr>
          <w:p w14:paraId="200A0CA8">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《项目总结报告》</w:t>
            </w:r>
          </w:p>
        </w:tc>
        <w:tc>
          <w:tcPr>
            <w:tcW w:w="893" w:type="pct"/>
            <w:tcBorders>
              <w:top w:val="nil"/>
              <w:left w:val="nil"/>
              <w:bottom w:val="single" w:color="auto" w:sz="4" w:space="0"/>
              <w:right w:val="single" w:color="auto" w:sz="4" w:space="0"/>
            </w:tcBorders>
            <w:shd w:val="clear" w:color="auto" w:fill="auto"/>
            <w:vAlign w:val="center"/>
          </w:tcPr>
          <w:p w14:paraId="3C94553C">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电子</w:t>
            </w:r>
          </w:p>
        </w:tc>
        <w:tc>
          <w:tcPr>
            <w:tcW w:w="854" w:type="pct"/>
            <w:tcBorders>
              <w:top w:val="nil"/>
              <w:left w:val="nil"/>
              <w:bottom w:val="single" w:color="auto" w:sz="4" w:space="0"/>
              <w:right w:val="single" w:color="auto" w:sz="4" w:space="0"/>
            </w:tcBorders>
            <w:shd w:val="clear" w:color="auto" w:fill="auto"/>
            <w:vAlign w:val="center"/>
          </w:tcPr>
          <w:p w14:paraId="2196AE39">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建行</w:t>
            </w:r>
          </w:p>
        </w:tc>
        <w:tc>
          <w:tcPr>
            <w:tcW w:w="1482" w:type="pct"/>
            <w:tcBorders>
              <w:top w:val="nil"/>
              <w:left w:val="nil"/>
              <w:bottom w:val="single" w:color="auto" w:sz="4" w:space="0"/>
              <w:right w:val="single" w:color="auto" w:sz="4" w:space="0"/>
            </w:tcBorders>
            <w:shd w:val="clear" w:color="auto" w:fill="auto"/>
            <w:vAlign w:val="center"/>
          </w:tcPr>
          <w:p w14:paraId="2CA688DD">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收尾阶段提交</w:t>
            </w:r>
          </w:p>
        </w:tc>
      </w:tr>
      <w:tr w14:paraId="4944BB77">
        <w:tblPrEx>
          <w:tblCellMar>
            <w:top w:w="0" w:type="dxa"/>
            <w:left w:w="108" w:type="dxa"/>
            <w:bottom w:w="0" w:type="dxa"/>
            <w:right w:w="108" w:type="dxa"/>
          </w:tblCellMar>
        </w:tblPrEx>
        <w:trPr>
          <w:trHeight w:val="280" w:hRule="atLeast"/>
        </w:trPr>
        <w:tc>
          <w:tcPr>
            <w:tcW w:w="1771" w:type="pct"/>
            <w:tcBorders>
              <w:top w:val="nil"/>
              <w:left w:val="single" w:color="auto" w:sz="4" w:space="0"/>
              <w:bottom w:val="single" w:color="auto" w:sz="4" w:space="0"/>
              <w:right w:val="single" w:color="auto" w:sz="4" w:space="0"/>
            </w:tcBorders>
            <w:shd w:val="clear" w:color="auto" w:fill="auto"/>
            <w:vAlign w:val="center"/>
          </w:tcPr>
          <w:p w14:paraId="4647A299">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《项目验收申请报告》</w:t>
            </w:r>
          </w:p>
        </w:tc>
        <w:tc>
          <w:tcPr>
            <w:tcW w:w="893" w:type="pct"/>
            <w:tcBorders>
              <w:top w:val="nil"/>
              <w:left w:val="nil"/>
              <w:bottom w:val="single" w:color="auto" w:sz="4" w:space="0"/>
              <w:right w:val="single" w:color="auto" w:sz="4" w:space="0"/>
            </w:tcBorders>
            <w:shd w:val="clear" w:color="auto" w:fill="auto"/>
            <w:vAlign w:val="center"/>
          </w:tcPr>
          <w:p w14:paraId="4535B07B">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电子</w:t>
            </w:r>
          </w:p>
        </w:tc>
        <w:tc>
          <w:tcPr>
            <w:tcW w:w="854" w:type="pct"/>
            <w:tcBorders>
              <w:top w:val="nil"/>
              <w:left w:val="nil"/>
              <w:bottom w:val="single" w:color="auto" w:sz="4" w:space="0"/>
              <w:right w:val="single" w:color="auto" w:sz="4" w:space="0"/>
            </w:tcBorders>
            <w:shd w:val="clear" w:color="auto" w:fill="auto"/>
            <w:vAlign w:val="center"/>
          </w:tcPr>
          <w:p w14:paraId="37C043EA">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建行</w:t>
            </w:r>
          </w:p>
        </w:tc>
        <w:tc>
          <w:tcPr>
            <w:tcW w:w="1482" w:type="pct"/>
            <w:tcBorders>
              <w:top w:val="nil"/>
              <w:left w:val="nil"/>
              <w:bottom w:val="single" w:color="auto" w:sz="4" w:space="0"/>
              <w:right w:val="single" w:color="auto" w:sz="4" w:space="0"/>
            </w:tcBorders>
            <w:shd w:val="clear" w:color="auto" w:fill="auto"/>
            <w:vAlign w:val="center"/>
          </w:tcPr>
          <w:p w14:paraId="65FA2AB1">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收尾阶段提交</w:t>
            </w:r>
          </w:p>
        </w:tc>
      </w:tr>
    </w:tbl>
    <w:p w14:paraId="4E403E2F">
      <w:pPr>
        <w:pStyle w:val="52"/>
        <w:ind w:firstLine="480"/>
      </w:pPr>
      <w:r>
        <w:rPr>
          <w:rFonts w:hint="eastAsia"/>
        </w:rPr>
        <w:t>除以上列表中所列文档外，根据项目特点，甲方可要求增加其他提交文档。</w:t>
      </w:r>
    </w:p>
    <w:p w14:paraId="119E6AEB">
      <w:pPr>
        <w:pStyle w:val="52"/>
        <w:ind w:firstLine="480"/>
      </w:pPr>
      <w:r>
        <w:rPr>
          <w:rFonts w:hint="eastAsia"/>
        </w:rPr>
        <w:t>以上过程文档严格按双方商定的时间点进行提交；我方提交的文档通过甲方相关质量管理部门组织的评审，评审后我方会根据评审意见进行文档修正并提交反馈或重新评审；以上文档纳入配置管理系统进行管理，完成相关阶段提交件并通过评审作为项目阶段任务完成的标志。</w:t>
      </w:r>
    </w:p>
    <w:p w14:paraId="057864AF">
      <w:pPr>
        <w:pStyle w:val="52"/>
        <w:ind w:firstLine="480"/>
      </w:pPr>
      <w:r>
        <w:rPr>
          <w:rFonts w:hint="eastAsia"/>
        </w:rPr>
        <w:t>项目文档如有分阶段滚动实现，在各阶段完成实现后，会就项目整体对各个阶段完成的文档进行汇总，依照文档体系的描述，形成相应完整文档，如各阶段需求分析完成后，应汇总为一份完整的需求分析说明书。</w:t>
      </w:r>
    </w:p>
    <w:p w14:paraId="76BB4099">
      <w:pPr>
        <w:pStyle w:val="7"/>
      </w:pPr>
      <w:r>
        <w:rPr>
          <w:rFonts w:hint="eastAsia"/>
        </w:rPr>
        <w:t>项目提交件质量标准</w:t>
      </w:r>
    </w:p>
    <w:p w14:paraId="08AA222D">
      <w:pPr>
        <w:pStyle w:val="52"/>
        <w:ind w:firstLine="480"/>
      </w:pPr>
      <w:r>
        <w:rPr>
          <w:rFonts w:hint="eastAsia"/>
        </w:rPr>
        <w:t xml:space="preserve">我方承诺所提交的文档均按照本项目相应的文档模板编写。 </w:t>
      </w:r>
    </w:p>
    <w:p w14:paraId="01EDBDBE">
      <w:pPr>
        <w:pStyle w:val="52"/>
        <w:ind w:firstLine="480"/>
      </w:pPr>
      <w:r>
        <w:rPr>
          <w:rFonts w:hint="eastAsia"/>
        </w:rPr>
        <w:t>我方承诺所有文档均具有详细的修改记录。</w:t>
      </w:r>
    </w:p>
    <w:p w14:paraId="1894C7A4">
      <w:pPr>
        <w:pStyle w:val="52"/>
        <w:ind w:firstLine="480"/>
      </w:pPr>
      <w:r>
        <w:rPr>
          <w:rFonts w:hint="eastAsia"/>
        </w:rPr>
        <w:t>我方承诺所有提交的文档保证符合文档规范，且文字通顺，条理清楚，无二义性。</w:t>
      </w:r>
    </w:p>
    <w:p w14:paraId="1EBB991A">
      <w:pPr>
        <w:pStyle w:val="52"/>
        <w:ind w:firstLine="480"/>
      </w:pPr>
      <w:r>
        <w:rPr>
          <w:rFonts w:hint="eastAsia"/>
        </w:rPr>
        <w:t>我方承诺本项目中所要提交的主要的文档及其质量均满足以下质量要求：</w:t>
      </w:r>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4"/>
        <w:gridCol w:w="2091"/>
        <w:gridCol w:w="6315"/>
      </w:tblGrid>
      <w:tr w14:paraId="2B8D7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61" w:type="pct"/>
            <w:shd w:val="clear" w:color="auto" w:fill="BEBEBE" w:themeFill="background1" w:themeFillShade="BF"/>
            <w:vAlign w:val="center"/>
          </w:tcPr>
          <w:p w14:paraId="1DED3F9B">
            <w:pPr>
              <w:widowControl/>
              <w:spacing w:line="240" w:lineRule="auto"/>
              <w:jc w:val="center"/>
              <w:rPr>
                <w:rFonts w:ascii="宋体" w:hAnsi="宋体" w:eastAsia="宋体" w:cs="宋体"/>
                <w:b/>
                <w:bCs/>
                <w:color w:val="000000"/>
                <w:kern w:val="0"/>
                <w:sz w:val="21"/>
              </w:rPr>
            </w:pPr>
            <w:r>
              <w:rPr>
                <w:rFonts w:hint="eastAsia" w:ascii="宋体" w:hAnsi="宋体" w:eastAsia="宋体" w:cs="宋体"/>
                <w:b/>
                <w:bCs/>
                <w:color w:val="000000"/>
                <w:kern w:val="0"/>
                <w:sz w:val="21"/>
              </w:rPr>
              <w:t>ID</w:t>
            </w:r>
          </w:p>
        </w:tc>
        <w:tc>
          <w:tcPr>
            <w:tcW w:w="1154" w:type="pct"/>
            <w:shd w:val="clear" w:color="auto" w:fill="BEBEBE" w:themeFill="background1" w:themeFillShade="BF"/>
            <w:vAlign w:val="center"/>
          </w:tcPr>
          <w:p w14:paraId="31ADE9E3">
            <w:pPr>
              <w:widowControl/>
              <w:spacing w:line="240" w:lineRule="auto"/>
              <w:jc w:val="center"/>
              <w:rPr>
                <w:rFonts w:ascii="宋体" w:hAnsi="宋体" w:eastAsia="宋体" w:cs="宋体"/>
                <w:b/>
                <w:bCs/>
                <w:color w:val="000000"/>
                <w:kern w:val="0"/>
                <w:sz w:val="21"/>
              </w:rPr>
            </w:pPr>
            <w:r>
              <w:rPr>
                <w:rFonts w:hint="eastAsia" w:ascii="宋体" w:hAnsi="宋体" w:eastAsia="宋体" w:cs="宋体"/>
                <w:b/>
                <w:bCs/>
                <w:color w:val="000000"/>
                <w:kern w:val="0"/>
                <w:sz w:val="21"/>
              </w:rPr>
              <w:t>文档名称</w:t>
            </w:r>
          </w:p>
        </w:tc>
        <w:tc>
          <w:tcPr>
            <w:tcW w:w="3485" w:type="pct"/>
            <w:shd w:val="clear" w:color="auto" w:fill="BEBEBE" w:themeFill="background1" w:themeFillShade="BF"/>
            <w:vAlign w:val="center"/>
          </w:tcPr>
          <w:p w14:paraId="77F2755D">
            <w:pPr>
              <w:widowControl/>
              <w:spacing w:line="240" w:lineRule="auto"/>
              <w:jc w:val="center"/>
              <w:rPr>
                <w:rFonts w:ascii="宋体" w:hAnsi="宋体" w:eastAsia="宋体" w:cs="宋体"/>
                <w:b/>
                <w:bCs/>
                <w:color w:val="000000"/>
                <w:kern w:val="0"/>
                <w:sz w:val="21"/>
              </w:rPr>
            </w:pPr>
            <w:r>
              <w:rPr>
                <w:rFonts w:hint="eastAsia" w:ascii="宋体" w:hAnsi="宋体" w:eastAsia="宋体" w:cs="宋体"/>
                <w:b/>
                <w:bCs/>
                <w:color w:val="000000"/>
                <w:kern w:val="0"/>
                <w:sz w:val="21"/>
              </w:rPr>
              <w:t>质量要求</w:t>
            </w:r>
          </w:p>
        </w:tc>
      </w:tr>
      <w:tr w14:paraId="7409E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61" w:type="pct"/>
            <w:vMerge w:val="restart"/>
            <w:shd w:val="clear" w:color="auto" w:fill="auto"/>
            <w:vAlign w:val="center"/>
          </w:tcPr>
          <w:p w14:paraId="6C374B73">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1</w:t>
            </w:r>
          </w:p>
        </w:tc>
        <w:tc>
          <w:tcPr>
            <w:tcW w:w="1154" w:type="pct"/>
            <w:vMerge w:val="restart"/>
            <w:shd w:val="clear" w:color="auto" w:fill="auto"/>
            <w:vAlign w:val="center"/>
          </w:tcPr>
          <w:p w14:paraId="20567669">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项目计划书</w:t>
            </w:r>
          </w:p>
        </w:tc>
        <w:tc>
          <w:tcPr>
            <w:tcW w:w="3485" w:type="pct"/>
            <w:shd w:val="clear" w:color="auto" w:fill="auto"/>
            <w:vAlign w:val="center"/>
          </w:tcPr>
          <w:p w14:paraId="300968E5">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1、项目主计划和详细进度计划应依据项目目标合理、可行；</w:t>
            </w:r>
          </w:p>
        </w:tc>
      </w:tr>
      <w:tr w14:paraId="2BB92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361" w:type="pct"/>
            <w:vMerge w:val="continue"/>
            <w:vAlign w:val="center"/>
          </w:tcPr>
          <w:p w14:paraId="3C3071EA">
            <w:pPr>
              <w:widowControl/>
              <w:spacing w:line="240" w:lineRule="auto"/>
              <w:rPr>
                <w:rFonts w:ascii="宋体" w:hAnsi="宋体" w:eastAsia="宋体" w:cs="宋体"/>
                <w:color w:val="000000"/>
                <w:kern w:val="0"/>
                <w:sz w:val="21"/>
              </w:rPr>
            </w:pPr>
          </w:p>
        </w:tc>
        <w:tc>
          <w:tcPr>
            <w:tcW w:w="1154" w:type="pct"/>
            <w:vMerge w:val="continue"/>
            <w:vAlign w:val="center"/>
          </w:tcPr>
          <w:p w14:paraId="298F0197">
            <w:pPr>
              <w:widowControl/>
              <w:spacing w:line="240" w:lineRule="auto"/>
              <w:rPr>
                <w:rFonts w:ascii="宋体" w:hAnsi="宋体" w:eastAsia="宋体" w:cs="宋体"/>
                <w:color w:val="000000"/>
                <w:kern w:val="0"/>
                <w:sz w:val="21"/>
              </w:rPr>
            </w:pPr>
          </w:p>
        </w:tc>
        <w:tc>
          <w:tcPr>
            <w:tcW w:w="3485" w:type="pct"/>
            <w:shd w:val="clear" w:color="auto" w:fill="auto"/>
            <w:vAlign w:val="center"/>
          </w:tcPr>
          <w:p w14:paraId="6E3CC0B0">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2、项目主计划应设置里程碑之间的相互依赖关系，明确时间和责任人；</w:t>
            </w:r>
          </w:p>
        </w:tc>
      </w:tr>
      <w:tr w14:paraId="17C23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361" w:type="pct"/>
            <w:vMerge w:val="continue"/>
            <w:vAlign w:val="center"/>
          </w:tcPr>
          <w:p w14:paraId="78355545">
            <w:pPr>
              <w:widowControl/>
              <w:spacing w:line="240" w:lineRule="auto"/>
              <w:rPr>
                <w:rFonts w:ascii="宋体" w:hAnsi="宋体" w:eastAsia="宋体" w:cs="宋体"/>
                <w:color w:val="000000"/>
                <w:kern w:val="0"/>
                <w:sz w:val="21"/>
              </w:rPr>
            </w:pPr>
          </w:p>
        </w:tc>
        <w:tc>
          <w:tcPr>
            <w:tcW w:w="1154" w:type="pct"/>
            <w:vMerge w:val="continue"/>
            <w:vAlign w:val="center"/>
          </w:tcPr>
          <w:p w14:paraId="311533B3">
            <w:pPr>
              <w:widowControl/>
              <w:spacing w:line="240" w:lineRule="auto"/>
              <w:rPr>
                <w:rFonts w:ascii="宋体" w:hAnsi="宋体" w:eastAsia="宋体" w:cs="宋体"/>
                <w:color w:val="000000"/>
                <w:kern w:val="0"/>
                <w:sz w:val="21"/>
              </w:rPr>
            </w:pPr>
          </w:p>
        </w:tc>
        <w:tc>
          <w:tcPr>
            <w:tcW w:w="3485" w:type="pct"/>
            <w:shd w:val="clear" w:color="auto" w:fill="auto"/>
            <w:vAlign w:val="center"/>
          </w:tcPr>
          <w:p w14:paraId="156D28C8">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3、详细进度计划应体现里程碑之间的相互依赖关系进行滚动编制；</w:t>
            </w:r>
          </w:p>
        </w:tc>
      </w:tr>
      <w:tr w14:paraId="29515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361" w:type="pct"/>
            <w:vMerge w:val="continue"/>
            <w:vAlign w:val="center"/>
          </w:tcPr>
          <w:p w14:paraId="0FC9F45D">
            <w:pPr>
              <w:widowControl/>
              <w:spacing w:line="240" w:lineRule="auto"/>
              <w:rPr>
                <w:rFonts w:ascii="宋体" w:hAnsi="宋体" w:eastAsia="宋体" w:cs="宋体"/>
                <w:color w:val="000000"/>
                <w:kern w:val="0"/>
                <w:sz w:val="21"/>
              </w:rPr>
            </w:pPr>
          </w:p>
        </w:tc>
        <w:tc>
          <w:tcPr>
            <w:tcW w:w="1154" w:type="pct"/>
            <w:vMerge w:val="continue"/>
            <w:vAlign w:val="center"/>
          </w:tcPr>
          <w:p w14:paraId="51B050ED">
            <w:pPr>
              <w:widowControl/>
              <w:spacing w:line="240" w:lineRule="auto"/>
              <w:rPr>
                <w:rFonts w:ascii="宋体" w:hAnsi="宋体" w:eastAsia="宋体" w:cs="宋体"/>
                <w:color w:val="000000"/>
                <w:kern w:val="0"/>
                <w:sz w:val="21"/>
              </w:rPr>
            </w:pPr>
          </w:p>
        </w:tc>
        <w:tc>
          <w:tcPr>
            <w:tcW w:w="3485" w:type="pct"/>
            <w:shd w:val="clear" w:color="auto" w:fill="auto"/>
            <w:vAlign w:val="center"/>
          </w:tcPr>
          <w:p w14:paraId="741D7653">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4、明确项目开发过程中质量保证的组织、角色、流程和资源，对计划、执行、检查、措施等质量环节明确落实到责任人；</w:t>
            </w:r>
          </w:p>
        </w:tc>
      </w:tr>
      <w:tr w14:paraId="55CCE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361" w:type="pct"/>
            <w:vMerge w:val="continue"/>
            <w:vAlign w:val="center"/>
          </w:tcPr>
          <w:p w14:paraId="2FF86237">
            <w:pPr>
              <w:widowControl/>
              <w:spacing w:line="240" w:lineRule="auto"/>
              <w:rPr>
                <w:rFonts w:ascii="宋体" w:hAnsi="宋体" w:eastAsia="宋体" w:cs="宋体"/>
                <w:color w:val="000000"/>
                <w:kern w:val="0"/>
                <w:sz w:val="21"/>
              </w:rPr>
            </w:pPr>
          </w:p>
        </w:tc>
        <w:tc>
          <w:tcPr>
            <w:tcW w:w="1154" w:type="pct"/>
            <w:vMerge w:val="continue"/>
            <w:vAlign w:val="center"/>
          </w:tcPr>
          <w:p w14:paraId="66DCB7BD">
            <w:pPr>
              <w:widowControl/>
              <w:spacing w:line="240" w:lineRule="auto"/>
              <w:rPr>
                <w:rFonts w:ascii="宋体" w:hAnsi="宋体" w:eastAsia="宋体" w:cs="宋体"/>
                <w:color w:val="000000"/>
                <w:kern w:val="0"/>
                <w:sz w:val="21"/>
              </w:rPr>
            </w:pPr>
          </w:p>
        </w:tc>
        <w:tc>
          <w:tcPr>
            <w:tcW w:w="3485" w:type="pct"/>
            <w:shd w:val="clear" w:color="auto" w:fill="auto"/>
            <w:vAlign w:val="center"/>
          </w:tcPr>
          <w:p w14:paraId="3C81ACBF">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5、明确各项质量保证活动的具体内容，包括应达到的质量标准和目标，及为达到质量目标必须采取的各种质量保证活动措施。</w:t>
            </w:r>
          </w:p>
        </w:tc>
      </w:tr>
      <w:tr w14:paraId="3D5C5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61" w:type="pct"/>
            <w:vMerge w:val="restart"/>
            <w:shd w:val="clear" w:color="auto" w:fill="auto"/>
            <w:vAlign w:val="center"/>
          </w:tcPr>
          <w:p w14:paraId="300B84B9">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2</w:t>
            </w:r>
          </w:p>
        </w:tc>
        <w:tc>
          <w:tcPr>
            <w:tcW w:w="1154" w:type="pct"/>
            <w:vMerge w:val="restart"/>
            <w:shd w:val="clear" w:color="auto" w:fill="auto"/>
            <w:vAlign w:val="center"/>
          </w:tcPr>
          <w:p w14:paraId="44EF6F4B">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需求分析说明书</w:t>
            </w:r>
          </w:p>
        </w:tc>
        <w:tc>
          <w:tcPr>
            <w:tcW w:w="3485" w:type="pct"/>
            <w:shd w:val="clear" w:color="auto" w:fill="auto"/>
            <w:vAlign w:val="center"/>
          </w:tcPr>
          <w:p w14:paraId="308D7207">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一、已确认</w:t>
            </w:r>
          </w:p>
        </w:tc>
      </w:tr>
      <w:tr w14:paraId="557B0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61" w:type="pct"/>
            <w:vMerge w:val="continue"/>
            <w:vAlign w:val="center"/>
          </w:tcPr>
          <w:p w14:paraId="19C0EE8F">
            <w:pPr>
              <w:widowControl/>
              <w:spacing w:line="240" w:lineRule="auto"/>
              <w:rPr>
                <w:rFonts w:ascii="宋体" w:hAnsi="宋体" w:eastAsia="宋体" w:cs="宋体"/>
                <w:color w:val="000000"/>
                <w:kern w:val="0"/>
                <w:sz w:val="21"/>
              </w:rPr>
            </w:pPr>
          </w:p>
        </w:tc>
        <w:tc>
          <w:tcPr>
            <w:tcW w:w="1154" w:type="pct"/>
            <w:vMerge w:val="continue"/>
            <w:vAlign w:val="center"/>
          </w:tcPr>
          <w:p w14:paraId="198CB387">
            <w:pPr>
              <w:widowControl/>
              <w:spacing w:line="240" w:lineRule="auto"/>
              <w:rPr>
                <w:rFonts w:ascii="宋体" w:hAnsi="宋体" w:eastAsia="宋体" w:cs="宋体"/>
                <w:color w:val="000000"/>
                <w:kern w:val="0"/>
                <w:sz w:val="21"/>
              </w:rPr>
            </w:pPr>
          </w:p>
        </w:tc>
        <w:tc>
          <w:tcPr>
            <w:tcW w:w="3485" w:type="pct"/>
            <w:shd w:val="clear" w:color="auto" w:fill="auto"/>
            <w:vAlign w:val="center"/>
          </w:tcPr>
          <w:p w14:paraId="45CFF1C6">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1、用户界面风格布局已与用户确认；</w:t>
            </w:r>
          </w:p>
        </w:tc>
      </w:tr>
      <w:tr w14:paraId="38A29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61" w:type="pct"/>
            <w:vMerge w:val="continue"/>
            <w:vAlign w:val="center"/>
          </w:tcPr>
          <w:p w14:paraId="6BD9D4C4">
            <w:pPr>
              <w:widowControl/>
              <w:spacing w:line="240" w:lineRule="auto"/>
              <w:rPr>
                <w:rFonts w:ascii="宋体" w:hAnsi="宋体" w:eastAsia="宋体" w:cs="宋体"/>
                <w:color w:val="000000"/>
                <w:kern w:val="0"/>
                <w:sz w:val="21"/>
              </w:rPr>
            </w:pPr>
          </w:p>
        </w:tc>
        <w:tc>
          <w:tcPr>
            <w:tcW w:w="1154" w:type="pct"/>
            <w:vMerge w:val="continue"/>
            <w:vAlign w:val="center"/>
          </w:tcPr>
          <w:p w14:paraId="1EC44510">
            <w:pPr>
              <w:widowControl/>
              <w:spacing w:line="240" w:lineRule="auto"/>
              <w:rPr>
                <w:rFonts w:ascii="宋体" w:hAnsi="宋体" w:eastAsia="宋体" w:cs="宋体"/>
                <w:color w:val="000000"/>
                <w:kern w:val="0"/>
                <w:sz w:val="21"/>
              </w:rPr>
            </w:pPr>
          </w:p>
        </w:tc>
        <w:tc>
          <w:tcPr>
            <w:tcW w:w="3485" w:type="pct"/>
            <w:shd w:val="clear" w:color="auto" w:fill="auto"/>
            <w:vAlign w:val="center"/>
          </w:tcPr>
          <w:p w14:paraId="6A9A32FA">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2、报表中的元素及布局已与用户确认；</w:t>
            </w:r>
          </w:p>
        </w:tc>
      </w:tr>
      <w:tr w14:paraId="1BC5C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61" w:type="pct"/>
            <w:vMerge w:val="continue"/>
            <w:vAlign w:val="center"/>
          </w:tcPr>
          <w:p w14:paraId="51365E4B">
            <w:pPr>
              <w:widowControl/>
              <w:spacing w:line="240" w:lineRule="auto"/>
              <w:rPr>
                <w:rFonts w:ascii="宋体" w:hAnsi="宋体" w:eastAsia="宋体" w:cs="宋体"/>
                <w:color w:val="000000"/>
                <w:kern w:val="0"/>
                <w:sz w:val="21"/>
              </w:rPr>
            </w:pPr>
          </w:p>
        </w:tc>
        <w:tc>
          <w:tcPr>
            <w:tcW w:w="1154" w:type="pct"/>
            <w:vMerge w:val="continue"/>
            <w:vAlign w:val="center"/>
          </w:tcPr>
          <w:p w14:paraId="2DCC3691">
            <w:pPr>
              <w:widowControl/>
              <w:spacing w:line="240" w:lineRule="auto"/>
              <w:rPr>
                <w:rFonts w:ascii="宋体" w:hAnsi="宋体" w:eastAsia="宋体" w:cs="宋体"/>
                <w:color w:val="000000"/>
                <w:kern w:val="0"/>
                <w:sz w:val="21"/>
              </w:rPr>
            </w:pPr>
          </w:p>
        </w:tc>
        <w:tc>
          <w:tcPr>
            <w:tcW w:w="3485" w:type="pct"/>
            <w:shd w:val="clear" w:color="auto" w:fill="auto"/>
            <w:vAlign w:val="center"/>
          </w:tcPr>
          <w:p w14:paraId="0E5631EB">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3、用户界面与报表中的元素的属性已与用户确认；</w:t>
            </w:r>
          </w:p>
        </w:tc>
      </w:tr>
      <w:tr w14:paraId="06C79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61" w:type="pct"/>
            <w:vMerge w:val="continue"/>
            <w:vAlign w:val="center"/>
          </w:tcPr>
          <w:p w14:paraId="0D165B65">
            <w:pPr>
              <w:widowControl/>
              <w:spacing w:line="240" w:lineRule="auto"/>
              <w:rPr>
                <w:rFonts w:ascii="宋体" w:hAnsi="宋体" w:eastAsia="宋体" w:cs="宋体"/>
                <w:color w:val="000000"/>
                <w:kern w:val="0"/>
                <w:sz w:val="21"/>
              </w:rPr>
            </w:pPr>
          </w:p>
        </w:tc>
        <w:tc>
          <w:tcPr>
            <w:tcW w:w="1154" w:type="pct"/>
            <w:vMerge w:val="continue"/>
            <w:vAlign w:val="center"/>
          </w:tcPr>
          <w:p w14:paraId="2DBCD68F">
            <w:pPr>
              <w:widowControl/>
              <w:spacing w:line="240" w:lineRule="auto"/>
              <w:rPr>
                <w:rFonts w:ascii="宋体" w:hAnsi="宋体" w:eastAsia="宋体" w:cs="宋体"/>
                <w:color w:val="000000"/>
                <w:kern w:val="0"/>
                <w:sz w:val="21"/>
              </w:rPr>
            </w:pPr>
          </w:p>
        </w:tc>
        <w:tc>
          <w:tcPr>
            <w:tcW w:w="3485" w:type="pct"/>
            <w:shd w:val="clear" w:color="auto" w:fill="auto"/>
            <w:vAlign w:val="center"/>
          </w:tcPr>
          <w:p w14:paraId="407FED83">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4、需求的假设是经认可的；</w:t>
            </w:r>
          </w:p>
        </w:tc>
      </w:tr>
      <w:tr w14:paraId="3000F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61" w:type="pct"/>
            <w:vMerge w:val="continue"/>
            <w:vAlign w:val="center"/>
          </w:tcPr>
          <w:p w14:paraId="313735E7">
            <w:pPr>
              <w:widowControl/>
              <w:spacing w:line="240" w:lineRule="auto"/>
              <w:rPr>
                <w:rFonts w:ascii="宋体" w:hAnsi="宋体" w:eastAsia="宋体" w:cs="宋体"/>
                <w:color w:val="000000"/>
                <w:kern w:val="0"/>
                <w:sz w:val="21"/>
              </w:rPr>
            </w:pPr>
          </w:p>
        </w:tc>
        <w:tc>
          <w:tcPr>
            <w:tcW w:w="1154" w:type="pct"/>
            <w:vMerge w:val="continue"/>
            <w:vAlign w:val="center"/>
          </w:tcPr>
          <w:p w14:paraId="2E1BA6DA">
            <w:pPr>
              <w:widowControl/>
              <w:spacing w:line="240" w:lineRule="auto"/>
              <w:rPr>
                <w:rFonts w:ascii="宋体" w:hAnsi="宋体" w:eastAsia="宋体" w:cs="宋体"/>
                <w:color w:val="000000"/>
                <w:kern w:val="0"/>
                <w:sz w:val="21"/>
              </w:rPr>
            </w:pPr>
          </w:p>
        </w:tc>
        <w:tc>
          <w:tcPr>
            <w:tcW w:w="3485" w:type="pct"/>
            <w:shd w:val="clear" w:color="auto" w:fill="auto"/>
            <w:vAlign w:val="center"/>
          </w:tcPr>
          <w:p w14:paraId="75DCBB0E">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5、需求必须通过建行业务部门的评审。</w:t>
            </w:r>
          </w:p>
        </w:tc>
      </w:tr>
      <w:tr w14:paraId="65A8E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61" w:type="pct"/>
            <w:vMerge w:val="continue"/>
            <w:vAlign w:val="center"/>
          </w:tcPr>
          <w:p w14:paraId="30B68714">
            <w:pPr>
              <w:widowControl/>
              <w:spacing w:line="240" w:lineRule="auto"/>
              <w:rPr>
                <w:rFonts w:ascii="宋体" w:hAnsi="宋体" w:eastAsia="宋体" w:cs="宋体"/>
                <w:color w:val="000000"/>
                <w:kern w:val="0"/>
                <w:sz w:val="21"/>
              </w:rPr>
            </w:pPr>
          </w:p>
        </w:tc>
        <w:tc>
          <w:tcPr>
            <w:tcW w:w="1154" w:type="pct"/>
            <w:vMerge w:val="continue"/>
            <w:vAlign w:val="center"/>
          </w:tcPr>
          <w:p w14:paraId="6568E1A1">
            <w:pPr>
              <w:widowControl/>
              <w:spacing w:line="240" w:lineRule="auto"/>
              <w:rPr>
                <w:rFonts w:ascii="宋体" w:hAnsi="宋体" w:eastAsia="宋体" w:cs="宋体"/>
                <w:color w:val="000000"/>
                <w:kern w:val="0"/>
                <w:sz w:val="21"/>
              </w:rPr>
            </w:pPr>
          </w:p>
        </w:tc>
        <w:tc>
          <w:tcPr>
            <w:tcW w:w="3485" w:type="pct"/>
            <w:shd w:val="clear" w:color="auto" w:fill="auto"/>
            <w:vAlign w:val="center"/>
          </w:tcPr>
          <w:p w14:paraId="03A4D5C1">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二、合理与高效</w:t>
            </w:r>
          </w:p>
        </w:tc>
      </w:tr>
      <w:tr w14:paraId="74C17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61" w:type="pct"/>
            <w:vMerge w:val="continue"/>
            <w:vAlign w:val="center"/>
          </w:tcPr>
          <w:p w14:paraId="1CD97170">
            <w:pPr>
              <w:widowControl/>
              <w:spacing w:line="240" w:lineRule="auto"/>
              <w:rPr>
                <w:rFonts w:ascii="宋体" w:hAnsi="宋体" w:eastAsia="宋体" w:cs="宋体"/>
                <w:color w:val="000000"/>
                <w:kern w:val="0"/>
                <w:sz w:val="21"/>
              </w:rPr>
            </w:pPr>
          </w:p>
        </w:tc>
        <w:tc>
          <w:tcPr>
            <w:tcW w:w="1154" w:type="pct"/>
            <w:vMerge w:val="continue"/>
            <w:vAlign w:val="center"/>
          </w:tcPr>
          <w:p w14:paraId="5CE1A290">
            <w:pPr>
              <w:widowControl/>
              <w:spacing w:line="240" w:lineRule="auto"/>
              <w:rPr>
                <w:rFonts w:ascii="宋体" w:hAnsi="宋体" w:eastAsia="宋体" w:cs="宋体"/>
                <w:color w:val="000000"/>
                <w:kern w:val="0"/>
                <w:sz w:val="21"/>
              </w:rPr>
            </w:pPr>
          </w:p>
        </w:tc>
        <w:tc>
          <w:tcPr>
            <w:tcW w:w="3485" w:type="pct"/>
            <w:shd w:val="clear" w:color="auto" w:fill="auto"/>
            <w:vAlign w:val="center"/>
          </w:tcPr>
          <w:p w14:paraId="57265616">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1、所有的功能的设计是合理的且便于计算机的实现；</w:t>
            </w:r>
          </w:p>
        </w:tc>
      </w:tr>
      <w:tr w14:paraId="22DE6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61" w:type="pct"/>
            <w:vMerge w:val="continue"/>
            <w:vAlign w:val="center"/>
          </w:tcPr>
          <w:p w14:paraId="3D69EE29">
            <w:pPr>
              <w:widowControl/>
              <w:spacing w:line="240" w:lineRule="auto"/>
              <w:rPr>
                <w:rFonts w:ascii="宋体" w:hAnsi="宋体" w:eastAsia="宋体" w:cs="宋体"/>
                <w:color w:val="000000"/>
                <w:kern w:val="0"/>
                <w:sz w:val="21"/>
              </w:rPr>
            </w:pPr>
          </w:p>
        </w:tc>
        <w:tc>
          <w:tcPr>
            <w:tcW w:w="1154" w:type="pct"/>
            <w:vMerge w:val="continue"/>
            <w:vAlign w:val="center"/>
          </w:tcPr>
          <w:p w14:paraId="23E26227">
            <w:pPr>
              <w:widowControl/>
              <w:spacing w:line="240" w:lineRule="auto"/>
              <w:rPr>
                <w:rFonts w:ascii="宋体" w:hAnsi="宋体" w:eastAsia="宋体" w:cs="宋体"/>
                <w:color w:val="000000"/>
                <w:kern w:val="0"/>
                <w:sz w:val="21"/>
              </w:rPr>
            </w:pPr>
          </w:p>
        </w:tc>
        <w:tc>
          <w:tcPr>
            <w:tcW w:w="3485" w:type="pct"/>
            <w:shd w:val="clear" w:color="auto" w:fill="auto"/>
            <w:vAlign w:val="center"/>
          </w:tcPr>
          <w:p w14:paraId="3EDC420B">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2、所有的输出结果是符合业务逻辑的；</w:t>
            </w:r>
          </w:p>
        </w:tc>
      </w:tr>
      <w:tr w14:paraId="655B0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361" w:type="pct"/>
            <w:vMerge w:val="continue"/>
            <w:vAlign w:val="center"/>
          </w:tcPr>
          <w:p w14:paraId="49D2B0FC">
            <w:pPr>
              <w:widowControl/>
              <w:spacing w:line="240" w:lineRule="auto"/>
              <w:rPr>
                <w:rFonts w:ascii="宋体" w:hAnsi="宋体" w:eastAsia="宋体" w:cs="宋体"/>
                <w:color w:val="000000"/>
                <w:kern w:val="0"/>
                <w:sz w:val="21"/>
              </w:rPr>
            </w:pPr>
          </w:p>
        </w:tc>
        <w:tc>
          <w:tcPr>
            <w:tcW w:w="1154" w:type="pct"/>
            <w:vMerge w:val="continue"/>
            <w:vAlign w:val="center"/>
          </w:tcPr>
          <w:p w14:paraId="32DC9CAC">
            <w:pPr>
              <w:widowControl/>
              <w:spacing w:line="240" w:lineRule="auto"/>
              <w:rPr>
                <w:rFonts w:ascii="宋体" w:hAnsi="宋体" w:eastAsia="宋体" w:cs="宋体"/>
                <w:color w:val="000000"/>
                <w:kern w:val="0"/>
                <w:sz w:val="21"/>
              </w:rPr>
            </w:pPr>
          </w:p>
        </w:tc>
        <w:tc>
          <w:tcPr>
            <w:tcW w:w="3485" w:type="pct"/>
            <w:shd w:val="clear" w:color="auto" w:fill="auto"/>
            <w:vAlign w:val="center"/>
          </w:tcPr>
          <w:p w14:paraId="54734641">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3、若业务逻辑需要优化，优化后的业务逻辑是合理的高效的；</w:t>
            </w:r>
          </w:p>
        </w:tc>
      </w:tr>
      <w:tr w14:paraId="43384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61" w:type="pct"/>
            <w:vMerge w:val="continue"/>
            <w:vAlign w:val="center"/>
          </w:tcPr>
          <w:p w14:paraId="705A3FE5">
            <w:pPr>
              <w:widowControl/>
              <w:spacing w:line="240" w:lineRule="auto"/>
              <w:rPr>
                <w:rFonts w:ascii="宋体" w:hAnsi="宋体" w:eastAsia="宋体" w:cs="宋体"/>
                <w:color w:val="000000"/>
                <w:kern w:val="0"/>
                <w:sz w:val="21"/>
              </w:rPr>
            </w:pPr>
          </w:p>
        </w:tc>
        <w:tc>
          <w:tcPr>
            <w:tcW w:w="1154" w:type="pct"/>
            <w:vMerge w:val="continue"/>
            <w:vAlign w:val="center"/>
          </w:tcPr>
          <w:p w14:paraId="515230CC">
            <w:pPr>
              <w:widowControl/>
              <w:spacing w:line="240" w:lineRule="auto"/>
              <w:rPr>
                <w:rFonts w:ascii="宋体" w:hAnsi="宋体" w:eastAsia="宋体" w:cs="宋体"/>
                <w:color w:val="000000"/>
                <w:kern w:val="0"/>
                <w:sz w:val="21"/>
              </w:rPr>
            </w:pPr>
          </w:p>
        </w:tc>
        <w:tc>
          <w:tcPr>
            <w:tcW w:w="3485" w:type="pct"/>
            <w:shd w:val="clear" w:color="auto" w:fill="auto"/>
            <w:vAlign w:val="center"/>
          </w:tcPr>
          <w:p w14:paraId="5926DEA5">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4、界面输入的所有的元素应被合理的处理；</w:t>
            </w:r>
          </w:p>
        </w:tc>
      </w:tr>
      <w:tr w14:paraId="50677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61" w:type="pct"/>
            <w:vMerge w:val="continue"/>
            <w:vAlign w:val="center"/>
          </w:tcPr>
          <w:p w14:paraId="60ED89BB">
            <w:pPr>
              <w:widowControl/>
              <w:spacing w:line="240" w:lineRule="auto"/>
              <w:rPr>
                <w:rFonts w:ascii="宋体" w:hAnsi="宋体" w:eastAsia="宋体" w:cs="宋体"/>
                <w:color w:val="000000"/>
                <w:kern w:val="0"/>
                <w:sz w:val="21"/>
              </w:rPr>
            </w:pPr>
          </w:p>
        </w:tc>
        <w:tc>
          <w:tcPr>
            <w:tcW w:w="1154" w:type="pct"/>
            <w:vMerge w:val="continue"/>
            <w:vAlign w:val="center"/>
          </w:tcPr>
          <w:p w14:paraId="13C9A6A6">
            <w:pPr>
              <w:widowControl/>
              <w:spacing w:line="240" w:lineRule="auto"/>
              <w:rPr>
                <w:rFonts w:ascii="宋体" w:hAnsi="宋体" w:eastAsia="宋体" w:cs="宋体"/>
                <w:color w:val="000000"/>
                <w:kern w:val="0"/>
                <w:sz w:val="21"/>
              </w:rPr>
            </w:pPr>
          </w:p>
        </w:tc>
        <w:tc>
          <w:tcPr>
            <w:tcW w:w="3485" w:type="pct"/>
            <w:shd w:val="clear" w:color="auto" w:fill="auto"/>
            <w:vAlign w:val="center"/>
          </w:tcPr>
          <w:p w14:paraId="3A0AEE5E">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5、需求是可测试的；</w:t>
            </w:r>
          </w:p>
        </w:tc>
      </w:tr>
      <w:tr w14:paraId="5849C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61" w:type="pct"/>
            <w:vMerge w:val="continue"/>
            <w:vAlign w:val="center"/>
          </w:tcPr>
          <w:p w14:paraId="2B7DF88A">
            <w:pPr>
              <w:widowControl/>
              <w:spacing w:line="240" w:lineRule="auto"/>
              <w:rPr>
                <w:rFonts w:ascii="宋体" w:hAnsi="宋体" w:eastAsia="宋体" w:cs="宋体"/>
                <w:color w:val="000000"/>
                <w:kern w:val="0"/>
                <w:sz w:val="21"/>
              </w:rPr>
            </w:pPr>
          </w:p>
        </w:tc>
        <w:tc>
          <w:tcPr>
            <w:tcW w:w="1154" w:type="pct"/>
            <w:vMerge w:val="continue"/>
            <w:vAlign w:val="center"/>
          </w:tcPr>
          <w:p w14:paraId="1AB48693">
            <w:pPr>
              <w:widowControl/>
              <w:spacing w:line="240" w:lineRule="auto"/>
              <w:rPr>
                <w:rFonts w:ascii="宋体" w:hAnsi="宋体" w:eastAsia="宋体" w:cs="宋体"/>
                <w:color w:val="000000"/>
                <w:kern w:val="0"/>
                <w:sz w:val="21"/>
              </w:rPr>
            </w:pPr>
          </w:p>
        </w:tc>
        <w:tc>
          <w:tcPr>
            <w:tcW w:w="3485" w:type="pct"/>
            <w:shd w:val="clear" w:color="auto" w:fill="auto"/>
            <w:vAlign w:val="center"/>
          </w:tcPr>
          <w:p w14:paraId="1A9B70F9">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6、去除了需求的不一致性与二义性。</w:t>
            </w:r>
          </w:p>
        </w:tc>
      </w:tr>
      <w:tr w14:paraId="15538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61" w:type="pct"/>
            <w:vMerge w:val="continue"/>
            <w:vAlign w:val="center"/>
          </w:tcPr>
          <w:p w14:paraId="20DBAEBA">
            <w:pPr>
              <w:widowControl/>
              <w:spacing w:line="240" w:lineRule="auto"/>
              <w:rPr>
                <w:rFonts w:ascii="宋体" w:hAnsi="宋体" w:eastAsia="宋体" w:cs="宋体"/>
                <w:color w:val="000000"/>
                <w:kern w:val="0"/>
                <w:sz w:val="21"/>
              </w:rPr>
            </w:pPr>
          </w:p>
        </w:tc>
        <w:tc>
          <w:tcPr>
            <w:tcW w:w="1154" w:type="pct"/>
            <w:vMerge w:val="continue"/>
            <w:vAlign w:val="center"/>
          </w:tcPr>
          <w:p w14:paraId="26CAE5E5">
            <w:pPr>
              <w:widowControl/>
              <w:spacing w:line="240" w:lineRule="auto"/>
              <w:rPr>
                <w:rFonts w:ascii="宋体" w:hAnsi="宋体" w:eastAsia="宋体" w:cs="宋体"/>
                <w:color w:val="000000"/>
                <w:kern w:val="0"/>
                <w:sz w:val="21"/>
              </w:rPr>
            </w:pPr>
          </w:p>
        </w:tc>
        <w:tc>
          <w:tcPr>
            <w:tcW w:w="3485" w:type="pct"/>
            <w:shd w:val="clear" w:color="auto" w:fill="auto"/>
            <w:vAlign w:val="center"/>
          </w:tcPr>
          <w:p w14:paraId="50E2513D">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三、完整性</w:t>
            </w:r>
          </w:p>
        </w:tc>
      </w:tr>
      <w:tr w14:paraId="566B6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61" w:type="pct"/>
            <w:vMerge w:val="continue"/>
            <w:vAlign w:val="center"/>
          </w:tcPr>
          <w:p w14:paraId="3FDD26E6">
            <w:pPr>
              <w:widowControl/>
              <w:spacing w:line="240" w:lineRule="auto"/>
              <w:rPr>
                <w:rFonts w:ascii="宋体" w:hAnsi="宋体" w:eastAsia="宋体" w:cs="宋体"/>
                <w:color w:val="000000"/>
                <w:kern w:val="0"/>
                <w:sz w:val="21"/>
              </w:rPr>
            </w:pPr>
          </w:p>
        </w:tc>
        <w:tc>
          <w:tcPr>
            <w:tcW w:w="1154" w:type="pct"/>
            <w:vMerge w:val="continue"/>
            <w:vAlign w:val="center"/>
          </w:tcPr>
          <w:p w14:paraId="222A2A8F">
            <w:pPr>
              <w:widowControl/>
              <w:spacing w:line="240" w:lineRule="auto"/>
              <w:rPr>
                <w:rFonts w:ascii="宋体" w:hAnsi="宋体" w:eastAsia="宋体" w:cs="宋体"/>
                <w:color w:val="000000"/>
                <w:kern w:val="0"/>
                <w:sz w:val="21"/>
              </w:rPr>
            </w:pPr>
          </w:p>
        </w:tc>
        <w:tc>
          <w:tcPr>
            <w:tcW w:w="3485" w:type="pct"/>
            <w:shd w:val="clear" w:color="auto" w:fill="auto"/>
            <w:vAlign w:val="center"/>
          </w:tcPr>
          <w:p w14:paraId="46AF8418">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1、整个系统是自成体系的，完整的；</w:t>
            </w:r>
          </w:p>
        </w:tc>
      </w:tr>
      <w:tr w14:paraId="29FF0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61" w:type="pct"/>
            <w:vMerge w:val="continue"/>
            <w:vAlign w:val="center"/>
          </w:tcPr>
          <w:p w14:paraId="71306EC8">
            <w:pPr>
              <w:widowControl/>
              <w:spacing w:line="240" w:lineRule="auto"/>
              <w:rPr>
                <w:rFonts w:ascii="宋体" w:hAnsi="宋体" w:eastAsia="宋体" w:cs="宋体"/>
                <w:color w:val="000000"/>
                <w:kern w:val="0"/>
                <w:sz w:val="21"/>
              </w:rPr>
            </w:pPr>
          </w:p>
        </w:tc>
        <w:tc>
          <w:tcPr>
            <w:tcW w:w="1154" w:type="pct"/>
            <w:vMerge w:val="continue"/>
            <w:vAlign w:val="center"/>
          </w:tcPr>
          <w:p w14:paraId="6A16ED22">
            <w:pPr>
              <w:widowControl/>
              <w:spacing w:line="240" w:lineRule="auto"/>
              <w:rPr>
                <w:rFonts w:ascii="宋体" w:hAnsi="宋体" w:eastAsia="宋体" w:cs="宋体"/>
                <w:color w:val="000000"/>
                <w:kern w:val="0"/>
                <w:sz w:val="21"/>
              </w:rPr>
            </w:pPr>
          </w:p>
        </w:tc>
        <w:tc>
          <w:tcPr>
            <w:tcW w:w="3485" w:type="pct"/>
            <w:shd w:val="clear" w:color="auto" w:fill="auto"/>
            <w:vAlign w:val="center"/>
          </w:tcPr>
          <w:p w14:paraId="0C942292">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2、与其他系统的接口已定义明确；</w:t>
            </w:r>
          </w:p>
        </w:tc>
      </w:tr>
      <w:tr w14:paraId="0391D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61" w:type="pct"/>
            <w:vMerge w:val="continue"/>
            <w:vAlign w:val="center"/>
          </w:tcPr>
          <w:p w14:paraId="36B4913C">
            <w:pPr>
              <w:widowControl/>
              <w:spacing w:line="240" w:lineRule="auto"/>
              <w:rPr>
                <w:rFonts w:ascii="宋体" w:hAnsi="宋体" w:eastAsia="宋体" w:cs="宋体"/>
                <w:color w:val="000000"/>
                <w:kern w:val="0"/>
                <w:sz w:val="21"/>
              </w:rPr>
            </w:pPr>
          </w:p>
        </w:tc>
        <w:tc>
          <w:tcPr>
            <w:tcW w:w="1154" w:type="pct"/>
            <w:vMerge w:val="continue"/>
            <w:vAlign w:val="center"/>
          </w:tcPr>
          <w:p w14:paraId="48347AD2">
            <w:pPr>
              <w:widowControl/>
              <w:spacing w:line="240" w:lineRule="auto"/>
              <w:rPr>
                <w:rFonts w:ascii="宋体" w:hAnsi="宋体" w:eastAsia="宋体" w:cs="宋体"/>
                <w:color w:val="000000"/>
                <w:kern w:val="0"/>
                <w:sz w:val="21"/>
              </w:rPr>
            </w:pPr>
          </w:p>
        </w:tc>
        <w:tc>
          <w:tcPr>
            <w:tcW w:w="3485" w:type="pct"/>
            <w:shd w:val="clear" w:color="auto" w:fill="auto"/>
            <w:vAlign w:val="center"/>
          </w:tcPr>
          <w:p w14:paraId="2058A3D5">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3、为将来业务的发展留有余地；</w:t>
            </w:r>
          </w:p>
        </w:tc>
      </w:tr>
      <w:tr w14:paraId="35C91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61" w:type="pct"/>
            <w:vMerge w:val="continue"/>
            <w:vAlign w:val="center"/>
          </w:tcPr>
          <w:p w14:paraId="0D1F203A">
            <w:pPr>
              <w:widowControl/>
              <w:spacing w:line="240" w:lineRule="auto"/>
              <w:rPr>
                <w:rFonts w:ascii="宋体" w:hAnsi="宋体" w:eastAsia="宋体" w:cs="宋体"/>
                <w:color w:val="000000"/>
                <w:kern w:val="0"/>
                <w:sz w:val="21"/>
              </w:rPr>
            </w:pPr>
          </w:p>
        </w:tc>
        <w:tc>
          <w:tcPr>
            <w:tcW w:w="1154" w:type="pct"/>
            <w:vMerge w:val="continue"/>
            <w:vAlign w:val="center"/>
          </w:tcPr>
          <w:p w14:paraId="7E23F76E">
            <w:pPr>
              <w:widowControl/>
              <w:spacing w:line="240" w:lineRule="auto"/>
              <w:rPr>
                <w:rFonts w:ascii="宋体" w:hAnsi="宋体" w:eastAsia="宋体" w:cs="宋体"/>
                <w:color w:val="000000"/>
                <w:kern w:val="0"/>
                <w:sz w:val="21"/>
              </w:rPr>
            </w:pPr>
          </w:p>
        </w:tc>
        <w:tc>
          <w:tcPr>
            <w:tcW w:w="3485" w:type="pct"/>
            <w:shd w:val="clear" w:color="auto" w:fill="auto"/>
            <w:vAlign w:val="center"/>
          </w:tcPr>
          <w:p w14:paraId="44D8372A">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4、审核中发现的问题已修正，好的建议已纳入。</w:t>
            </w:r>
          </w:p>
        </w:tc>
      </w:tr>
      <w:tr w14:paraId="11399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361" w:type="pct"/>
            <w:vMerge w:val="restart"/>
            <w:shd w:val="clear" w:color="auto" w:fill="auto"/>
            <w:vAlign w:val="center"/>
          </w:tcPr>
          <w:p w14:paraId="7EAABEB8">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3</w:t>
            </w:r>
          </w:p>
        </w:tc>
        <w:tc>
          <w:tcPr>
            <w:tcW w:w="1154" w:type="pct"/>
            <w:vMerge w:val="restart"/>
            <w:shd w:val="clear" w:color="auto" w:fill="auto"/>
            <w:vAlign w:val="center"/>
          </w:tcPr>
          <w:p w14:paraId="7763894F">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系统概要设计说明书</w:t>
            </w:r>
          </w:p>
        </w:tc>
        <w:tc>
          <w:tcPr>
            <w:tcW w:w="3485" w:type="pct"/>
            <w:shd w:val="clear" w:color="auto" w:fill="auto"/>
            <w:vAlign w:val="center"/>
          </w:tcPr>
          <w:p w14:paraId="40978E44">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1、功能项划分覆盖需求分析中的所有功能点，处理流程清晰、合理；</w:t>
            </w:r>
          </w:p>
        </w:tc>
      </w:tr>
      <w:tr w14:paraId="2C243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61" w:type="pct"/>
            <w:vMerge w:val="continue"/>
            <w:vAlign w:val="center"/>
          </w:tcPr>
          <w:p w14:paraId="69441803">
            <w:pPr>
              <w:widowControl/>
              <w:spacing w:line="240" w:lineRule="auto"/>
              <w:rPr>
                <w:rFonts w:ascii="宋体" w:hAnsi="宋体" w:eastAsia="宋体" w:cs="宋体"/>
                <w:color w:val="000000"/>
                <w:kern w:val="0"/>
                <w:sz w:val="21"/>
              </w:rPr>
            </w:pPr>
          </w:p>
        </w:tc>
        <w:tc>
          <w:tcPr>
            <w:tcW w:w="1154" w:type="pct"/>
            <w:vMerge w:val="continue"/>
            <w:vAlign w:val="center"/>
          </w:tcPr>
          <w:p w14:paraId="745A2419">
            <w:pPr>
              <w:widowControl/>
              <w:spacing w:line="240" w:lineRule="auto"/>
              <w:rPr>
                <w:rFonts w:ascii="宋体" w:hAnsi="宋体" w:eastAsia="宋体" w:cs="宋体"/>
                <w:color w:val="000000"/>
                <w:kern w:val="0"/>
                <w:sz w:val="21"/>
              </w:rPr>
            </w:pPr>
          </w:p>
        </w:tc>
        <w:tc>
          <w:tcPr>
            <w:tcW w:w="3485" w:type="pct"/>
            <w:shd w:val="clear" w:color="auto" w:fill="auto"/>
            <w:vAlign w:val="center"/>
          </w:tcPr>
          <w:p w14:paraId="4127BA55">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2、功能项命名规范、明确，便于理解阅读；</w:t>
            </w:r>
          </w:p>
        </w:tc>
      </w:tr>
      <w:tr w14:paraId="733ED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61" w:type="pct"/>
            <w:vMerge w:val="continue"/>
            <w:vAlign w:val="center"/>
          </w:tcPr>
          <w:p w14:paraId="03FB5858">
            <w:pPr>
              <w:widowControl/>
              <w:spacing w:line="240" w:lineRule="auto"/>
              <w:rPr>
                <w:rFonts w:ascii="宋体" w:hAnsi="宋体" w:eastAsia="宋体" w:cs="宋体"/>
                <w:color w:val="000000"/>
                <w:kern w:val="0"/>
                <w:sz w:val="21"/>
              </w:rPr>
            </w:pPr>
          </w:p>
        </w:tc>
        <w:tc>
          <w:tcPr>
            <w:tcW w:w="1154" w:type="pct"/>
            <w:vMerge w:val="continue"/>
            <w:vAlign w:val="center"/>
          </w:tcPr>
          <w:p w14:paraId="5C78E449">
            <w:pPr>
              <w:widowControl/>
              <w:spacing w:line="240" w:lineRule="auto"/>
              <w:rPr>
                <w:rFonts w:ascii="宋体" w:hAnsi="宋体" w:eastAsia="宋体" w:cs="宋体"/>
                <w:color w:val="000000"/>
                <w:kern w:val="0"/>
                <w:sz w:val="21"/>
              </w:rPr>
            </w:pPr>
          </w:p>
        </w:tc>
        <w:tc>
          <w:tcPr>
            <w:tcW w:w="3485" w:type="pct"/>
            <w:shd w:val="clear" w:color="auto" w:fill="auto"/>
            <w:vAlign w:val="center"/>
          </w:tcPr>
          <w:p w14:paraId="24DAA6D4">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3、功能项输入输出信息明确；</w:t>
            </w:r>
          </w:p>
        </w:tc>
      </w:tr>
      <w:tr w14:paraId="58447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361" w:type="pct"/>
            <w:vMerge w:val="continue"/>
            <w:vAlign w:val="center"/>
          </w:tcPr>
          <w:p w14:paraId="4C1D8CC1">
            <w:pPr>
              <w:widowControl/>
              <w:spacing w:line="240" w:lineRule="auto"/>
              <w:rPr>
                <w:rFonts w:ascii="宋体" w:hAnsi="宋体" w:eastAsia="宋体" w:cs="宋体"/>
                <w:color w:val="000000"/>
                <w:kern w:val="0"/>
                <w:sz w:val="21"/>
              </w:rPr>
            </w:pPr>
          </w:p>
        </w:tc>
        <w:tc>
          <w:tcPr>
            <w:tcW w:w="1154" w:type="pct"/>
            <w:vMerge w:val="continue"/>
            <w:vAlign w:val="center"/>
          </w:tcPr>
          <w:p w14:paraId="24AD9A76">
            <w:pPr>
              <w:widowControl/>
              <w:spacing w:line="240" w:lineRule="auto"/>
              <w:rPr>
                <w:rFonts w:ascii="宋体" w:hAnsi="宋体" w:eastAsia="宋体" w:cs="宋体"/>
                <w:color w:val="000000"/>
                <w:kern w:val="0"/>
                <w:sz w:val="21"/>
              </w:rPr>
            </w:pPr>
          </w:p>
        </w:tc>
        <w:tc>
          <w:tcPr>
            <w:tcW w:w="3485" w:type="pct"/>
            <w:shd w:val="clear" w:color="auto" w:fill="auto"/>
            <w:vAlign w:val="center"/>
          </w:tcPr>
          <w:p w14:paraId="330B6C3F">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4、系统运行性能应提出明确目标，包括系统资源占用率、简单和复杂交易的单笔交易处理时间，交易并发率，便于测试时验证是否达到设计的预定目标；</w:t>
            </w:r>
          </w:p>
        </w:tc>
      </w:tr>
      <w:tr w14:paraId="54070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361" w:type="pct"/>
            <w:vMerge w:val="continue"/>
            <w:vAlign w:val="center"/>
          </w:tcPr>
          <w:p w14:paraId="5664B117">
            <w:pPr>
              <w:widowControl/>
              <w:spacing w:line="240" w:lineRule="auto"/>
              <w:rPr>
                <w:rFonts w:ascii="宋体" w:hAnsi="宋体" w:eastAsia="宋体" w:cs="宋体"/>
                <w:color w:val="000000"/>
                <w:kern w:val="0"/>
                <w:sz w:val="21"/>
              </w:rPr>
            </w:pPr>
          </w:p>
        </w:tc>
        <w:tc>
          <w:tcPr>
            <w:tcW w:w="1154" w:type="pct"/>
            <w:vMerge w:val="continue"/>
            <w:vAlign w:val="center"/>
          </w:tcPr>
          <w:p w14:paraId="6FEA9200">
            <w:pPr>
              <w:widowControl/>
              <w:spacing w:line="240" w:lineRule="auto"/>
              <w:rPr>
                <w:rFonts w:ascii="宋体" w:hAnsi="宋体" w:eastAsia="宋体" w:cs="宋体"/>
                <w:color w:val="000000"/>
                <w:kern w:val="0"/>
                <w:sz w:val="21"/>
              </w:rPr>
            </w:pPr>
          </w:p>
        </w:tc>
        <w:tc>
          <w:tcPr>
            <w:tcW w:w="3485" w:type="pct"/>
            <w:shd w:val="clear" w:color="auto" w:fill="auto"/>
            <w:vAlign w:val="center"/>
          </w:tcPr>
          <w:p w14:paraId="14EFF141">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5、系统的安全性设计应包含密钥、网络、数据、关键字段等几个方面；</w:t>
            </w:r>
          </w:p>
        </w:tc>
      </w:tr>
      <w:tr w14:paraId="0AA83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361" w:type="pct"/>
            <w:vMerge w:val="continue"/>
            <w:vAlign w:val="center"/>
          </w:tcPr>
          <w:p w14:paraId="2D0EF5DB">
            <w:pPr>
              <w:widowControl/>
              <w:spacing w:line="240" w:lineRule="auto"/>
              <w:rPr>
                <w:rFonts w:ascii="宋体" w:hAnsi="宋体" w:eastAsia="宋体" w:cs="宋体"/>
                <w:color w:val="000000"/>
                <w:kern w:val="0"/>
                <w:sz w:val="21"/>
              </w:rPr>
            </w:pPr>
          </w:p>
        </w:tc>
        <w:tc>
          <w:tcPr>
            <w:tcW w:w="1154" w:type="pct"/>
            <w:vMerge w:val="continue"/>
            <w:vAlign w:val="center"/>
          </w:tcPr>
          <w:p w14:paraId="31FA8EE1">
            <w:pPr>
              <w:widowControl/>
              <w:spacing w:line="240" w:lineRule="auto"/>
              <w:rPr>
                <w:rFonts w:ascii="宋体" w:hAnsi="宋体" w:eastAsia="宋体" w:cs="宋体"/>
                <w:color w:val="000000"/>
                <w:kern w:val="0"/>
                <w:sz w:val="21"/>
              </w:rPr>
            </w:pPr>
          </w:p>
        </w:tc>
        <w:tc>
          <w:tcPr>
            <w:tcW w:w="3485" w:type="pct"/>
            <w:shd w:val="clear" w:color="auto" w:fill="auto"/>
            <w:vAlign w:val="center"/>
          </w:tcPr>
          <w:p w14:paraId="744809AE">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6、明确系统运行的网络环境，对系统硬件的要求，以及所用到的系统软件；</w:t>
            </w:r>
          </w:p>
        </w:tc>
      </w:tr>
      <w:tr w14:paraId="27C11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61" w:type="pct"/>
            <w:vMerge w:val="continue"/>
            <w:vAlign w:val="center"/>
          </w:tcPr>
          <w:p w14:paraId="7360D9C6">
            <w:pPr>
              <w:widowControl/>
              <w:spacing w:line="240" w:lineRule="auto"/>
              <w:rPr>
                <w:rFonts w:ascii="宋体" w:hAnsi="宋体" w:eastAsia="宋体" w:cs="宋体"/>
                <w:color w:val="000000"/>
                <w:kern w:val="0"/>
                <w:sz w:val="21"/>
              </w:rPr>
            </w:pPr>
          </w:p>
        </w:tc>
        <w:tc>
          <w:tcPr>
            <w:tcW w:w="1154" w:type="pct"/>
            <w:vMerge w:val="continue"/>
            <w:vAlign w:val="center"/>
          </w:tcPr>
          <w:p w14:paraId="658F8075">
            <w:pPr>
              <w:widowControl/>
              <w:spacing w:line="240" w:lineRule="auto"/>
              <w:rPr>
                <w:rFonts w:ascii="宋体" w:hAnsi="宋体" w:eastAsia="宋体" w:cs="宋体"/>
                <w:color w:val="000000"/>
                <w:kern w:val="0"/>
                <w:sz w:val="21"/>
              </w:rPr>
            </w:pPr>
          </w:p>
        </w:tc>
        <w:tc>
          <w:tcPr>
            <w:tcW w:w="3485" w:type="pct"/>
            <w:shd w:val="clear" w:color="auto" w:fill="auto"/>
            <w:vAlign w:val="center"/>
          </w:tcPr>
          <w:p w14:paraId="4D3FE856">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7、数据库的设计符合数据库设计理论和应用开发规范；</w:t>
            </w:r>
          </w:p>
        </w:tc>
      </w:tr>
      <w:tr w14:paraId="1B7E0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361" w:type="pct"/>
            <w:vMerge w:val="continue"/>
            <w:vAlign w:val="center"/>
          </w:tcPr>
          <w:p w14:paraId="34C15339">
            <w:pPr>
              <w:widowControl/>
              <w:spacing w:line="240" w:lineRule="auto"/>
              <w:rPr>
                <w:rFonts w:ascii="宋体" w:hAnsi="宋体" w:eastAsia="宋体" w:cs="宋体"/>
                <w:color w:val="000000"/>
                <w:kern w:val="0"/>
                <w:sz w:val="21"/>
              </w:rPr>
            </w:pPr>
          </w:p>
        </w:tc>
        <w:tc>
          <w:tcPr>
            <w:tcW w:w="1154" w:type="pct"/>
            <w:vMerge w:val="continue"/>
            <w:vAlign w:val="center"/>
          </w:tcPr>
          <w:p w14:paraId="77A2778A">
            <w:pPr>
              <w:widowControl/>
              <w:spacing w:line="240" w:lineRule="auto"/>
              <w:rPr>
                <w:rFonts w:ascii="宋体" w:hAnsi="宋体" w:eastAsia="宋体" w:cs="宋体"/>
                <w:color w:val="000000"/>
                <w:kern w:val="0"/>
                <w:sz w:val="21"/>
              </w:rPr>
            </w:pPr>
          </w:p>
        </w:tc>
        <w:tc>
          <w:tcPr>
            <w:tcW w:w="3485" w:type="pct"/>
            <w:shd w:val="clear" w:color="auto" w:fill="auto"/>
            <w:vAlign w:val="center"/>
          </w:tcPr>
          <w:p w14:paraId="2ED0CE10">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8、系统出错处理设计应考虑账务的安全性，符合业务要求、规范；</w:t>
            </w:r>
          </w:p>
        </w:tc>
      </w:tr>
      <w:tr w14:paraId="23CCD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61" w:type="pct"/>
            <w:vMerge w:val="continue"/>
            <w:vAlign w:val="center"/>
          </w:tcPr>
          <w:p w14:paraId="4D2E8F11">
            <w:pPr>
              <w:widowControl/>
              <w:spacing w:line="240" w:lineRule="auto"/>
              <w:rPr>
                <w:rFonts w:ascii="宋体" w:hAnsi="宋体" w:eastAsia="宋体" w:cs="宋体"/>
                <w:color w:val="000000"/>
                <w:kern w:val="0"/>
                <w:sz w:val="21"/>
              </w:rPr>
            </w:pPr>
          </w:p>
        </w:tc>
        <w:tc>
          <w:tcPr>
            <w:tcW w:w="1154" w:type="pct"/>
            <w:vMerge w:val="continue"/>
            <w:vAlign w:val="center"/>
          </w:tcPr>
          <w:p w14:paraId="0E335A5E">
            <w:pPr>
              <w:widowControl/>
              <w:spacing w:line="240" w:lineRule="auto"/>
              <w:rPr>
                <w:rFonts w:ascii="宋体" w:hAnsi="宋体" w:eastAsia="宋体" w:cs="宋体"/>
                <w:color w:val="000000"/>
                <w:kern w:val="0"/>
                <w:sz w:val="21"/>
              </w:rPr>
            </w:pPr>
          </w:p>
        </w:tc>
        <w:tc>
          <w:tcPr>
            <w:tcW w:w="3485" w:type="pct"/>
            <w:shd w:val="clear" w:color="auto" w:fill="auto"/>
            <w:vAlign w:val="center"/>
          </w:tcPr>
          <w:p w14:paraId="631E7DCC">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9、提示信息的处理规范、明确、合理，易于管理维护；</w:t>
            </w:r>
          </w:p>
        </w:tc>
      </w:tr>
      <w:tr w14:paraId="5DB37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61" w:type="pct"/>
            <w:vMerge w:val="continue"/>
            <w:vAlign w:val="center"/>
          </w:tcPr>
          <w:p w14:paraId="0462BC55">
            <w:pPr>
              <w:widowControl/>
              <w:spacing w:line="240" w:lineRule="auto"/>
              <w:rPr>
                <w:rFonts w:ascii="宋体" w:hAnsi="宋体" w:eastAsia="宋体" w:cs="宋体"/>
                <w:color w:val="000000"/>
                <w:kern w:val="0"/>
                <w:sz w:val="21"/>
              </w:rPr>
            </w:pPr>
          </w:p>
        </w:tc>
        <w:tc>
          <w:tcPr>
            <w:tcW w:w="1154" w:type="pct"/>
            <w:vMerge w:val="continue"/>
            <w:vAlign w:val="center"/>
          </w:tcPr>
          <w:p w14:paraId="5ADFBB9B">
            <w:pPr>
              <w:widowControl/>
              <w:spacing w:line="240" w:lineRule="auto"/>
              <w:rPr>
                <w:rFonts w:ascii="宋体" w:hAnsi="宋体" w:eastAsia="宋体" w:cs="宋体"/>
                <w:color w:val="000000"/>
                <w:kern w:val="0"/>
                <w:sz w:val="21"/>
              </w:rPr>
            </w:pPr>
          </w:p>
        </w:tc>
        <w:tc>
          <w:tcPr>
            <w:tcW w:w="3485" w:type="pct"/>
            <w:shd w:val="clear" w:color="auto" w:fill="auto"/>
            <w:vAlign w:val="center"/>
          </w:tcPr>
          <w:p w14:paraId="542D0206">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10、符合建设银行总体规划；</w:t>
            </w:r>
          </w:p>
        </w:tc>
      </w:tr>
      <w:tr w14:paraId="652DD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61" w:type="pct"/>
            <w:vMerge w:val="continue"/>
            <w:vAlign w:val="center"/>
          </w:tcPr>
          <w:p w14:paraId="49B8DF59">
            <w:pPr>
              <w:widowControl/>
              <w:spacing w:line="240" w:lineRule="auto"/>
              <w:rPr>
                <w:rFonts w:ascii="宋体" w:hAnsi="宋体" w:eastAsia="宋体" w:cs="宋体"/>
                <w:color w:val="000000"/>
                <w:kern w:val="0"/>
                <w:sz w:val="21"/>
              </w:rPr>
            </w:pPr>
          </w:p>
        </w:tc>
        <w:tc>
          <w:tcPr>
            <w:tcW w:w="1154" w:type="pct"/>
            <w:vMerge w:val="continue"/>
            <w:vAlign w:val="center"/>
          </w:tcPr>
          <w:p w14:paraId="545D484D">
            <w:pPr>
              <w:widowControl/>
              <w:spacing w:line="240" w:lineRule="auto"/>
              <w:rPr>
                <w:rFonts w:ascii="宋体" w:hAnsi="宋体" w:eastAsia="宋体" w:cs="宋体"/>
                <w:color w:val="000000"/>
                <w:kern w:val="0"/>
                <w:sz w:val="21"/>
              </w:rPr>
            </w:pPr>
          </w:p>
        </w:tc>
        <w:tc>
          <w:tcPr>
            <w:tcW w:w="3485" w:type="pct"/>
            <w:shd w:val="clear" w:color="auto" w:fill="auto"/>
            <w:vAlign w:val="center"/>
          </w:tcPr>
          <w:p w14:paraId="19AB8C30">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11、符合建设银行制定的规范；</w:t>
            </w:r>
          </w:p>
        </w:tc>
      </w:tr>
      <w:tr w14:paraId="5D387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61" w:type="pct"/>
            <w:vMerge w:val="continue"/>
            <w:vAlign w:val="center"/>
          </w:tcPr>
          <w:p w14:paraId="2B4DF4A4">
            <w:pPr>
              <w:widowControl/>
              <w:spacing w:line="240" w:lineRule="auto"/>
              <w:rPr>
                <w:rFonts w:ascii="宋体" w:hAnsi="宋体" w:eastAsia="宋体" w:cs="宋体"/>
                <w:color w:val="000000"/>
                <w:kern w:val="0"/>
                <w:sz w:val="21"/>
              </w:rPr>
            </w:pPr>
          </w:p>
        </w:tc>
        <w:tc>
          <w:tcPr>
            <w:tcW w:w="1154" w:type="pct"/>
            <w:vMerge w:val="continue"/>
            <w:vAlign w:val="center"/>
          </w:tcPr>
          <w:p w14:paraId="68AF07AD">
            <w:pPr>
              <w:widowControl/>
              <w:spacing w:line="240" w:lineRule="auto"/>
              <w:rPr>
                <w:rFonts w:ascii="宋体" w:hAnsi="宋体" w:eastAsia="宋体" w:cs="宋体"/>
                <w:color w:val="000000"/>
                <w:kern w:val="0"/>
                <w:sz w:val="21"/>
              </w:rPr>
            </w:pPr>
          </w:p>
        </w:tc>
        <w:tc>
          <w:tcPr>
            <w:tcW w:w="3485" w:type="pct"/>
            <w:shd w:val="clear" w:color="auto" w:fill="auto"/>
            <w:vAlign w:val="center"/>
          </w:tcPr>
          <w:p w14:paraId="1DC6585C">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12、通过CCB评审。</w:t>
            </w:r>
          </w:p>
        </w:tc>
      </w:tr>
      <w:tr w14:paraId="73201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61" w:type="pct"/>
            <w:vMerge w:val="restart"/>
            <w:shd w:val="clear" w:color="auto" w:fill="auto"/>
            <w:vAlign w:val="center"/>
          </w:tcPr>
          <w:p w14:paraId="59A47054">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4</w:t>
            </w:r>
          </w:p>
        </w:tc>
        <w:tc>
          <w:tcPr>
            <w:tcW w:w="1154" w:type="pct"/>
            <w:vMerge w:val="restart"/>
            <w:shd w:val="clear" w:color="auto" w:fill="auto"/>
            <w:vAlign w:val="center"/>
          </w:tcPr>
          <w:p w14:paraId="14763616">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集成测试计划</w:t>
            </w:r>
          </w:p>
        </w:tc>
        <w:tc>
          <w:tcPr>
            <w:tcW w:w="3485" w:type="pct"/>
            <w:shd w:val="clear" w:color="auto" w:fill="auto"/>
            <w:vAlign w:val="center"/>
          </w:tcPr>
          <w:p w14:paraId="1605AF3B">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1、明确测试计划的管理和资源要求；</w:t>
            </w:r>
          </w:p>
        </w:tc>
      </w:tr>
      <w:tr w14:paraId="42FBA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61" w:type="pct"/>
            <w:vMerge w:val="continue"/>
            <w:vAlign w:val="center"/>
          </w:tcPr>
          <w:p w14:paraId="3136D02E">
            <w:pPr>
              <w:widowControl/>
              <w:spacing w:line="240" w:lineRule="auto"/>
              <w:rPr>
                <w:rFonts w:ascii="宋体" w:hAnsi="宋体" w:eastAsia="宋体" w:cs="宋体"/>
                <w:color w:val="000000"/>
                <w:kern w:val="0"/>
                <w:sz w:val="21"/>
              </w:rPr>
            </w:pPr>
          </w:p>
        </w:tc>
        <w:tc>
          <w:tcPr>
            <w:tcW w:w="1154" w:type="pct"/>
            <w:vMerge w:val="continue"/>
            <w:vAlign w:val="center"/>
          </w:tcPr>
          <w:p w14:paraId="1EDD4F27">
            <w:pPr>
              <w:widowControl/>
              <w:spacing w:line="240" w:lineRule="auto"/>
              <w:rPr>
                <w:rFonts w:ascii="宋体" w:hAnsi="宋体" w:eastAsia="宋体" w:cs="宋体"/>
                <w:color w:val="000000"/>
                <w:kern w:val="0"/>
                <w:sz w:val="21"/>
              </w:rPr>
            </w:pPr>
          </w:p>
        </w:tc>
        <w:tc>
          <w:tcPr>
            <w:tcW w:w="3485" w:type="pct"/>
            <w:shd w:val="clear" w:color="auto" w:fill="auto"/>
            <w:vAlign w:val="center"/>
          </w:tcPr>
          <w:p w14:paraId="2B3247DD">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2、进行正确的风险评估；</w:t>
            </w:r>
          </w:p>
        </w:tc>
      </w:tr>
      <w:tr w14:paraId="03294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61" w:type="pct"/>
            <w:vMerge w:val="continue"/>
            <w:vAlign w:val="center"/>
          </w:tcPr>
          <w:p w14:paraId="4A776DFA">
            <w:pPr>
              <w:widowControl/>
              <w:spacing w:line="240" w:lineRule="auto"/>
              <w:rPr>
                <w:rFonts w:ascii="宋体" w:hAnsi="宋体" w:eastAsia="宋体" w:cs="宋体"/>
                <w:color w:val="000000"/>
                <w:kern w:val="0"/>
                <w:sz w:val="21"/>
              </w:rPr>
            </w:pPr>
          </w:p>
        </w:tc>
        <w:tc>
          <w:tcPr>
            <w:tcW w:w="1154" w:type="pct"/>
            <w:vMerge w:val="continue"/>
            <w:vAlign w:val="center"/>
          </w:tcPr>
          <w:p w14:paraId="62C2E5C3">
            <w:pPr>
              <w:widowControl/>
              <w:spacing w:line="240" w:lineRule="auto"/>
              <w:rPr>
                <w:rFonts w:ascii="宋体" w:hAnsi="宋体" w:eastAsia="宋体" w:cs="宋体"/>
                <w:color w:val="000000"/>
                <w:kern w:val="0"/>
                <w:sz w:val="21"/>
              </w:rPr>
            </w:pPr>
          </w:p>
        </w:tc>
        <w:tc>
          <w:tcPr>
            <w:tcW w:w="3485" w:type="pct"/>
            <w:shd w:val="clear" w:color="auto" w:fill="auto"/>
            <w:vAlign w:val="center"/>
          </w:tcPr>
          <w:p w14:paraId="69F550CA">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3、突出本轮测试重点；</w:t>
            </w:r>
          </w:p>
        </w:tc>
      </w:tr>
      <w:tr w14:paraId="42BD9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61" w:type="pct"/>
            <w:vMerge w:val="continue"/>
            <w:vAlign w:val="center"/>
          </w:tcPr>
          <w:p w14:paraId="6152895B">
            <w:pPr>
              <w:widowControl/>
              <w:spacing w:line="240" w:lineRule="auto"/>
              <w:rPr>
                <w:rFonts w:ascii="宋体" w:hAnsi="宋体" w:eastAsia="宋体" w:cs="宋体"/>
                <w:color w:val="000000"/>
                <w:kern w:val="0"/>
                <w:sz w:val="21"/>
              </w:rPr>
            </w:pPr>
          </w:p>
        </w:tc>
        <w:tc>
          <w:tcPr>
            <w:tcW w:w="1154" w:type="pct"/>
            <w:vMerge w:val="continue"/>
            <w:vAlign w:val="center"/>
          </w:tcPr>
          <w:p w14:paraId="366C517C">
            <w:pPr>
              <w:widowControl/>
              <w:spacing w:line="240" w:lineRule="auto"/>
              <w:rPr>
                <w:rFonts w:ascii="宋体" w:hAnsi="宋体" w:eastAsia="宋体" w:cs="宋体"/>
                <w:color w:val="000000"/>
                <w:kern w:val="0"/>
                <w:sz w:val="21"/>
              </w:rPr>
            </w:pPr>
          </w:p>
        </w:tc>
        <w:tc>
          <w:tcPr>
            <w:tcW w:w="3485" w:type="pct"/>
            <w:shd w:val="clear" w:color="auto" w:fill="auto"/>
            <w:vAlign w:val="center"/>
          </w:tcPr>
          <w:p w14:paraId="747EE254">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4、正确使用测试策略；</w:t>
            </w:r>
          </w:p>
        </w:tc>
      </w:tr>
      <w:tr w14:paraId="49F27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61" w:type="pct"/>
            <w:vMerge w:val="continue"/>
            <w:vAlign w:val="center"/>
          </w:tcPr>
          <w:p w14:paraId="7ECA5BB3">
            <w:pPr>
              <w:widowControl/>
              <w:spacing w:line="240" w:lineRule="auto"/>
              <w:rPr>
                <w:rFonts w:ascii="宋体" w:hAnsi="宋体" w:eastAsia="宋体" w:cs="宋体"/>
                <w:color w:val="000000"/>
                <w:kern w:val="0"/>
                <w:sz w:val="21"/>
              </w:rPr>
            </w:pPr>
          </w:p>
        </w:tc>
        <w:tc>
          <w:tcPr>
            <w:tcW w:w="1154" w:type="pct"/>
            <w:vMerge w:val="continue"/>
            <w:vAlign w:val="center"/>
          </w:tcPr>
          <w:p w14:paraId="342CD079">
            <w:pPr>
              <w:widowControl/>
              <w:spacing w:line="240" w:lineRule="auto"/>
              <w:rPr>
                <w:rFonts w:ascii="宋体" w:hAnsi="宋体" w:eastAsia="宋体" w:cs="宋体"/>
                <w:color w:val="000000"/>
                <w:kern w:val="0"/>
                <w:sz w:val="21"/>
              </w:rPr>
            </w:pPr>
          </w:p>
        </w:tc>
        <w:tc>
          <w:tcPr>
            <w:tcW w:w="3485" w:type="pct"/>
            <w:shd w:val="clear" w:color="auto" w:fill="auto"/>
            <w:vAlign w:val="center"/>
          </w:tcPr>
          <w:p w14:paraId="364681E8">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5、明确测试目标；</w:t>
            </w:r>
          </w:p>
        </w:tc>
      </w:tr>
      <w:tr w14:paraId="6742B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61" w:type="pct"/>
            <w:vMerge w:val="continue"/>
            <w:vAlign w:val="center"/>
          </w:tcPr>
          <w:p w14:paraId="7553527A">
            <w:pPr>
              <w:widowControl/>
              <w:spacing w:line="240" w:lineRule="auto"/>
              <w:rPr>
                <w:rFonts w:ascii="宋体" w:hAnsi="宋体" w:eastAsia="宋体" w:cs="宋体"/>
                <w:color w:val="000000"/>
                <w:kern w:val="0"/>
                <w:sz w:val="21"/>
              </w:rPr>
            </w:pPr>
          </w:p>
        </w:tc>
        <w:tc>
          <w:tcPr>
            <w:tcW w:w="1154" w:type="pct"/>
            <w:vMerge w:val="continue"/>
            <w:vAlign w:val="center"/>
          </w:tcPr>
          <w:p w14:paraId="188FFBD2">
            <w:pPr>
              <w:widowControl/>
              <w:spacing w:line="240" w:lineRule="auto"/>
              <w:rPr>
                <w:rFonts w:ascii="宋体" w:hAnsi="宋体" w:eastAsia="宋体" w:cs="宋体"/>
                <w:color w:val="000000"/>
                <w:kern w:val="0"/>
                <w:sz w:val="21"/>
              </w:rPr>
            </w:pPr>
          </w:p>
        </w:tc>
        <w:tc>
          <w:tcPr>
            <w:tcW w:w="3485" w:type="pct"/>
            <w:shd w:val="clear" w:color="auto" w:fill="auto"/>
            <w:vAlign w:val="center"/>
          </w:tcPr>
          <w:p w14:paraId="66BC7789">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6、明确问题管理和变更控制。</w:t>
            </w:r>
          </w:p>
        </w:tc>
      </w:tr>
      <w:tr w14:paraId="5B004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61" w:type="pct"/>
            <w:vMerge w:val="restart"/>
            <w:shd w:val="clear" w:color="auto" w:fill="auto"/>
            <w:vAlign w:val="center"/>
          </w:tcPr>
          <w:p w14:paraId="04955AC8">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5</w:t>
            </w:r>
          </w:p>
        </w:tc>
        <w:tc>
          <w:tcPr>
            <w:tcW w:w="1154" w:type="pct"/>
            <w:vMerge w:val="restart"/>
            <w:shd w:val="clear" w:color="auto" w:fill="auto"/>
            <w:vAlign w:val="center"/>
          </w:tcPr>
          <w:p w14:paraId="70C86F4A">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集成测试案例</w:t>
            </w:r>
          </w:p>
        </w:tc>
        <w:tc>
          <w:tcPr>
            <w:tcW w:w="3485" w:type="pct"/>
            <w:shd w:val="clear" w:color="auto" w:fill="auto"/>
            <w:vAlign w:val="center"/>
          </w:tcPr>
          <w:p w14:paraId="54625268">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1、案例已覆盖到所有需要集成的功能；</w:t>
            </w:r>
          </w:p>
        </w:tc>
      </w:tr>
      <w:tr w14:paraId="1BBA9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61" w:type="pct"/>
            <w:vMerge w:val="continue"/>
            <w:vAlign w:val="center"/>
          </w:tcPr>
          <w:p w14:paraId="34EE4092">
            <w:pPr>
              <w:widowControl/>
              <w:spacing w:line="240" w:lineRule="auto"/>
              <w:rPr>
                <w:rFonts w:ascii="宋体" w:hAnsi="宋体" w:eastAsia="宋体" w:cs="宋体"/>
                <w:color w:val="000000"/>
                <w:kern w:val="0"/>
                <w:sz w:val="21"/>
              </w:rPr>
            </w:pPr>
          </w:p>
        </w:tc>
        <w:tc>
          <w:tcPr>
            <w:tcW w:w="1154" w:type="pct"/>
            <w:vMerge w:val="continue"/>
            <w:vAlign w:val="center"/>
          </w:tcPr>
          <w:p w14:paraId="332FE7D9">
            <w:pPr>
              <w:widowControl/>
              <w:spacing w:line="240" w:lineRule="auto"/>
              <w:rPr>
                <w:rFonts w:ascii="宋体" w:hAnsi="宋体" w:eastAsia="宋体" w:cs="宋体"/>
                <w:color w:val="000000"/>
                <w:kern w:val="0"/>
                <w:sz w:val="21"/>
              </w:rPr>
            </w:pPr>
          </w:p>
        </w:tc>
        <w:tc>
          <w:tcPr>
            <w:tcW w:w="3485" w:type="pct"/>
            <w:shd w:val="clear" w:color="auto" w:fill="auto"/>
            <w:vAlign w:val="center"/>
          </w:tcPr>
          <w:p w14:paraId="4FDE3C42">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2、案例包括容错性的案例；</w:t>
            </w:r>
          </w:p>
        </w:tc>
      </w:tr>
      <w:tr w14:paraId="2BA7B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61" w:type="pct"/>
            <w:vMerge w:val="continue"/>
            <w:vAlign w:val="center"/>
          </w:tcPr>
          <w:p w14:paraId="5FD8567E">
            <w:pPr>
              <w:widowControl/>
              <w:spacing w:line="240" w:lineRule="auto"/>
              <w:rPr>
                <w:rFonts w:ascii="宋体" w:hAnsi="宋体" w:eastAsia="宋体" w:cs="宋体"/>
                <w:color w:val="000000"/>
                <w:kern w:val="0"/>
                <w:sz w:val="21"/>
              </w:rPr>
            </w:pPr>
          </w:p>
        </w:tc>
        <w:tc>
          <w:tcPr>
            <w:tcW w:w="1154" w:type="pct"/>
            <w:vMerge w:val="continue"/>
            <w:vAlign w:val="center"/>
          </w:tcPr>
          <w:p w14:paraId="097AF7AB">
            <w:pPr>
              <w:widowControl/>
              <w:spacing w:line="240" w:lineRule="auto"/>
              <w:rPr>
                <w:rFonts w:ascii="宋体" w:hAnsi="宋体" w:eastAsia="宋体" w:cs="宋体"/>
                <w:color w:val="000000"/>
                <w:kern w:val="0"/>
                <w:sz w:val="21"/>
              </w:rPr>
            </w:pPr>
          </w:p>
        </w:tc>
        <w:tc>
          <w:tcPr>
            <w:tcW w:w="3485" w:type="pct"/>
            <w:shd w:val="clear" w:color="auto" w:fill="auto"/>
            <w:vAlign w:val="center"/>
          </w:tcPr>
          <w:p w14:paraId="4D7C1112">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3、所有的集成测试案例已按案例模板中的项目完成；</w:t>
            </w:r>
          </w:p>
        </w:tc>
      </w:tr>
      <w:tr w14:paraId="4E1A7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61" w:type="pct"/>
            <w:vMerge w:val="continue"/>
            <w:vAlign w:val="center"/>
          </w:tcPr>
          <w:p w14:paraId="5B3D9E65">
            <w:pPr>
              <w:widowControl/>
              <w:spacing w:line="240" w:lineRule="auto"/>
              <w:rPr>
                <w:rFonts w:ascii="宋体" w:hAnsi="宋体" w:eastAsia="宋体" w:cs="宋体"/>
                <w:color w:val="000000"/>
                <w:kern w:val="0"/>
                <w:sz w:val="21"/>
              </w:rPr>
            </w:pPr>
          </w:p>
        </w:tc>
        <w:tc>
          <w:tcPr>
            <w:tcW w:w="1154" w:type="pct"/>
            <w:vMerge w:val="continue"/>
            <w:vAlign w:val="center"/>
          </w:tcPr>
          <w:p w14:paraId="65F26347">
            <w:pPr>
              <w:widowControl/>
              <w:spacing w:line="240" w:lineRule="auto"/>
              <w:rPr>
                <w:rFonts w:ascii="宋体" w:hAnsi="宋体" w:eastAsia="宋体" w:cs="宋体"/>
                <w:color w:val="000000"/>
                <w:kern w:val="0"/>
                <w:sz w:val="21"/>
              </w:rPr>
            </w:pPr>
          </w:p>
        </w:tc>
        <w:tc>
          <w:tcPr>
            <w:tcW w:w="3485" w:type="pct"/>
            <w:shd w:val="clear" w:color="auto" w:fill="auto"/>
            <w:vAlign w:val="center"/>
          </w:tcPr>
          <w:p w14:paraId="1ED78BCA">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4、案例已按相关性进行分类。</w:t>
            </w:r>
          </w:p>
        </w:tc>
      </w:tr>
      <w:tr w14:paraId="7004A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61" w:type="pct"/>
            <w:vMerge w:val="restart"/>
            <w:shd w:val="clear" w:color="auto" w:fill="auto"/>
            <w:vAlign w:val="center"/>
          </w:tcPr>
          <w:p w14:paraId="67F68A48">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6</w:t>
            </w:r>
          </w:p>
        </w:tc>
        <w:tc>
          <w:tcPr>
            <w:tcW w:w="1154" w:type="pct"/>
            <w:vMerge w:val="restart"/>
            <w:shd w:val="clear" w:color="auto" w:fill="auto"/>
            <w:vAlign w:val="center"/>
          </w:tcPr>
          <w:p w14:paraId="7823E16A">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技术手册</w:t>
            </w:r>
          </w:p>
        </w:tc>
        <w:tc>
          <w:tcPr>
            <w:tcW w:w="3485" w:type="pct"/>
            <w:shd w:val="clear" w:color="auto" w:fill="auto"/>
            <w:vAlign w:val="center"/>
          </w:tcPr>
          <w:p w14:paraId="138BA9FA">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1、应按中心给的标准模板编写；</w:t>
            </w:r>
          </w:p>
        </w:tc>
      </w:tr>
      <w:tr w14:paraId="5DE5F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361" w:type="pct"/>
            <w:vMerge w:val="continue"/>
            <w:vAlign w:val="center"/>
          </w:tcPr>
          <w:p w14:paraId="7DD6FBCA">
            <w:pPr>
              <w:widowControl/>
              <w:spacing w:line="240" w:lineRule="auto"/>
              <w:rPr>
                <w:rFonts w:ascii="宋体" w:hAnsi="宋体" w:eastAsia="宋体" w:cs="宋体"/>
                <w:color w:val="000000"/>
                <w:kern w:val="0"/>
                <w:sz w:val="21"/>
              </w:rPr>
            </w:pPr>
          </w:p>
        </w:tc>
        <w:tc>
          <w:tcPr>
            <w:tcW w:w="1154" w:type="pct"/>
            <w:vMerge w:val="continue"/>
            <w:vAlign w:val="center"/>
          </w:tcPr>
          <w:p w14:paraId="3B867616">
            <w:pPr>
              <w:widowControl/>
              <w:spacing w:line="240" w:lineRule="auto"/>
              <w:rPr>
                <w:rFonts w:ascii="宋体" w:hAnsi="宋体" w:eastAsia="宋体" w:cs="宋体"/>
                <w:color w:val="000000"/>
                <w:kern w:val="0"/>
                <w:sz w:val="21"/>
              </w:rPr>
            </w:pPr>
          </w:p>
        </w:tc>
        <w:tc>
          <w:tcPr>
            <w:tcW w:w="3485" w:type="pct"/>
            <w:shd w:val="clear" w:color="auto" w:fill="auto"/>
            <w:vAlign w:val="center"/>
          </w:tcPr>
          <w:p w14:paraId="306CEDA7">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2、提供本软件系统的整体架构设计及每一个子系统的具体实现过程和有关知识，包括实现方法和具体处理流程；</w:t>
            </w:r>
          </w:p>
        </w:tc>
      </w:tr>
      <w:tr w14:paraId="3AA19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361" w:type="pct"/>
            <w:vMerge w:val="continue"/>
            <w:vAlign w:val="center"/>
          </w:tcPr>
          <w:p w14:paraId="5AC16079">
            <w:pPr>
              <w:widowControl/>
              <w:spacing w:line="240" w:lineRule="auto"/>
              <w:rPr>
                <w:rFonts w:ascii="宋体" w:hAnsi="宋体" w:eastAsia="宋体" w:cs="宋体"/>
                <w:color w:val="000000"/>
                <w:kern w:val="0"/>
                <w:sz w:val="21"/>
              </w:rPr>
            </w:pPr>
          </w:p>
        </w:tc>
        <w:tc>
          <w:tcPr>
            <w:tcW w:w="1154" w:type="pct"/>
            <w:vMerge w:val="continue"/>
            <w:vAlign w:val="center"/>
          </w:tcPr>
          <w:p w14:paraId="479EFABE">
            <w:pPr>
              <w:widowControl/>
              <w:spacing w:line="240" w:lineRule="auto"/>
              <w:rPr>
                <w:rFonts w:ascii="宋体" w:hAnsi="宋体" w:eastAsia="宋体" w:cs="宋体"/>
                <w:color w:val="000000"/>
                <w:kern w:val="0"/>
                <w:sz w:val="21"/>
              </w:rPr>
            </w:pPr>
          </w:p>
        </w:tc>
        <w:tc>
          <w:tcPr>
            <w:tcW w:w="3485" w:type="pct"/>
            <w:shd w:val="clear" w:color="auto" w:fill="auto"/>
            <w:vAlign w:val="center"/>
          </w:tcPr>
          <w:p w14:paraId="39061D5F">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3、主要内容应包括：软件概述、安装与初始化、运行说明、每个子系统的设计实现方法和具体处理流程及对异常情况处理方法等；</w:t>
            </w:r>
          </w:p>
        </w:tc>
      </w:tr>
      <w:tr w14:paraId="0E623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61" w:type="pct"/>
            <w:vMerge w:val="continue"/>
            <w:vAlign w:val="center"/>
          </w:tcPr>
          <w:p w14:paraId="63404A53">
            <w:pPr>
              <w:widowControl/>
              <w:spacing w:line="240" w:lineRule="auto"/>
              <w:rPr>
                <w:rFonts w:ascii="宋体" w:hAnsi="宋体" w:eastAsia="宋体" w:cs="宋体"/>
                <w:color w:val="000000"/>
                <w:kern w:val="0"/>
                <w:sz w:val="21"/>
              </w:rPr>
            </w:pPr>
          </w:p>
        </w:tc>
        <w:tc>
          <w:tcPr>
            <w:tcW w:w="1154" w:type="pct"/>
            <w:vMerge w:val="continue"/>
            <w:vAlign w:val="center"/>
          </w:tcPr>
          <w:p w14:paraId="347047A4">
            <w:pPr>
              <w:widowControl/>
              <w:spacing w:line="240" w:lineRule="auto"/>
              <w:rPr>
                <w:rFonts w:ascii="宋体" w:hAnsi="宋体" w:eastAsia="宋体" w:cs="宋体"/>
                <w:color w:val="000000"/>
                <w:kern w:val="0"/>
                <w:sz w:val="21"/>
              </w:rPr>
            </w:pPr>
          </w:p>
        </w:tc>
        <w:tc>
          <w:tcPr>
            <w:tcW w:w="3485" w:type="pct"/>
            <w:shd w:val="clear" w:color="auto" w:fill="auto"/>
            <w:vAlign w:val="center"/>
          </w:tcPr>
          <w:p w14:paraId="52793139">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4、应通过CCB评审。</w:t>
            </w:r>
          </w:p>
        </w:tc>
      </w:tr>
      <w:tr w14:paraId="1A64A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61" w:type="pct"/>
            <w:vMerge w:val="restart"/>
            <w:shd w:val="clear" w:color="auto" w:fill="auto"/>
            <w:vAlign w:val="center"/>
          </w:tcPr>
          <w:p w14:paraId="6A162261">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7</w:t>
            </w:r>
          </w:p>
        </w:tc>
        <w:tc>
          <w:tcPr>
            <w:tcW w:w="1154" w:type="pct"/>
            <w:vMerge w:val="restart"/>
            <w:shd w:val="clear" w:color="auto" w:fill="auto"/>
            <w:vAlign w:val="center"/>
          </w:tcPr>
          <w:p w14:paraId="6E31DA39">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安装手册</w:t>
            </w:r>
          </w:p>
        </w:tc>
        <w:tc>
          <w:tcPr>
            <w:tcW w:w="3485" w:type="pct"/>
            <w:shd w:val="clear" w:color="auto" w:fill="auto"/>
            <w:vAlign w:val="center"/>
          </w:tcPr>
          <w:p w14:paraId="098DA7A2">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1、明确说明安装的环境、设备和介质描述；</w:t>
            </w:r>
          </w:p>
        </w:tc>
      </w:tr>
      <w:tr w14:paraId="10DB9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61" w:type="pct"/>
            <w:vMerge w:val="continue"/>
            <w:vAlign w:val="center"/>
          </w:tcPr>
          <w:p w14:paraId="23524BBD">
            <w:pPr>
              <w:widowControl/>
              <w:spacing w:line="240" w:lineRule="auto"/>
              <w:rPr>
                <w:rFonts w:ascii="宋体" w:hAnsi="宋体" w:eastAsia="宋体" w:cs="宋体"/>
                <w:color w:val="000000"/>
                <w:kern w:val="0"/>
                <w:sz w:val="21"/>
              </w:rPr>
            </w:pPr>
          </w:p>
        </w:tc>
        <w:tc>
          <w:tcPr>
            <w:tcW w:w="1154" w:type="pct"/>
            <w:vMerge w:val="continue"/>
            <w:vAlign w:val="center"/>
          </w:tcPr>
          <w:p w14:paraId="27306475">
            <w:pPr>
              <w:widowControl/>
              <w:spacing w:line="240" w:lineRule="auto"/>
              <w:rPr>
                <w:rFonts w:ascii="宋体" w:hAnsi="宋体" w:eastAsia="宋体" w:cs="宋体"/>
                <w:color w:val="000000"/>
                <w:kern w:val="0"/>
                <w:sz w:val="21"/>
              </w:rPr>
            </w:pPr>
          </w:p>
        </w:tc>
        <w:tc>
          <w:tcPr>
            <w:tcW w:w="3485" w:type="pct"/>
            <w:shd w:val="clear" w:color="auto" w:fill="auto"/>
            <w:vAlign w:val="center"/>
          </w:tcPr>
          <w:p w14:paraId="068AAB55">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2、明确说明安装的具体操作步骤；</w:t>
            </w:r>
          </w:p>
        </w:tc>
      </w:tr>
      <w:tr w14:paraId="7EC6F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61" w:type="pct"/>
            <w:vMerge w:val="continue"/>
            <w:vAlign w:val="center"/>
          </w:tcPr>
          <w:p w14:paraId="5295E20A">
            <w:pPr>
              <w:widowControl/>
              <w:spacing w:line="240" w:lineRule="auto"/>
              <w:rPr>
                <w:rFonts w:ascii="宋体" w:hAnsi="宋体" w:eastAsia="宋体" w:cs="宋体"/>
                <w:color w:val="000000"/>
                <w:kern w:val="0"/>
                <w:sz w:val="21"/>
              </w:rPr>
            </w:pPr>
          </w:p>
        </w:tc>
        <w:tc>
          <w:tcPr>
            <w:tcW w:w="1154" w:type="pct"/>
            <w:vMerge w:val="continue"/>
            <w:vAlign w:val="center"/>
          </w:tcPr>
          <w:p w14:paraId="5B0D7D83">
            <w:pPr>
              <w:widowControl/>
              <w:spacing w:line="240" w:lineRule="auto"/>
              <w:rPr>
                <w:rFonts w:ascii="宋体" w:hAnsi="宋体" w:eastAsia="宋体" w:cs="宋体"/>
                <w:color w:val="000000"/>
                <w:kern w:val="0"/>
                <w:sz w:val="21"/>
              </w:rPr>
            </w:pPr>
          </w:p>
        </w:tc>
        <w:tc>
          <w:tcPr>
            <w:tcW w:w="3485" w:type="pct"/>
            <w:shd w:val="clear" w:color="auto" w:fill="auto"/>
            <w:vAlign w:val="center"/>
          </w:tcPr>
          <w:p w14:paraId="2F94E94D">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3、明确说明具体安装后的应用配置；</w:t>
            </w:r>
          </w:p>
        </w:tc>
      </w:tr>
      <w:tr w14:paraId="313C0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61" w:type="pct"/>
            <w:vMerge w:val="continue"/>
            <w:vAlign w:val="center"/>
          </w:tcPr>
          <w:p w14:paraId="32540023">
            <w:pPr>
              <w:widowControl/>
              <w:spacing w:line="240" w:lineRule="auto"/>
              <w:rPr>
                <w:rFonts w:ascii="宋体" w:hAnsi="宋体" w:eastAsia="宋体" w:cs="宋体"/>
                <w:color w:val="000000"/>
                <w:kern w:val="0"/>
                <w:sz w:val="21"/>
              </w:rPr>
            </w:pPr>
          </w:p>
        </w:tc>
        <w:tc>
          <w:tcPr>
            <w:tcW w:w="1154" w:type="pct"/>
            <w:vMerge w:val="continue"/>
            <w:vAlign w:val="center"/>
          </w:tcPr>
          <w:p w14:paraId="5B95FF14">
            <w:pPr>
              <w:widowControl/>
              <w:spacing w:line="240" w:lineRule="auto"/>
              <w:rPr>
                <w:rFonts w:ascii="宋体" w:hAnsi="宋体" w:eastAsia="宋体" w:cs="宋体"/>
                <w:color w:val="000000"/>
                <w:kern w:val="0"/>
                <w:sz w:val="21"/>
              </w:rPr>
            </w:pPr>
          </w:p>
        </w:tc>
        <w:tc>
          <w:tcPr>
            <w:tcW w:w="3485" w:type="pct"/>
            <w:shd w:val="clear" w:color="auto" w:fill="auto"/>
            <w:vAlign w:val="center"/>
          </w:tcPr>
          <w:p w14:paraId="24677D3B">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4、说明测试安装是否成功的方法；</w:t>
            </w:r>
          </w:p>
        </w:tc>
      </w:tr>
      <w:tr w14:paraId="03A59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61" w:type="pct"/>
            <w:vMerge w:val="continue"/>
            <w:vAlign w:val="center"/>
          </w:tcPr>
          <w:p w14:paraId="66FA216E">
            <w:pPr>
              <w:widowControl/>
              <w:spacing w:line="240" w:lineRule="auto"/>
              <w:rPr>
                <w:rFonts w:ascii="宋体" w:hAnsi="宋体" w:eastAsia="宋体" w:cs="宋体"/>
                <w:color w:val="000000"/>
                <w:kern w:val="0"/>
                <w:sz w:val="21"/>
              </w:rPr>
            </w:pPr>
          </w:p>
        </w:tc>
        <w:tc>
          <w:tcPr>
            <w:tcW w:w="1154" w:type="pct"/>
            <w:vMerge w:val="continue"/>
            <w:vAlign w:val="center"/>
          </w:tcPr>
          <w:p w14:paraId="24E1732C">
            <w:pPr>
              <w:widowControl/>
              <w:spacing w:line="240" w:lineRule="auto"/>
              <w:rPr>
                <w:rFonts w:ascii="宋体" w:hAnsi="宋体" w:eastAsia="宋体" w:cs="宋体"/>
                <w:color w:val="000000"/>
                <w:kern w:val="0"/>
                <w:sz w:val="21"/>
              </w:rPr>
            </w:pPr>
          </w:p>
        </w:tc>
        <w:tc>
          <w:tcPr>
            <w:tcW w:w="3485" w:type="pct"/>
            <w:shd w:val="clear" w:color="auto" w:fill="auto"/>
            <w:vAlign w:val="center"/>
          </w:tcPr>
          <w:p w14:paraId="780C1C46">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5、列出常见的安装问题和解决办法；</w:t>
            </w:r>
          </w:p>
        </w:tc>
      </w:tr>
      <w:tr w14:paraId="6FEC5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61" w:type="pct"/>
            <w:vMerge w:val="continue"/>
            <w:vAlign w:val="center"/>
          </w:tcPr>
          <w:p w14:paraId="03025947">
            <w:pPr>
              <w:widowControl/>
              <w:spacing w:line="240" w:lineRule="auto"/>
              <w:rPr>
                <w:rFonts w:ascii="宋体" w:hAnsi="宋体" w:eastAsia="宋体" w:cs="宋体"/>
                <w:color w:val="000000"/>
                <w:kern w:val="0"/>
                <w:sz w:val="21"/>
              </w:rPr>
            </w:pPr>
          </w:p>
        </w:tc>
        <w:tc>
          <w:tcPr>
            <w:tcW w:w="1154" w:type="pct"/>
            <w:vMerge w:val="continue"/>
            <w:vAlign w:val="center"/>
          </w:tcPr>
          <w:p w14:paraId="0C27B257">
            <w:pPr>
              <w:widowControl/>
              <w:spacing w:line="240" w:lineRule="auto"/>
              <w:rPr>
                <w:rFonts w:ascii="宋体" w:hAnsi="宋体" w:eastAsia="宋体" w:cs="宋体"/>
                <w:color w:val="000000"/>
                <w:kern w:val="0"/>
                <w:sz w:val="21"/>
              </w:rPr>
            </w:pPr>
          </w:p>
        </w:tc>
        <w:tc>
          <w:tcPr>
            <w:tcW w:w="3485" w:type="pct"/>
            <w:shd w:val="clear" w:color="auto" w:fill="auto"/>
            <w:vAlign w:val="center"/>
          </w:tcPr>
          <w:p w14:paraId="69F17A43">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6、应通过CCB评审</w:t>
            </w:r>
          </w:p>
        </w:tc>
      </w:tr>
      <w:tr w14:paraId="25E64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61" w:type="pct"/>
            <w:vMerge w:val="restart"/>
            <w:shd w:val="clear" w:color="auto" w:fill="auto"/>
            <w:vAlign w:val="center"/>
          </w:tcPr>
          <w:p w14:paraId="58FFFDA8">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8</w:t>
            </w:r>
          </w:p>
        </w:tc>
        <w:tc>
          <w:tcPr>
            <w:tcW w:w="1154" w:type="pct"/>
            <w:vMerge w:val="restart"/>
            <w:shd w:val="clear" w:color="auto" w:fill="auto"/>
            <w:vAlign w:val="center"/>
          </w:tcPr>
          <w:p w14:paraId="6FB2F629">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用户操作手册</w:t>
            </w:r>
          </w:p>
        </w:tc>
        <w:tc>
          <w:tcPr>
            <w:tcW w:w="3485" w:type="pct"/>
            <w:shd w:val="clear" w:color="auto" w:fill="auto"/>
            <w:vAlign w:val="center"/>
          </w:tcPr>
          <w:p w14:paraId="3F9A84D2">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1、按用户操作手册模板完成；</w:t>
            </w:r>
          </w:p>
        </w:tc>
      </w:tr>
      <w:tr w14:paraId="3A1D6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361" w:type="pct"/>
            <w:vMerge w:val="continue"/>
            <w:vAlign w:val="center"/>
          </w:tcPr>
          <w:p w14:paraId="0DEF33BC">
            <w:pPr>
              <w:widowControl/>
              <w:spacing w:line="240" w:lineRule="auto"/>
              <w:rPr>
                <w:rFonts w:ascii="宋体" w:hAnsi="宋体" w:eastAsia="宋体" w:cs="宋体"/>
                <w:color w:val="000000"/>
                <w:kern w:val="0"/>
                <w:sz w:val="21"/>
              </w:rPr>
            </w:pPr>
          </w:p>
        </w:tc>
        <w:tc>
          <w:tcPr>
            <w:tcW w:w="1154" w:type="pct"/>
            <w:vMerge w:val="continue"/>
            <w:vAlign w:val="center"/>
          </w:tcPr>
          <w:p w14:paraId="2CA05B89">
            <w:pPr>
              <w:widowControl/>
              <w:spacing w:line="240" w:lineRule="auto"/>
              <w:rPr>
                <w:rFonts w:ascii="宋体" w:hAnsi="宋体" w:eastAsia="宋体" w:cs="宋体"/>
                <w:color w:val="000000"/>
                <w:kern w:val="0"/>
                <w:sz w:val="21"/>
              </w:rPr>
            </w:pPr>
          </w:p>
        </w:tc>
        <w:tc>
          <w:tcPr>
            <w:tcW w:w="3485" w:type="pct"/>
            <w:shd w:val="clear" w:color="auto" w:fill="auto"/>
            <w:vAlign w:val="center"/>
          </w:tcPr>
          <w:p w14:paraId="1EE45F01">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2、操作步骤方法已被清晰描述，向操作人员提供应用系统的每一个运行的具体过程和有关知识，包括操作方法的细节；</w:t>
            </w:r>
          </w:p>
        </w:tc>
      </w:tr>
      <w:tr w14:paraId="69B35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61" w:type="pct"/>
            <w:vMerge w:val="continue"/>
            <w:vAlign w:val="center"/>
          </w:tcPr>
          <w:p w14:paraId="1414EF0E">
            <w:pPr>
              <w:widowControl/>
              <w:spacing w:line="240" w:lineRule="auto"/>
              <w:rPr>
                <w:rFonts w:ascii="宋体" w:hAnsi="宋体" w:eastAsia="宋体" w:cs="宋体"/>
                <w:color w:val="000000"/>
                <w:kern w:val="0"/>
                <w:sz w:val="21"/>
              </w:rPr>
            </w:pPr>
          </w:p>
        </w:tc>
        <w:tc>
          <w:tcPr>
            <w:tcW w:w="1154" w:type="pct"/>
            <w:vMerge w:val="continue"/>
            <w:vAlign w:val="center"/>
          </w:tcPr>
          <w:p w14:paraId="0223AF00">
            <w:pPr>
              <w:widowControl/>
              <w:spacing w:line="240" w:lineRule="auto"/>
              <w:rPr>
                <w:rFonts w:ascii="宋体" w:hAnsi="宋体" w:eastAsia="宋体" w:cs="宋体"/>
                <w:color w:val="000000"/>
                <w:kern w:val="0"/>
                <w:sz w:val="21"/>
              </w:rPr>
            </w:pPr>
          </w:p>
        </w:tc>
        <w:tc>
          <w:tcPr>
            <w:tcW w:w="3485" w:type="pct"/>
            <w:shd w:val="clear" w:color="auto" w:fill="auto"/>
            <w:vAlign w:val="center"/>
          </w:tcPr>
          <w:p w14:paraId="2DFD4E58">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3、应通过CCB评审</w:t>
            </w:r>
          </w:p>
        </w:tc>
      </w:tr>
      <w:tr w14:paraId="77F96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61" w:type="pct"/>
            <w:vMerge w:val="restart"/>
            <w:shd w:val="clear" w:color="auto" w:fill="auto"/>
            <w:vAlign w:val="center"/>
          </w:tcPr>
          <w:p w14:paraId="20A07A30">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9</w:t>
            </w:r>
          </w:p>
        </w:tc>
        <w:tc>
          <w:tcPr>
            <w:tcW w:w="1154" w:type="pct"/>
            <w:vMerge w:val="restart"/>
            <w:shd w:val="clear" w:color="auto" w:fill="auto"/>
            <w:vAlign w:val="center"/>
          </w:tcPr>
          <w:p w14:paraId="477C4992">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培训计划</w:t>
            </w:r>
          </w:p>
        </w:tc>
        <w:tc>
          <w:tcPr>
            <w:tcW w:w="3485" w:type="pct"/>
            <w:shd w:val="clear" w:color="auto" w:fill="auto"/>
            <w:vAlign w:val="center"/>
          </w:tcPr>
          <w:p w14:paraId="061F407B">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1、按培训计划模板完成；</w:t>
            </w:r>
          </w:p>
        </w:tc>
      </w:tr>
      <w:tr w14:paraId="3899D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61" w:type="pct"/>
            <w:vMerge w:val="continue"/>
            <w:vAlign w:val="center"/>
          </w:tcPr>
          <w:p w14:paraId="369920A9">
            <w:pPr>
              <w:widowControl/>
              <w:spacing w:line="240" w:lineRule="auto"/>
              <w:rPr>
                <w:rFonts w:ascii="宋体" w:hAnsi="宋体" w:eastAsia="宋体" w:cs="宋体"/>
                <w:color w:val="000000"/>
                <w:kern w:val="0"/>
                <w:sz w:val="21"/>
              </w:rPr>
            </w:pPr>
          </w:p>
        </w:tc>
        <w:tc>
          <w:tcPr>
            <w:tcW w:w="1154" w:type="pct"/>
            <w:vMerge w:val="continue"/>
            <w:vAlign w:val="center"/>
          </w:tcPr>
          <w:p w14:paraId="2B86C4B1">
            <w:pPr>
              <w:widowControl/>
              <w:spacing w:line="240" w:lineRule="auto"/>
              <w:rPr>
                <w:rFonts w:ascii="宋体" w:hAnsi="宋体" w:eastAsia="宋体" w:cs="宋体"/>
                <w:color w:val="000000"/>
                <w:kern w:val="0"/>
                <w:sz w:val="21"/>
              </w:rPr>
            </w:pPr>
          </w:p>
        </w:tc>
        <w:tc>
          <w:tcPr>
            <w:tcW w:w="3485" w:type="pct"/>
            <w:shd w:val="clear" w:color="auto" w:fill="auto"/>
            <w:vAlign w:val="center"/>
          </w:tcPr>
          <w:p w14:paraId="6C349736">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2、确定培训后的预期结果，分析潜在的困难和问题；</w:t>
            </w:r>
          </w:p>
        </w:tc>
      </w:tr>
      <w:tr w14:paraId="16F89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61" w:type="pct"/>
            <w:vMerge w:val="continue"/>
            <w:vAlign w:val="center"/>
          </w:tcPr>
          <w:p w14:paraId="009E66BC">
            <w:pPr>
              <w:widowControl/>
              <w:spacing w:line="240" w:lineRule="auto"/>
              <w:rPr>
                <w:rFonts w:ascii="宋体" w:hAnsi="宋体" w:eastAsia="宋体" w:cs="宋体"/>
                <w:color w:val="000000"/>
                <w:kern w:val="0"/>
                <w:sz w:val="21"/>
              </w:rPr>
            </w:pPr>
          </w:p>
        </w:tc>
        <w:tc>
          <w:tcPr>
            <w:tcW w:w="1154" w:type="pct"/>
            <w:vMerge w:val="continue"/>
            <w:vAlign w:val="center"/>
          </w:tcPr>
          <w:p w14:paraId="57D7F87C">
            <w:pPr>
              <w:widowControl/>
              <w:spacing w:line="240" w:lineRule="auto"/>
              <w:rPr>
                <w:rFonts w:ascii="宋体" w:hAnsi="宋体" w:eastAsia="宋体" w:cs="宋体"/>
                <w:color w:val="000000"/>
                <w:kern w:val="0"/>
                <w:sz w:val="21"/>
              </w:rPr>
            </w:pPr>
          </w:p>
        </w:tc>
        <w:tc>
          <w:tcPr>
            <w:tcW w:w="3485" w:type="pct"/>
            <w:shd w:val="clear" w:color="auto" w:fill="auto"/>
            <w:vAlign w:val="center"/>
          </w:tcPr>
          <w:p w14:paraId="1364A41D">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3、确定培训的时间安排和进度控制，各相关机构职责；</w:t>
            </w:r>
          </w:p>
        </w:tc>
      </w:tr>
      <w:tr w14:paraId="37B02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61" w:type="pct"/>
            <w:vMerge w:val="continue"/>
            <w:vAlign w:val="center"/>
          </w:tcPr>
          <w:p w14:paraId="5AB229AD">
            <w:pPr>
              <w:widowControl/>
              <w:spacing w:line="240" w:lineRule="auto"/>
              <w:rPr>
                <w:rFonts w:ascii="宋体" w:hAnsi="宋体" w:eastAsia="宋体" w:cs="宋体"/>
                <w:color w:val="000000"/>
                <w:kern w:val="0"/>
                <w:sz w:val="21"/>
              </w:rPr>
            </w:pPr>
          </w:p>
        </w:tc>
        <w:tc>
          <w:tcPr>
            <w:tcW w:w="1154" w:type="pct"/>
            <w:vMerge w:val="continue"/>
            <w:vAlign w:val="center"/>
          </w:tcPr>
          <w:p w14:paraId="7FF5AE61">
            <w:pPr>
              <w:widowControl/>
              <w:spacing w:line="240" w:lineRule="auto"/>
              <w:rPr>
                <w:rFonts w:ascii="宋体" w:hAnsi="宋体" w:eastAsia="宋体" w:cs="宋体"/>
                <w:color w:val="000000"/>
                <w:kern w:val="0"/>
                <w:sz w:val="21"/>
              </w:rPr>
            </w:pPr>
          </w:p>
        </w:tc>
        <w:tc>
          <w:tcPr>
            <w:tcW w:w="3485" w:type="pct"/>
            <w:shd w:val="clear" w:color="auto" w:fill="auto"/>
            <w:vAlign w:val="center"/>
          </w:tcPr>
          <w:p w14:paraId="0F2FCBF5">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4、确定培训的方法和培训环境；</w:t>
            </w:r>
          </w:p>
        </w:tc>
      </w:tr>
      <w:tr w14:paraId="14EF6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61" w:type="pct"/>
            <w:vMerge w:val="continue"/>
            <w:vAlign w:val="center"/>
          </w:tcPr>
          <w:p w14:paraId="7CEC1D13">
            <w:pPr>
              <w:widowControl/>
              <w:spacing w:line="240" w:lineRule="auto"/>
              <w:rPr>
                <w:rFonts w:ascii="宋体" w:hAnsi="宋体" w:eastAsia="宋体" w:cs="宋体"/>
                <w:color w:val="000000"/>
                <w:kern w:val="0"/>
                <w:sz w:val="21"/>
              </w:rPr>
            </w:pPr>
          </w:p>
        </w:tc>
        <w:tc>
          <w:tcPr>
            <w:tcW w:w="1154" w:type="pct"/>
            <w:vMerge w:val="continue"/>
            <w:vAlign w:val="center"/>
          </w:tcPr>
          <w:p w14:paraId="09246674">
            <w:pPr>
              <w:widowControl/>
              <w:spacing w:line="240" w:lineRule="auto"/>
              <w:rPr>
                <w:rFonts w:ascii="宋体" w:hAnsi="宋体" w:eastAsia="宋体" w:cs="宋体"/>
                <w:color w:val="000000"/>
                <w:kern w:val="0"/>
                <w:sz w:val="21"/>
              </w:rPr>
            </w:pPr>
          </w:p>
        </w:tc>
        <w:tc>
          <w:tcPr>
            <w:tcW w:w="3485" w:type="pct"/>
            <w:shd w:val="clear" w:color="auto" w:fill="auto"/>
            <w:vAlign w:val="center"/>
          </w:tcPr>
          <w:p w14:paraId="547B300E">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5、应通过CCB评审。</w:t>
            </w:r>
          </w:p>
        </w:tc>
      </w:tr>
      <w:tr w14:paraId="47375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61" w:type="pct"/>
            <w:vMerge w:val="restart"/>
            <w:shd w:val="clear" w:color="auto" w:fill="auto"/>
            <w:vAlign w:val="center"/>
          </w:tcPr>
          <w:p w14:paraId="3E59D3C7">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10</w:t>
            </w:r>
          </w:p>
        </w:tc>
        <w:tc>
          <w:tcPr>
            <w:tcW w:w="1154" w:type="pct"/>
            <w:vMerge w:val="restart"/>
            <w:shd w:val="clear" w:color="auto" w:fill="auto"/>
            <w:vAlign w:val="center"/>
          </w:tcPr>
          <w:p w14:paraId="171E5F59">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用户培训手册</w:t>
            </w:r>
          </w:p>
        </w:tc>
        <w:tc>
          <w:tcPr>
            <w:tcW w:w="3485" w:type="pct"/>
            <w:shd w:val="clear" w:color="auto" w:fill="auto"/>
            <w:vAlign w:val="center"/>
          </w:tcPr>
          <w:p w14:paraId="033C9BF3">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1、按培训手册模板完成；</w:t>
            </w:r>
          </w:p>
        </w:tc>
      </w:tr>
      <w:tr w14:paraId="76A61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61" w:type="pct"/>
            <w:vMerge w:val="continue"/>
            <w:vAlign w:val="center"/>
          </w:tcPr>
          <w:p w14:paraId="31547C52">
            <w:pPr>
              <w:widowControl/>
              <w:spacing w:line="240" w:lineRule="auto"/>
              <w:rPr>
                <w:rFonts w:ascii="宋体" w:hAnsi="宋体" w:eastAsia="宋体" w:cs="宋体"/>
                <w:color w:val="000000"/>
                <w:kern w:val="0"/>
                <w:sz w:val="21"/>
              </w:rPr>
            </w:pPr>
          </w:p>
        </w:tc>
        <w:tc>
          <w:tcPr>
            <w:tcW w:w="1154" w:type="pct"/>
            <w:vMerge w:val="continue"/>
            <w:vAlign w:val="center"/>
          </w:tcPr>
          <w:p w14:paraId="1132139C">
            <w:pPr>
              <w:widowControl/>
              <w:spacing w:line="240" w:lineRule="auto"/>
              <w:rPr>
                <w:rFonts w:ascii="宋体" w:hAnsi="宋体" w:eastAsia="宋体" w:cs="宋体"/>
                <w:color w:val="000000"/>
                <w:kern w:val="0"/>
                <w:sz w:val="21"/>
              </w:rPr>
            </w:pPr>
          </w:p>
        </w:tc>
        <w:tc>
          <w:tcPr>
            <w:tcW w:w="3485" w:type="pct"/>
            <w:shd w:val="clear" w:color="auto" w:fill="auto"/>
            <w:vAlign w:val="center"/>
          </w:tcPr>
          <w:p w14:paraId="4926F587">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2、说明要培训的对象、培训目的；</w:t>
            </w:r>
          </w:p>
        </w:tc>
      </w:tr>
      <w:tr w14:paraId="374D9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61" w:type="pct"/>
            <w:vMerge w:val="continue"/>
            <w:vAlign w:val="center"/>
          </w:tcPr>
          <w:p w14:paraId="5D93C5E9">
            <w:pPr>
              <w:widowControl/>
              <w:spacing w:line="240" w:lineRule="auto"/>
              <w:rPr>
                <w:rFonts w:ascii="宋体" w:hAnsi="宋体" w:eastAsia="宋体" w:cs="宋体"/>
                <w:color w:val="000000"/>
                <w:kern w:val="0"/>
                <w:sz w:val="21"/>
              </w:rPr>
            </w:pPr>
          </w:p>
        </w:tc>
        <w:tc>
          <w:tcPr>
            <w:tcW w:w="1154" w:type="pct"/>
            <w:vMerge w:val="continue"/>
            <w:vAlign w:val="center"/>
          </w:tcPr>
          <w:p w14:paraId="091C544A">
            <w:pPr>
              <w:widowControl/>
              <w:spacing w:line="240" w:lineRule="auto"/>
              <w:rPr>
                <w:rFonts w:ascii="宋体" w:hAnsi="宋体" w:eastAsia="宋体" w:cs="宋体"/>
                <w:color w:val="000000"/>
                <w:kern w:val="0"/>
                <w:sz w:val="21"/>
              </w:rPr>
            </w:pPr>
          </w:p>
        </w:tc>
        <w:tc>
          <w:tcPr>
            <w:tcW w:w="3485" w:type="pct"/>
            <w:shd w:val="clear" w:color="auto" w:fill="auto"/>
            <w:vAlign w:val="center"/>
          </w:tcPr>
          <w:p w14:paraId="1EDA49CA">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3、具体列明培训的内容；</w:t>
            </w:r>
          </w:p>
        </w:tc>
      </w:tr>
      <w:tr w14:paraId="1D2C1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61" w:type="pct"/>
            <w:vMerge w:val="continue"/>
            <w:vAlign w:val="center"/>
          </w:tcPr>
          <w:p w14:paraId="36F2C3C7">
            <w:pPr>
              <w:widowControl/>
              <w:spacing w:line="240" w:lineRule="auto"/>
              <w:rPr>
                <w:rFonts w:ascii="宋体" w:hAnsi="宋体" w:eastAsia="宋体" w:cs="宋体"/>
                <w:color w:val="000000"/>
                <w:kern w:val="0"/>
                <w:sz w:val="21"/>
              </w:rPr>
            </w:pPr>
          </w:p>
        </w:tc>
        <w:tc>
          <w:tcPr>
            <w:tcW w:w="1154" w:type="pct"/>
            <w:vMerge w:val="continue"/>
            <w:vAlign w:val="center"/>
          </w:tcPr>
          <w:p w14:paraId="1A4D8708">
            <w:pPr>
              <w:widowControl/>
              <w:spacing w:line="240" w:lineRule="auto"/>
              <w:rPr>
                <w:rFonts w:ascii="宋体" w:hAnsi="宋体" w:eastAsia="宋体" w:cs="宋体"/>
                <w:color w:val="000000"/>
                <w:kern w:val="0"/>
                <w:sz w:val="21"/>
              </w:rPr>
            </w:pPr>
          </w:p>
        </w:tc>
        <w:tc>
          <w:tcPr>
            <w:tcW w:w="3485" w:type="pct"/>
            <w:shd w:val="clear" w:color="auto" w:fill="auto"/>
            <w:vAlign w:val="center"/>
          </w:tcPr>
          <w:p w14:paraId="2B41FA4D">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4、具体说明系统运行所需的软硬件环境等；</w:t>
            </w:r>
          </w:p>
        </w:tc>
      </w:tr>
      <w:tr w14:paraId="70D17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61" w:type="pct"/>
            <w:vMerge w:val="continue"/>
            <w:vAlign w:val="center"/>
          </w:tcPr>
          <w:p w14:paraId="40A9A5CF">
            <w:pPr>
              <w:widowControl/>
              <w:spacing w:line="240" w:lineRule="auto"/>
              <w:rPr>
                <w:rFonts w:ascii="宋体" w:hAnsi="宋体" w:eastAsia="宋体" w:cs="宋体"/>
                <w:color w:val="000000"/>
                <w:kern w:val="0"/>
                <w:sz w:val="21"/>
              </w:rPr>
            </w:pPr>
          </w:p>
        </w:tc>
        <w:tc>
          <w:tcPr>
            <w:tcW w:w="1154" w:type="pct"/>
            <w:vMerge w:val="continue"/>
            <w:vAlign w:val="center"/>
          </w:tcPr>
          <w:p w14:paraId="474ACAA5">
            <w:pPr>
              <w:widowControl/>
              <w:spacing w:line="240" w:lineRule="auto"/>
              <w:rPr>
                <w:rFonts w:ascii="宋体" w:hAnsi="宋体" w:eastAsia="宋体" w:cs="宋体"/>
                <w:color w:val="000000"/>
                <w:kern w:val="0"/>
                <w:sz w:val="21"/>
              </w:rPr>
            </w:pPr>
          </w:p>
        </w:tc>
        <w:tc>
          <w:tcPr>
            <w:tcW w:w="3485" w:type="pct"/>
            <w:shd w:val="clear" w:color="auto" w:fill="auto"/>
            <w:vAlign w:val="center"/>
          </w:tcPr>
          <w:p w14:paraId="1B4CEA9E">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5、应通过CCB评审。</w:t>
            </w:r>
          </w:p>
        </w:tc>
      </w:tr>
      <w:tr w14:paraId="5A856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0" w:hRule="atLeast"/>
        </w:trPr>
        <w:tc>
          <w:tcPr>
            <w:tcW w:w="361" w:type="pct"/>
            <w:vMerge w:val="restart"/>
            <w:shd w:val="clear" w:color="auto" w:fill="auto"/>
            <w:vAlign w:val="center"/>
          </w:tcPr>
          <w:p w14:paraId="2FF28D33">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11</w:t>
            </w:r>
          </w:p>
        </w:tc>
        <w:tc>
          <w:tcPr>
            <w:tcW w:w="1154" w:type="pct"/>
            <w:vMerge w:val="restart"/>
            <w:shd w:val="clear" w:color="auto" w:fill="auto"/>
            <w:vAlign w:val="center"/>
          </w:tcPr>
          <w:p w14:paraId="071F9A4C">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运行维护手册</w:t>
            </w:r>
          </w:p>
        </w:tc>
        <w:tc>
          <w:tcPr>
            <w:tcW w:w="3485" w:type="pct"/>
            <w:shd w:val="clear" w:color="auto" w:fill="auto"/>
            <w:vAlign w:val="center"/>
          </w:tcPr>
          <w:p w14:paraId="626F14FF">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应包括逻辑结构图、物理结构图、网络拓扑图、物理连接图、磁盘物理卷/逻辑卷与文件系统对应关系图、光纤交换机ZONE的划分图、设备背板图、与其他系统接口的说明、应用程序各功能模块的说明、目录结构/执行程序/配置文件/日志文件的清单列表、数据清理策略说明、应用系统各类日志详细说明、应用系统可执行程序清单、应用系统错误编码解释表、应急数据恢复策略说明、系统应急切换步骤、应用软件参数配置表、应用系统通讯参数配置表、维护参数的具体含义和生效条件的说明等内容。</w:t>
            </w:r>
          </w:p>
        </w:tc>
      </w:tr>
      <w:tr w14:paraId="434B1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61" w:type="pct"/>
            <w:vMerge w:val="continue"/>
            <w:vAlign w:val="center"/>
          </w:tcPr>
          <w:p w14:paraId="4BDDB1C3">
            <w:pPr>
              <w:widowControl/>
              <w:spacing w:line="240" w:lineRule="auto"/>
              <w:rPr>
                <w:rFonts w:ascii="宋体" w:hAnsi="宋体" w:eastAsia="宋体" w:cs="宋体"/>
                <w:color w:val="000000"/>
                <w:kern w:val="0"/>
                <w:sz w:val="21"/>
              </w:rPr>
            </w:pPr>
          </w:p>
        </w:tc>
        <w:tc>
          <w:tcPr>
            <w:tcW w:w="1154" w:type="pct"/>
            <w:vMerge w:val="continue"/>
            <w:vAlign w:val="center"/>
          </w:tcPr>
          <w:p w14:paraId="12F96946">
            <w:pPr>
              <w:widowControl/>
              <w:spacing w:line="240" w:lineRule="auto"/>
              <w:rPr>
                <w:rFonts w:ascii="宋体" w:hAnsi="宋体" w:eastAsia="宋体" w:cs="宋体"/>
                <w:color w:val="000000"/>
                <w:kern w:val="0"/>
                <w:sz w:val="21"/>
              </w:rPr>
            </w:pPr>
          </w:p>
        </w:tc>
        <w:tc>
          <w:tcPr>
            <w:tcW w:w="3485" w:type="pct"/>
            <w:shd w:val="clear" w:color="auto" w:fill="auto"/>
            <w:vAlign w:val="center"/>
          </w:tcPr>
          <w:p w14:paraId="05485755">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应通过CCB评审</w:t>
            </w:r>
          </w:p>
        </w:tc>
      </w:tr>
      <w:tr w14:paraId="0BB0D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61" w:type="pct"/>
            <w:vMerge w:val="restart"/>
            <w:shd w:val="clear" w:color="auto" w:fill="auto"/>
            <w:vAlign w:val="center"/>
          </w:tcPr>
          <w:p w14:paraId="325E23F4">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12</w:t>
            </w:r>
          </w:p>
        </w:tc>
        <w:tc>
          <w:tcPr>
            <w:tcW w:w="1154" w:type="pct"/>
            <w:vMerge w:val="restart"/>
            <w:shd w:val="clear" w:color="auto" w:fill="auto"/>
            <w:vAlign w:val="center"/>
          </w:tcPr>
          <w:p w14:paraId="60961CFB">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常见问题处理手册</w:t>
            </w:r>
          </w:p>
        </w:tc>
        <w:tc>
          <w:tcPr>
            <w:tcW w:w="3485" w:type="pct"/>
            <w:shd w:val="clear" w:color="auto" w:fill="auto"/>
            <w:vAlign w:val="center"/>
          </w:tcPr>
          <w:p w14:paraId="79E2C51D">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应包括应用系统常见问题现象描述及处理方法等内容。</w:t>
            </w:r>
          </w:p>
        </w:tc>
      </w:tr>
      <w:tr w14:paraId="29068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61" w:type="pct"/>
            <w:vMerge w:val="continue"/>
            <w:vAlign w:val="center"/>
          </w:tcPr>
          <w:p w14:paraId="19C22EEA">
            <w:pPr>
              <w:widowControl/>
              <w:spacing w:line="240" w:lineRule="auto"/>
              <w:rPr>
                <w:rFonts w:ascii="宋体" w:hAnsi="宋体" w:eastAsia="宋体" w:cs="宋体"/>
                <w:color w:val="000000"/>
                <w:kern w:val="0"/>
                <w:sz w:val="21"/>
              </w:rPr>
            </w:pPr>
          </w:p>
        </w:tc>
        <w:tc>
          <w:tcPr>
            <w:tcW w:w="1154" w:type="pct"/>
            <w:vMerge w:val="continue"/>
            <w:vAlign w:val="center"/>
          </w:tcPr>
          <w:p w14:paraId="498E86D9">
            <w:pPr>
              <w:widowControl/>
              <w:spacing w:line="240" w:lineRule="auto"/>
              <w:rPr>
                <w:rFonts w:ascii="宋体" w:hAnsi="宋体" w:eastAsia="宋体" w:cs="宋体"/>
                <w:color w:val="000000"/>
                <w:kern w:val="0"/>
                <w:sz w:val="21"/>
              </w:rPr>
            </w:pPr>
          </w:p>
        </w:tc>
        <w:tc>
          <w:tcPr>
            <w:tcW w:w="3485" w:type="pct"/>
            <w:shd w:val="clear" w:color="auto" w:fill="auto"/>
            <w:vAlign w:val="center"/>
          </w:tcPr>
          <w:p w14:paraId="7BD80360">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应通过CCB评审</w:t>
            </w:r>
          </w:p>
        </w:tc>
      </w:tr>
    </w:tbl>
    <w:p w14:paraId="7A0A31A0">
      <w:pPr>
        <w:pStyle w:val="6"/>
      </w:pPr>
      <w:bookmarkStart w:id="16" w:name="_Toc82096198"/>
      <w:r>
        <w:rPr>
          <w:rFonts w:hint="eastAsia"/>
        </w:rPr>
        <w:t>验收流程及标准</w:t>
      </w:r>
      <w:bookmarkEnd w:id="16"/>
    </w:p>
    <w:p w14:paraId="741EC18E">
      <w:pPr>
        <w:pStyle w:val="7"/>
      </w:pPr>
      <w:r>
        <w:rPr>
          <w:rFonts w:hint="eastAsia"/>
        </w:rPr>
        <w:t>验收流程与验收方法</w:t>
      </w:r>
    </w:p>
    <w:p w14:paraId="5AF45D4B">
      <w:pPr>
        <w:pStyle w:val="8"/>
      </w:pPr>
      <w:bookmarkStart w:id="17" w:name="_Hlk105507999"/>
      <w:r>
        <w:rPr>
          <w:rFonts w:hint="eastAsia"/>
        </w:rPr>
        <w:t>验收流程</w:t>
      </w:r>
    </w:p>
    <w:bookmarkEnd w:id="17"/>
    <w:p w14:paraId="6BABF80F">
      <w:pPr>
        <w:jc w:val="center"/>
      </w:pPr>
      <w:bookmarkStart w:id="18" w:name="_Hlk105508009"/>
      <w:r>
        <w:rPr>
          <w:rFonts w:ascii="楷体_GB2312" w:hAnsi="Times New Roman" w:eastAsia="楷体_GB2312" w:cs="Times New Roman"/>
          <w:sz w:val="32"/>
          <w:szCs w:val="24"/>
        </w:rPr>
        <w:object>
          <v:shape id="_x0000_i1026" o:spt="75" type="#_x0000_t75" style="height:412.2pt;width:208.8pt;" o:ole="t" filled="f" o:preferrelative="t" stroked="f" coordsize="21600,21600">
            <v:path/>
            <v:fill on="f" focussize="0,0"/>
            <v:stroke on="f" joinstyle="miter"/>
            <v:imagedata r:id="rId9" o:title=""/>
            <o:lock v:ext="edit" aspectratio="t"/>
            <w10:wrap type="none"/>
            <w10:anchorlock/>
          </v:shape>
          <o:OLEObject Type="Embed" ProgID="Visio.Drawing.11" ShapeID="_x0000_i1026" DrawAspect="Content" ObjectID="_1468075726" r:id="rId12">
            <o:LockedField>false</o:LockedField>
          </o:OLEObject>
        </w:object>
      </w:r>
      <w:bookmarkEnd w:id="18"/>
    </w:p>
    <w:p w14:paraId="3F585448">
      <w:pPr>
        <w:pStyle w:val="52"/>
        <w:ind w:firstLine="480"/>
      </w:pPr>
      <w:bookmarkStart w:id="19" w:name="_Hlk105508030"/>
      <w:r>
        <w:rPr>
          <w:rFonts w:hint="eastAsia"/>
        </w:rPr>
        <w:t>流程说明：</w:t>
      </w:r>
    </w:p>
    <w:p w14:paraId="3AA6194F">
      <w:pPr>
        <w:pStyle w:val="52"/>
        <w:ind w:firstLine="480"/>
      </w:pPr>
      <w:r>
        <w:rPr>
          <w:rFonts w:hint="eastAsia"/>
        </w:rPr>
        <w:t>1.</w:t>
      </w:r>
      <w:r>
        <w:rPr>
          <w:rFonts w:hint="eastAsia"/>
        </w:rPr>
        <w:tab/>
      </w:r>
      <w:r>
        <w:rPr>
          <w:rFonts w:hint="eastAsia"/>
        </w:rPr>
        <w:t>我方完成所有项目任务后，向甲方提交所有按本文档要求的提交件；</w:t>
      </w:r>
    </w:p>
    <w:p w14:paraId="1125CCA9">
      <w:pPr>
        <w:pStyle w:val="52"/>
        <w:ind w:firstLine="480"/>
      </w:pPr>
      <w:r>
        <w:rPr>
          <w:rFonts w:hint="eastAsia"/>
        </w:rPr>
        <w:t>2.</w:t>
      </w:r>
      <w:r>
        <w:rPr>
          <w:rFonts w:hint="eastAsia"/>
        </w:rPr>
        <w:tab/>
      </w:r>
      <w:r>
        <w:rPr>
          <w:rFonts w:hint="eastAsia"/>
        </w:rPr>
        <w:t>我方根据项目目标要求，编制验收方案，确定验收方法、时间、双方责任等;</w:t>
      </w:r>
    </w:p>
    <w:p w14:paraId="72292484">
      <w:pPr>
        <w:pStyle w:val="52"/>
        <w:ind w:firstLine="480"/>
      </w:pPr>
      <w:r>
        <w:rPr>
          <w:rFonts w:hint="eastAsia"/>
        </w:rPr>
        <w:t>3.</w:t>
      </w:r>
      <w:r>
        <w:rPr>
          <w:rFonts w:hint="eastAsia"/>
        </w:rPr>
        <w:tab/>
      </w:r>
      <w:r>
        <w:rPr>
          <w:rFonts w:hint="eastAsia"/>
        </w:rPr>
        <w:t>我方审批验收方案。如未通过，由我方进行修改;</w:t>
      </w:r>
    </w:p>
    <w:p w14:paraId="2F6AD3D7">
      <w:pPr>
        <w:pStyle w:val="52"/>
        <w:ind w:firstLine="480"/>
      </w:pPr>
      <w:r>
        <w:rPr>
          <w:rFonts w:hint="eastAsia"/>
        </w:rPr>
        <w:t>4.</w:t>
      </w:r>
      <w:r>
        <w:rPr>
          <w:rFonts w:hint="eastAsia"/>
        </w:rPr>
        <w:tab/>
      </w:r>
      <w:r>
        <w:rPr>
          <w:rFonts w:hint="eastAsia"/>
        </w:rPr>
        <w:t>我方协助甲方进行试运行工作，试运行期为一个月，试运行中出现的缺陷与问题作为验收的通过标准计量数据的重要组成部分；</w:t>
      </w:r>
    </w:p>
    <w:p w14:paraId="304DAA8F">
      <w:pPr>
        <w:pStyle w:val="52"/>
        <w:ind w:firstLine="480"/>
      </w:pPr>
      <w:r>
        <w:rPr>
          <w:rFonts w:hint="eastAsia"/>
        </w:rPr>
        <w:t>5.</w:t>
      </w:r>
      <w:r>
        <w:rPr>
          <w:rFonts w:hint="eastAsia"/>
        </w:rPr>
        <w:tab/>
      </w:r>
      <w:r>
        <w:rPr>
          <w:rFonts w:hint="eastAsia"/>
        </w:rPr>
        <w:t>我方协助甲方进行推广工作，完成所有应用与运行单位的推广，推广中出现的缺陷与问题作为验收的通过标准计量数据的重要组成部分；</w:t>
      </w:r>
    </w:p>
    <w:p w14:paraId="2E95066B">
      <w:pPr>
        <w:pStyle w:val="52"/>
        <w:ind w:firstLine="480"/>
      </w:pPr>
      <w:r>
        <w:rPr>
          <w:rFonts w:hint="eastAsia"/>
        </w:rPr>
        <w:t>6.</w:t>
      </w:r>
      <w:r>
        <w:rPr>
          <w:rFonts w:hint="eastAsia"/>
        </w:rPr>
        <w:tab/>
      </w:r>
      <w:r>
        <w:rPr>
          <w:rFonts w:hint="eastAsia"/>
        </w:rPr>
        <w:t>推广完成后，我方向甲方书面提出验收申请，甲方协助我方进行环境准备；</w:t>
      </w:r>
    </w:p>
    <w:p w14:paraId="262401E0">
      <w:pPr>
        <w:pStyle w:val="52"/>
        <w:ind w:firstLine="480"/>
      </w:pPr>
      <w:r>
        <w:rPr>
          <w:rFonts w:hint="eastAsia"/>
        </w:rPr>
        <w:t>7.</w:t>
      </w:r>
      <w:r>
        <w:rPr>
          <w:rFonts w:hint="eastAsia"/>
        </w:rPr>
        <w:tab/>
      </w:r>
      <w:r>
        <w:rPr>
          <w:rFonts w:hint="eastAsia"/>
        </w:rPr>
        <w:t>甲方根据相关文档定义的标准在1个月内开始验收；</w:t>
      </w:r>
    </w:p>
    <w:p w14:paraId="4E68C165">
      <w:pPr>
        <w:pStyle w:val="52"/>
        <w:ind w:firstLine="480"/>
      </w:pPr>
      <w:r>
        <w:rPr>
          <w:rFonts w:hint="eastAsia"/>
        </w:rPr>
        <w:t>8.</w:t>
      </w:r>
      <w:r>
        <w:rPr>
          <w:rFonts w:hint="eastAsia"/>
        </w:rPr>
        <w:tab/>
      </w:r>
      <w:r>
        <w:rPr>
          <w:rFonts w:hint="eastAsia"/>
        </w:rPr>
        <w:t>甲方根据验收方案，通过测试、确认、演示、分析等方法进行验收，综合验收结论做出验收报告；</w:t>
      </w:r>
    </w:p>
    <w:p w14:paraId="23D0236C">
      <w:pPr>
        <w:pStyle w:val="52"/>
        <w:ind w:firstLine="480"/>
      </w:pPr>
      <w:r>
        <w:rPr>
          <w:rFonts w:hint="eastAsia"/>
        </w:rPr>
        <w:t>9.</w:t>
      </w:r>
      <w:r>
        <w:rPr>
          <w:rFonts w:hint="eastAsia"/>
        </w:rPr>
        <w:tab/>
      </w:r>
      <w:r>
        <w:rPr>
          <w:rFonts w:hint="eastAsia"/>
        </w:rPr>
        <w:t>如验收结果符合验收标准，则验收通过，甲方出具验收报告，否则我方进行修改，待修正稳定运行一个月后，重新提交验收申请，由甲方决定重新验收的时间或不再验收。</w:t>
      </w:r>
    </w:p>
    <w:p w14:paraId="02EBB703">
      <w:pPr>
        <w:pStyle w:val="52"/>
        <w:ind w:firstLine="480"/>
      </w:pPr>
      <w:r>
        <w:rPr>
          <w:rFonts w:hint="eastAsia"/>
        </w:rPr>
        <w:t>10.最终工作量以甲方出具的工作量确认单为准。</w:t>
      </w:r>
    </w:p>
    <w:bookmarkEnd w:id="19"/>
    <w:p w14:paraId="27D89A39">
      <w:pPr>
        <w:pStyle w:val="8"/>
      </w:pPr>
      <w:bookmarkStart w:id="20" w:name="_Hlk105508036"/>
      <w:r>
        <w:rPr>
          <w:rFonts w:hint="eastAsia"/>
        </w:rPr>
        <w:t>验收方法</w:t>
      </w:r>
    </w:p>
    <w:bookmarkEnd w:id="20"/>
    <w:p w14:paraId="3BA15606">
      <w:pPr>
        <w:pStyle w:val="52"/>
        <w:numPr>
          <w:ilvl w:val="0"/>
          <w:numId w:val="20"/>
        </w:numPr>
        <w:ind w:firstLineChars="0"/>
        <w:jc w:val="both"/>
      </w:pPr>
      <w:bookmarkStart w:id="21" w:name="_Hlk105508049"/>
      <w:r>
        <w:rPr>
          <w:rFonts w:hint="eastAsia"/>
        </w:rPr>
        <w:t>测试：通过已批准的测试计划与案例进行测试，验证软件产品符合规格说明书。</w:t>
      </w:r>
    </w:p>
    <w:p w14:paraId="376E0271">
      <w:pPr>
        <w:pStyle w:val="52"/>
        <w:numPr>
          <w:ilvl w:val="0"/>
          <w:numId w:val="20"/>
        </w:numPr>
        <w:ind w:firstLineChars="0"/>
        <w:jc w:val="both"/>
      </w:pPr>
      <w:r>
        <w:rPr>
          <w:rFonts w:hint="eastAsia"/>
        </w:rPr>
        <w:t>确认：根据系统在实际运行环境的运行情况确认软件满足业务需求的程度，如试运行。</w:t>
      </w:r>
    </w:p>
    <w:p w14:paraId="12606FDC">
      <w:pPr>
        <w:pStyle w:val="52"/>
        <w:numPr>
          <w:ilvl w:val="0"/>
          <w:numId w:val="20"/>
        </w:numPr>
        <w:ind w:firstLineChars="0"/>
        <w:jc w:val="both"/>
      </w:pPr>
      <w:r>
        <w:rPr>
          <w:rFonts w:hint="eastAsia"/>
        </w:rPr>
        <w:t>演示：通过对已批准的演示计划对提交件进行演示，证明提交件符合相关规格；</w:t>
      </w:r>
    </w:p>
    <w:p w14:paraId="18B0175A">
      <w:pPr>
        <w:pStyle w:val="52"/>
        <w:numPr>
          <w:ilvl w:val="0"/>
          <w:numId w:val="20"/>
        </w:numPr>
        <w:ind w:firstLineChars="0"/>
        <w:jc w:val="both"/>
      </w:pPr>
      <w:r>
        <w:rPr>
          <w:rFonts w:hint="eastAsia"/>
        </w:rPr>
        <w:t>分析：通过专家意见、抽样等方法对系统及提交件进行分析，验证系统及提交件满足相关标准；</w:t>
      </w:r>
    </w:p>
    <w:p w14:paraId="367C95A9">
      <w:pPr>
        <w:pStyle w:val="52"/>
        <w:numPr>
          <w:ilvl w:val="0"/>
          <w:numId w:val="20"/>
        </w:numPr>
        <w:ind w:firstLineChars="0"/>
        <w:jc w:val="both"/>
      </w:pPr>
      <w:r>
        <w:rPr>
          <w:rFonts w:hint="eastAsia"/>
        </w:rPr>
        <w:t>检验：对提交件进行检查，证明提交件满足相关规格；</w:t>
      </w:r>
    </w:p>
    <w:bookmarkEnd w:id="21"/>
    <w:p w14:paraId="6486568C">
      <w:pPr>
        <w:pStyle w:val="7"/>
      </w:pPr>
      <w:bookmarkStart w:id="22" w:name="_Hlk105508064"/>
      <w:r>
        <w:rPr>
          <w:rFonts w:hint="eastAsia"/>
        </w:rPr>
        <w:t>双方职责</w:t>
      </w:r>
    </w:p>
    <w:bookmarkEnd w:id="22"/>
    <w:p w14:paraId="10B3371E">
      <w:pPr>
        <w:pStyle w:val="52"/>
        <w:numPr>
          <w:ilvl w:val="0"/>
          <w:numId w:val="21"/>
        </w:numPr>
        <w:ind w:firstLineChars="0"/>
        <w:jc w:val="both"/>
      </w:pPr>
      <w:bookmarkStart w:id="23" w:name="_Hlk105508095"/>
      <w:r>
        <w:rPr>
          <w:rFonts w:hint="eastAsia"/>
        </w:rPr>
        <w:t>我方职责：</w:t>
      </w:r>
    </w:p>
    <w:p w14:paraId="46562FD9">
      <w:pPr>
        <w:pStyle w:val="52"/>
        <w:ind w:firstLine="480"/>
      </w:pPr>
      <w:r>
        <w:rPr>
          <w:rFonts w:hint="eastAsia"/>
        </w:rPr>
        <w:t>1．我方在系统试运行期间应积极进行运行问题的跟踪与分析工作；</w:t>
      </w:r>
    </w:p>
    <w:p w14:paraId="73766947">
      <w:pPr>
        <w:pStyle w:val="52"/>
        <w:ind w:firstLine="480"/>
      </w:pPr>
      <w:r>
        <w:rPr>
          <w:rFonts w:hint="eastAsia"/>
        </w:rPr>
        <w:t>2．在验收前根据规定的验收方法做好验收计划及所需环境与材料的准备；</w:t>
      </w:r>
    </w:p>
    <w:p w14:paraId="20B1B3A5">
      <w:pPr>
        <w:pStyle w:val="52"/>
        <w:ind w:firstLine="480"/>
      </w:pPr>
      <w:r>
        <w:rPr>
          <w:rFonts w:hint="eastAsia"/>
        </w:rPr>
        <w:t>3．及时向甲方提交验收申请及有关材料；</w:t>
      </w:r>
    </w:p>
    <w:p w14:paraId="5C457551">
      <w:pPr>
        <w:pStyle w:val="52"/>
        <w:ind w:firstLine="480"/>
      </w:pPr>
      <w:r>
        <w:rPr>
          <w:rFonts w:hint="eastAsia"/>
        </w:rPr>
        <w:t>4．及时按要求对验收过程出现的问题解决；</w:t>
      </w:r>
    </w:p>
    <w:p w14:paraId="6FB27CFD">
      <w:pPr>
        <w:pStyle w:val="52"/>
        <w:numPr>
          <w:ilvl w:val="0"/>
          <w:numId w:val="21"/>
        </w:numPr>
        <w:ind w:firstLineChars="0"/>
        <w:jc w:val="both"/>
      </w:pPr>
      <w:r>
        <w:rPr>
          <w:rFonts w:hint="eastAsia"/>
        </w:rPr>
        <w:t>甲方职责</w:t>
      </w:r>
    </w:p>
    <w:p w14:paraId="2D71EA93">
      <w:pPr>
        <w:pStyle w:val="52"/>
        <w:ind w:firstLine="480"/>
      </w:pPr>
      <w:r>
        <w:rPr>
          <w:rFonts w:hint="eastAsia"/>
        </w:rPr>
        <w:t>1．配合及最终批准我方提交的验收申请与验收计划；</w:t>
      </w:r>
    </w:p>
    <w:p w14:paraId="0640DC34">
      <w:pPr>
        <w:pStyle w:val="52"/>
        <w:ind w:firstLine="480"/>
      </w:pPr>
      <w:r>
        <w:rPr>
          <w:rFonts w:hint="eastAsia"/>
        </w:rPr>
        <w:t>2．配合我方进行验收过程；</w:t>
      </w:r>
    </w:p>
    <w:p w14:paraId="014C5F5B">
      <w:pPr>
        <w:pStyle w:val="52"/>
        <w:ind w:firstLine="480"/>
      </w:pPr>
      <w:r>
        <w:rPr>
          <w:rFonts w:hint="eastAsia"/>
        </w:rPr>
        <w:t>3．及时做出验收结论；</w:t>
      </w:r>
    </w:p>
    <w:bookmarkEnd w:id="23"/>
    <w:p w14:paraId="69F2DCD4">
      <w:pPr>
        <w:pStyle w:val="7"/>
      </w:pPr>
      <w:bookmarkStart w:id="24" w:name="_Hlk105508118"/>
      <w:r>
        <w:rPr>
          <w:rFonts w:hint="eastAsia"/>
        </w:rPr>
        <w:t>系统功能验收</w:t>
      </w:r>
    </w:p>
    <w:bookmarkEnd w:id="24"/>
    <w:p w14:paraId="250EA8C1">
      <w:pPr>
        <w:pStyle w:val="52"/>
        <w:numPr>
          <w:ilvl w:val="0"/>
          <w:numId w:val="22"/>
        </w:numPr>
        <w:ind w:firstLineChars="0"/>
        <w:jc w:val="both"/>
      </w:pPr>
      <w:bookmarkStart w:id="25" w:name="_Hlk105508176"/>
      <w:r>
        <w:rPr>
          <w:rFonts w:hint="eastAsia"/>
        </w:rPr>
        <w:t>验收方法：测试与确认</w:t>
      </w:r>
    </w:p>
    <w:p w14:paraId="3E6CBD18">
      <w:pPr>
        <w:pStyle w:val="52"/>
        <w:numPr>
          <w:ilvl w:val="0"/>
          <w:numId w:val="22"/>
        </w:numPr>
        <w:ind w:firstLineChars="0"/>
        <w:jc w:val="both"/>
      </w:pPr>
      <w:r>
        <w:rPr>
          <w:rFonts w:hint="eastAsia"/>
        </w:rPr>
        <w:t>验收以需求分析和开发阶段的分析、设计文档为准。</w:t>
      </w:r>
    </w:p>
    <w:p w14:paraId="6C9F1869">
      <w:pPr>
        <w:pStyle w:val="52"/>
        <w:numPr>
          <w:ilvl w:val="0"/>
          <w:numId w:val="22"/>
        </w:numPr>
        <w:ind w:firstLineChars="0"/>
        <w:jc w:val="both"/>
      </w:pPr>
      <w:r>
        <w:rPr>
          <w:rFonts w:hint="eastAsia"/>
        </w:rPr>
        <w:t>验收通过标准：在验收测试及试运行确认中，验收出现的问题应满足下表所列标准并在规定的反应时间内进行解决，在规定时间内，未能及时的问题将向上提升问题级别，直到</w:t>
      </w:r>
      <w:r>
        <w:t>A</w:t>
      </w:r>
      <w:r>
        <w:rPr>
          <w:rFonts w:hint="eastAsia"/>
        </w:rPr>
        <w:t>级。</w:t>
      </w:r>
    </w:p>
    <w:p w14:paraId="2E78540E">
      <w:pPr>
        <w:pStyle w:val="52"/>
        <w:numPr>
          <w:ilvl w:val="0"/>
          <w:numId w:val="22"/>
        </w:numPr>
        <w:ind w:firstLineChars="0"/>
        <w:jc w:val="both"/>
      </w:pPr>
      <w:r>
        <w:rPr>
          <w:rFonts w:hint="eastAsia"/>
        </w:rPr>
        <w:t>通过标准（个数）的计量包括在试运行中出现的问题。</w:t>
      </w:r>
    </w:p>
    <w:p w14:paraId="593D63BE">
      <w:pPr>
        <w:pStyle w:val="52"/>
        <w:numPr>
          <w:ilvl w:val="0"/>
          <w:numId w:val="22"/>
        </w:numPr>
        <w:ind w:firstLineChars="0"/>
        <w:jc w:val="both"/>
      </w:pPr>
      <w:r>
        <w:rPr>
          <w:rFonts w:hint="eastAsia"/>
        </w:rPr>
        <w:t>针对适合性、准确性、互操作性、依从性、安全性</w:t>
      </w:r>
    </w:p>
    <w:bookmarkEnd w:id="25"/>
    <w:tbl>
      <w:tblPr>
        <w:tblStyle w:val="32"/>
        <w:tblW w:w="5000" w:type="pct"/>
        <w:tblInd w:w="0" w:type="dxa"/>
        <w:tblLayout w:type="autofit"/>
        <w:tblCellMar>
          <w:top w:w="0" w:type="dxa"/>
          <w:left w:w="108" w:type="dxa"/>
          <w:bottom w:w="0" w:type="dxa"/>
          <w:right w:w="108" w:type="dxa"/>
        </w:tblCellMar>
      </w:tblPr>
      <w:tblGrid>
        <w:gridCol w:w="731"/>
        <w:gridCol w:w="4799"/>
        <w:gridCol w:w="1722"/>
        <w:gridCol w:w="1818"/>
      </w:tblGrid>
      <w:tr w14:paraId="3A6C3271">
        <w:tblPrEx>
          <w:tblCellMar>
            <w:top w:w="0" w:type="dxa"/>
            <w:left w:w="108" w:type="dxa"/>
            <w:bottom w:w="0" w:type="dxa"/>
            <w:right w:w="108" w:type="dxa"/>
          </w:tblCellMar>
        </w:tblPrEx>
        <w:trPr>
          <w:trHeight w:val="280" w:hRule="atLeast"/>
        </w:trPr>
        <w:tc>
          <w:tcPr>
            <w:tcW w:w="403" w:type="pct"/>
            <w:vMerge w:val="restart"/>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32854E1">
            <w:pPr>
              <w:widowControl/>
              <w:spacing w:line="240" w:lineRule="auto"/>
              <w:jc w:val="center"/>
              <w:rPr>
                <w:rFonts w:ascii="宋体" w:hAnsi="宋体" w:eastAsia="宋体" w:cs="宋体"/>
                <w:b/>
                <w:bCs/>
                <w:color w:val="000000"/>
                <w:kern w:val="0"/>
                <w:sz w:val="21"/>
              </w:rPr>
            </w:pPr>
            <w:r>
              <w:rPr>
                <w:rFonts w:hint="eastAsia" w:ascii="宋体" w:hAnsi="宋体" w:eastAsia="宋体" w:cs="宋体"/>
                <w:b/>
                <w:bCs/>
                <w:color w:val="000000"/>
                <w:kern w:val="0"/>
                <w:sz w:val="21"/>
              </w:rPr>
              <w:t>问题类别</w:t>
            </w:r>
          </w:p>
        </w:tc>
        <w:tc>
          <w:tcPr>
            <w:tcW w:w="2645" w:type="pct"/>
            <w:vMerge w:val="restart"/>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D4D01F2">
            <w:pPr>
              <w:widowControl/>
              <w:spacing w:line="240" w:lineRule="auto"/>
              <w:jc w:val="center"/>
              <w:rPr>
                <w:rFonts w:ascii="宋体" w:hAnsi="宋体" w:eastAsia="宋体" w:cs="宋体"/>
                <w:b/>
                <w:bCs/>
                <w:color w:val="000000"/>
                <w:kern w:val="0"/>
                <w:sz w:val="21"/>
              </w:rPr>
            </w:pPr>
            <w:r>
              <w:rPr>
                <w:rFonts w:hint="eastAsia" w:ascii="宋体" w:hAnsi="宋体" w:eastAsia="宋体" w:cs="宋体"/>
                <w:b/>
                <w:bCs/>
                <w:color w:val="000000"/>
                <w:kern w:val="0"/>
                <w:sz w:val="21"/>
              </w:rPr>
              <w:t>问题描述</w:t>
            </w:r>
          </w:p>
        </w:tc>
        <w:tc>
          <w:tcPr>
            <w:tcW w:w="949" w:type="pct"/>
            <w:vMerge w:val="restart"/>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E508251">
            <w:pPr>
              <w:widowControl/>
              <w:spacing w:line="240" w:lineRule="auto"/>
              <w:jc w:val="center"/>
              <w:rPr>
                <w:rFonts w:ascii="宋体" w:hAnsi="宋体" w:eastAsia="宋体" w:cs="宋体"/>
                <w:b/>
                <w:bCs/>
                <w:color w:val="000000"/>
                <w:kern w:val="0"/>
                <w:sz w:val="21"/>
              </w:rPr>
            </w:pPr>
            <w:r>
              <w:rPr>
                <w:rFonts w:hint="eastAsia" w:ascii="宋体" w:hAnsi="宋体" w:eastAsia="宋体" w:cs="宋体"/>
                <w:b/>
                <w:bCs/>
                <w:color w:val="000000"/>
                <w:kern w:val="0"/>
                <w:sz w:val="21"/>
              </w:rPr>
              <w:t>反应解决时间</w:t>
            </w:r>
          </w:p>
        </w:tc>
        <w:tc>
          <w:tcPr>
            <w:tcW w:w="1002" w:type="pct"/>
            <w:tcBorders>
              <w:top w:val="single" w:color="auto" w:sz="4" w:space="0"/>
              <w:left w:val="nil"/>
              <w:bottom w:val="single" w:color="auto" w:sz="4" w:space="0"/>
              <w:right w:val="single" w:color="auto" w:sz="4" w:space="0"/>
            </w:tcBorders>
            <w:shd w:val="clear" w:color="auto" w:fill="BEBEBE" w:themeFill="background1" w:themeFillShade="BF"/>
            <w:vAlign w:val="center"/>
          </w:tcPr>
          <w:p w14:paraId="21A462BA">
            <w:pPr>
              <w:widowControl/>
              <w:spacing w:line="240" w:lineRule="auto"/>
              <w:jc w:val="center"/>
              <w:rPr>
                <w:rFonts w:ascii="宋体" w:hAnsi="宋体" w:eastAsia="宋体" w:cs="宋体"/>
                <w:b/>
                <w:bCs/>
                <w:color w:val="000000"/>
                <w:kern w:val="0"/>
                <w:sz w:val="21"/>
              </w:rPr>
            </w:pPr>
            <w:r>
              <w:rPr>
                <w:rFonts w:hint="eastAsia" w:ascii="宋体" w:hAnsi="宋体" w:eastAsia="宋体" w:cs="宋体"/>
                <w:b/>
                <w:bCs/>
                <w:color w:val="000000"/>
                <w:kern w:val="0"/>
                <w:sz w:val="21"/>
              </w:rPr>
              <w:t>通过标准</w:t>
            </w:r>
          </w:p>
        </w:tc>
      </w:tr>
      <w:tr w14:paraId="6B814A60">
        <w:tblPrEx>
          <w:tblCellMar>
            <w:top w:w="0" w:type="dxa"/>
            <w:left w:w="108" w:type="dxa"/>
            <w:bottom w:w="0" w:type="dxa"/>
            <w:right w:w="108" w:type="dxa"/>
          </w:tblCellMar>
        </w:tblPrEx>
        <w:trPr>
          <w:trHeight w:val="280" w:hRule="atLeast"/>
        </w:trPr>
        <w:tc>
          <w:tcPr>
            <w:tcW w:w="403" w:type="pct"/>
            <w:vMerge w:val="continue"/>
            <w:tcBorders>
              <w:top w:val="single" w:color="auto" w:sz="4" w:space="0"/>
              <w:left w:val="single" w:color="auto" w:sz="4" w:space="0"/>
              <w:bottom w:val="single" w:color="auto" w:sz="4" w:space="0"/>
              <w:right w:val="single" w:color="auto" w:sz="4" w:space="0"/>
            </w:tcBorders>
            <w:vAlign w:val="center"/>
          </w:tcPr>
          <w:p w14:paraId="63D7EDB8">
            <w:pPr>
              <w:widowControl/>
              <w:spacing w:line="240" w:lineRule="auto"/>
              <w:rPr>
                <w:rFonts w:ascii="宋体" w:hAnsi="宋体" w:eastAsia="宋体" w:cs="宋体"/>
                <w:b/>
                <w:bCs/>
                <w:color w:val="000000"/>
                <w:kern w:val="0"/>
                <w:sz w:val="21"/>
              </w:rPr>
            </w:pPr>
          </w:p>
        </w:tc>
        <w:tc>
          <w:tcPr>
            <w:tcW w:w="2645" w:type="pct"/>
            <w:vMerge w:val="continue"/>
            <w:tcBorders>
              <w:top w:val="single" w:color="auto" w:sz="4" w:space="0"/>
              <w:left w:val="single" w:color="auto" w:sz="4" w:space="0"/>
              <w:bottom w:val="single" w:color="auto" w:sz="4" w:space="0"/>
              <w:right w:val="single" w:color="auto" w:sz="4" w:space="0"/>
            </w:tcBorders>
            <w:vAlign w:val="center"/>
          </w:tcPr>
          <w:p w14:paraId="6DC78F6C">
            <w:pPr>
              <w:widowControl/>
              <w:spacing w:line="240" w:lineRule="auto"/>
              <w:rPr>
                <w:rFonts w:ascii="宋体" w:hAnsi="宋体" w:eastAsia="宋体" w:cs="宋体"/>
                <w:b/>
                <w:bCs/>
                <w:color w:val="000000"/>
                <w:kern w:val="0"/>
                <w:sz w:val="21"/>
              </w:rPr>
            </w:pPr>
          </w:p>
        </w:tc>
        <w:tc>
          <w:tcPr>
            <w:tcW w:w="949" w:type="pct"/>
            <w:vMerge w:val="continue"/>
            <w:tcBorders>
              <w:top w:val="single" w:color="auto" w:sz="4" w:space="0"/>
              <w:left w:val="single" w:color="auto" w:sz="4" w:space="0"/>
              <w:bottom w:val="single" w:color="auto" w:sz="4" w:space="0"/>
              <w:right w:val="single" w:color="auto" w:sz="4" w:space="0"/>
            </w:tcBorders>
            <w:vAlign w:val="center"/>
          </w:tcPr>
          <w:p w14:paraId="1BD60B70">
            <w:pPr>
              <w:widowControl/>
              <w:spacing w:line="240" w:lineRule="auto"/>
              <w:rPr>
                <w:rFonts w:ascii="宋体" w:hAnsi="宋体" w:eastAsia="宋体" w:cs="宋体"/>
                <w:b/>
                <w:bCs/>
                <w:color w:val="000000"/>
                <w:kern w:val="0"/>
                <w:sz w:val="21"/>
              </w:rPr>
            </w:pPr>
          </w:p>
        </w:tc>
        <w:tc>
          <w:tcPr>
            <w:tcW w:w="1002" w:type="pct"/>
            <w:tcBorders>
              <w:top w:val="nil"/>
              <w:left w:val="nil"/>
              <w:bottom w:val="single" w:color="auto" w:sz="4" w:space="0"/>
              <w:right w:val="single" w:color="auto" w:sz="4" w:space="0"/>
            </w:tcBorders>
            <w:shd w:val="clear" w:color="auto" w:fill="BEBEBE" w:themeFill="background1" w:themeFillShade="BF"/>
            <w:vAlign w:val="center"/>
          </w:tcPr>
          <w:p w14:paraId="7D817C0F">
            <w:pPr>
              <w:widowControl/>
              <w:spacing w:line="240" w:lineRule="auto"/>
              <w:jc w:val="center"/>
              <w:rPr>
                <w:rFonts w:ascii="宋体" w:hAnsi="宋体" w:eastAsia="宋体" w:cs="宋体"/>
                <w:b/>
                <w:bCs/>
                <w:color w:val="000000"/>
                <w:kern w:val="0"/>
                <w:sz w:val="21"/>
              </w:rPr>
            </w:pPr>
            <w:r>
              <w:rPr>
                <w:rFonts w:hint="eastAsia" w:ascii="宋体" w:hAnsi="宋体" w:eastAsia="宋体" w:cs="宋体"/>
                <w:b/>
                <w:bCs/>
                <w:color w:val="000000"/>
                <w:kern w:val="0"/>
                <w:sz w:val="21"/>
              </w:rPr>
              <w:t>（个数）</w:t>
            </w:r>
          </w:p>
        </w:tc>
      </w:tr>
      <w:tr w14:paraId="6BE33024">
        <w:tblPrEx>
          <w:tblCellMar>
            <w:top w:w="0" w:type="dxa"/>
            <w:left w:w="108" w:type="dxa"/>
            <w:bottom w:w="0" w:type="dxa"/>
            <w:right w:w="108" w:type="dxa"/>
          </w:tblCellMar>
        </w:tblPrEx>
        <w:trPr>
          <w:trHeight w:val="386" w:hRule="atLeast"/>
        </w:trPr>
        <w:tc>
          <w:tcPr>
            <w:tcW w:w="403" w:type="pct"/>
            <w:tcBorders>
              <w:top w:val="nil"/>
              <w:left w:val="single" w:color="auto" w:sz="4" w:space="0"/>
              <w:bottom w:val="single" w:color="auto" w:sz="4" w:space="0"/>
              <w:right w:val="single" w:color="auto" w:sz="4" w:space="0"/>
            </w:tcBorders>
            <w:shd w:val="clear" w:color="auto" w:fill="auto"/>
            <w:vAlign w:val="center"/>
          </w:tcPr>
          <w:p w14:paraId="5A0F39B0">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A</w:t>
            </w:r>
          </w:p>
        </w:tc>
        <w:tc>
          <w:tcPr>
            <w:tcW w:w="2645" w:type="pct"/>
            <w:tcBorders>
              <w:top w:val="nil"/>
              <w:left w:val="nil"/>
              <w:bottom w:val="single" w:color="auto" w:sz="4" w:space="0"/>
              <w:right w:val="single" w:color="auto" w:sz="4" w:space="0"/>
            </w:tcBorders>
            <w:shd w:val="clear" w:color="auto" w:fill="auto"/>
            <w:vAlign w:val="center"/>
          </w:tcPr>
          <w:p w14:paraId="1524F5AC">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所有客户端系统由于同一问题不能继续运转</w:t>
            </w:r>
          </w:p>
        </w:tc>
        <w:tc>
          <w:tcPr>
            <w:tcW w:w="949" w:type="pct"/>
            <w:tcBorders>
              <w:top w:val="nil"/>
              <w:left w:val="nil"/>
              <w:bottom w:val="single" w:color="auto" w:sz="4" w:space="0"/>
              <w:right w:val="single" w:color="auto" w:sz="4" w:space="0"/>
            </w:tcBorders>
            <w:shd w:val="clear" w:color="auto" w:fill="auto"/>
            <w:vAlign w:val="center"/>
          </w:tcPr>
          <w:p w14:paraId="45F18E11">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0天</w:t>
            </w:r>
          </w:p>
        </w:tc>
        <w:tc>
          <w:tcPr>
            <w:tcW w:w="1002" w:type="pct"/>
            <w:tcBorders>
              <w:top w:val="nil"/>
              <w:left w:val="nil"/>
              <w:bottom w:val="single" w:color="auto" w:sz="4" w:space="0"/>
              <w:right w:val="single" w:color="auto" w:sz="4" w:space="0"/>
            </w:tcBorders>
            <w:shd w:val="clear" w:color="auto" w:fill="auto"/>
            <w:vAlign w:val="center"/>
          </w:tcPr>
          <w:p w14:paraId="5EE4000F">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0</w:t>
            </w:r>
          </w:p>
        </w:tc>
      </w:tr>
      <w:tr w14:paraId="449ABD2E">
        <w:tblPrEx>
          <w:tblCellMar>
            <w:top w:w="0" w:type="dxa"/>
            <w:left w:w="108" w:type="dxa"/>
            <w:bottom w:w="0" w:type="dxa"/>
            <w:right w:w="108" w:type="dxa"/>
          </w:tblCellMar>
        </w:tblPrEx>
        <w:trPr>
          <w:trHeight w:val="562" w:hRule="atLeast"/>
        </w:trPr>
        <w:tc>
          <w:tcPr>
            <w:tcW w:w="403" w:type="pct"/>
            <w:tcBorders>
              <w:top w:val="nil"/>
              <w:left w:val="single" w:color="auto" w:sz="4" w:space="0"/>
              <w:bottom w:val="single" w:color="auto" w:sz="4" w:space="0"/>
              <w:right w:val="single" w:color="auto" w:sz="4" w:space="0"/>
            </w:tcBorders>
            <w:shd w:val="clear" w:color="auto" w:fill="auto"/>
            <w:vAlign w:val="center"/>
          </w:tcPr>
          <w:p w14:paraId="05BAB61D">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B</w:t>
            </w:r>
          </w:p>
        </w:tc>
        <w:tc>
          <w:tcPr>
            <w:tcW w:w="2645" w:type="pct"/>
            <w:tcBorders>
              <w:top w:val="nil"/>
              <w:left w:val="nil"/>
              <w:bottom w:val="single" w:color="auto" w:sz="4" w:space="0"/>
              <w:right w:val="single" w:color="auto" w:sz="4" w:space="0"/>
            </w:tcBorders>
            <w:shd w:val="clear" w:color="auto" w:fill="auto"/>
            <w:vAlign w:val="center"/>
          </w:tcPr>
          <w:p w14:paraId="66E932B3">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两个以上客户端系统由于同一问题，单一交易不能继续运转或错误</w:t>
            </w:r>
          </w:p>
        </w:tc>
        <w:tc>
          <w:tcPr>
            <w:tcW w:w="949" w:type="pct"/>
            <w:tcBorders>
              <w:top w:val="nil"/>
              <w:left w:val="nil"/>
              <w:bottom w:val="single" w:color="auto" w:sz="4" w:space="0"/>
              <w:right w:val="single" w:color="auto" w:sz="4" w:space="0"/>
            </w:tcBorders>
            <w:shd w:val="clear" w:color="auto" w:fill="auto"/>
            <w:vAlign w:val="center"/>
          </w:tcPr>
          <w:p w14:paraId="1B4AF7C3">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0.5天</w:t>
            </w:r>
          </w:p>
        </w:tc>
        <w:tc>
          <w:tcPr>
            <w:tcW w:w="1002" w:type="pct"/>
            <w:tcBorders>
              <w:top w:val="nil"/>
              <w:left w:val="nil"/>
              <w:bottom w:val="single" w:color="auto" w:sz="4" w:space="0"/>
              <w:right w:val="single" w:color="auto" w:sz="4" w:space="0"/>
            </w:tcBorders>
            <w:shd w:val="clear" w:color="auto" w:fill="auto"/>
            <w:vAlign w:val="center"/>
          </w:tcPr>
          <w:p w14:paraId="260FBB8C">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0</w:t>
            </w:r>
          </w:p>
        </w:tc>
      </w:tr>
      <w:tr w14:paraId="40D38C83">
        <w:tblPrEx>
          <w:tblCellMar>
            <w:top w:w="0" w:type="dxa"/>
            <w:left w:w="108" w:type="dxa"/>
            <w:bottom w:w="0" w:type="dxa"/>
            <w:right w:w="108" w:type="dxa"/>
          </w:tblCellMar>
        </w:tblPrEx>
        <w:trPr>
          <w:trHeight w:val="358" w:hRule="atLeast"/>
        </w:trPr>
        <w:tc>
          <w:tcPr>
            <w:tcW w:w="403" w:type="pct"/>
            <w:tcBorders>
              <w:top w:val="nil"/>
              <w:left w:val="single" w:color="auto" w:sz="4" w:space="0"/>
              <w:bottom w:val="single" w:color="auto" w:sz="4" w:space="0"/>
              <w:right w:val="single" w:color="auto" w:sz="4" w:space="0"/>
            </w:tcBorders>
            <w:shd w:val="clear" w:color="auto" w:fill="auto"/>
            <w:vAlign w:val="center"/>
          </w:tcPr>
          <w:p w14:paraId="7F5866F2">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C</w:t>
            </w:r>
          </w:p>
        </w:tc>
        <w:tc>
          <w:tcPr>
            <w:tcW w:w="2645" w:type="pct"/>
            <w:tcBorders>
              <w:top w:val="nil"/>
              <w:left w:val="nil"/>
              <w:bottom w:val="single" w:color="auto" w:sz="4" w:space="0"/>
              <w:right w:val="single" w:color="auto" w:sz="4" w:space="0"/>
            </w:tcBorders>
            <w:shd w:val="clear" w:color="auto" w:fill="auto"/>
            <w:vAlign w:val="center"/>
          </w:tcPr>
          <w:p w14:paraId="7D725EED">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两个以上客户端末系统在某种状态下产生错误</w:t>
            </w:r>
          </w:p>
        </w:tc>
        <w:tc>
          <w:tcPr>
            <w:tcW w:w="949" w:type="pct"/>
            <w:tcBorders>
              <w:top w:val="nil"/>
              <w:left w:val="nil"/>
              <w:bottom w:val="single" w:color="auto" w:sz="4" w:space="0"/>
              <w:right w:val="single" w:color="auto" w:sz="4" w:space="0"/>
            </w:tcBorders>
            <w:shd w:val="clear" w:color="auto" w:fill="auto"/>
            <w:vAlign w:val="center"/>
          </w:tcPr>
          <w:p w14:paraId="27B0A49B">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1天</w:t>
            </w:r>
          </w:p>
        </w:tc>
        <w:tc>
          <w:tcPr>
            <w:tcW w:w="1002" w:type="pct"/>
            <w:tcBorders>
              <w:top w:val="nil"/>
              <w:left w:val="nil"/>
              <w:bottom w:val="single" w:color="auto" w:sz="4" w:space="0"/>
              <w:right w:val="single" w:color="auto" w:sz="4" w:space="0"/>
            </w:tcBorders>
            <w:shd w:val="clear" w:color="auto" w:fill="auto"/>
            <w:vAlign w:val="center"/>
          </w:tcPr>
          <w:p w14:paraId="3EA7A78C">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&lt;3</w:t>
            </w:r>
          </w:p>
        </w:tc>
      </w:tr>
      <w:tr w14:paraId="4DE952B8">
        <w:tblPrEx>
          <w:tblCellMar>
            <w:top w:w="0" w:type="dxa"/>
            <w:left w:w="108" w:type="dxa"/>
            <w:bottom w:w="0" w:type="dxa"/>
            <w:right w:w="108" w:type="dxa"/>
          </w:tblCellMar>
        </w:tblPrEx>
        <w:trPr>
          <w:trHeight w:val="547" w:hRule="atLeast"/>
        </w:trPr>
        <w:tc>
          <w:tcPr>
            <w:tcW w:w="403" w:type="pct"/>
            <w:tcBorders>
              <w:top w:val="nil"/>
              <w:left w:val="single" w:color="auto" w:sz="4" w:space="0"/>
              <w:bottom w:val="single" w:color="auto" w:sz="4" w:space="0"/>
              <w:right w:val="single" w:color="auto" w:sz="4" w:space="0"/>
            </w:tcBorders>
            <w:shd w:val="clear" w:color="auto" w:fill="auto"/>
            <w:vAlign w:val="center"/>
          </w:tcPr>
          <w:p w14:paraId="0EC25196">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D</w:t>
            </w:r>
          </w:p>
        </w:tc>
        <w:tc>
          <w:tcPr>
            <w:tcW w:w="2645" w:type="pct"/>
            <w:tcBorders>
              <w:top w:val="nil"/>
              <w:left w:val="nil"/>
              <w:bottom w:val="single" w:color="auto" w:sz="4" w:space="0"/>
              <w:right w:val="single" w:color="auto" w:sz="4" w:space="0"/>
            </w:tcBorders>
            <w:shd w:val="clear" w:color="auto" w:fill="auto"/>
            <w:vAlign w:val="center"/>
          </w:tcPr>
          <w:p w14:paraId="4FC0B2B8">
            <w:pPr>
              <w:widowControl/>
              <w:spacing w:line="240" w:lineRule="auto"/>
              <w:jc w:val="both"/>
              <w:rPr>
                <w:rFonts w:ascii="宋体" w:hAnsi="宋体" w:eastAsia="宋体" w:cs="宋体"/>
                <w:color w:val="000000"/>
                <w:kern w:val="0"/>
                <w:sz w:val="21"/>
              </w:rPr>
            </w:pPr>
            <w:r>
              <w:rPr>
                <w:rFonts w:hint="eastAsia" w:ascii="宋体" w:hAnsi="宋体" w:eastAsia="宋体" w:cs="宋体"/>
                <w:color w:val="000000"/>
                <w:kern w:val="0"/>
                <w:sz w:val="21"/>
              </w:rPr>
              <w:t>两个以上客户端末系统在某种状态下结果不对，但有其他现成取代方案</w:t>
            </w:r>
          </w:p>
        </w:tc>
        <w:tc>
          <w:tcPr>
            <w:tcW w:w="949" w:type="pct"/>
            <w:tcBorders>
              <w:top w:val="nil"/>
              <w:left w:val="nil"/>
              <w:bottom w:val="single" w:color="auto" w:sz="4" w:space="0"/>
              <w:right w:val="single" w:color="auto" w:sz="4" w:space="0"/>
            </w:tcBorders>
            <w:shd w:val="clear" w:color="auto" w:fill="auto"/>
            <w:vAlign w:val="center"/>
          </w:tcPr>
          <w:p w14:paraId="2E9524C5">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1天</w:t>
            </w:r>
          </w:p>
        </w:tc>
        <w:tc>
          <w:tcPr>
            <w:tcW w:w="1002" w:type="pct"/>
            <w:tcBorders>
              <w:top w:val="nil"/>
              <w:left w:val="nil"/>
              <w:bottom w:val="single" w:color="auto" w:sz="4" w:space="0"/>
              <w:right w:val="single" w:color="auto" w:sz="4" w:space="0"/>
            </w:tcBorders>
            <w:shd w:val="clear" w:color="auto" w:fill="auto"/>
            <w:vAlign w:val="center"/>
          </w:tcPr>
          <w:p w14:paraId="2AB070EF">
            <w:pPr>
              <w:widowControl/>
              <w:spacing w:line="240" w:lineRule="auto"/>
              <w:jc w:val="center"/>
              <w:rPr>
                <w:rFonts w:ascii="宋体" w:hAnsi="宋体" w:eastAsia="宋体" w:cs="宋体"/>
                <w:color w:val="000000"/>
                <w:kern w:val="0"/>
                <w:sz w:val="21"/>
              </w:rPr>
            </w:pPr>
            <w:r>
              <w:rPr>
                <w:rFonts w:hint="eastAsia" w:ascii="宋体" w:hAnsi="宋体" w:eastAsia="宋体" w:cs="宋体"/>
                <w:color w:val="000000"/>
                <w:kern w:val="0"/>
                <w:sz w:val="21"/>
              </w:rPr>
              <w:t>&lt;5</w:t>
            </w:r>
          </w:p>
        </w:tc>
      </w:tr>
    </w:tbl>
    <w:p w14:paraId="0B174B24">
      <w:pPr>
        <w:pStyle w:val="7"/>
      </w:pPr>
      <w:bookmarkStart w:id="26" w:name="_Hlk105508240"/>
      <w:r>
        <w:rPr>
          <w:rFonts w:hint="eastAsia"/>
        </w:rPr>
        <w:t>系统性能验收</w:t>
      </w:r>
    </w:p>
    <w:bookmarkEnd w:id="26"/>
    <w:p w14:paraId="17AA65F1">
      <w:pPr>
        <w:pStyle w:val="52"/>
        <w:numPr>
          <w:ilvl w:val="0"/>
          <w:numId w:val="23"/>
        </w:numPr>
        <w:ind w:firstLineChars="0"/>
        <w:jc w:val="both"/>
      </w:pPr>
      <w:bookmarkStart w:id="27" w:name="_Hlk105508262"/>
      <w:r>
        <w:rPr>
          <w:rFonts w:hint="eastAsia"/>
        </w:rPr>
        <w:t>验收方法：测试与生产确认。</w:t>
      </w:r>
    </w:p>
    <w:p w14:paraId="7F159B6C">
      <w:pPr>
        <w:pStyle w:val="52"/>
        <w:numPr>
          <w:ilvl w:val="0"/>
          <w:numId w:val="23"/>
        </w:numPr>
        <w:ind w:firstLineChars="0"/>
        <w:jc w:val="both"/>
      </w:pPr>
      <w:r>
        <w:rPr>
          <w:rFonts w:hint="eastAsia"/>
        </w:rPr>
        <w:t>验收通过标准：通过测试与生产验证系统满足以下要求：</w:t>
      </w:r>
    </w:p>
    <w:p w14:paraId="7AF88C5F">
      <w:pPr>
        <w:pStyle w:val="52"/>
        <w:numPr>
          <w:ilvl w:val="0"/>
          <w:numId w:val="23"/>
        </w:numPr>
        <w:ind w:firstLineChars="0"/>
        <w:jc w:val="both"/>
      </w:pPr>
      <w:r>
        <w:rPr>
          <w:rFonts w:hint="eastAsia"/>
        </w:rPr>
        <w:t>响应能力</w:t>
      </w:r>
    </w:p>
    <w:p w14:paraId="2C2E0862">
      <w:pPr>
        <w:pStyle w:val="52"/>
        <w:ind w:firstLine="480"/>
      </w:pPr>
      <w:r>
        <w:rPr>
          <w:rFonts w:hint="eastAsia"/>
        </w:rPr>
        <w:t>录入交易平均响应时间、简单查询交易平均响应时间：&lt;5秒 ；复杂查询平均响应时间&lt;15秒；简单报表平均响应时间：&lt;15秒，复杂报表平均响应时间：&lt;300秒 。</w:t>
      </w:r>
    </w:p>
    <w:p w14:paraId="7D04526B">
      <w:pPr>
        <w:pStyle w:val="52"/>
        <w:numPr>
          <w:ilvl w:val="0"/>
          <w:numId w:val="24"/>
        </w:numPr>
        <w:ind w:firstLineChars="0"/>
        <w:jc w:val="both"/>
      </w:pPr>
      <w:r>
        <w:rPr>
          <w:rFonts w:hint="eastAsia"/>
        </w:rPr>
        <w:t>处理能力</w:t>
      </w:r>
    </w:p>
    <w:p w14:paraId="29DAC344">
      <w:pPr>
        <w:pStyle w:val="52"/>
        <w:ind w:firstLine="480"/>
      </w:pPr>
      <w:r>
        <w:rPr>
          <w:rFonts w:hint="eastAsia"/>
        </w:rPr>
        <w:t>并发(同时在线)用户数为1500，峰值2000。</w:t>
      </w:r>
    </w:p>
    <w:p w14:paraId="4881CCDD">
      <w:pPr>
        <w:pStyle w:val="52"/>
        <w:ind w:firstLine="480"/>
      </w:pPr>
      <w:r>
        <w:rPr>
          <w:rFonts w:hint="eastAsia"/>
        </w:rPr>
        <w:t xml:space="preserve">系统在设计条件满足的情况下能够为用户提供持续的服务；从方案和硬件部署上保证系统无单点故障发生率；系统满足7X24小时的对外服务；系统具有备份恢复机制，保证数据的安全；性能容量规划满足业务发展的需要。 </w:t>
      </w:r>
    </w:p>
    <w:p w14:paraId="369D06DD">
      <w:pPr>
        <w:pStyle w:val="52"/>
        <w:numPr>
          <w:ilvl w:val="0"/>
          <w:numId w:val="24"/>
        </w:numPr>
        <w:ind w:firstLineChars="0"/>
        <w:jc w:val="both"/>
      </w:pPr>
      <w:r>
        <w:rPr>
          <w:rFonts w:hint="eastAsia"/>
        </w:rPr>
        <w:t>易用性</w:t>
      </w:r>
    </w:p>
    <w:p w14:paraId="411D1830">
      <w:pPr>
        <w:pStyle w:val="52"/>
        <w:ind w:firstLine="480"/>
      </w:pPr>
      <w:r>
        <w:rPr>
          <w:rFonts w:hint="eastAsia"/>
        </w:rPr>
        <w:t>所有文档语言简练、前后一致、易于理解以及语句无歧义。系统的用户界面简明、实用、协调，符合用户的习惯，并应符合美学要求。</w:t>
      </w:r>
    </w:p>
    <w:p w14:paraId="1435C35B">
      <w:pPr>
        <w:pStyle w:val="52"/>
        <w:numPr>
          <w:ilvl w:val="0"/>
          <w:numId w:val="24"/>
        </w:numPr>
        <w:ind w:firstLineChars="0"/>
        <w:jc w:val="both"/>
      </w:pPr>
      <w:r>
        <w:rPr>
          <w:rFonts w:hint="eastAsia"/>
        </w:rPr>
        <w:t>可维护性</w:t>
      </w:r>
    </w:p>
    <w:p w14:paraId="6D942C55">
      <w:pPr>
        <w:pStyle w:val="52"/>
        <w:ind w:firstLine="480"/>
      </w:pPr>
      <w:r>
        <w:rPr>
          <w:rFonts w:hint="eastAsia"/>
        </w:rPr>
        <w:t>当系统出现故障时,在最短的时间内找出故障部位,并在不影响整个系统正常使用的情况下更换软件或设备,尽可能不影响其他用户的使用。并满足系统修改后的测试工作范围最小化原则。</w:t>
      </w:r>
    </w:p>
    <w:p w14:paraId="6875B482">
      <w:pPr>
        <w:pStyle w:val="52"/>
        <w:numPr>
          <w:ilvl w:val="0"/>
          <w:numId w:val="24"/>
        </w:numPr>
        <w:ind w:firstLineChars="0"/>
        <w:jc w:val="both"/>
      </w:pPr>
      <w:r>
        <w:rPr>
          <w:rFonts w:hint="eastAsia"/>
        </w:rPr>
        <w:t>可移植性</w:t>
      </w:r>
    </w:p>
    <w:p w14:paraId="069AD458">
      <w:pPr>
        <w:pStyle w:val="52"/>
        <w:ind w:firstLine="480"/>
      </w:pPr>
      <w:r>
        <w:rPr>
          <w:rFonts w:hint="eastAsia"/>
        </w:rPr>
        <w:t>系统的设计遵循甲方或国家相应的技术标准，如甲方或国家没有相关标准要遵循行业的标准和最佳实践。则使用通用的规则和规范，使系统的设计和开发文档具有适应性，产品的安装简单化；代码具有多支持平台的兼容性。</w:t>
      </w:r>
    </w:p>
    <w:p w14:paraId="7CD0E3C5">
      <w:pPr>
        <w:pStyle w:val="52"/>
        <w:numPr>
          <w:ilvl w:val="0"/>
          <w:numId w:val="24"/>
        </w:numPr>
        <w:ind w:firstLineChars="0"/>
        <w:jc w:val="both"/>
      </w:pPr>
      <w:r>
        <w:rPr>
          <w:rFonts w:hint="eastAsia"/>
        </w:rPr>
        <w:t>安全性</w:t>
      </w:r>
    </w:p>
    <w:p w14:paraId="74BEF86C">
      <w:pPr>
        <w:pStyle w:val="52"/>
        <w:ind w:firstLine="480"/>
      </w:pPr>
      <w:r>
        <w:rPr>
          <w:rFonts w:hint="eastAsia"/>
        </w:rPr>
        <w:t>系统的代码设计安全、流程清楚；没有冗余流程和软件逻辑限制；用户的认证、权限管理符合甲方的标准和要求；数据处理流程正确、清晰，逻辑符合业务要求；系统部署满足甲方基础设施建设的标准和限制；所使用的软件符合国家相关版权要求。</w:t>
      </w:r>
    </w:p>
    <w:p w14:paraId="5D4D2AD0">
      <w:pPr>
        <w:pStyle w:val="52"/>
        <w:numPr>
          <w:ilvl w:val="0"/>
          <w:numId w:val="24"/>
        </w:numPr>
        <w:ind w:firstLineChars="0"/>
        <w:jc w:val="both"/>
      </w:pPr>
      <w:r>
        <w:rPr>
          <w:rFonts w:hint="eastAsia"/>
        </w:rPr>
        <w:t>稳定性</w:t>
      </w:r>
    </w:p>
    <w:p w14:paraId="747056D5">
      <w:pPr>
        <w:pStyle w:val="52"/>
        <w:ind w:firstLine="480"/>
      </w:pPr>
      <w:r>
        <w:rPr>
          <w:rFonts w:hint="eastAsia"/>
        </w:rPr>
        <w:t>系统资源利用合理，无堵塞现象。</w:t>
      </w:r>
    </w:p>
    <w:bookmarkEnd w:id="27"/>
    <w:p w14:paraId="14C03174">
      <w:pPr>
        <w:pStyle w:val="7"/>
      </w:pPr>
      <w:bookmarkStart w:id="28" w:name="_Hlk105508294"/>
      <w:r>
        <w:rPr>
          <w:rFonts w:hint="eastAsia"/>
        </w:rPr>
        <w:t>产品过程文档验收标准</w:t>
      </w:r>
    </w:p>
    <w:bookmarkEnd w:id="28"/>
    <w:p w14:paraId="2C35DD39">
      <w:pPr>
        <w:pStyle w:val="52"/>
        <w:numPr>
          <w:ilvl w:val="0"/>
          <w:numId w:val="24"/>
        </w:numPr>
        <w:ind w:firstLineChars="0"/>
        <w:jc w:val="both"/>
      </w:pPr>
      <w:bookmarkStart w:id="29" w:name="_Hlk105508351"/>
      <w:r>
        <w:rPr>
          <w:rFonts w:hint="eastAsia"/>
        </w:rPr>
        <w:t>验收方法：演示与分析</w:t>
      </w:r>
    </w:p>
    <w:p w14:paraId="2974A262">
      <w:pPr>
        <w:pStyle w:val="52"/>
        <w:numPr>
          <w:ilvl w:val="0"/>
          <w:numId w:val="24"/>
        </w:numPr>
        <w:ind w:firstLineChars="0"/>
        <w:jc w:val="both"/>
      </w:pPr>
      <w:r>
        <w:rPr>
          <w:rFonts w:hint="eastAsia"/>
        </w:rPr>
        <w:t>验收通过标准：符合甲方提供的项目开发文档质量管理规定，所有文档提交文件完整、内容准确，并与提交的程序一致。文档验收以抽样方式进行，抽样率至少为20%。如果在验收的文档中，错误的总字数超过抽样文档总字数的0.5%，或文档关键处出现错误的描述，或描述每一独立完整的功能/章节错误，视为验收失败。</w:t>
      </w:r>
    </w:p>
    <w:bookmarkEnd w:id="29"/>
    <w:p w14:paraId="7A8658CC">
      <w:pPr>
        <w:pStyle w:val="7"/>
      </w:pPr>
      <w:bookmarkStart w:id="30" w:name="_Hlk105508358"/>
      <w:r>
        <w:rPr>
          <w:rFonts w:hint="eastAsia"/>
        </w:rPr>
        <w:t>源代码验收标准</w:t>
      </w:r>
    </w:p>
    <w:bookmarkEnd w:id="30"/>
    <w:p w14:paraId="0F098A17">
      <w:pPr>
        <w:pStyle w:val="52"/>
        <w:ind w:firstLine="480"/>
      </w:pPr>
      <w:bookmarkStart w:id="31" w:name="_Hlk105508372"/>
      <w:r>
        <w:rPr>
          <w:rFonts w:hint="eastAsia"/>
        </w:rPr>
        <w:t>验收方法：检验及分析</w:t>
      </w:r>
    </w:p>
    <w:p w14:paraId="7C03511E">
      <w:pPr>
        <w:pStyle w:val="52"/>
        <w:ind w:firstLine="480"/>
      </w:pPr>
      <w:r>
        <w:rPr>
          <w:rFonts w:hint="eastAsia"/>
        </w:rPr>
        <w:t>验收以编码规范及《概要设计说明书》为依据</w:t>
      </w:r>
    </w:p>
    <w:p w14:paraId="042BA329">
      <w:pPr>
        <w:pStyle w:val="52"/>
        <w:ind w:firstLine="480"/>
      </w:pPr>
      <w:r>
        <w:rPr>
          <w:rFonts w:hint="eastAsia"/>
        </w:rPr>
        <w:t>验收通过标准：甲方检查人员将组织对源代码进行检验及分析，从规范性、标准性、完整性（包括系统涉及的所有源码及相关资料）方面进行考评，必须符合配置系统管理要求，能正常构建完整系统。</w:t>
      </w:r>
      <w:bookmarkEnd w:id="31"/>
    </w:p>
    <w:p w14:paraId="26484EF3">
      <w:pPr>
        <w:pStyle w:val="4"/>
      </w:pPr>
      <w:r>
        <w:rPr>
          <w:rFonts w:hint="eastAsia"/>
        </w:rPr>
        <w:t>其他</w:t>
      </w:r>
    </w:p>
    <w:p w14:paraId="69907A70">
      <w:pPr>
        <w:pStyle w:val="5"/>
      </w:pPr>
      <w:r>
        <w:rPr>
          <w:rFonts w:hint="eastAsia"/>
        </w:rPr>
        <w:t>公司介绍</w:t>
      </w:r>
    </w:p>
    <w:p w14:paraId="3E35238D"/>
    <w:p w14:paraId="096E2A5B">
      <w:pPr>
        <w:pStyle w:val="3"/>
      </w:pPr>
      <w:r>
        <w:rPr>
          <w:rFonts w:hint="eastAsia"/>
        </w:rPr>
        <w:t>技术案例-数智人/虚拟形象云渲染流化输出及交互能力案例说明（张利）（彭小明PRD）</w:t>
      </w:r>
    </w:p>
    <w:p w14:paraId="331FDA51">
      <w:pPr>
        <w:rPr>
          <w:sz w:val="32"/>
          <w:szCs w:val="24"/>
          <w:highlight w:val="yellow"/>
        </w:rPr>
      </w:pPr>
      <w:r>
        <w:rPr>
          <w:rFonts w:hint="eastAsia"/>
          <w:sz w:val="32"/>
          <w:szCs w:val="24"/>
          <w:highlight w:val="yellow"/>
        </w:rPr>
        <w:t>博看（群里的方案）</w:t>
      </w:r>
    </w:p>
    <w:p w14:paraId="6A848CCD">
      <w:pPr>
        <w:rPr>
          <w:sz w:val="32"/>
          <w:szCs w:val="24"/>
          <w:highlight w:val="yellow"/>
        </w:rPr>
      </w:pPr>
      <w:r>
        <w:rPr>
          <w:rFonts w:hint="eastAsia"/>
          <w:b/>
          <w:bCs/>
          <w:color w:val="FF0000"/>
          <w:sz w:val="32"/>
          <w:szCs w:val="24"/>
          <w:highlight w:val="yellow"/>
        </w:rPr>
        <w:t>云渲染流化输出及交互能力</w:t>
      </w:r>
      <w:r>
        <w:rPr>
          <w:rFonts w:hint="eastAsia"/>
          <w:sz w:val="32"/>
          <w:szCs w:val="24"/>
          <w:highlight w:val="yellow"/>
        </w:rPr>
        <w:t>的技术材料（PRD）</w:t>
      </w:r>
    </w:p>
    <w:p w14:paraId="6682C287">
      <w:pPr>
        <w:rPr>
          <w:i/>
          <w:iCs/>
          <w:color w:val="FF0000"/>
        </w:rPr>
      </w:pPr>
      <w:r>
        <w:rPr>
          <w:rFonts w:hint="eastAsia"/>
          <w:i/>
          <w:iCs/>
          <w:color w:val="FF0000"/>
        </w:rPr>
        <w:t>举例说明一个开展过的数智人/虚拟形象云渲染流化输出及交互能力研发的相关案例</w:t>
      </w:r>
    </w:p>
    <w:p w14:paraId="1CAE43D6">
      <w:pPr>
        <w:pStyle w:val="4"/>
      </w:pPr>
      <w:r>
        <w:rPr>
          <w:rFonts w:hint="eastAsia"/>
        </w:rPr>
        <w:t>案例合同证明材料</w:t>
      </w:r>
    </w:p>
    <w:p w14:paraId="6455DDA8">
      <w:pPr>
        <w:pStyle w:val="4"/>
      </w:pPr>
      <w:r>
        <w:rPr>
          <w:rFonts w:hint="eastAsia"/>
        </w:rPr>
        <w:t>案例说明</w:t>
      </w:r>
    </w:p>
    <w:p w14:paraId="7975BFFB">
      <w:pPr>
        <w:pStyle w:val="5"/>
      </w:pPr>
      <w:r>
        <w:rPr>
          <w:rFonts w:hint="eastAsia"/>
        </w:rPr>
        <w:t>项目需求</w:t>
      </w:r>
    </w:p>
    <w:p w14:paraId="17AF00A1">
      <w:pPr>
        <w:pStyle w:val="52"/>
        <w:ind w:firstLine="480"/>
      </w:pPr>
      <w:r>
        <w:rPr>
          <w:rFonts w:hint="eastAsia"/>
        </w:rPr>
        <w:t>本项目需求为提供云边端产品体系，通过云端大脑服务于端侧智能机器人和数字人，云端大脑具备支持构建物理世界与虚拟世界的镜像能力，形成三维语义数字地球的全真平行时空大数据，机器人的数字孪生智能体在虚拟仿真环境下进行仿真训练，通过持续闭环学习与自我进化，让机器人的智能快速向人类智能逼近。</w:t>
      </w:r>
    </w:p>
    <w:p w14:paraId="5EBA4350">
      <w:pPr>
        <w:pStyle w:val="52"/>
        <w:ind w:firstLine="480"/>
      </w:pPr>
      <w:r>
        <w:rPr>
          <w:rFonts w:hint="eastAsia"/>
        </w:rPr>
        <w:t>平台应能提供多模态AI能力包括智能视觉、自然语言处理、知识图谱、智能运动、环境感知和智能交互操作等功能。</w:t>
      </w:r>
    </w:p>
    <w:p w14:paraId="75456DE7">
      <w:pPr>
        <w:pStyle w:val="52"/>
        <w:ind w:firstLine="480"/>
      </w:pPr>
      <w:r>
        <w:rPr>
          <w:rFonts w:hint="eastAsia"/>
        </w:rPr>
        <w:t>平台数字孪生引擎作为构建数字孪生应用平台和数字人构建平台的能力底座，应能提供包括模型交互控制，场景漫游，云渲染，场景加载，POI管理等功能。</w:t>
      </w:r>
    </w:p>
    <w:p w14:paraId="321B8E2B">
      <w:pPr>
        <w:pStyle w:val="5"/>
      </w:pPr>
      <w:r>
        <w:rPr>
          <w:rFonts w:hint="eastAsia"/>
        </w:rPr>
        <w:t>项目建设内容</w:t>
      </w:r>
    </w:p>
    <w:p w14:paraId="26FA6D97">
      <w:pPr>
        <w:pStyle w:val="52"/>
        <w:ind w:firstLine="480"/>
      </w:pPr>
      <w:r>
        <w:rPr>
          <w:rFonts w:hint="eastAsia"/>
        </w:rPr>
        <w:t>本项目基于用户需求提供云、边、端产品能力，包含端侧智能机器人，VBN安全网络以及H</w:t>
      </w:r>
      <w:r>
        <w:t>ARIX</w:t>
      </w:r>
      <w:r>
        <w:rPr>
          <w:rFonts w:hint="eastAsia"/>
        </w:rPr>
        <w:t>云端开放平台。</w:t>
      </w:r>
    </w:p>
    <w:p w14:paraId="704AFF50">
      <w:pPr>
        <w:pStyle w:val="52"/>
        <w:ind w:firstLine="480"/>
      </w:pPr>
      <w:r>
        <w:t>(1)</w:t>
      </w:r>
      <w:r>
        <w:rPr>
          <w:rFonts w:hint="eastAsia"/>
        </w:rPr>
        <w:t xml:space="preserve"> H</w:t>
      </w:r>
      <w:r>
        <w:t>ARIX</w:t>
      </w:r>
      <w:r>
        <w:rPr>
          <w:rFonts w:hint="eastAsia"/>
        </w:rPr>
        <w:t>云端开放平台</w:t>
      </w:r>
    </w:p>
    <w:p w14:paraId="08318884">
      <w:pPr>
        <w:pStyle w:val="52"/>
        <w:ind w:firstLine="480"/>
      </w:pPr>
      <w:r>
        <w:rPr>
          <w:rFonts w:hint="eastAsia"/>
        </w:rPr>
        <w:t>H</w:t>
      </w:r>
      <w:r>
        <w:t>ARIX</w:t>
      </w:r>
      <w:r>
        <w:rPr>
          <w:rFonts w:hint="eastAsia"/>
        </w:rPr>
        <w:t>云端开放平台包含机器人运营管理平台，人工智能平台、数字人驱动平台，数字孪生平台，数字人构建平台等内容；</w:t>
      </w:r>
    </w:p>
    <w:p w14:paraId="70D73770">
      <w:pPr>
        <w:pStyle w:val="52"/>
        <w:ind w:firstLine="480"/>
      </w:pPr>
      <w:r>
        <w:rPr>
          <w:rFonts w:hint="eastAsia"/>
        </w:rPr>
        <w:t>（2）VBN安全网络：提供安全可信网络</w:t>
      </w:r>
    </w:p>
    <w:p w14:paraId="08968172">
      <w:pPr>
        <w:pStyle w:val="52"/>
        <w:ind w:firstLine="480"/>
      </w:pPr>
      <w:r>
        <w:rPr>
          <w:rFonts w:hint="eastAsia"/>
        </w:rPr>
        <w:t>（3）智能服务机器人主要包括巡检机器人、配送机器人以及虚拟数字人</w:t>
      </w:r>
    </w:p>
    <w:p w14:paraId="02D58576">
      <w:pPr>
        <w:pStyle w:val="5"/>
      </w:pPr>
      <w:r>
        <w:rPr>
          <w:rFonts w:hint="eastAsia"/>
        </w:rPr>
        <w:t>系统架构设计</w:t>
      </w:r>
    </w:p>
    <w:p w14:paraId="2FB18D90">
      <w:r>
        <w:drawing>
          <wp:inline distT="0" distB="0" distL="0" distR="0">
            <wp:extent cx="5759450" cy="2875280"/>
            <wp:effectExtent l="0" t="0" r="0" b="127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5759450" cy="2875280"/>
                    </a:xfrm>
                    <a:prstGeom prst="rect">
                      <a:avLst/>
                    </a:prstGeom>
                  </pic:spPr>
                </pic:pic>
              </a:graphicData>
            </a:graphic>
          </wp:inline>
        </w:drawing>
      </w:r>
    </w:p>
    <w:p w14:paraId="50D1967C">
      <w:pPr>
        <w:pStyle w:val="52"/>
        <w:ind w:firstLine="480"/>
      </w:pPr>
      <w:r>
        <w:rPr>
          <w:rFonts w:hint="eastAsia"/>
        </w:rPr>
        <w:t>项目整体架构由云边端三层架构组成，端侧由智能机器人和数字人</w:t>
      </w:r>
      <w:r>
        <w:t>cloudia</w:t>
      </w:r>
      <w:r>
        <w:rPr>
          <w:rFonts w:hint="eastAsia"/>
        </w:rPr>
        <w:t>组成，端侧通过VBN网络连接到HARIX云端大脑；</w:t>
      </w:r>
    </w:p>
    <w:p w14:paraId="45501A76">
      <w:pPr>
        <w:pStyle w:val="52"/>
        <w:ind w:firstLine="480"/>
      </w:pPr>
      <w:r>
        <w:rPr>
          <w:rFonts w:hint="eastAsia"/>
        </w:rPr>
        <w:t>云端大脑包括HARIX</w:t>
      </w:r>
      <w:r>
        <w:t xml:space="preserve"> </w:t>
      </w:r>
      <w:r>
        <w:rPr>
          <w:rFonts w:hint="eastAsia"/>
        </w:rPr>
        <w:t>RDK，机器人训练平台，机器人运营中心，人工智能平台和数字人驱动平台，通过云端大脑为端侧提供运营管理，学习训练和AI等能力。</w:t>
      </w:r>
    </w:p>
    <w:p w14:paraId="5C43D43F">
      <w:pPr>
        <w:pStyle w:val="5"/>
      </w:pPr>
      <w:r>
        <w:rPr>
          <w:rFonts w:hint="eastAsia"/>
        </w:rPr>
        <w:t>系统能力说明</w:t>
      </w:r>
    </w:p>
    <w:p w14:paraId="61F017FC">
      <w:pPr>
        <w:pStyle w:val="6"/>
      </w:pPr>
      <w:r>
        <w:rPr>
          <w:rFonts w:hint="eastAsia"/>
        </w:rPr>
        <w:t>项目云渲染流化输出介绍</w:t>
      </w:r>
    </w:p>
    <w:p w14:paraId="57881119">
      <w:r>
        <w:rPr>
          <w:rFonts w:hint="eastAsia"/>
        </w:rPr>
        <w:drawing>
          <wp:inline distT="0" distB="0" distL="0" distR="0">
            <wp:extent cx="5759450" cy="2773680"/>
            <wp:effectExtent l="0" t="0" r="0" b="762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5759450" cy="2773680"/>
                    </a:xfrm>
                    <a:prstGeom prst="rect">
                      <a:avLst/>
                    </a:prstGeom>
                  </pic:spPr>
                </pic:pic>
              </a:graphicData>
            </a:graphic>
          </wp:inline>
        </w:drawing>
      </w:r>
    </w:p>
    <w:p w14:paraId="03A9F8D5">
      <w:pPr>
        <w:pStyle w:val="6"/>
        <w:numPr>
          <w:ilvl w:val="4"/>
          <w:numId w:val="36"/>
        </w:numPr>
      </w:pPr>
      <w:r>
        <w:rPr>
          <w:rFonts w:hint="eastAsia"/>
        </w:rPr>
        <w:t>交互能力介绍</w:t>
      </w:r>
    </w:p>
    <w:p w14:paraId="0B54AC6E">
      <w:pPr>
        <w:pStyle w:val="52"/>
        <w:ind w:firstLine="480"/>
      </w:pPr>
      <w:r>
        <w:rPr>
          <w:rFonts w:hint="eastAsia"/>
        </w:rPr>
        <w:t>HARIX云端大脑提供数字人交互模块是数字人具备交互能力，通过语音识别，视频识别等智能技术识别用户意图，并根据意图决定数字后后续和语音和能力。</w:t>
      </w:r>
    </w:p>
    <w:p w14:paraId="0D9E0EC9">
      <w:pPr>
        <w:pStyle w:val="7"/>
      </w:pPr>
      <w:r>
        <w:rPr>
          <w:rFonts w:hint="eastAsia"/>
        </w:rPr>
        <w:t>基于达闼麦阵&amp;ASR，敏锐识别用户说话</w:t>
      </w:r>
    </w:p>
    <w:p w14:paraId="06B8898C">
      <w:pPr>
        <w:pStyle w:val="52"/>
        <w:ind w:firstLine="0" w:firstLineChars="0"/>
      </w:pPr>
      <w:r>
        <w:rPr>
          <w:rFonts w:hint="eastAsia"/>
        </w:rPr>
        <w:drawing>
          <wp:inline distT="0" distB="0" distL="0" distR="0">
            <wp:extent cx="5759450" cy="2788920"/>
            <wp:effectExtent l="0" t="0" r="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5759450" cy="2788920"/>
                    </a:xfrm>
                    <a:prstGeom prst="rect">
                      <a:avLst/>
                    </a:prstGeom>
                  </pic:spPr>
                </pic:pic>
              </a:graphicData>
            </a:graphic>
          </wp:inline>
        </w:drawing>
      </w:r>
    </w:p>
    <w:p w14:paraId="55AF07B6">
      <w:pPr>
        <w:pStyle w:val="7"/>
      </w:pPr>
      <w:r>
        <w:rPr>
          <w:rFonts w:hint="eastAsia"/>
        </w:rPr>
        <w:t>文本转语音：基于达闼TTS，更丰富的进行情感表达</w:t>
      </w:r>
    </w:p>
    <w:p w14:paraId="76DE1DD3">
      <w:pPr>
        <w:pStyle w:val="52"/>
        <w:ind w:firstLine="198" w:firstLineChars="82"/>
        <w:rPr>
          <w:b/>
          <w:bCs/>
        </w:rPr>
      </w:pPr>
      <w:r>
        <w:rPr>
          <w:rFonts w:hint="eastAsia"/>
          <w:b/>
          <w:bCs/>
        </w:rPr>
        <w:drawing>
          <wp:inline distT="0" distB="0" distL="0" distR="0">
            <wp:extent cx="5759450" cy="2156460"/>
            <wp:effectExtent l="0" t="0" r="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5759450" cy="2156460"/>
                    </a:xfrm>
                    <a:prstGeom prst="rect">
                      <a:avLst/>
                    </a:prstGeom>
                  </pic:spPr>
                </pic:pic>
              </a:graphicData>
            </a:graphic>
          </wp:inline>
        </w:drawing>
      </w:r>
    </w:p>
    <w:p w14:paraId="0AD04350">
      <w:pPr>
        <w:pStyle w:val="7"/>
      </w:pPr>
      <w:r>
        <w:rPr>
          <w:rFonts w:hint="eastAsia"/>
        </w:rPr>
        <w:t>多轮对话——多轮对话流程</w:t>
      </w:r>
    </w:p>
    <w:p w14:paraId="5C1209D3">
      <w:pPr>
        <w:pStyle w:val="52"/>
        <w:ind w:firstLine="0" w:firstLineChars="0"/>
        <w:rPr>
          <w:b/>
          <w:bCs/>
        </w:rPr>
      </w:pPr>
      <w:r>
        <w:rPr>
          <w:rFonts w:hint="eastAsia"/>
          <w:b/>
          <w:bCs/>
        </w:rPr>
        <w:drawing>
          <wp:inline distT="0" distB="0" distL="0" distR="0">
            <wp:extent cx="5759450" cy="3608705"/>
            <wp:effectExtent l="0" t="0" r="5715"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5759450" cy="3608705"/>
                    </a:xfrm>
                    <a:prstGeom prst="rect">
                      <a:avLst/>
                    </a:prstGeom>
                  </pic:spPr>
                </pic:pic>
              </a:graphicData>
            </a:graphic>
          </wp:inline>
        </w:drawing>
      </w:r>
    </w:p>
    <w:p w14:paraId="03730136">
      <w:pPr>
        <w:pStyle w:val="7"/>
      </w:pPr>
      <w:r>
        <w:rPr>
          <w:rFonts w:hint="eastAsia"/>
        </w:rPr>
        <w:t>多模态感知和多模态表达</w:t>
      </w:r>
    </w:p>
    <w:p w14:paraId="501E0AE0">
      <w:r>
        <w:drawing>
          <wp:inline distT="0" distB="0" distL="0" distR="0">
            <wp:extent cx="5759450" cy="2590800"/>
            <wp:effectExtent l="0" t="0" r="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 name="picture 444"/>
                    <pic:cNvPicPr>
                      <a:picLocks noChangeAspect="1"/>
                    </pic:cNvPicPr>
                  </pic:nvPicPr>
                  <pic:blipFill>
                    <a:blip r:embed="rId18"/>
                    <a:stretch>
                      <a:fillRect/>
                    </a:stretch>
                  </pic:blipFill>
                  <pic:spPr>
                    <a:xfrm rot="21600000">
                      <a:off x="0" y="0"/>
                      <a:ext cx="5759450" cy="2590800"/>
                    </a:xfrm>
                    <a:prstGeom prst="rect">
                      <a:avLst/>
                    </a:prstGeom>
                  </pic:spPr>
                </pic:pic>
              </a:graphicData>
            </a:graphic>
          </wp:inline>
        </w:drawing>
      </w:r>
    </w:p>
    <w:p w14:paraId="738DBDCE">
      <w:pPr>
        <w:pStyle w:val="6"/>
      </w:pPr>
      <w:r>
        <w:rPr>
          <w:rFonts w:hint="eastAsia"/>
        </w:rPr>
        <w:t>数字孪生主要能力介绍</w:t>
      </w:r>
    </w:p>
    <w:p w14:paraId="5B16858E">
      <w:pPr>
        <w:pStyle w:val="7"/>
      </w:pPr>
      <w:r>
        <w:rPr>
          <w:rFonts w:hint="eastAsia"/>
        </w:rPr>
        <w:t>提供三维场景构建全要素工具链</w:t>
      </w:r>
    </w:p>
    <w:p w14:paraId="672EB26E">
      <w:r>
        <w:drawing>
          <wp:inline distT="0" distB="0" distL="0" distR="0">
            <wp:extent cx="5759450" cy="2931160"/>
            <wp:effectExtent l="0" t="0" r="0" b="254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5759450" cy="2931160"/>
                    </a:xfrm>
                    <a:prstGeom prst="rect">
                      <a:avLst/>
                    </a:prstGeom>
                  </pic:spPr>
                </pic:pic>
              </a:graphicData>
            </a:graphic>
          </wp:inline>
        </w:drawing>
      </w:r>
    </w:p>
    <w:p w14:paraId="2002CDE8">
      <w:pPr>
        <w:pStyle w:val="7"/>
      </w:pPr>
      <w:r>
        <w:rPr>
          <w:rFonts w:hint="eastAsia"/>
        </w:rPr>
        <w:t>孪生体AI构建</w:t>
      </w:r>
    </w:p>
    <w:p w14:paraId="4C7240BB">
      <w:r>
        <w:rPr>
          <w:rFonts w:hint="eastAsia"/>
        </w:rPr>
        <w:drawing>
          <wp:inline distT="0" distB="0" distL="0" distR="0">
            <wp:extent cx="5759450" cy="2077085"/>
            <wp:effectExtent l="0" t="0" r="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5759450" cy="2077085"/>
                    </a:xfrm>
                    <a:prstGeom prst="rect">
                      <a:avLst/>
                    </a:prstGeom>
                  </pic:spPr>
                </pic:pic>
              </a:graphicData>
            </a:graphic>
          </wp:inline>
        </w:drawing>
      </w:r>
    </w:p>
    <w:p w14:paraId="71D1262B">
      <w:pPr>
        <w:pStyle w:val="7"/>
      </w:pPr>
      <w:r>
        <w:rPr>
          <w:rFonts w:hint="eastAsia"/>
        </w:rPr>
        <w:t>虚实映射</w:t>
      </w:r>
    </w:p>
    <w:p w14:paraId="304195C2">
      <w:r>
        <w:rPr>
          <w:rFonts w:hint="eastAsia"/>
        </w:rPr>
        <w:drawing>
          <wp:inline distT="0" distB="0" distL="0" distR="0">
            <wp:extent cx="5759450" cy="2155190"/>
            <wp:effectExtent l="0" t="0" r="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5759450" cy="2155190"/>
                    </a:xfrm>
                    <a:prstGeom prst="rect">
                      <a:avLst/>
                    </a:prstGeom>
                  </pic:spPr>
                </pic:pic>
              </a:graphicData>
            </a:graphic>
          </wp:inline>
        </w:drawing>
      </w:r>
    </w:p>
    <w:p w14:paraId="1AA936B8">
      <w:pPr>
        <w:pStyle w:val="3"/>
      </w:pPr>
      <w:r>
        <w:rPr>
          <w:rFonts w:hint="eastAsia"/>
        </w:rPr>
        <w:t>数智人/虚拟形象驱动能力案例说明（王冠耘）（彭小明PRD）（吴占伟提供架构图）</w:t>
      </w:r>
      <w:r>
        <w:rPr>
          <w:rFonts w:hint="eastAsia"/>
          <w:highlight w:val="yellow"/>
        </w:rPr>
        <w:t>（杨泽）</w:t>
      </w:r>
    </w:p>
    <w:p w14:paraId="7BAEAB62">
      <w:pPr>
        <w:rPr>
          <w:i/>
          <w:iCs/>
          <w:color w:val="FF0000"/>
        </w:rPr>
      </w:pPr>
      <w:r>
        <w:rPr>
          <w:rFonts w:hint="eastAsia"/>
          <w:i/>
          <w:iCs/>
          <w:color w:val="FF0000"/>
        </w:rPr>
        <w:t>举例说明一个开展过的数智人/虚拟形象驱动能力研发的相关案例；</w:t>
      </w:r>
    </w:p>
    <w:p w14:paraId="4C3A55E1">
      <w:pPr>
        <w:rPr>
          <w:sz w:val="32"/>
          <w:szCs w:val="24"/>
          <w:highlight w:val="yellow"/>
        </w:rPr>
      </w:pPr>
      <w:r>
        <w:rPr>
          <w:sz w:val="32"/>
          <w:szCs w:val="24"/>
          <w:highlight w:val="yellow"/>
        </w:rPr>
        <w:t>迪信通</w:t>
      </w:r>
    </w:p>
    <w:p w14:paraId="17E9AD30">
      <w:pPr>
        <w:rPr>
          <w:sz w:val="32"/>
          <w:szCs w:val="24"/>
          <w:highlight w:val="yellow"/>
        </w:rPr>
      </w:pPr>
      <w:r>
        <w:rPr>
          <w:rFonts w:hint="eastAsia"/>
          <w:sz w:val="32"/>
          <w:szCs w:val="24"/>
          <w:highlight w:val="yellow"/>
        </w:rPr>
        <w:t>数智人/虚拟形象驱动能力材料</w:t>
      </w:r>
    </w:p>
    <w:p w14:paraId="769EA4E4">
      <w:pPr>
        <w:pStyle w:val="4"/>
      </w:pPr>
      <w:r>
        <w:rPr>
          <w:rFonts w:hint="eastAsia"/>
        </w:rPr>
        <w:t>案例合同证明材料</w:t>
      </w:r>
    </w:p>
    <w:p w14:paraId="3F28AD1F">
      <w:pPr>
        <w:pStyle w:val="4"/>
      </w:pPr>
      <w:r>
        <w:rPr>
          <w:rFonts w:hint="eastAsia"/>
        </w:rPr>
        <w:t>案例说明</w:t>
      </w:r>
    </w:p>
    <w:p w14:paraId="5DC27887">
      <w:pPr>
        <w:pStyle w:val="5"/>
      </w:pPr>
      <w:r>
        <w:rPr>
          <w:rFonts w:hint="eastAsia"/>
        </w:rPr>
        <w:t>项目背景及需求</w:t>
      </w:r>
    </w:p>
    <w:p w14:paraId="36C2B113">
      <w:r>
        <w:rPr>
          <w:rFonts w:hint="eastAsia"/>
        </w:rPr>
        <w:t>本项目用户需求为构建数字人基础底座，主要包含</w:t>
      </w:r>
    </w:p>
    <w:p w14:paraId="3B66633F">
      <w:pPr>
        <w:pStyle w:val="5"/>
      </w:pPr>
      <w:r>
        <w:rPr>
          <w:rFonts w:hint="eastAsia"/>
        </w:rPr>
        <w:t>项目建设内容</w:t>
      </w:r>
    </w:p>
    <w:p w14:paraId="15773E9C">
      <w:pPr>
        <w:pStyle w:val="5"/>
      </w:pPr>
      <w:r>
        <w:rPr>
          <w:rFonts w:hint="eastAsia"/>
        </w:rPr>
        <w:t>系统架构设计</w:t>
      </w:r>
    </w:p>
    <w:p w14:paraId="50BCFDEE">
      <w:r>
        <w:rPr>
          <w:rFonts w:hint="eastAsia"/>
        </w:rPr>
        <w:drawing>
          <wp:inline distT="0" distB="0" distL="0" distR="0">
            <wp:extent cx="5759450" cy="3364865"/>
            <wp:effectExtent l="0" t="0" r="0" b="6985"/>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5759450" cy="3364865"/>
                    </a:xfrm>
                    <a:prstGeom prst="rect">
                      <a:avLst/>
                    </a:prstGeom>
                  </pic:spPr>
                </pic:pic>
              </a:graphicData>
            </a:graphic>
          </wp:inline>
        </w:drawing>
      </w:r>
    </w:p>
    <w:p w14:paraId="4BF94CA6">
      <w:pPr>
        <w:pStyle w:val="5"/>
        <w:rPr>
          <w:kern w:val="0"/>
        </w:rPr>
      </w:pPr>
      <w:r>
        <w:rPr>
          <w:rFonts w:hint="eastAsia"/>
        </w:rPr>
        <w:t>项目</w:t>
      </w:r>
      <w:r>
        <w:rPr>
          <w:rFonts w:hint="eastAsia"/>
          <w:kern w:val="0"/>
          <w:szCs w:val="21"/>
        </w:rPr>
        <w:t>数智人/虚拟形象</w:t>
      </w:r>
      <w:r>
        <w:rPr>
          <w:rFonts w:hint="eastAsia"/>
          <w:kern w:val="0"/>
        </w:rPr>
        <w:t>驱动能力介绍</w:t>
      </w:r>
    </w:p>
    <w:p w14:paraId="064E8376">
      <w:r>
        <w:rPr>
          <w:rFonts w:hint="eastAsia"/>
        </w:rPr>
        <w:t>通过智能系统自动读取并解析识别外界输入信息，根据结果决策数字人后续的输出文本，驱动人物模型生成相应的语音与动作使数字人跟用户互动</w:t>
      </w:r>
    </w:p>
    <w:p w14:paraId="330BF90D">
      <w:pPr>
        <w:pStyle w:val="6"/>
      </w:pPr>
      <w:r>
        <w:rPr>
          <w:rFonts w:hint="eastAsia"/>
        </w:rPr>
        <w:t>肢体驱动</w:t>
      </w:r>
    </w:p>
    <w:p w14:paraId="580C9922">
      <w:pPr>
        <w:pStyle w:val="6"/>
      </w:pPr>
      <w:r>
        <w:rPr>
          <w:rFonts w:hint="eastAsia"/>
        </w:rPr>
        <w:t>面部驱动</w:t>
      </w:r>
    </w:p>
    <w:p w14:paraId="0A096A10">
      <w:r>
        <w:drawing>
          <wp:inline distT="0" distB="0" distL="0" distR="0">
            <wp:extent cx="5759450" cy="3569970"/>
            <wp:effectExtent l="0" t="0" r="0"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5759450" cy="3569970"/>
                    </a:xfrm>
                    <a:prstGeom prst="rect">
                      <a:avLst/>
                    </a:prstGeom>
                    <a:noFill/>
                    <a:ln>
                      <a:noFill/>
                    </a:ln>
                  </pic:spPr>
                </pic:pic>
              </a:graphicData>
            </a:graphic>
          </wp:inline>
        </w:drawing>
      </w:r>
    </w:p>
    <w:p w14:paraId="328BFBA5"/>
    <w:p w14:paraId="1A153EDB"/>
    <w:p w14:paraId="2A7DEAC7"/>
    <w:p w14:paraId="697766E2"/>
    <w:p w14:paraId="79DEFA87"/>
    <w:p w14:paraId="3B102A4E"/>
    <w:p w14:paraId="3AE4FAC3"/>
    <w:p w14:paraId="09CEA95E"/>
    <w:p w14:paraId="37BA8153"/>
    <w:p w14:paraId="24D4110B">
      <w:pPr>
        <w:pStyle w:val="3"/>
      </w:pPr>
      <w:r>
        <w:rPr>
          <w:rFonts w:hint="eastAsia"/>
        </w:rPr>
        <w:t>数智人/虚拟形象云渲染能力案例说明（伊川）</w:t>
      </w:r>
    </w:p>
    <w:p w14:paraId="7113FEB2">
      <w:pPr>
        <w:rPr>
          <w:i/>
          <w:iCs/>
          <w:color w:val="FF0000"/>
        </w:rPr>
      </w:pPr>
      <w:r>
        <w:rPr>
          <w:rFonts w:hint="eastAsia"/>
          <w:i/>
          <w:iCs/>
          <w:color w:val="FF0000"/>
        </w:rPr>
        <w:t>举例说明一个开展过的数智人/虚拟形象云渲染能力研发的相关案例</w:t>
      </w:r>
    </w:p>
    <w:p w14:paraId="545D34AA">
      <w:pPr>
        <w:pStyle w:val="4"/>
      </w:pPr>
      <w:r>
        <w:rPr>
          <w:rFonts w:hint="eastAsia"/>
        </w:rPr>
        <w:t>案例合同证明材料</w:t>
      </w:r>
    </w:p>
    <w:p w14:paraId="16BA4E27">
      <w:pPr>
        <w:pStyle w:val="4"/>
      </w:pPr>
      <w:r>
        <w:rPr>
          <w:rFonts w:hint="eastAsia"/>
        </w:rPr>
        <w:t>案例说明</w:t>
      </w:r>
    </w:p>
    <w:p w14:paraId="2C845440">
      <w:pPr>
        <w:pStyle w:val="5"/>
      </w:pPr>
      <w:r>
        <w:rPr>
          <w:rFonts w:hint="eastAsia"/>
        </w:rPr>
        <w:t>项目需求</w:t>
      </w:r>
    </w:p>
    <w:p w14:paraId="533BE6CD">
      <w:pPr>
        <w:pStyle w:val="52"/>
        <w:ind w:firstLine="480"/>
      </w:pPr>
      <w:r>
        <w:rPr>
          <w:rFonts w:hint="eastAsia"/>
        </w:rPr>
        <w:t>本项目用户需求为提供完整数字人云端开放平台，包含数字人的构建，数字人驱动，业务编排以及云渲染服务等内容；其中用户要求云渲染服务平台支持创建的虚拟数字人可以在各类终端设备呈现，具备跨平台能力，同时要求所提供平台具备支持图片，动画，视频等输出形式，并且对分辨率要求不得低于2K，同时平台需要支持知识库管理，支持多轮对话等能力；</w:t>
      </w:r>
    </w:p>
    <w:p w14:paraId="1D499C17">
      <w:pPr>
        <w:pStyle w:val="5"/>
      </w:pPr>
      <w:r>
        <w:rPr>
          <w:rFonts w:hint="eastAsia"/>
        </w:rPr>
        <w:t>项目建设内容</w:t>
      </w:r>
    </w:p>
    <w:p w14:paraId="2AA8ED29">
      <w:pPr>
        <w:pStyle w:val="52"/>
        <w:ind w:firstLine="480"/>
      </w:pPr>
      <w:r>
        <w:rPr>
          <w:rFonts w:hint="eastAsia"/>
        </w:rPr>
        <w:t>本项目基于用户需求我方基于HARIX云端大脑，基于用户需求，通过定制研发，构建符合用户需求的数字人云端开放平台；</w:t>
      </w:r>
    </w:p>
    <w:p w14:paraId="26863587">
      <w:pPr>
        <w:pStyle w:val="52"/>
        <w:ind w:firstLine="480"/>
      </w:pPr>
      <w:r>
        <w:rPr>
          <w:rFonts w:hint="eastAsia"/>
        </w:rPr>
        <w:t>云渲染服务平台包含</w:t>
      </w:r>
      <w:bookmarkStart w:id="32" w:name="_Hlk105674144"/>
      <w:r>
        <w:rPr>
          <w:rFonts w:hint="eastAsia"/>
        </w:rPr>
        <w:t>3D渲染引擎，视频马鞭，视频录制，交互控制，云渲染推流，集群调度等功能。</w:t>
      </w:r>
    </w:p>
    <w:bookmarkEnd w:id="32"/>
    <w:p w14:paraId="05C6D3DB">
      <w:pPr>
        <w:pStyle w:val="52"/>
        <w:ind w:firstLine="480"/>
      </w:pPr>
      <w:r>
        <w:t>通过云</w:t>
      </w:r>
      <w:r>
        <w:rPr>
          <w:rFonts w:hint="eastAsia"/>
        </w:rPr>
        <w:t>渲染服务平台，满足用户可支持中低端硬件类型的终端设备接入，无需安装或下载其他内容，实现虚拟数字人跨平台呈现的能力。</w:t>
      </w:r>
    </w:p>
    <w:p w14:paraId="60ACDB32">
      <w:pPr>
        <w:pStyle w:val="52"/>
        <w:ind w:firstLine="480"/>
      </w:pPr>
      <w:r>
        <w:rPr>
          <w:rFonts w:hint="eastAsia"/>
        </w:rPr>
        <w:t>优势包括移动设备和轻量级网页浏览器能借此显示原本无法显示的高质量画面，终端设备无需提前下载大型可执行文件或内容文件，也不需要安装任何内容；可在任意支持WebRTC连接模型的主流浏览器中，在电脑、iOS和Android平台，像素流送系统设置容易，可以将其用作基础来创建自定义云端平台，部署网页服务，像素流送使用WebRTC点对点通信框架，使用者和虚幻引擎应用程序之间的延迟很低。</w:t>
      </w:r>
    </w:p>
    <w:p w14:paraId="6BA0D6BE">
      <w:pPr>
        <w:pStyle w:val="5"/>
      </w:pPr>
      <w:r>
        <w:rPr>
          <w:rFonts w:hint="eastAsia"/>
        </w:rPr>
        <w:t>系统架构设计</w:t>
      </w:r>
    </w:p>
    <w:p w14:paraId="235440DE">
      <w:pPr>
        <w:pStyle w:val="52"/>
        <w:ind w:firstLine="480"/>
      </w:pPr>
      <w:r>
        <w:rPr>
          <w:rFonts w:hint="eastAsia"/>
        </w:rPr>
        <w:t>HAIRX 应用UE Pixel Stream技术实现数字孪生云渲染, 由云端PS Server完成高质量实时渲染，通过视频流的方式（WebRTC连接），把渲染后的音视频内容分发给客户端进行实时呈现；</w:t>
      </w:r>
    </w:p>
    <w:p w14:paraId="6D91078D">
      <w:pPr>
        <w:pStyle w:val="52"/>
        <w:ind w:firstLine="480"/>
      </w:pPr>
      <w:r>
        <w:rPr>
          <w:rFonts w:hint="eastAsia"/>
        </w:rPr>
        <w:t>HAIRX数字孪生云渲染减少对CPU/GPU的强依赖能力，支持用户实时交互和控制事件，例如客户端语音输入，客户端进行形象动作控制，客户端鼠标事件等，具备目标高精度，低时延，超逼真等特点，</w:t>
      </w:r>
      <w:r>
        <w:rPr>
          <w:rFonts w:hint="eastAsia"/>
          <w:b/>
          <w:bCs/>
        </w:rPr>
        <w:t>渲染内容包括场景，3D形象(包括形象，口型，表情等), 动作， 语音,音频等</w:t>
      </w:r>
      <w:r>
        <w:rPr>
          <w:rFonts w:hint="eastAsia"/>
        </w:rPr>
        <w:t>。HAIRX支持提供 RDK JS SDK 提供第三方集成。</w:t>
      </w:r>
    </w:p>
    <w:p w14:paraId="401CCB9A">
      <w:pPr>
        <w:pStyle w:val="52"/>
        <w:ind w:firstLine="480"/>
      </w:pPr>
      <w:r>
        <w:rPr>
          <w:rFonts w:hint="eastAsia"/>
        </w:rPr>
        <w:t>项目云端云渲染能力架构图如下：</w:t>
      </w:r>
    </w:p>
    <w:p w14:paraId="722E4E63">
      <w:r>
        <w:drawing>
          <wp:inline distT="0" distB="0" distL="0" distR="0">
            <wp:extent cx="5759450" cy="336042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5759450" cy="3360420"/>
                    </a:xfrm>
                    <a:prstGeom prst="rect">
                      <a:avLst/>
                    </a:prstGeom>
                  </pic:spPr>
                </pic:pic>
              </a:graphicData>
            </a:graphic>
          </wp:inline>
        </w:drawing>
      </w:r>
    </w:p>
    <w:p w14:paraId="0AF24BE7">
      <w:r>
        <w:drawing>
          <wp:inline distT="0" distB="0" distL="0" distR="0">
            <wp:extent cx="5759450" cy="2074545"/>
            <wp:effectExtent l="0" t="0" r="0" b="1905"/>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 name="picture 431"/>
                    <pic:cNvPicPr>
                      <a:picLocks noChangeAspect="1"/>
                    </pic:cNvPicPr>
                  </pic:nvPicPr>
                  <pic:blipFill>
                    <a:blip r:embed="rId25"/>
                    <a:stretch>
                      <a:fillRect/>
                    </a:stretch>
                  </pic:blipFill>
                  <pic:spPr>
                    <a:xfrm rot="21600000">
                      <a:off x="0" y="0"/>
                      <a:ext cx="5759450" cy="2074545"/>
                    </a:xfrm>
                    <a:prstGeom prst="rect">
                      <a:avLst/>
                    </a:prstGeom>
                  </pic:spPr>
                </pic:pic>
              </a:graphicData>
            </a:graphic>
          </wp:inline>
        </w:drawing>
      </w:r>
    </w:p>
    <w:p w14:paraId="72B3448B">
      <w:r>
        <w:drawing>
          <wp:inline distT="0" distB="0" distL="0" distR="0">
            <wp:extent cx="5759450" cy="1675765"/>
            <wp:effectExtent l="0" t="0" r="0" b="635"/>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 name="picture 432"/>
                    <pic:cNvPicPr>
                      <a:picLocks noChangeAspect="1"/>
                    </pic:cNvPicPr>
                  </pic:nvPicPr>
                  <pic:blipFill>
                    <a:blip r:embed="rId26"/>
                    <a:stretch>
                      <a:fillRect/>
                    </a:stretch>
                  </pic:blipFill>
                  <pic:spPr>
                    <a:xfrm rot="21600000">
                      <a:off x="0" y="0"/>
                      <a:ext cx="5759450" cy="1675765"/>
                    </a:xfrm>
                    <a:prstGeom prst="rect">
                      <a:avLst/>
                    </a:prstGeom>
                  </pic:spPr>
                </pic:pic>
              </a:graphicData>
            </a:graphic>
          </wp:inline>
        </w:drawing>
      </w:r>
    </w:p>
    <w:p w14:paraId="7490570E">
      <w:pPr>
        <w:pStyle w:val="5"/>
        <w:rPr>
          <w:kern w:val="0"/>
        </w:rPr>
      </w:pPr>
      <w:r>
        <w:rPr>
          <w:rFonts w:hint="eastAsia"/>
        </w:rPr>
        <w:t>项目</w:t>
      </w:r>
      <w:r>
        <w:rPr>
          <w:rFonts w:hint="eastAsia"/>
          <w:kern w:val="0"/>
          <w:szCs w:val="21"/>
        </w:rPr>
        <w:t>数智人/虚拟形象</w:t>
      </w:r>
      <w:r>
        <w:rPr>
          <w:rFonts w:hint="eastAsia"/>
          <w:kern w:val="0"/>
        </w:rPr>
        <w:t>引擎云端渲染技术能力介绍</w:t>
      </w:r>
    </w:p>
    <w:p w14:paraId="4DA8FC0C">
      <w:r>
        <w:tab/>
      </w:r>
      <w:r>
        <w:rPr>
          <w:rFonts w:hint="eastAsia"/>
        </w:rPr>
        <w:t>系统平台提供强大的云渲染能力，具备实时编码，实时呈现，逼真展示等功能；</w:t>
      </w:r>
    </w:p>
    <w:p w14:paraId="3AF804CB">
      <w:pPr>
        <w:pStyle w:val="52"/>
        <w:ind w:firstLine="480"/>
      </w:pPr>
      <w:r>
        <w:rPr>
          <w:rFonts w:hint="eastAsia"/>
        </w:rPr>
        <w:t>（1）实时编码：支持高清实时编码，双向互动</w:t>
      </w:r>
    </w:p>
    <w:p w14:paraId="21A9B380">
      <w:pPr>
        <w:pStyle w:val="52"/>
        <w:ind w:firstLine="480"/>
      </w:pPr>
      <w:r>
        <w:rPr>
          <w:rFonts w:hint="eastAsia"/>
        </w:rPr>
        <w:t>（2）基于渲染引擎，通过高强度运算处理后，传输到操作端呈现</w:t>
      </w:r>
    </w:p>
    <w:p w14:paraId="34FBD29C">
      <w:pPr>
        <w:pStyle w:val="52"/>
        <w:ind w:firstLine="480"/>
      </w:pPr>
      <w:r>
        <w:rPr>
          <w:rFonts w:hint="eastAsia"/>
        </w:rPr>
        <w:t>（3）基于物理拟真渲染，展现逼真光影和细节</w:t>
      </w:r>
    </w:p>
    <w:p w14:paraId="15C338C8">
      <w:pPr>
        <w:pStyle w:val="52"/>
        <w:ind w:firstLine="480"/>
      </w:pPr>
      <w:r>
        <w:rPr>
          <w:rFonts w:hint="eastAsia"/>
        </w:rPr>
        <w:t>云渲染基于流程如下：</w:t>
      </w:r>
    </w:p>
    <w:p w14:paraId="3549F5B7">
      <w:pPr>
        <w:pStyle w:val="52"/>
        <w:ind w:firstLine="480"/>
      </w:pPr>
      <w:r>
        <w:rPr>
          <w:rFonts w:hint="eastAsia"/>
        </w:rPr>
        <w:t>（1）H5 客户端通过 PS Controller 请求 PS 连接</w:t>
      </w:r>
    </w:p>
    <w:p w14:paraId="71644811">
      <w:pPr>
        <w:pStyle w:val="52"/>
        <w:ind w:firstLine="480"/>
      </w:pPr>
      <w:r>
        <w:rPr>
          <w:rFonts w:hint="eastAsia"/>
        </w:rPr>
        <w:t>（2）PS Server 和客户端 H5 建立 WebRTC 连接</w:t>
      </w:r>
    </w:p>
    <w:p w14:paraId="2F2DA52B">
      <w:pPr>
        <w:pStyle w:val="52"/>
        <w:ind w:firstLine="480"/>
      </w:pPr>
      <w:r>
        <w:rPr>
          <w:rFonts w:hint="eastAsia"/>
        </w:rPr>
        <w:t>（3）PS Server 根据 NLP 请求生成 TTS 语音流(如有语音输入)</w:t>
      </w:r>
    </w:p>
    <w:p w14:paraId="0526392B">
      <w:pPr>
        <w:pStyle w:val="52"/>
        <w:ind w:firstLine="480"/>
      </w:pPr>
      <w:r>
        <w:rPr>
          <w:rFonts w:hint="eastAsia"/>
        </w:rPr>
        <w:t>（</w:t>
      </w:r>
      <w:r>
        <w:t>4</w:t>
      </w:r>
      <w:r>
        <w:rPr>
          <w:rFonts w:hint="eastAsia"/>
        </w:rPr>
        <w:t>）PS Server 对机器人形象和模型进行云端渲染（支持语音 TTS,第三方伏羲口型表情动作数据</w:t>
      </w:r>
    </w:p>
    <w:p w14:paraId="266BD23B">
      <w:pPr>
        <w:pStyle w:val="52"/>
        <w:ind w:firstLine="480"/>
      </w:pPr>
      <w:r>
        <w:rPr>
          <w:rFonts w:hint="eastAsia"/>
        </w:rPr>
        <w:t>等）</w:t>
      </w:r>
    </w:p>
    <w:p w14:paraId="0FBC0C33">
      <w:pPr>
        <w:pStyle w:val="52"/>
        <w:ind w:firstLine="480"/>
      </w:pPr>
      <w:r>
        <w:rPr>
          <w:rFonts w:hint="eastAsia"/>
        </w:rPr>
        <w:t>（5）H5 客户端流式下载渲染流进行呈现</w:t>
      </w:r>
    </w:p>
    <w:p w14:paraId="187E4D7F"/>
    <w:p w14:paraId="70B1AE0F">
      <w:pPr>
        <w:pStyle w:val="2"/>
      </w:pPr>
      <w:r>
        <w:rPr>
          <w:rFonts w:hint="eastAsia"/>
        </w:rPr>
        <w:t>采购代理服务费收费标准</w:t>
      </w:r>
    </w:p>
    <w:p w14:paraId="5127F9E7">
      <w:pPr>
        <w:pStyle w:val="52"/>
        <w:ind w:firstLine="480"/>
      </w:pPr>
      <w:r>
        <w:rPr>
          <w:rFonts w:hint="eastAsia"/>
        </w:rPr>
        <w:t>本项目采用差额定率累进法根据中标金额按照下表中的费率进行采购代理服务费的计取：</w:t>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43"/>
        <w:gridCol w:w="2098"/>
        <w:gridCol w:w="1865"/>
        <w:gridCol w:w="1754"/>
      </w:tblGrid>
      <w:tr w14:paraId="091D5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45" w:type="pct"/>
            <w:shd w:val="clear" w:color="auto" w:fill="auto"/>
            <w:vAlign w:val="center"/>
          </w:tcPr>
          <w:p w14:paraId="05AAEE69">
            <w:pPr>
              <w:autoSpaceDE w:val="0"/>
              <w:autoSpaceDN w:val="0"/>
              <w:rPr>
                <w:rFonts w:ascii="宋体" w:hAnsi="宋体" w:cs="宋体"/>
              </w:rPr>
            </w:pPr>
            <w:r>
              <w:rPr>
                <w:rFonts w:ascii="宋体" w:hAnsi="宋体"/>
                <w:color w:val="000000"/>
              </w:rPr>
              <mc:AlternateContent>
                <mc:Choice Requires="wps">
                  <w:drawing>
                    <wp:anchor distT="0" distB="0" distL="114300" distR="114300" simplePos="0" relativeHeight="251659264" behindDoc="0" locked="0" layoutInCell="1" allowOverlap="1">
                      <wp:simplePos x="0" y="0"/>
                      <wp:positionH relativeFrom="column">
                        <wp:posOffset>-36830</wp:posOffset>
                      </wp:positionH>
                      <wp:positionV relativeFrom="paragraph">
                        <wp:posOffset>-23495</wp:posOffset>
                      </wp:positionV>
                      <wp:extent cx="1955800" cy="338455"/>
                      <wp:effectExtent l="635" t="4445" r="9525" b="7620"/>
                      <wp:wrapNone/>
                      <wp:docPr id="25" name="直接连接符 25"/>
                      <wp:cNvGraphicFramePr/>
                      <a:graphic xmlns:a="http://schemas.openxmlformats.org/drawingml/2006/main">
                        <a:graphicData uri="http://schemas.microsoft.com/office/word/2010/wordprocessingShape">
                          <wps:wsp>
                            <wps:cNvCnPr/>
                            <wps:spPr>
                              <a:xfrm>
                                <a:off x="0" y="0"/>
                                <a:ext cx="1955800" cy="338455"/>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id="_x0000_s1026" o:spid="_x0000_s1026" o:spt="20" style="position:absolute;left:0pt;margin-left:-2.9pt;margin-top:-1.85pt;height:26.65pt;width:154pt;z-index:251659264;mso-width-relative:page;mso-height-relative:page;" filled="f" stroked="t" coordsize="21600,21600" o:gfxdata="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AlGgs72AAAAAgBAAAPAAAAAAAAAAEAIAAAACIA&#10;AABkcnMvZG93bnJldi54bWxQSwECFAAUAAAACACHTuJA2bOgnQkCAAD7AwAADgAAAAAAAAABACAA&#10;AAAnAQAAZHJzL2Uyb0RvYy54bWxQSwUGAAAAAAYABgBZAQAAogUAAAAA&#10;">
                      <v:fill on="f" focussize="0,0"/>
                      <v:stroke color="#000000" joinstyle="round"/>
                      <v:imagedata o:title=""/>
                      <o:lock v:ext="edit" aspectratio="f"/>
                    </v:line>
                  </w:pict>
                </mc:Fallback>
              </mc:AlternateContent>
            </w:r>
            <w:r>
              <w:rPr>
                <w:rFonts w:hint="eastAsia" w:ascii="宋体" w:hAnsi="宋体" w:cs="宋体"/>
              </w:rPr>
              <w:t xml:space="preserve">      </w:t>
            </w:r>
            <w:r>
              <w:rPr>
                <w:rFonts w:ascii="宋体" w:hAnsi="宋体" w:cs="宋体"/>
              </w:rPr>
              <w:t xml:space="preserve">        </w:t>
            </w:r>
            <w:r>
              <w:rPr>
                <w:rFonts w:hint="eastAsia" w:ascii="宋体" w:hAnsi="宋体" w:cs="宋体"/>
              </w:rPr>
              <w:t xml:space="preserve">   </w:t>
            </w:r>
            <w:r>
              <w:rPr>
                <w:rFonts w:ascii="宋体" w:hAnsi="宋体" w:cs="宋体"/>
              </w:rPr>
              <w:t xml:space="preserve">   </w:t>
            </w:r>
            <w:r>
              <w:rPr>
                <w:rFonts w:hint="eastAsia" w:ascii="宋体" w:hAnsi="宋体" w:cs="宋体"/>
              </w:rPr>
              <w:t xml:space="preserve"> 费率</w:t>
            </w:r>
          </w:p>
          <w:p w14:paraId="0988DD4F">
            <w:pPr>
              <w:autoSpaceDE w:val="0"/>
              <w:autoSpaceDN w:val="0"/>
              <w:rPr>
                <w:rFonts w:ascii="宋体" w:hAnsi="宋体" w:cs="宋体"/>
              </w:rPr>
            </w:pPr>
            <w:r>
              <w:rPr>
                <w:rFonts w:hint="eastAsia" w:ascii="宋体" w:hAnsi="宋体" w:cs="宋体"/>
              </w:rPr>
              <w:t>中标金额</w:t>
            </w:r>
          </w:p>
        </w:tc>
        <w:tc>
          <w:tcPr>
            <w:tcW w:w="1158" w:type="pct"/>
            <w:shd w:val="clear" w:color="auto" w:fill="auto"/>
            <w:vAlign w:val="center"/>
          </w:tcPr>
          <w:p w14:paraId="629EC4C9">
            <w:pPr>
              <w:autoSpaceDE w:val="0"/>
              <w:autoSpaceDN w:val="0"/>
              <w:jc w:val="center"/>
              <w:rPr>
                <w:rFonts w:ascii="宋体" w:hAnsi="宋体" w:cs="宋体"/>
              </w:rPr>
            </w:pPr>
            <w:r>
              <w:rPr>
                <w:rFonts w:hint="eastAsia" w:ascii="宋体" w:hAnsi="宋体" w:cs="宋体"/>
              </w:rPr>
              <w:t>货物招标</w:t>
            </w:r>
          </w:p>
        </w:tc>
        <w:tc>
          <w:tcPr>
            <w:tcW w:w="1029" w:type="pct"/>
            <w:shd w:val="clear" w:color="auto" w:fill="auto"/>
            <w:vAlign w:val="center"/>
          </w:tcPr>
          <w:p w14:paraId="7FF04FD9">
            <w:pPr>
              <w:autoSpaceDE w:val="0"/>
              <w:autoSpaceDN w:val="0"/>
              <w:jc w:val="center"/>
              <w:rPr>
                <w:rFonts w:ascii="宋体" w:hAnsi="宋体" w:cs="宋体"/>
              </w:rPr>
            </w:pPr>
            <w:r>
              <w:rPr>
                <w:rFonts w:hint="eastAsia" w:ascii="宋体" w:hAnsi="宋体" w:cs="宋体"/>
              </w:rPr>
              <w:t>服务招标</w:t>
            </w:r>
          </w:p>
        </w:tc>
        <w:tc>
          <w:tcPr>
            <w:tcW w:w="968" w:type="pct"/>
            <w:shd w:val="clear" w:color="auto" w:fill="auto"/>
            <w:vAlign w:val="center"/>
          </w:tcPr>
          <w:p w14:paraId="41342933">
            <w:pPr>
              <w:autoSpaceDE w:val="0"/>
              <w:autoSpaceDN w:val="0"/>
              <w:jc w:val="center"/>
              <w:rPr>
                <w:rFonts w:ascii="宋体" w:hAnsi="宋体" w:cs="宋体"/>
              </w:rPr>
            </w:pPr>
            <w:r>
              <w:rPr>
                <w:rFonts w:hint="eastAsia" w:ascii="宋体" w:hAnsi="宋体" w:cs="宋体"/>
              </w:rPr>
              <w:t>工程招标</w:t>
            </w:r>
          </w:p>
        </w:tc>
      </w:tr>
      <w:tr w14:paraId="567A7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45" w:type="pct"/>
            <w:shd w:val="clear" w:color="auto" w:fill="auto"/>
            <w:vAlign w:val="center"/>
          </w:tcPr>
          <w:p w14:paraId="46772A76">
            <w:pPr>
              <w:autoSpaceDE w:val="0"/>
              <w:autoSpaceDN w:val="0"/>
              <w:rPr>
                <w:rFonts w:ascii="宋体" w:hAnsi="宋体" w:cs="宋体"/>
              </w:rPr>
            </w:pPr>
            <w:r>
              <w:rPr>
                <w:rFonts w:hint="eastAsia" w:ascii="宋体" w:hAnsi="宋体" w:cs="宋体"/>
              </w:rPr>
              <w:t>100万元以下</w:t>
            </w:r>
          </w:p>
        </w:tc>
        <w:tc>
          <w:tcPr>
            <w:tcW w:w="1158" w:type="pct"/>
            <w:shd w:val="clear" w:color="auto" w:fill="auto"/>
            <w:vAlign w:val="center"/>
          </w:tcPr>
          <w:p w14:paraId="64A4BD84">
            <w:pPr>
              <w:autoSpaceDE w:val="0"/>
              <w:autoSpaceDN w:val="0"/>
              <w:jc w:val="center"/>
              <w:rPr>
                <w:rFonts w:ascii="宋体" w:hAnsi="宋体" w:cs="宋体"/>
              </w:rPr>
            </w:pPr>
            <w:r>
              <w:rPr>
                <w:rFonts w:hint="eastAsia" w:ascii="宋体" w:hAnsi="宋体" w:cs="宋体"/>
              </w:rPr>
              <w:t>1.5%</w:t>
            </w:r>
          </w:p>
        </w:tc>
        <w:tc>
          <w:tcPr>
            <w:tcW w:w="1029" w:type="pct"/>
            <w:shd w:val="clear" w:color="auto" w:fill="auto"/>
            <w:vAlign w:val="center"/>
          </w:tcPr>
          <w:p w14:paraId="1F076A30">
            <w:pPr>
              <w:autoSpaceDE w:val="0"/>
              <w:autoSpaceDN w:val="0"/>
              <w:jc w:val="center"/>
              <w:rPr>
                <w:rFonts w:ascii="宋体" w:hAnsi="宋体" w:cs="宋体"/>
              </w:rPr>
            </w:pPr>
            <w:r>
              <w:rPr>
                <w:rFonts w:hint="eastAsia" w:ascii="宋体" w:hAnsi="宋体" w:cs="宋体"/>
              </w:rPr>
              <w:t>1.5%</w:t>
            </w:r>
          </w:p>
        </w:tc>
        <w:tc>
          <w:tcPr>
            <w:tcW w:w="968" w:type="pct"/>
            <w:shd w:val="clear" w:color="auto" w:fill="auto"/>
            <w:vAlign w:val="center"/>
          </w:tcPr>
          <w:p w14:paraId="7A81893A">
            <w:pPr>
              <w:autoSpaceDE w:val="0"/>
              <w:autoSpaceDN w:val="0"/>
              <w:jc w:val="center"/>
              <w:rPr>
                <w:rFonts w:ascii="宋体" w:hAnsi="宋体" w:cs="宋体"/>
              </w:rPr>
            </w:pPr>
            <w:r>
              <w:rPr>
                <w:rFonts w:hint="eastAsia" w:ascii="宋体" w:hAnsi="宋体" w:cs="宋体"/>
              </w:rPr>
              <w:t>1.0%</w:t>
            </w:r>
          </w:p>
        </w:tc>
      </w:tr>
      <w:tr w14:paraId="68C5F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45" w:type="pct"/>
            <w:shd w:val="clear" w:color="auto" w:fill="auto"/>
            <w:vAlign w:val="center"/>
          </w:tcPr>
          <w:p w14:paraId="32F88E86">
            <w:pPr>
              <w:autoSpaceDE w:val="0"/>
              <w:autoSpaceDN w:val="0"/>
              <w:rPr>
                <w:rFonts w:ascii="宋体" w:hAnsi="宋体" w:cs="宋体"/>
              </w:rPr>
            </w:pPr>
            <w:r>
              <w:rPr>
                <w:rFonts w:hint="eastAsia" w:ascii="宋体" w:hAnsi="宋体" w:cs="宋体"/>
              </w:rPr>
              <w:t>100～500万元</w:t>
            </w:r>
          </w:p>
        </w:tc>
        <w:tc>
          <w:tcPr>
            <w:tcW w:w="1158" w:type="pct"/>
            <w:shd w:val="clear" w:color="auto" w:fill="auto"/>
            <w:vAlign w:val="center"/>
          </w:tcPr>
          <w:p w14:paraId="04808B0B">
            <w:pPr>
              <w:autoSpaceDE w:val="0"/>
              <w:autoSpaceDN w:val="0"/>
              <w:jc w:val="center"/>
              <w:rPr>
                <w:rFonts w:ascii="宋体" w:hAnsi="宋体" w:cs="宋体"/>
              </w:rPr>
            </w:pPr>
            <w:r>
              <w:rPr>
                <w:rFonts w:hint="eastAsia" w:ascii="宋体" w:hAnsi="宋体" w:cs="宋体"/>
              </w:rPr>
              <w:t>1.1%</w:t>
            </w:r>
          </w:p>
        </w:tc>
        <w:tc>
          <w:tcPr>
            <w:tcW w:w="1029" w:type="pct"/>
            <w:shd w:val="clear" w:color="auto" w:fill="auto"/>
            <w:vAlign w:val="center"/>
          </w:tcPr>
          <w:p w14:paraId="5262C8BC">
            <w:pPr>
              <w:autoSpaceDE w:val="0"/>
              <w:autoSpaceDN w:val="0"/>
              <w:jc w:val="center"/>
              <w:rPr>
                <w:rFonts w:ascii="宋体" w:hAnsi="宋体" w:cs="宋体"/>
              </w:rPr>
            </w:pPr>
            <w:r>
              <w:rPr>
                <w:rFonts w:hint="eastAsia" w:ascii="宋体" w:hAnsi="宋体" w:cs="宋体"/>
              </w:rPr>
              <w:t>0.8%</w:t>
            </w:r>
          </w:p>
        </w:tc>
        <w:tc>
          <w:tcPr>
            <w:tcW w:w="968" w:type="pct"/>
            <w:shd w:val="clear" w:color="auto" w:fill="auto"/>
            <w:vAlign w:val="center"/>
          </w:tcPr>
          <w:p w14:paraId="32BBC6CA">
            <w:pPr>
              <w:autoSpaceDE w:val="0"/>
              <w:autoSpaceDN w:val="0"/>
              <w:jc w:val="center"/>
              <w:rPr>
                <w:rFonts w:ascii="宋体" w:hAnsi="宋体" w:cs="宋体"/>
              </w:rPr>
            </w:pPr>
            <w:r>
              <w:rPr>
                <w:rFonts w:hint="eastAsia" w:ascii="宋体" w:hAnsi="宋体" w:cs="宋体"/>
              </w:rPr>
              <w:t>0.7%</w:t>
            </w:r>
          </w:p>
        </w:tc>
      </w:tr>
      <w:tr w14:paraId="277D6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45" w:type="pct"/>
            <w:shd w:val="clear" w:color="auto" w:fill="auto"/>
            <w:vAlign w:val="center"/>
          </w:tcPr>
          <w:p w14:paraId="0E5B3363">
            <w:pPr>
              <w:autoSpaceDE w:val="0"/>
              <w:autoSpaceDN w:val="0"/>
              <w:rPr>
                <w:rFonts w:ascii="宋体" w:hAnsi="宋体" w:cs="宋体"/>
              </w:rPr>
            </w:pPr>
            <w:r>
              <w:rPr>
                <w:rFonts w:hint="eastAsia" w:ascii="宋体" w:hAnsi="宋体" w:cs="宋体"/>
              </w:rPr>
              <w:t>500～1000万元</w:t>
            </w:r>
          </w:p>
        </w:tc>
        <w:tc>
          <w:tcPr>
            <w:tcW w:w="1158" w:type="pct"/>
            <w:shd w:val="clear" w:color="auto" w:fill="auto"/>
            <w:vAlign w:val="center"/>
          </w:tcPr>
          <w:p w14:paraId="5BCF0CFE">
            <w:pPr>
              <w:autoSpaceDE w:val="0"/>
              <w:autoSpaceDN w:val="0"/>
              <w:jc w:val="center"/>
              <w:rPr>
                <w:rFonts w:ascii="宋体" w:hAnsi="宋体" w:cs="宋体"/>
              </w:rPr>
            </w:pPr>
            <w:r>
              <w:rPr>
                <w:rFonts w:hint="eastAsia" w:ascii="宋体" w:hAnsi="宋体" w:cs="宋体"/>
              </w:rPr>
              <w:t>0.8%</w:t>
            </w:r>
          </w:p>
        </w:tc>
        <w:tc>
          <w:tcPr>
            <w:tcW w:w="1029" w:type="pct"/>
            <w:shd w:val="clear" w:color="auto" w:fill="auto"/>
            <w:vAlign w:val="center"/>
          </w:tcPr>
          <w:p w14:paraId="313256AC">
            <w:pPr>
              <w:autoSpaceDE w:val="0"/>
              <w:autoSpaceDN w:val="0"/>
              <w:jc w:val="center"/>
              <w:rPr>
                <w:rFonts w:ascii="宋体" w:hAnsi="宋体" w:cs="宋体"/>
              </w:rPr>
            </w:pPr>
            <w:r>
              <w:rPr>
                <w:rFonts w:hint="eastAsia" w:ascii="宋体" w:hAnsi="宋体" w:cs="宋体"/>
              </w:rPr>
              <w:t>0.45%</w:t>
            </w:r>
          </w:p>
        </w:tc>
        <w:tc>
          <w:tcPr>
            <w:tcW w:w="968" w:type="pct"/>
            <w:shd w:val="clear" w:color="auto" w:fill="auto"/>
            <w:vAlign w:val="center"/>
          </w:tcPr>
          <w:p w14:paraId="7333DBA0">
            <w:pPr>
              <w:autoSpaceDE w:val="0"/>
              <w:autoSpaceDN w:val="0"/>
              <w:jc w:val="center"/>
              <w:rPr>
                <w:rFonts w:ascii="宋体" w:hAnsi="宋体" w:cs="宋体"/>
              </w:rPr>
            </w:pPr>
            <w:r>
              <w:rPr>
                <w:rFonts w:hint="eastAsia" w:ascii="宋体" w:hAnsi="宋体" w:cs="宋体"/>
              </w:rPr>
              <w:t>0.55%</w:t>
            </w:r>
          </w:p>
        </w:tc>
      </w:tr>
      <w:tr w14:paraId="73FCD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45" w:type="pct"/>
            <w:shd w:val="clear" w:color="auto" w:fill="auto"/>
            <w:vAlign w:val="center"/>
          </w:tcPr>
          <w:p w14:paraId="11B77F22">
            <w:pPr>
              <w:autoSpaceDE w:val="0"/>
              <w:autoSpaceDN w:val="0"/>
              <w:rPr>
                <w:rFonts w:ascii="宋体" w:hAnsi="宋体" w:cs="宋体"/>
              </w:rPr>
            </w:pPr>
            <w:r>
              <w:rPr>
                <w:rFonts w:hint="eastAsia" w:ascii="宋体" w:hAnsi="宋体" w:cs="宋体"/>
              </w:rPr>
              <w:t>1000～5000万元</w:t>
            </w:r>
          </w:p>
        </w:tc>
        <w:tc>
          <w:tcPr>
            <w:tcW w:w="1158" w:type="pct"/>
            <w:shd w:val="clear" w:color="auto" w:fill="auto"/>
            <w:vAlign w:val="center"/>
          </w:tcPr>
          <w:p w14:paraId="4794E3AA">
            <w:pPr>
              <w:autoSpaceDE w:val="0"/>
              <w:autoSpaceDN w:val="0"/>
              <w:jc w:val="center"/>
              <w:rPr>
                <w:rFonts w:ascii="宋体" w:hAnsi="宋体" w:cs="宋体"/>
              </w:rPr>
            </w:pPr>
            <w:r>
              <w:rPr>
                <w:rFonts w:hint="eastAsia" w:ascii="宋体" w:hAnsi="宋体" w:cs="宋体"/>
              </w:rPr>
              <w:t>0.5%</w:t>
            </w:r>
          </w:p>
        </w:tc>
        <w:tc>
          <w:tcPr>
            <w:tcW w:w="1029" w:type="pct"/>
            <w:shd w:val="clear" w:color="auto" w:fill="auto"/>
            <w:vAlign w:val="center"/>
          </w:tcPr>
          <w:p w14:paraId="35EEBFF5">
            <w:pPr>
              <w:autoSpaceDE w:val="0"/>
              <w:autoSpaceDN w:val="0"/>
              <w:jc w:val="center"/>
              <w:rPr>
                <w:rFonts w:ascii="宋体" w:hAnsi="宋体" w:cs="宋体"/>
              </w:rPr>
            </w:pPr>
            <w:r>
              <w:rPr>
                <w:rFonts w:hint="eastAsia" w:ascii="宋体" w:hAnsi="宋体" w:cs="宋体"/>
              </w:rPr>
              <w:t>0.25%</w:t>
            </w:r>
          </w:p>
        </w:tc>
        <w:tc>
          <w:tcPr>
            <w:tcW w:w="968" w:type="pct"/>
            <w:shd w:val="clear" w:color="auto" w:fill="auto"/>
            <w:vAlign w:val="center"/>
          </w:tcPr>
          <w:p w14:paraId="2346F39F">
            <w:pPr>
              <w:autoSpaceDE w:val="0"/>
              <w:autoSpaceDN w:val="0"/>
              <w:jc w:val="center"/>
              <w:rPr>
                <w:rFonts w:ascii="宋体" w:hAnsi="宋体" w:cs="宋体"/>
              </w:rPr>
            </w:pPr>
            <w:r>
              <w:rPr>
                <w:rFonts w:hint="eastAsia" w:ascii="宋体" w:hAnsi="宋体" w:cs="宋体"/>
              </w:rPr>
              <w:t>0.35%</w:t>
            </w:r>
          </w:p>
        </w:tc>
      </w:tr>
      <w:tr w14:paraId="2872B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45" w:type="pct"/>
            <w:shd w:val="clear" w:color="auto" w:fill="auto"/>
            <w:vAlign w:val="center"/>
          </w:tcPr>
          <w:p w14:paraId="45E53BCC">
            <w:pPr>
              <w:autoSpaceDE w:val="0"/>
              <w:autoSpaceDN w:val="0"/>
              <w:rPr>
                <w:rFonts w:ascii="宋体" w:hAnsi="宋体" w:cs="宋体"/>
              </w:rPr>
            </w:pPr>
            <w:r>
              <w:rPr>
                <w:rFonts w:hint="eastAsia" w:ascii="宋体" w:hAnsi="宋体" w:cs="宋体"/>
              </w:rPr>
              <w:t>5000万元～1亿元</w:t>
            </w:r>
          </w:p>
        </w:tc>
        <w:tc>
          <w:tcPr>
            <w:tcW w:w="1158" w:type="pct"/>
            <w:shd w:val="clear" w:color="auto" w:fill="auto"/>
            <w:vAlign w:val="center"/>
          </w:tcPr>
          <w:p w14:paraId="0633CE5D">
            <w:pPr>
              <w:autoSpaceDE w:val="0"/>
              <w:autoSpaceDN w:val="0"/>
              <w:jc w:val="center"/>
              <w:rPr>
                <w:rFonts w:ascii="宋体" w:hAnsi="宋体" w:cs="宋体"/>
              </w:rPr>
            </w:pPr>
            <w:r>
              <w:rPr>
                <w:rFonts w:hint="eastAsia" w:ascii="宋体" w:hAnsi="宋体" w:cs="宋体"/>
              </w:rPr>
              <w:t>0.25%</w:t>
            </w:r>
          </w:p>
        </w:tc>
        <w:tc>
          <w:tcPr>
            <w:tcW w:w="1029" w:type="pct"/>
            <w:shd w:val="clear" w:color="auto" w:fill="auto"/>
            <w:vAlign w:val="center"/>
          </w:tcPr>
          <w:p w14:paraId="0C8083AE">
            <w:pPr>
              <w:autoSpaceDE w:val="0"/>
              <w:autoSpaceDN w:val="0"/>
              <w:jc w:val="center"/>
              <w:rPr>
                <w:rFonts w:ascii="宋体" w:hAnsi="宋体" w:cs="宋体"/>
              </w:rPr>
            </w:pPr>
            <w:r>
              <w:rPr>
                <w:rFonts w:hint="eastAsia" w:ascii="宋体" w:hAnsi="宋体" w:cs="宋体"/>
              </w:rPr>
              <w:t>0.1%</w:t>
            </w:r>
          </w:p>
        </w:tc>
        <w:tc>
          <w:tcPr>
            <w:tcW w:w="968" w:type="pct"/>
            <w:shd w:val="clear" w:color="auto" w:fill="auto"/>
            <w:vAlign w:val="center"/>
          </w:tcPr>
          <w:p w14:paraId="39485F09">
            <w:pPr>
              <w:autoSpaceDE w:val="0"/>
              <w:autoSpaceDN w:val="0"/>
              <w:jc w:val="center"/>
              <w:rPr>
                <w:rFonts w:ascii="宋体" w:hAnsi="宋体" w:cs="宋体"/>
              </w:rPr>
            </w:pPr>
            <w:r>
              <w:rPr>
                <w:rFonts w:hint="eastAsia" w:ascii="宋体" w:hAnsi="宋体" w:cs="宋体"/>
              </w:rPr>
              <w:t>0.2%</w:t>
            </w:r>
          </w:p>
        </w:tc>
      </w:tr>
      <w:tr w14:paraId="23E8B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45" w:type="pct"/>
            <w:shd w:val="clear" w:color="auto" w:fill="auto"/>
            <w:vAlign w:val="center"/>
          </w:tcPr>
          <w:p w14:paraId="54147E18">
            <w:pPr>
              <w:autoSpaceDE w:val="0"/>
              <w:autoSpaceDN w:val="0"/>
              <w:rPr>
                <w:rFonts w:ascii="宋体" w:hAnsi="宋体" w:cs="宋体"/>
              </w:rPr>
            </w:pPr>
            <w:r>
              <w:rPr>
                <w:rFonts w:hint="eastAsia" w:ascii="宋体" w:hAnsi="宋体" w:cs="宋体"/>
              </w:rPr>
              <w:t>1～5亿元</w:t>
            </w:r>
          </w:p>
        </w:tc>
        <w:tc>
          <w:tcPr>
            <w:tcW w:w="1158" w:type="pct"/>
            <w:shd w:val="clear" w:color="auto" w:fill="auto"/>
            <w:vAlign w:val="center"/>
          </w:tcPr>
          <w:p w14:paraId="313633B0">
            <w:pPr>
              <w:autoSpaceDE w:val="0"/>
              <w:autoSpaceDN w:val="0"/>
              <w:jc w:val="center"/>
              <w:rPr>
                <w:rFonts w:ascii="宋体" w:hAnsi="宋体" w:cs="宋体"/>
              </w:rPr>
            </w:pPr>
            <w:r>
              <w:rPr>
                <w:rFonts w:hint="eastAsia" w:ascii="宋体" w:hAnsi="宋体" w:cs="宋体"/>
              </w:rPr>
              <w:t>0.05%</w:t>
            </w:r>
          </w:p>
        </w:tc>
        <w:tc>
          <w:tcPr>
            <w:tcW w:w="1029" w:type="pct"/>
            <w:shd w:val="clear" w:color="auto" w:fill="auto"/>
            <w:vAlign w:val="center"/>
          </w:tcPr>
          <w:p w14:paraId="0769C008">
            <w:pPr>
              <w:autoSpaceDE w:val="0"/>
              <w:autoSpaceDN w:val="0"/>
              <w:jc w:val="center"/>
              <w:rPr>
                <w:rFonts w:ascii="宋体" w:hAnsi="宋体" w:cs="宋体"/>
              </w:rPr>
            </w:pPr>
            <w:r>
              <w:rPr>
                <w:rFonts w:hint="eastAsia" w:ascii="宋体" w:hAnsi="宋体" w:cs="宋体"/>
              </w:rPr>
              <w:t>0.05%</w:t>
            </w:r>
          </w:p>
        </w:tc>
        <w:tc>
          <w:tcPr>
            <w:tcW w:w="968" w:type="pct"/>
            <w:shd w:val="clear" w:color="auto" w:fill="auto"/>
            <w:vAlign w:val="center"/>
          </w:tcPr>
          <w:p w14:paraId="7EF8A541">
            <w:pPr>
              <w:autoSpaceDE w:val="0"/>
              <w:autoSpaceDN w:val="0"/>
              <w:jc w:val="center"/>
              <w:rPr>
                <w:rFonts w:ascii="宋体" w:hAnsi="宋体" w:cs="宋体"/>
              </w:rPr>
            </w:pPr>
            <w:r>
              <w:rPr>
                <w:rFonts w:hint="eastAsia" w:ascii="宋体" w:hAnsi="宋体" w:cs="宋体"/>
              </w:rPr>
              <w:t>0.05%</w:t>
            </w:r>
          </w:p>
        </w:tc>
      </w:tr>
      <w:tr w14:paraId="729E7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45" w:type="pct"/>
            <w:shd w:val="clear" w:color="auto" w:fill="auto"/>
            <w:vAlign w:val="center"/>
          </w:tcPr>
          <w:p w14:paraId="30E35589">
            <w:pPr>
              <w:autoSpaceDE w:val="0"/>
              <w:autoSpaceDN w:val="0"/>
              <w:rPr>
                <w:rFonts w:ascii="宋体" w:hAnsi="宋体" w:cs="宋体"/>
              </w:rPr>
            </w:pPr>
            <w:r>
              <w:rPr>
                <w:rFonts w:hint="eastAsia" w:ascii="宋体" w:hAnsi="宋体" w:cs="宋体"/>
              </w:rPr>
              <w:t>5～10亿元</w:t>
            </w:r>
          </w:p>
        </w:tc>
        <w:tc>
          <w:tcPr>
            <w:tcW w:w="1158" w:type="pct"/>
            <w:shd w:val="clear" w:color="auto" w:fill="auto"/>
            <w:vAlign w:val="center"/>
          </w:tcPr>
          <w:p w14:paraId="1C553859">
            <w:pPr>
              <w:autoSpaceDE w:val="0"/>
              <w:autoSpaceDN w:val="0"/>
              <w:jc w:val="center"/>
              <w:rPr>
                <w:rFonts w:ascii="宋体" w:hAnsi="宋体" w:cs="宋体"/>
              </w:rPr>
            </w:pPr>
            <w:r>
              <w:rPr>
                <w:rFonts w:hint="eastAsia" w:ascii="宋体" w:hAnsi="宋体" w:cs="宋体"/>
              </w:rPr>
              <w:t>0.035%</w:t>
            </w:r>
          </w:p>
        </w:tc>
        <w:tc>
          <w:tcPr>
            <w:tcW w:w="1029" w:type="pct"/>
            <w:shd w:val="clear" w:color="auto" w:fill="auto"/>
            <w:vAlign w:val="center"/>
          </w:tcPr>
          <w:p w14:paraId="0C5F5E11">
            <w:pPr>
              <w:autoSpaceDE w:val="0"/>
              <w:autoSpaceDN w:val="0"/>
              <w:jc w:val="center"/>
              <w:rPr>
                <w:rFonts w:ascii="宋体" w:hAnsi="宋体" w:cs="宋体"/>
              </w:rPr>
            </w:pPr>
            <w:r>
              <w:rPr>
                <w:rFonts w:hint="eastAsia" w:ascii="宋体" w:hAnsi="宋体" w:cs="宋体"/>
              </w:rPr>
              <w:t>0.035%</w:t>
            </w:r>
          </w:p>
        </w:tc>
        <w:tc>
          <w:tcPr>
            <w:tcW w:w="968" w:type="pct"/>
            <w:shd w:val="clear" w:color="auto" w:fill="auto"/>
            <w:vAlign w:val="center"/>
          </w:tcPr>
          <w:p w14:paraId="41A85A56">
            <w:pPr>
              <w:autoSpaceDE w:val="0"/>
              <w:autoSpaceDN w:val="0"/>
              <w:jc w:val="center"/>
              <w:rPr>
                <w:rFonts w:ascii="宋体" w:hAnsi="宋体" w:cs="宋体"/>
              </w:rPr>
            </w:pPr>
            <w:r>
              <w:rPr>
                <w:rFonts w:hint="eastAsia" w:ascii="宋体" w:hAnsi="宋体" w:cs="宋体"/>
              </w:rPr>
              <w:t>0.035%</w:t>
            </w:r>
          </w:p>
        </w:tc>
      </w:tr>
      <w:tr w14:paraId="38FAE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45" w:type="pct"/>
            <w:shd w:val="clear" w:color="auto" w:fill="auto"/>
            <w:vAlign w:val="center"/>
          </w:tcPr>
          <w:p w14:paraId="45293281">
            <w:pPr>
              <w:autoSpaceDE w:val="0"/>
              <w:autoSpaceDN w:val="0"/>
              <w:rPr>
                <w:rFonts w:ascii="宋体" w:hAnsi="宋体" w:cs="宋体"/>
              </w:rPr>
            </w:pPr>
            <w:r>
              <w:rPr>
                <w:rFonts w:hint="eastAsia" w:ascii="宋体" w:hAnsi="宋体" w:cs="宋体"/>
              </w:rPr>
              <w:t>10～50亿元</w:t>
            </w:r>
          </w:p>
        </w:tc>
        <w:tc>
          <w:tcPr>
            <w:tcW w:w="1158" w:type="pct"/>
            <w:shd w:val="clear" w:color="auto" w:fill="auto"/>
            <w:vAlign w:val="center"/>
          </w:tcPr>
          <w:p w14:paraId="58836165">
            <w:pPr>
              <w:autoSpaceDE w:val="0"/>
              <w:autoSpaceDN w:val="0"/>
              <w:jc w:val="center"/>
              <w:rPr>
                <w:rFonts w:ascii="宋体" w:hAnsi="宋体" w:cs="宋体"/>
              </w:rPr>
            </w:pPr>
            <w:r>
              <w:rPr>
                <w:rFonts w:hint="eastAsia" w:ascii="宋体" w:hAnsi="宋体" w:cs="宋体"/>
              </w:rPr>
              <w:t>0.008%</w:t>
            </w:r>
          </w:p>
        </w:tc>
        <w:tc>
          <w:tcPr>
            <w:tcW w:w="1029" w:type="pct"/>
            <w:shd w:val="clear" w:color="auto" w:fill="auto"/>
            <w:vAlign w:val="center"/>
          </w:tcPr>
          <w:p w14:paraId="433C3410">
            <w:pPr>
              <w:autoSpaceDE w:val="0"/>
              <w:autoSpaceDN w:val="0"/>
              <w:jc w:val="center"/>
              <w:rPr>
                <w:rFonts w:ascii="宋体" w:hAnsi="宋体" w:cs="宋体"/>
              </w:rPr>
            </w:pPr>
            <w:r>
              <w:rPr>
                <w:rFonts w:hint="eastAsia" w:ascii="宋体" w:hAnsi="宋体" w:cs="宋体"/>
              </w:rPr>
              <w:t>0.008%</w:t>
            </w:r>
          </w:p>
        </w:tc>
        <w:tc>
          <w:tcPr>
            <w:tcW w:w="968" w:type="pct"/>
            <w:shd w:val="clear" w:color="auto" w:fill="auto"/>
            <w:vAlign w:val="center"/>
          </w:tcPr>
          <w:p w14:paraId="77A61184">
            <w:pPr>
              <w:autoSpaceDE w:val="0"/>
              <w:autoSpaceDN w:val="0"/>
              <w:jc w:val="center"/>
              <w:rPr>
                <w:rFonts w:ascii="宋体" w:hAnsi="宋体" w:cs="宋体"/>
              </w:rPr>
            </w:pPr>
            <w:r>
              <w:rPr>
                <w:rFonts w:hint="eastAsia" w:ascii="宋体" w:hAnsi="宋体" w:cs="宋体"/>
              </w:rPr>
              <w:t>0.008%</w:t>
            </w:r>
          </w:p>
        </w:tc>
      </w:tr>
      <w:tr w14:paraId="18298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45" w:type="pct"/>
            <w:shd w:val="clear" w:color="auto" w:fill="auto"/>
            <w:vAlign w:val="center"/>
          </w:tcPr>
          <w:p w14:paraId="0DA1BC75">
            <w:pPr>
              <w:autoSpaceDE w:val="0"/>
              <w:autoSpaceDN w:val="0"/>
              <w:rPr>
                <w:rFonts w:ascii="宋体" w:hAnsi="宋体" w:cs="宋体"/>
              </w:rPr>
            </w:pPr>
            <w:r>
              <w:rPr>
                <w:rFonts w:hint="eastAsia" w:ascii="宋体" w:hAnsi="宋体" w:cs="宋体"/>
              </w:rPr>
              <w:t>50～100亿元</w:t>
            </w:r>
          </w:p>
        </w:tc>
        <w:tc>
          <w:tcPr>
            <w:tcW w:w="1158" w:type="pct"/>
            <w:shd w:val="clear" w:color="auto" w:fill="auto"/>
            <w:vAlign w:val="center"/>
          </w:tcPr>
          <w:p w14:paraId="10C794CC">
            <w:pPr>
              <w:autoSpaceDE w:val="0"/>
              <w:autoSpaceDN w:val="0"/>
              <w:jc w:val="center"/>
              <w:rPr>
                <w:rFonts w:ascii="宋体" w:hAnsi="宋体" w:cs="宋体"/>
              </w:rPr>
            </w:pPr>
            <w:r>
              <w:rPr>
                <w:rFonts w:hint="eastAsia" w:ascii="宋体" w:hAnsi="宋体" w:cs="宋体"/>
              </w:rPr>
              <w:t>0.006%</w:t>
            </w:r>
          </w:p>
        </w:tc>
        <w:tc>
          <w:tcPr>
            <w:tcW w:w="1029" w:type="pct"/>
            <w:shd w:val="clear" w:color="auto" w:fill="auto"/>
            <w:vAlign w:val="center"/>
          </w:tcPr>
          <w:p w14:paraId="53A403BD">
            <w:pPr>
              <w:autoSpaceDE w:val="0"/>
              <w:autoSpaceDN w:val="0"/>
              <w:jc w:val="center"/>
              <w:rPr>
                <w:rFonts w:ascii="宋体" w:hAnsi="宋体" w:cs="宋体"/>
              </w:rPr>
            </w:pPr>
            <w:r>
              <w:rPr>
                <w:rFonts w:hint="eastAsia" w:ascii="宋体" w:hAnsi="宋体" w:cs="宋体"/>
              </w:rPr>
              <w:t>0.006%</w:t>
            </w:r>
          </w:p>
        </w:tc>
        <w:tc>
          <w:tcPr>
            <w:tcW w:w="968" w:type="pct"/>
            <w:shd w:val="clear" w:color="auto" w:fill="auto"/>
            <w:vAlign w:val="center"/>
          </w:tcPr>
          <w:p w14:paraId="56305B40">
            <w:pPr>
              <w:autoSpaceDE w:val="0"/>
              <w:autoSpaceDN w:val="0"/>
              <w:jc w:val="center"/>
              <w:rPr>
                <w:rFonts w:ascii="宋体" w:hAnsi="宋体" w:cs="宋体"/>
              </w:rPr>
            </w:pPr>
            <w:r>
              <w:rPr>
                <w:rFonts w:hint="eastAsia" w:ascii="宋体" w:hAnsi="宋体" w:cs="宋体"/>
              </w:rPr>
              <w:t>0.006%</w:t>
            </w:r>
          </w:p>
        </w:tc>
      </w:tr>
      <w:tr w14:paraId="47939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45" w:type="pct"/>
            <w:shd w:val="clear" w:color="auto" w:fill="auto"/>
            <w:vAlign w:val="center"/>
          </w:tcPr>
          <w:p w14:paraId="0D402BB8">
            <w:pPr>
              <w:autoSpaceDE w:val="0"/>
              <w:autoSpaceDN w:val="0"/>
              <w:rPr>
                <w:rFonts w:ascii="宋体" w:hAnsi="宋体" w:cs="宋体"/>
              </w:rPr>
            </w:pPr>
            <w:r>
              <w:rPr>
                <w:rFonts w:hint="eastAsia" w:ascii="宋体" w:hAnsi="宋体" w:cs="宋体"/>
              </w:rPr>
              <w:t>100亿以上</w:t>
            </w:r>
          </w:p>
        </w:tc>
        <w:tc>
          <w:tcPr>
            <w:tcW w:w="1158" w:type="pct"/>
            <w:shd w:val="clear" w:color="auto" w:fill="auto"/>
            <w:vAlign w:val="center"/>
          </w:tcPr>
          <w:p w14:paraId="71D9DD60">
            <w:pPr>
              <w:autoSpaceDE w:val="0"/>
              <w:autoSpaceDN w:val="0"/>
              <w:jc w:val="center"/>
              <w:rPr>
                <w:rFonts w:ascii="宋体" w:hAnsi="宋体" w:cs="宋体"/>
              </w:rPr>
            </w:pPr>
            <w:r>
              <w:rPr>
                <w:rFonts w:hint="eastAsia" w:ascii="宋体" w:hAnsi="宋体" w:cs="宋体"/>
              </w:rPr>
              <w:t>0.004%</w:t>
            </w:r>
          </w:p>
        </w:tc>
        <w:tc>
          <w:tcPr>
            <w:tcW w:w="1029" w:type="pct"/>
            <w:shd w:val="clear" w:color="auto" w:fill="auto"/>
            <w:vAlign w:val="center"/>
          </w:tcPr>
          <w:p w14:paraId="4E0E9A2B">
            <w:pPr>
              <w:autoSpaceDE w:val="0"/>
              <w:autoSpaceDN w:val="0"/>
              <w:jc w:val="center"/>
              <w:rPr>
                <w:rFonts w:ascii="宋体" w:hAnsi="宋体" w:cs="宋体"/>
              </w:rPr>
            </w:pPr>
            <w:r>
              <w:rPr>
                <w:rFonts w:hint="eastAsia" w:ascii="宋体" w:hAnsi="宋体" w:cs="宋体"/>
              </w:rPr>
              <w:t>0.004%</w:t>
            </w:r>
          </w:p>
        </w:tc>
        <w:tc>
          <w:tcPr>
            <w:tcW w:w="968" w:type="pct"/>
            <w:shd w:val="clear" w:color="auto" w:fill="auto"/>
            <w:vAlign w:val="center"/>
          </w:tcPr>
          <w:p w14:paraId="213D4BD9">
            <w:pPr>
              <w:autoSpaceDE w:val="0"/>
              <w:autoSpaceDN w:val="0"/>
              <w:jc w:val="center"/>
              <w:rPr>
                <w:rFonts w:ascii="宋体" w:hAnsi="宋体" w:cs="宋体"/>
              </w:rPr>
            </w:pPr>
            <w:r>
              <w:rPr>
                <w:rFonts w:hint="eastAsia" w:ascii="宋体" w:hAnsi="宋体" w:cs="宋体"/>
              </w:rPr>
              <w:t>0.004%</w:t>
            </w:r>
          </w:p>
        </w:tc>
      </w:tr>
    </w:tbl>
    <w:p w14:paraId="03235789">
      <w:pPr>
        <w:pStyle w:val="52"/>
        <w:ind w:firstLine="480"/>
      </w:pPr>
      <w:r>
        <w:rPr>
          <w:rFonts w:hint="eastAsia"/>
        </w:rPr>
        <w:t>注：1、中选金额在100万元以下部分，按照实际中选金额乘以“收费标准”，无需乘以折扣系数；中选金额超过100万元部分，在“收费标准”基础上，乘以折扣系数（5</w:t>
      </w:r>
      <w:r>
        <w:t>0%</w:t>
      </w:r>
      <w:r>
        <w:rPr>
          <w:rFonts w:hint="eastAsia"/>
        </w:rPr>
        <w:t>）。</w:t>
      </w:r>
    </w:p>
    <w:p w14:paraId="7DE1C5D5">
      <w:pPr>
        <w:pStyle w:val="52"/>
        <w:ind w:firstLine="480"/>
      </w:pPr>
      <w:r>
        <w:rPr>
          <w:rFonts w:hint="eastAsia"/>
        </w:rPr>
        <w:t>2、缴纳方式和支付账户信息详见应答人须知前附表。</w:t>
      </w:r>
    </w:p>
    <w:p w14:paraId="596F7CE2">
      <w:pPr>
        <w:pStyle w:val="52"/>
        <w:ind w:firstLine="480"/>
      </w:pPr>
      <w:r>
        <w:rPr>
          <w:rFonts w:hint="eastAsia"/>
        </w:rPr>
        <w:t>3、对于非固定金额采购框架合同，框架协议金额&lt;</w:t>
      </w:r>
      <w:r>
        <w:t>100</w:t>
      </w:r>
      <w:r>
        <w:rPr>
          <w:rFonts w:hint="eastAsia"/>
        </w:rPr>
        <w:t>万的，前端收费比例为预估应付服务费的5</w:t>
      </w:r>
      <w:r>
        <w:t>0%</w:t>
      </w:r>
      <w:r>
        <w:rPr>
          <w:rFonts w:hint="eastAsia"/>
        </w:rPr>
        <w:t>；1</w:t>
      </w:r>
      <w:r>
        <w:t>00</w:t>
      </w:r>
      <w:r>
        <w:rPr>
          <w:rFonts w:hint="eastAsia"/>
        </w:rPr>
        <w:t>万元（含）至3</w:t>
      </w:r>
      <w:r>
        <w:t>00</w:t>
      </w:r>
      <w:r>
        <w:rPr>
          <w:rFonts w:hint="eastAsia"/>
        </w:rPr>
        <w:t>万元的，前端收费比例为预估应付服务费的4</w:t>
      </w:r>
      <w:r>
        <w:t>0%</w:t>
      </w:r>
      <w:r>
        <w:rPr>
          <w:rFonts w:hint="eastAsia"/>
        </w:rPr>
        <w:t>；框架协议金额≥3</w:t>
      </w:r>
      <w:r>
        <w:t>00</w:t>
      </w:r>
      <w:r>
        <w:rPr>
          <w:rFonts w:hint="eastAsia"/>
        </w:rPr>
        <w:t>万元的，前端收费比例为预估应付服务费的</w:t>
      </w:r>
      <w:r>
        <w:t>30%</w:t>
      </w:r>
      <w:r>
        <w:rPr>
          <w:rFonts w:hint="eastAsia"/>
        </w:rPr>
        <w:t>，剩余部分服务费以季度/半年度/年度为周期，按照实际执行金额计算后向中选人收取。</w:t>
      </w:r>
    </w:p>
    <w:p w14:paraId="2516C84A">
      <w:pPr>
        <w:pStyle w:val="52"/>
        <w:ind w:firstLine="480"/>
      </w:pPr>
      <w:r>
        <w:t>4</w:t>
      </w:r>
      <w:r>
        <w:rPr>
          <w:rFonts w:hint="eastAsia"/>
        </w:rPr>
        <w:t>、计取示例：某货物招标中标金额为1600万元人民币，则采购代理服务费计算方式如下：</w:t>
      </w:r>
    </w:p>
    <w:p w14:paraId="760E7EB8">
      <w:pPr>
        <w:pStyle w:val="52"/>
        <w:ind w:firstLine="480"/>
      </w:pPr>
      <w:r>
        <w:rPr>
          <w:rFonts w:hint="eastAsia"/>
        </w:rPr>
        <w:t>100万元×1.5%=1.5万元</w:t>
      </w:r>
    </w:p>
    <w:p w14:paraId="25204FC2">
      <w:pPr>
        <w:pStyle w:val="52"/>
        <w:ind w:firstLine="480"/>
      </w:pPr>
      <w:r>
        <w:rPr>
          <w:rFonts w:hint="eastAsia"/>
        </w:rPr>
        <w:t>（500-100）万元×1.1%*50%=2.2万元</w:t>
      </w:r>
    </w:p>
    <w:p w14:paraId="63A08324">
      <w:pPr>
        <w:pStyle w:val="52"/>
        <w:ind w:firstLine="480"/>
      </w:pPr>
      <w:r>
        <w:rPr>
          <w:rFonts w:hint="eastAsia"/>
        </w:rPr>
        <w:t>（1000-500）×0.8%*50%=2万元</w:t>
      </w:r>
    </w:p>
    <w:p w14:paraId="1FD3E8BA">
      <w:pPr>
        <w:pStyle w:val="52"/>
        <w:ind w:firstLine="480"/>
      </w:pPr>
      <w:r>
        <w:rPr>
          <w:rFonts w:hint="eastAsia"/>
        </w:rPr>
        <w:t>（1600-1000）×0.5%*50%=1.5万元</w:t>
      </w:r>
    </w:p>
    <w:p w14:paraId="1F93E996">
      <w:pPr>
        <w:pStyle w:val="52"/>
        <w:ind w:firstLine="480"/>
      </w:pPr>
      <w:r>
        <w:rPr>
          <w:rFonts w:hint="eastAsia"/>
        </w:rPr>
        <w:t>合计收费=1.5+2.2+2+1.5=7.2（万元）</w:t>
      </w:r>
    </w:p>
    <w:p w14:paraId="0F29C99B">
      <w:pPr>
        <w:pStyle w:val="2"/>
      </w:pPr>
      <w:r>
        <w:rPr>
          <w:rFonts w:hint="eastAsia"/>
        </w:rPr>
        <w:t>应答人认为有必要进行阐述的其他内容</w:t>
      </w:r>
    </w:p>
    <w:sectPr>
      <w:headerReference r:id="rId5" w:type="default"/>
      <w:footerReference r:id="rId6" w:type="default"/>
      <w:pgSz w:w="11906" w:h="16838"/>
      <w:pgMar w:top="1247" w:right="1418" w:bottom="1247" w:left="1418" w:header="1021" w:footer="90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Impact">
    <w:panose1 w:val="020B0806030902050204"/>
    <w:charset w:val="00"/>
    <w:family w:val="swiss"/>
    <w:pitch w:val="default"/>
    <w:sig w:usb0="00000287" w:usb1="00000000" w:usb2="00000000" w:usb3="00000000" w:csb0="2000009F" w:csb1="DFD70000"/>
  </w:font>
  <w:font w:name="Calibri Light">
    <w:panose1 w:val="020F0302020204030204"/>
    <w:charset w:val="00"/>
    <w:family w:val="swiss"/>
    <w:pitch w:val="default"/>
    <w:sig w:usb0="E4002EFF" w:usb1="C2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Batang">
    <w:altName w:val="Malgun Gothic"/>
    <w:panose1 w:val="02030600000101010101"/>
    <w:charset w:val="81"/>
    <w:family w:val="roman"/>
    <w:pitch w:val="default"/>
    <w:sig w:usb0="00000000" w:usb1="00000000" w:usb2="00000030" w:usb3="00000000" w:csb0="0008009F" w:csb1="00000000"/>
  </w:font>
  <w:font w:name="바탕">
    <w:altName w:val="FFont-Family"/>
    <w:panose1 w:val="00000000000000000000"/>
    <w:charset w:val="00"/>
    <w:family w:val="auto"/>
    <w:pitch w:val="default"/>
    <w:sig w:usb0="00000000" w:usb1="00000000" w:usb2="00000000" w:usb3="00000000" w:csb0="00000000" w:csb1="00000000"/>
  </w:font>
  <w:font w:name="Helvetica">
    <w:altName w:val="Arial"/>
    <w:panose1 w:val="020B0604020202020204"/>
    <w:charset w:val="00"/>
    <w:family w:val="swiss"/>
    <w:pitch w:val="default"/>
    <w:sig w:usb0="00000000" w:usb1="00000000" w:usb2="00000009" w:usb3="00000000" w:csb0="0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Trebuchet MS">
    <w:panose1 w:val="020B0603020202020204"/>
    <w:charset w:val="00"/>
    <w:family w:val="swiss"/>
    <w:pitch w:val="default"/>
    <w:sig w:usb0="00000687" w:usb1="00000000" w:usb2="00000000" w:usb3="00000000" w:csb0="2000009F" w:csb1="00000000"/>
  </w:font>
  <w:font w:name="KSOF7FC4CF2A">
    <w:panose1 w:val="020B0604020202020204"/>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2B9A5F">
    <w:pPr>
      <w:pStyle w:val="21"/>
      <w:jc w:val="center"/>
      <w:rPr>
        <w:rFonts w:ascii="宋体" w:hAnsi="宋体" w:eastAsia="宋体"/>
      </w:rPr>
    </w:pPr>
    <w:r>
      <w:rPr>
        <w:rFonts w:ascii="宋体" w:hAnsi="宋体" w:eastAsia="宋体"/>
      </w:rPr>
      <w:fldChar w:fldCharType="begin"/>
    </w:r>
    <w:r>
      <w:rPr>
        <w:rFonts w:ascii="宋体" w:hAnsi="宋体" w:eastAsia="宋体"/>
      </w:rPr>
      <w:instrText xml:space="preserve">PAGE   \* MERGEFORMAT</w:instrText>
    </w:r>
    <w:r>
      <w:rPr>
        <w:rFonts w:ascii="宋体" w:hAnsi="宋体" w:eastAsia="宋体"/>
      </w:rPr>
      <w:fldChar w:fldCharType="separate"/>
    </w:r>
    <w:r>
      <w:rPr>
        <w:rFonts w:ascii="宋体" w:hAnsi="宋体" w:eastAsia="宋体"/>
        <w:lang w:val="zh-CN"/>
      </w:rPr>
      <w:t>34</w:t>
    </w:r>
    <w:r>
      <w:rPr>
        <w:rFonts w:ascii="宋体" w:hAnsi="宋体" w:eastAsia="宋体"/>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A80616">
    <w:pPr>
      <w:pStyle w:val="22"/>
      <w:jc w:val="right"/>
    </w:pPr>
    <w:r>
      <w:t xml:space="preserve">    </w:t>
    </w:r>
    <w:r>
      <w:rPr>
        <w:rFonts w:hint="eastAsia"/>
      </w:rPr>
      <w:t xml:space="preserve">  </w:t>
    </w:r>
    <w:r>
      <w:t xml:space="preserve">    </w:t>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4D1AD5"/>
    <w:multiLevelType w:val="multilevel"/>
    <w:tmpl w:val="014D1AD5"/>
    <w:lvl w:ilvl="0" w:tentative="0">
      <w:start w:val="1"/>
      <w:numFmt w:val="decimal"/>
      <w:lvlText w:val="%1."/>
      <w:lvlJc w:val="left"/>
      <w:pPr>
        <w:ind w:left="900" w:hanging="420"/>
      </w:pPr>
      <w:rPr>
        <w:rFonts w:hint="default"/>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
    <w:nsid w:val="05A37B54"/>
    <w:multiLevelType w:val="multilevel"/>
    <w:tmpl w:val="05A37B54"/>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2">
    <w:nsid w:val="10786CF9"/>
    <w:multiLevelType w:val="multilevel"/>
    <w:tmpl w:val="10786CF9"/>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3">
    <w:nsid w:val="1106538A"/>
    <w:multiLevelType w:val="multilevel"/>
    <w:tmpl w:val="1106538A"/>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4">
    <w:nsid w:val="15E4081C"/>
    <w:multiLevelType w:val="multilevel"/>
    <w:tmpl w:val="15E4081C"/>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5">
    <w:nsid w:val="28E06165"/>
    <w:multiLevelType w:val="multilevel"/>
    <w:tmpl w:val="28E06165"/>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6">
    <w:nsid w:val="2C306271"/>
    <w:multiLevelType w:val="multilevel"/>
    <w:tmpl w:val="2C306271"/>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7">
    <w:nsid w:val="2C73774C"/>
    <w:multiLevelType w:val="multilevel"/>
    <w:tmpl w:val="2C73774C"/>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8">
    <w:nsid w:val="2E9D07D7"/>
    <w:multiLevelType w:val="multilevel"/>
    <w:tmpl w:val="2E9D07D7"/>
    <w:lvl w:ilvl="0" w:tentative="0">
      <w:start w:val="1"/>
      <w:numFmt w:val="bullet"/>
      <w:lvlText w:val=""/>
      <w:lvlJc w:val="left"/>
      <w:pPr>
        <w:ind w:left="900" w:hanging="420"/>
      </w:pPr>
      <w:rPr>
        <w:rFonts w:hint="default" w:ascii="Wingdings" w:hAnsi="Wingdings"/>
        <w:sz w:val="28"/>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9">
    <w:nsid w:val="31195087"/>
    <w:multiLevelType w:val="multilevel"/>
    <w:tmpl w:val="31195087"/>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0">
    <w:nsid w:val="31CF1F21"/>
    <w:multiLevelType w:val="multilevel"/>
    <w:tmpl w:val="31CF1F21"/>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1">
    <w:nsid w:val="35A07F98"/>
    <w:multiLevelType w:val="multilevel"/>
    <w:tmpl w:val="35A07F98"/>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2">
    <w:nsid w:val="38C474A0"/>
    <w:multiLevelType w:val="multilevel"/>
    <w:tmpl w:val="38C474A0"/>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3">
    <w:nsid w:val="39594C4B"/>
    <w:multiLevelType w:val="multilevel"/>
    <w:tmpl w:val="39594C4B"/>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4">
    <w:nsid w:val="3C3758A7"/>
    <w:multiLevelType w:val="multilevel"/>
    <w:tmpl w:val="3C3758A7"/>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5">
    <w:nsid w:val="3E935CEF"/>
    <w:multiLevelType w:val="multilevel"/>
    <w:tmpl w:val="3E935CEF"/>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6">
    <w:nsid w:val="420036B5"/>
    <w:multiLevelType w:val="multilevel"/>
    <w:tmpl w:val="420036B5"/>
    <w:lvl w:ilvl="0" w:tentative="0">
      <w:start w:val="1"/>
      <w:numFmt w:val="bullet"/>
      <w:lvlText w:val=""/>
      <w:lvlJc w:val="left"/>
      <w:pPr>
        <w:ind w:left="900" w:hanging="420"/>
      </w:pPr>
      <w:rPr>
        <w:rFonts w:hint="default" w:ascii="Symbol" w:hAnsi="Symbol"/>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7">
    <w:nsid w:val="45A75503"/>
    <w:multiLevelType w:val="multilevel"/>
    <w:tmpl w:val="45A75503"/>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8">
    <w:nsid w:val="46877285"/>
    <w:multiLevelType w:val="multilevel"/>
    <w:tmpl w:val="46877285"/>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9">
    <w:nsid w:val="4D3C385A"/>
    <w:multiLevelType w:val="multilevel"/>
    <w:tmpl w:val="4D3C385A"/>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20">
    <w:nsid w:val="4D823E55"/>
    <w:multiLevelType w:val="multilevel"/>
    <w:tmpl w:val="4D823E55"/>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1">
    <w:nsid w:val="4E5435E1"/>
    <w:multiLevelType w:val="multilevel"/>
    <w:tmpl w:val="4E5435E1"/>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2">
    <w:nsid w:val="511856B4"/>
    <w:multiLevelType w:val="multilevel"/>
    <w:tmpl w:val="511856B4"/>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23">
    <w:nsid w:val="55003216"/>
    <w:multiLevelType w:val="multilevel"/>
    <w:tmpl w:val="55003216"/>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24">
    <w:nsid w:val="55850AE5"/>
    <w:multiLevelType w:val="multilevel"/>
    <w:tmpl w:val="55850AE5"/>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25">
    <w:nsid w:val="587A7E8E"/>
    <w:multiLevelType w:val="multilevel"/>
    <w:tmpl w:val="587A7E8E"/>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26">
    <w:nsid w:val="5C876ABE"/>
    <w:multiLevelType w:val="multilevel"/>
    <w:tmpl w:val="5C876ABE"/>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27">
    <w:nsid w:val="5C8C2AFF"/>
    <w:multiLevelType w:val="multilevel"/>
    <w:tmpl w:val="5C8C2AFF"/>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28">
    <w:nsid w:val="61CF7E24"/>
    <w:multiLevelType w:val="multilevel"/>
    <w:tmpl w:val="61CF7E24"/>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29">
    <w:nsid w:val="6AC565B8"/>
    <w:multiLevelType w:val="multilevel"/>
    <w:tmpl w:val="6AC565B8"/>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30">
    <w:nsid w:val="763229FB"/>
    <w:multiLevelType w:val="multilevel"/>
    <w:tmpl w:val="763229FB"/>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31">
    <w:nsid w:val="76F72CAA"/>
    <w:multiLevelType w:val="multilevel"/>
    <w:tmpl w:val="76F72CAA"/>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2">
    <w:nsid w:val="7A03070F"/>
    <w:multiLevelType w:val="multilevel"/>
    <w:tmpl w:val="7A03070F"/>
    <w:lvl w:ilvl="0" w:tentative="0">
      <w:start w:val="1"/>
      <w:numFmt w:val="bullet"/>
      <w:lvlText w:val=""/>
      <w:lvlJc w:val="left"/>
      <w:pPr>
        <w:ind w:left="900" w:hanging="420"/>
      </w:pPr>
      <w:rPr>
        <w:rFonts w:hint="default" w:ascii="Symbol" w:hAnsi="Symbol"/>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33">
    <w:nsid w:val="7D660559"/>
    <w:multiLevelType w:val="multilevel"/>
    <w:tmpl w:val="7D660559"/>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34">
    <w:nsid w:val="7FDC5CE3"/>
    <w:multiLevelType w:val="multilevel"/>
    <w:tmpl w:val="7FDC5CE3"/>
    <w:lvl w:ilvl="0" w:tentative="0">
      <w:start w:val="1"/>
      <w:numFmt w:val="decimal"/>
      <w:pStyle w:val="2"/>
      <w:lvlText w:val="%1."/>
      <w:lvlJc w:val="left"/>
      <w:pPr>
        <w:ind w:left="420" w:hanging="420"/>
      </w:pPr>
      <w:rPr>
        <w:rFonts w:hint="eastAsia"/>
      </w:rPr>
    </w:lvl>
    <w:lvl w:ilvl="1" w:tentative="0">
      <w:start w:val="1"/>
      <w:numFmt w:val="decimal"/>
      <w:pStyle w:val="3"/>
      <w:isLgl/>
      <w:suff w:val="space"/>
      <w:lvlText w:val="%1.%2"/>
      <w:lvlJc w:val="left"/>
      <w:pPr>
        <w:ind w:left="0" w:firstLine="0"/>
      </w:pPr>
      <w:rPr>
        <w:rFonts w:hint="eastAsia"/>
      </w:rPr>
    </w:lvl>
    <w:lvl w:ilvl="2" w:tentative="0">
      <w:start w:val="1"/>
      <w:numFmt w:val="decimal"/>
      <w:pStyle w:val="4"/>
      <w:isLgl/>
      <w:suff w:val="space"/>
      <w:lvlText w:val="%1.%2.%3"/>
      <w:lvlJc w:val="left"/>
      <w:pPr>
        <w:ind w:left="0" w:firstLine="0"/>
      </w:pPr>
      <w:rPr>
        <w:rFonts w:hint="eastAsia"/>
      </w:rPr>
    </w:lvl>
    <w:lvl w:ilvl="3" w:tentative="0">
      <w:start w:val="1"/>
      <w:numFmt w:val="decimal"/>
      <w:pStyle w:val="5"/>
      <w:isLgl/>
      <w:suff w:val="space"/>
      <w:lvlText w:val="%1.%2.%3.%4"/>
      <w:lvlJc w:val="left"/>
      <w:pPr>
        <w:ind w:left="0" w:firstLine="0"/>
      </w:pPr>
      <w:rPr>
        <w:rFonts w:hint="eastAsia"/>
      </w:rPr>
    </w:lvl>
    <w:lvl w:ilvl="4" w:tentative="0">
      <w:start w:val="1"/>
      <w:numFmt w:val="decimal"/>
      <w:pStyle w:val="6"/>
      <w:isLgl/>
      <w:suff w:val="space"/>
      <w:lvlText w:val="%1.%2.%3.%4.%5"/>
      <w:lvlJc w:val="left"/>
      <w:pPr>
        <w:ind w:left="142" w:firstLine="0"/>
      </w:pPr>
      <w:rPr>
        <w:rFonts w:hint="eastAsia"/>
      </w:rPr>
    </w:lvl>
    <w:lvl w:ilvl="5" w:tentative="0">
      <w:start w:val="1"/>
      <w:numFmt w:val="decimal"/>
      <w:pStyle w:val="7"/>
      <w:isLgl/>
      <w:suff w:val="space"/>
      <w:lvlText w:val="%1.%2.%3.%4.%5.%6"/>
      <w:lvlJc w:val="left"/>
      <w:pPr>
        <w:ind w:left="4536" w:firstLine="0"/>
      </w:pPr>
      <w:rPr>
        <w:rFonts w:hint="eastAsia"/>
      </w:rPr>
    </w:lvl>
    <w:lvl w:ilvl="6" w:tentative="0">
      <w:start w:val="1"/>
      <w:numFmt w:val="decimal"/>
      <w:pStyle w:val="8"/>
      <w:isLgl/>
      <w:suff w:val="space"/>
      <w:lvlText w:val="%1.%2.%3.%4.%5.%6.%7"/>
      <w:lvlJc w:val="left"/>
      <w:pPr>
        <w:ind w:left="0" w:firstLine="0"/>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34"/>
  </w:num>
  <w:num w:numId="2">
    <w:abstractNumId w:val="1"/>
  </w:num>
  <w:num w:numId="3">
    <w:abstractNumId w:val="27"/>
  </w:num>
  <w:num w:numId="4">
    <w:abstractNumId w:val="19"/>
  </w:num>
  <w:num w:numId="5">
    <w:abstractNumId w:val="9"/>
  </w:num>
  <w:num w:numId="6">
    <w:abstractNumId w:val="13"/>
  </w:num>
  <w:num w:numId="7">
    <w:abstractNumId w:val="28"/>
  </w:num>
  <w:num w:numId="8">
    <w:abstractNumId w:val="22"/>
  </w:num>
  <w:num w:numId="9">
    <w:abstractNumId w:val="25"/>
  </w:num>
  <w:num w:numId="10">
    <w:abstractNumId w:val="4"/>
  </w:num>
  <w:num w:numId="11">
    <w:abstractNumId w:val="3"/>
  </w:num>
  <w:num w:numId="12">
    <w:abstractNumId w:val="24"/>
  </w:num>
  <w:num w:numId="13">
    <w:abstractNumId w:val="7"/>
  </w:num>
  <w:num w:numId="14">
    <w:abstractNumId w:val="10"/>
  </w:num>
  <w:num w:numId="15">
    <w:abstractNumId w:val="23"/>
  </w:num>
  <w:num w:numId="16">
    <w:abstractNumId w:val="26"/>
  </w:num>
  <w:num w:numId="17">
    <w:abstractNumId w:val="18"/>
  </w:num>
  <w:num w:numId="18">
    <w:abstractNumId w:val="2"/>
  </w:num>
  <w:num w:numId="19">
    <w:abstractNumId w:val="17"/>
  </w:num>
  <w:num w:numId="20">
    <w:abstractNumId w:val="30"/>
  </w:num>
  <w:num w:numId="21">
    <w:abstractNumId w:val="29"/>
  </w:num>
  <w:num w:numId="22">
    <w:abstractNumId w:val="5"/>
  </w:num>
  <w:num w:numId="23">
    <w:abstractNumId w:val="12"/>
  </w:num>
  <w:num w:numId="24">
    <w:abstractNumId w:val="6"/>
  </w:num>
  <w:num w:numId="25">
    <w:abstractNumId w:val="0"/>
  </w:num>
  <w:num w:numId="26">
    <w:abstractNumId w:val="21"/>
  </w:num>
  <w:num w:numId="27">
    <w:abstractNumId w:val="15"/>
  </w:num>
  <w:num w:numId="28">
    <w:abstractNumId w:val="20"/>
  </w:num>
  <w:num w:numId="29">
    <w:abstractNumId w:val="31"/>
  </w:num>
  <w:num w:numId="30">
    <w:abstractNumId w:val="11"/>
  </w:num>
  <w:num w:numId="31">
    <w:abstractNumId w:val="8"/>
  </w:num>
  <w:num w:numId="32">
    <w:abstractNumId w:val="33"/>
  </w:num>
  <w:num w:numId="33">
    <w:abstractNumId w:val="14"/>
  </w:num>
  <w:num w:numId="34">
    <w:abstractNumId w:val="16"/>
  </w:num>
  <w:num w:numId="35">
    <w:abstractNumId w:val="32"/>
  </w:num>
  <w:num w:numId="3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removePersonalInformation/>
  <w:bordersDoNotSurroundHeader w:val="1"/>
  <w:bordersDoNotSurroundFooter w:val="1"/>
  <w:hideSpellingErrors/>
  <w:documentProtection w:enforcement="0"/>
  <w:styleLockTheme/>
  <w:styleLockQFSet/>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6DE3"/>
    <w:rsid w:val="000012ED"/>
    <w:rsid w:val="00002571"/>
    <w:rsid w:val="0000492A"/>
    <w:rsid w:val="000049C6"/>
    <w:rsid w:val="000056EF"/>
    <w:rsid w:val="00011DFB"/>
    <w:rsid w:val="00012FAC"/>
    <w:rsid w:val="00013F87"/>
    <w:rsid w:val="0001454B"/>
    <w:rsid w:val="00014B09"/>
    <w:rsid w:val="00015E3E"/>
    <w:rsid w:val="00015E56"/>
    <w:rsid w:val="00016DB6"/>
    <w:rsid w:val="0002278E"/>
    <w:rsid w:val="00031210"/>
    <w:rsid w:val="0003247A"/>
    <w:rsid w:val="00032D7E"/>
    <w:rsid w:val="000342F8"/>
    <w:rsid w:val="0003509A"/>
    <w:rsid w:val="0004075B"/>
    <w:rsid w:val="00042B60"/>
    <w:rsid w:val="000565D4"/>
    <w:rsid w:val="00061566"/>
    <w:rsid w:val="00062840"/>
    <w:rsid w:val="0006306F"/>
    <w:rsid w:val="00067183"/>
    <w:rsid w:val="00070E4F"/>
    <w:rsid w:val="00071A6E"/>
    <w:rsid w:val="000720F0"/>
    <w:rsid w:val="00073AB3"/>
    <w:rsid w:val="00073BF0"/>
    <w:rsid w:val="00081AEE"/>
    <w:rsid w:val="00081EA2"/>
    <w:rsid w:val="000820BF"/>
    <w:rsid w:val="00085B36"/>
    <w:rsid w:val="00092C46"/>
    <w:rsid w:val="000930BE"/>
    <w:rsid w:val="00093511"/>
    <w:rsid w:val="00093BC8"/>
    <w:rsid w:val="00096298"/>
    <w:rsid w:val="0009704C"/>
    <w:rsid w:val="000A0B43"/>
    <w:rsid w:val="000A120B"/>
    <w:rsid w:val="000A252E"/>
    <w:rsid w:val="000A2D4D"/>
    <w:rsid w:val="000A5BF3"/>
    <w:rsid w:val="000B1DA3"/>
    <w:rsid w:val="000B3C22"/>
    <w:rsid w:val="000B4A32"/>
    <w:rsid w:val="000B51CE"/>
    <w:rsid w:val="000B7435"/>
    <w:rsid w:val="000C22D1"/>
    <w:rsid w:val="000C57C3"/>
    <w:rsid w:val="000C6553"/>
    <w:rsid w:val="000D7068"/>
    <w:rsid w:val="000D7763"/>
    <w:rsid w:val="000E0D77"/>
    <w:rsid w:val="000E1E11"/>
    <w:rsid w:val="000E64E3"/>
    <w:rsid w:val="000E7074"/>
    <w:rsid w:val="000F0C40"/>
    <w:rsid w:val="000F2E7E"/>
    <w:rsid w:val="000F6898"/>
    <w:rsid w:val="001018CA"/>
    <w:rsid w:val="00101B3C"/>
    <w:rsid w:val="00102116"/>
    <w:rsid w:val="00102B21"/>
    <w:rsid w:val="00103B7B"/>
    <w:rsid w:val="001047B6"/>
    <w:rsid w:val="00106D5E"/>
    <w:rsid w:val="00107BA9"/>
    <w:rsid w:val="0011131B"/>
    <w:rsid w:val="00112E03"/>
    <w:rsid w:val="001142C4"/>
    <w:rsid w:val="00114984"/>
    <w:rsid w:val="00114A6B"/>
    <w:rsid w:val="00125788"/>
    <w:rsid w:val="001307CC"/>
    <w:rsid w:val="001354C4"/>
    <w:rsid w:val="001363C5"/>
    <w:rsid w:val="00140638"/>
    <w:rsid w:val="00140BE1"/>
    <w:rsid w:val="001433F9"/>
    <w:rsid w:val="00144A12"/>
    <w:rsid w:val="00144BE1"/>
    <w:rsid w:val="00144E95"/>
    <w:rsid w:val="001478AF"/>
    <w:rsid w:val="00147983"/>
    <w:rsid w:val="00150263"/>
    <w:rsid w:val="00151C3C"/>
    <w:rsid w:val="00153F85"/>
    <w:rsid w:val="001579EC"/>
    <w:rsid w:val="001650D4"/>
    <w:rsid w:val="0016565B"/>
    <w:rsid w:val="00170987"/>
    <w:rsid w:val="00170DC0"/>
    <w:rsid w:val="00170E34"/>
    <w:rsid w:val="001758DD"/>
    <w:rsid w:val="00176AAB"/>
    <w:rsid w:val="00181BCB"/>
    <w:rsid w:val="00184103"/>
    <w:rsid w:val="001859FB"/>
    <w:rsid w:val="00190886"/>
    <w:rsid w:val="0019280E"/>
    <w:rsid w:val="00197332"/>
    <w:rsid w:val="00197AE6"/>
    <w:rsid w:val="001A0D56"/>
    <w:rsid w:val="001A1A80"/>
    <w:rsid w:val="001A2ECF"/>
    <w:rsid w:val="001A407A"/>
    <w:rsid w:val="001A6C80"/>
    <w:rsid w:val="001A741F"/>
    <w:rsid w:val="001A7B2E"/>
    <w:rsid w:val="001B0C22"/>
    <w:rsid w:val="001B1185"/>
    <w:rsid w:val="001B3D30"/>
    <w:rsid w:val="001C0765"/>
    <w:rsid w:val="001C225F"/>
    <w:rsid w:val="001C4662"/>
    <w:rsid w:val="001C5B32"/>
    <w:rsid w:val="001D00E0"/>
    <w:rsid w:val="001E24F1"/>
    <w:rsid w:val="001E349A"/>
    <w:rsid w:val="001E4ED7"/>
    <w:rsid w:val="001E6D41"/>
    <w:rsid w:val="001F1099"/>
    <w:rsid w:val="001F47F2"/>
    <w:rsid w:val="001F534F"/>
    <w:rsid w:val="001F5DF4"/>
    <w:rsid w:val="00202D92"/>
    <w:rsid w:val="00203A5B"/>
    <w:rsid w:val="002127A0"/>
    <w:rsid w:val="00213E20"/>
    <w:rsid w:val="002155DD"/>
    <w:rsid w:val="00221059"/>
    <w:rsid w:val="00221F81"/>
    <w:rsid w:val="00224C38"/>
    <w:rsid w:val="00225159"/>
    <w:rsid w:val="00230999"/>
    <w:rsid w:val="00233A10"/>
    <w:rsid w:val="00234476"/>
    <w:rsid w:val="00236B56"/>
    <w:rsid w:val="0023722D"/>
    <w:rsid w:val="0024133C"/>
    <w:rsid w:val="00242852"/>
    <w:rsid w:val="0024655F"/>
    <w:rsid w:val="002510FD"/>
    <w:rsid w:val="00251F6A"/>
    <w:rsid w:val="0025293C"/>
    <w:rsid w:val="00254304"/>
    <w:rsid w:val="00254F40"/>
    <w:rsid w:val="002662A3"/>
    <w:rsid w:val="0026757F"/>
    <w:rsid w:val="002676AC"/>
    <w:rsid w:val="002708B4"/>
    <w:rsid w:val="00271797"/>
    <w:rsid w:val="0027308D"/>
    <w:rsid w:val="00275008"/>
    <w:rsid w:val="00290BF3"/>
    <w:rsid w:val="002919F8"/>
    <w:rsid w:val="002921C3"/>
    <w:rsid w:val="00294944"/>
    <w:rsid w:val="002964EF"/>
    <w:rsid w:val="00296CD6"/>
    <w:rsid w:val="002A0805"/>
    <w:rsid w:val="002A31A1"/>
    <w:rsid w:val="002A4BB8"/>
    <w:rsid w:val="002A73EC"/>
    <w:rsid w:val="002B04C8"/>
    <w:rsid w:val="002B0B44"/>
    <w:rsid w:val="002B373B"/>
    <w:rsid w:val="002B41D1"/>
    <w:rsid w:val="002B600D"/>
    <w:rsid w:val="002C3844"/>
    <w:rsid w:val="002C4C47"/>
    <w:rsid w:val="002C5308"/>
    <w:rsid w:val="002C544A"/>
    <w:rsid w:val="002C5B60"/>
    <w:rsid w:val="002D246E"/>
    <w:rsid w:val="002D3E86"/>
    <w:rsid w:val="002D5400"/>
    <w:rsid w:val="002E0629"/>
    <w:rsid w:val="002E26CA"/>
    <w:rsid w:val="002E574A"/>
    <w:rsid w:val="002E57DE"/>
    <w:rsid w:val="002E6815"/>
    <w:rsid w:val="002E7EEC"/>
    <w:rsid w:val="002F05DC"/>
    <w:rsid w:val="002F4B43"/>
    <w:rsid w:val="002F5172"/>
    <w:rsid w:val="002F5BF6"/>
    <w:rsid w:val="002F6258"/>
    <w:rsid w:val="002F7F28"/>
    <w:rsid w:val="003020A0"/>
    <w:rsid w:val="0030239B"/>
    <w:rsid w:val="00303421"/>
    <w:rsid w:val="00303A3E"/>
    <w:rsid w:val="00304175"/>
    <w:rsid w:val="00306F0F"/>
    <w:rsid w:val="0031355F"/>
    <w:rsid w:val="00313A92"/>
    <w:rsid w:val="003147CF"/>
    <w:rsid w:val="0031625A"/>
    <w:rsid w:val="003168CD"/>
    <w:rsid w:val="00320C51"/>
    <w:rsid w:val="00324DFB"/>
    <w:rsid w:val="003258A5"/>
    <w:rsid w:val="003261A7"/>
    <w:rsid w:val="0032797C"/>
    <w:rsid w:val="0033090B"/>
    <w:rsid w:val="00331C24"/>
    <w:rsid w:val="00333BB1"/>
    <w:rsid w:val="0033412A"/>
    <w:rsid w:val="00334DF8"/>
    <w:rsid w:val="00336DE3"/>
    <w:rsid w:val="00341672"/>
    <w:rsid w:val="00344C09"/>
    <w:rsid w:val="00351733"/>
    <w:rsid w:val="00354610"/>
    <w:rsid w:val="003546DB"/>
    <w:rsid w:val="00355B03"/>
    <w:rsid w:val="00355B63"/>
    <w:rsid w:val="0036172F"/>
    <w:rsid w:val="00362563"/>
    <w:rsid w:val="0036299A"/>
    <w:rsid w:val="0036336B"/>
    <w:rsid w:val="003667F6"/>
    <w:rsid w:val="003707A7"/>
    <w:rsid w:val="00370CD0"/>
    <w:rsid w:val="00372566"/>
    <w:rsid w:val="00372AA0"/>
    <w:rsid w:val="00374CDC"/>
    <w:rsid w:val="00375C7F"/>
    <w:rsid w:val="00381DB2"/>
    <w:rsid w:val="00382732"/>
    <w:rsid w:val="00384BCE"/>
    <w:rsid w:val="00385C3D"/>
    <w:rsid w:val="00387A76"/>
    <w:rsid w:val="00394795"/>
    <w:rsid w:val="00395224"/>
    <w:rsid w:val="003A09A2"/>
    <w:rsid w:val="003A3E76"/>
    <w:rsid w:val="003A424C"/>
    <w:rsid w:val="003A45B0"/>
    <w:rsid w:val="003B67AE"/>
    <w:rsid w:val="003B7D49"/>
    <w:rsid w:val="003C1362"/>
    <w:rsid w:val="003C1A8B"/>
    <w:rsid w:val="003D16B4"/>
    <w:rsid w:val="003D2A76"/>
    <w:rsid w:val="003D2BD5"/>
    <w:rsid w:val="003D4AE4"/>
    <w:rsid w:val="003D5020"/>
    <w:rsid w:val="003D6832"/>
    <w:rsid w:val="003F2752"/>
    <w:rsid w:val="003F2E9C"/>
    <w:rsid w:val="003F4121"/>
    <w:rsid w:val="003F4841"/>
    <w:rsid w:val="003F4C90"/>
    <w:rsid w:val="003F7828"/>
    <w:rsid w:val="00406484"/>
    <w:rsid w:val="004119C7"/>
    <w:rsid w:val="00412F6F"/>
    <w:rsid w:val="00413949"/>
    <w:rsid w:val="00415BED"/>
    <w:rsid w:val="004162D1"/>
    <w:rsid w:val="00423C88"/>
    <w:rsid w:val="00424F28"/>
    <w:rsid w:val="00425EF2"/>
    <w:rsid w:val="0043122F"/>
    <w:rsid w:val="00432878"/>
    <w:rsid w:val="00433044"/>
    <w:rsid w:val="00433AFF"/>
    <w:rsid w:val="0043428B"/>
    <w:rsid w:val="004360DC"/>
    <w:rsid w:val="0044101F"/>
    <w:rsid w:val="004424F3"/>
    <w:rsid w:val="00444E08"/>
    <w:rsid w:val="00447D72"/>
    <w:rsid w:val="00451378"/>
    <w:rsid w:val="0045328F"/>
    <w:rsid w:val="00455CBE"/>
    <w:rsid w:val="00462B7B"/>
    <w:rsid w:val="0046346D"/>
    <w:rsid w:val="0046352A"/>
    <w:rsid w:val="00464EF0"/>
    <w:rsid w:val="00467955"/>
    <w:rsid w:val="00470721"/>
    <w:rsid w:val="0047293B"/>
    <w:rsid w:val="00477045"/>
    <w:rsid w:val="00477D64"/>
    <w:rsid w:val="00481CB8"/>
    <w:rsid w:val="00481D7D"/>
    <w:rsid w:val="00483056"/>
    <w:rsid w:val="00486D24"/>
    <w:rsid w:val="004972EB"/>
    <w:rsid w:val="00497824"/>
    <w:rsid w:val="004A042F"/>
    <w:rsid w:val="004A3292"/>
    <w:rsid w:val="004B0A06"/>
    <w:rsid w:val="004B1577"/>
    <w:rsid w:val="004B47DB"/>
    <w:rsid w:val="004B573D"/>
    <w:rsid w:val="004B5F47"/>
    <w:rsid w:val="004C24F8"/>
    <w:rsid w:val="004C5A8E"/>
    <w:rsid w:val="004D221D"/>
    <w:rsid w:val="004D3102"/>
    <w:rsid w:val="004D5110"/>
    <w:rsid w:val="004D5140"/>
    <w:rsid w:val="004D7B71"/>
    <w:rsid w:val="004E1708"/>
    <w:rsid w:val="004E4BD7"/>
    <w:rsid w:val="004F04A4"/>
    <w:rsid w:val="004F321C"/>
    <w:rsid w:val="004F5B2E"/>
    <w:rsid w:val="004F63A9"/>
    <w:rsid w:val="00500159"/>
    <w:rsid w:val="00502283"/>
    <w:rsid w:val="005030EA"/>
    <w:rsid w:val="0050367A"/>
    <w:rsid w:val="00504A95"/>
    <w:rsid w:val="00506A6F"/>
    <w:rsid w:val="00514372"/>
    <w:rsid w:val="00517D95"/>
    <w:rsid w:val="00520E4C"/>
    <w:rsid w:val="005244B3"/>
    <w:rsid w:val="005246B5"/>
    <w:rsid w:val="005250D6"/>
    <w:rsid w:val="005271D1"/>
    <w:rsid w:val="00531351"/>
    <w:rsid w:val="00532161"/>
    <w:rsid w:val="00533B42"/>
    <w:rsid w:val="00533E3D"/>
    <w:rsid w:val="005340D9"/>
    <w:rsid w:val="0053571B"/>
    <w:rsid w:val="005370D3"/>
    <w:rsid w:val="0053779D"/>
    <w:rsid w:val="005379C7"/>
    <w:rsid w:val="00544EF7"/>
    <w:rsid w:val="005451E2"/>
    <w:rsid w:val="00545443"/>
    <w:rsid w:val="00545A88"/>
    <w:rsid w:val="00551FEC"/>
    <w:rsid w:val="00553A97"/>
    <w:rsid w:val="00560D11"/>
    <w:rsid w:val="00562144"/>
    <w:rsid w:val="0056231E"/>
    <w:rsid w:val="00564102"/>
    <w:rsid w:val="005654A9"/>
    <w:rsid w:val="00565EC2"/>
    <w:rsid w:val="00565FC0"/>
    <w:rsid w:val="005677BD"/>
    <w:rsid w:val="00571916"/>
    <w:rsid w:val="00571E0B"/>
    <w:rsid w:val="00575CEC"/>
    <w:rsid w:val="00580889"/>
    <w:rsid w:val="00582B49"/>
    <w:rsid w:val="0058735A"/>
    <w:rsid w:val="00587ACA"/>
    <w:rsid w:val="005932C9"/>
    <w:rsid w:val="005933D3"/>
    <w:rsid w:val="005947E7"/>
    <w:rsid w:val="005A2E10"/>
    <w:rsid w:val="005A52E4"/>
    <w:rsid w:val="005A5843"/>
    <w:rsid w:val="005B2634"/>
    <w:rsid w:val="005B4315"/>
    <w:rsid w:val="005B4FAD"/>
    <w:rsid w:val="005B6121"/>
    <w:rsid w:val="005C0554"/>
    <w:rsid w:val="005C15D3"/>
    <w:rsid w:val="005C352D"/>
    <w:rsid w:val="005C69AD"/>
    <w:rsid w:val="005D0284"/>
    <w:rsid w:val="005D77EF"/>
    <w:rsid w:val="005E12A8"/>
    <w:rsid w:val="005E134D"/>
    <w:rsid w:val="005E2000"/>
    <w:rsid w:val="005E47CE"/>
    <w:rsid w:val="005E61EC"/>
    <w:rsid w:val="005F058B"/>
    <w:rsid w:val="005F0FE7"/>
    <w:rsid w:val="005F17B6"/>
    <w:rsid w:val="005F3E16"/>
    <w:rsid w:val="005F6327"/>
    <w:rsid w:val="00600276"/>
    <w:rsid w:val="00600F1C"/>
    <w:rsid w:val="00601AEF"/>
    <w:rsid w:val="00605ADE"/>
    <w:rsid w:val="0060664C"/>
    <w:rsid w:val="00607965"/>
    <w:rsid w:val="00610D4F"/>
    <w:rsid w:val="006140D4"/>
    <w:rsid w:val="00620CC5"/>
    <w:rsid w:val="006219E7"/>
    <w:rsid w:val="0063035F"/>
    <w:rsid w:val="006329F6"/>
    <w:rsid w:val="00640951"/>
    <w:rsid w:val="00641E04"/>
    <w:rsid w:val="0064282D"/>
    <w:rsid w:val="00645A6A"/>
    <w:rsid w:val="006504FE"/>
    <w:rsid w:val="00651CFD"/>
    <w:rsid w:val="0065256A"/>
    <w:rsid w:val="00652E69"/>
    <w:rsid w:val="006540CF"/>
    <w:rsid w:val="00656686"/>
    <w:rsid w:val="006644C5"/>
    <w:rsid w:val="00673386"/>
    <w:rsid w:val="0067684C"/>
    <w:rsid w:val="00677414"/>
    <w:rsid w:val="00677D1C"/>
    <w:rsid w:val="00681175"/>
    <w:rsid w:val="00681329"/>
    <w:rsid w:val="00683141"/>
    <w:rsid w:val="00683229"/>
    <w:rsid w:val="00683C57"/>
    <w:rsid w:val="006845E9"/>
    <w:rsid w:val="00686044"/>
    <w:rsid w:val="00691CE5"/>
    <w:rsid w:val="00692E3D"/>
    <w:rsid w:val="0069576D"/>
    <w:rsid w:val="006960FF"/>
    <w:rsid w:val="00697A9B"/>
    <w:rsid w:val="006A12AE"/>
    <w:rsid w:val="006A2066"/>
    <w:rsid w:val="006A3DC5"/>
    <w:rsid w:val="006A5263"/>
    <w:rsid w:val="006B0531"/>
    <w:rsid w:val="006B3B55"/>
    <w:rsid w:val="006B3D8D"/>
    <w:rsid w:val="006B667C"/>
    <w:rsid w:val="006C06E9"/>
    <w:rsid w:val="006C0703"/>
    <w:rsid w:val="006C3A2F"/>
    <w:rsid w:val="006C651B"/>
    <w:rsid w:val="006D0FDA"/>
    <w:rsid w:val="006D302B"/>
    <w:rsid w:val="006D6E8F"/>
    <w:rsid w:val="006D78D2"/>
    <w:rsid w:val="006E292F"/>
    <w:rsid w:val="006E6A28"/>
    <w:rsid w:val="006E7A33"/>
    <w:rsid w:val="006E7E6D"/>
    <w:rsid w:val="006F17A6"/>
    <w:rsid w:val="006F6496"/>
    <w:rsid w:val="006F7720"/>
    <w:rsid w:val="006F7F50"/>
    <w:rsid w:val="007030FC"/>
    <w:rsid w:val="00703223"/>
    <w:rsid w:val="0070770D"/>
    <w:rsid w:val="00707BD3"/>
    <w:rsid w:val="00710F60"/>
    <w:rsid w:val="00713FA3"/>
    <w:rsid w:val="00720440"/>
    <w:rsid w:val="00720710"/>
    <w:rsid w:val="00720BEA"/>
    <w:rsid w:val="00724F53"/>
    <w:rsid w:val="00725797"/>
    <w:rsid w:val="0073056E"/>
    <w:rsid w:val="00731778"/>
    <w:rsid w:val="007350F2"/>
    <w:rsid w:val="007400FF"/>
    <w:rsid w:val="00741AD3"/>
    <w:rsid w:val="00743F79"/>
    <w:rsid w:val="007446FB"/>
    <w:rsid w:val="00745684"/>
    <w:rsid w:val="007459B1"/>
    <w:rsid w:val="00750603"/>
    <w:rsid w:val="00754257"/>
    <w:rsid w:val="00754C4E"/>
    <w:rsid w:val="00762FC5"/>
    <w:rsid w:val="007641CC"/>
    <w:rsid w:val="007654AE"/>
    <w:rsid w:val="007670E3"/>
    <w:rsid w:val="007679BB"/>
    <w:rsid w:val="00770575"/>
    <w:rsid w:val="007758D2"/>
    <w:rsid w:val="00777732"/>
    <w:rsid w:val="00781665"/>
    <w:rsid w:val="0078416A"/>
    <w:rsid w:val="00785880"/>
    <w:rsid w:val="0079045F"/>
    <w:rsid w:val="00791DBD"/>
    <w:rsid w:val="00797C9E"/>
    <w:rsid w:val="007A01A3"/>
    <w:rsid w:val="007A0F69"/>
    <w:rsid w:val="007A363E"/>
    <w:rsid w:val="007A5444"/>
    <w:rsid w:val="007A5525"/>
    <w:rsid w:val="007A7F82"/>
    <w:rsid w:val="007B54AF"/>
    <w:rsid w:val="007B6A66"/>
    <w:rsid w:val="007C0603"/>
    <w:rsid w:val="007C7A96"/>
    <w:rsid w:val="007C7E04"/>
    <w:rsid w:val="007D024A"/>
    <w:rsid w:val="007D733F"/>
    <w:rsid w:val="007E59F6"/>
    <w:rsid w:val="007E682B"/>
    <w:rsid w:val="007F06D1"/>
    <w:rsid w:val="007F1FB6"/>
    <w:rsid w:val="007F43D7"/>
    <w:rsid w:val="007F7177"/>
    <w:rsid w:val="008000F6"/>
    <w:rsid w:val="0080109D"/>
    <w:rsid w:val="008105CF"/>
    <w:rsid w:val="00823D99"/>
    <w:rsid w:val="00834E97"/>
    <w:rsid w:val="00835EEB"/>
    <w:rsid w:val="0084471A"/>
    <w:rsid w:val="0084719A"/>
    <w:rsid w:val="00850993"/>
    <w:rsid w:val="00851583"/>
    <w:rsid w:val="0085421B"/>
    <w:rsid w:val="00857B3A"/>
    <w:rsid w:val="008672C5"/>
    <w:rsid w:val="008701A7"/>
    <w:rsid w:val="00872969"/>
    <w:rsid w:val="0088037D"/>
    <w:rsid w:val="008827BF"/>
    <w:rsid w:val="008850BA"/>
    <w:rsid w:val="00885FA1"/>
    <w:rsid w:val="00892F19"/>
    <w:rsid w:val="008941BE"/>
    <w:rsid w:val="008957DE"/>
    <w:rsid w:val="008968A1"/>
    <w:rsid w:val="00897BDD"/>
    <w:rsid w:val="008A01D1"/>
    <w:rsid w:val="008A0E70"/>
    <w:rsid w:val="008A1835"/>
    <w:rsid w:val="008A2263"/>
    <w:rsid w:val="008A3024"/>
    <w:rsid w:val="008A6203"/>
    <w:rsid w:val="008A6DCB"/>
    <w:rsid w:val="008B013A"/>
    <w:rsid w:val="008B5D30"/>
    <w:rsid w:val="008B6720"/>
    <w:rsid w:val="008B7193"/>
    <w:rsid w:val="008C10B1"/>
    <w:rsid w:val="008C158C"/>
    <w:rsid w:val="008C1E47"/>
    <w:rsid w:val="008C1E5C"/>
    <w:rsid w:val="008C393C"/>
    <w:rsid w:val="008C6370"/>
    <w:rsid w:val="008C71E3"/>
    <w:rsid w:val="008D147F"/>
    <w:rsid w:val="008D14CC"/>
    <w:rsid w:val="008D19EA"/>
    <w:rsid w:val="008D1BBB"/>
    <w:rsid w:val="008E0259"/>
    <w:rsid w:val="008E348F"/>
    <w:rsid w:val="008E4C9E"/>
    <w:rsid w:val="008E75E7"/>
    <w:rsid w:val="008E7BB5"/>
    <w:rsid w:val="008F1BA4"/>
    <w:rsid w:val="008F696E"/>
    <w:rsid w:val="00901918"/>
    <w:rsid w:val="00905050"/>
    <w:rsid w:val="0090546A"/>
    <w:rsid w:val="00906A03"/>
    <w:rsid w:val="00907CEE"/>
    <w:rsid w:val="009101E4"/>
    <w:rsid w:val="00913139"/>
    <w:rsid w:val="00914BBD"/>
    <w:rsid w:val="00917CA6"/>
    <w:rsid w:val="00924FD4"/>
    <w:rsid w:val="00926C01"/>
    <w:rsid w:val="00931D37"/>
    <w:rsid w:val="00932A07"/>
    <w:rsid w:val="009334AE"/>
    <w:rsid w:val="009343F4"/>
    <w:rsid w:val="009351A8"/>
    <w:rsid w:val="00935398"/>
    <w:rsid w:val="00944AA3"/>
    <w:rsid w:val="00946596"/>
    <w:rsid w:val="00947859"/>
    <w:rsid w:val="00950998"/>
    <w:rsid w:val="009517F5"/>
    <w:rsid w:val="00953BCD"/>
    <w:rsid w:val="00957A18"/>
    <w:rsid w:val="00957F50"/>
    <w:rsid w:val="009658B1"/>
    <w:rsid w:val="009705DA"/>
    <w:rsid w:val="00970FC7"/>
    <w:rsid w:val="00971299"/>
    <w:rsid w:val="00973502"/>
    <w:rsid w:val="009761F3"/>
    <w:rsid w:val="0098200A"/>
    <w:rsid w:val="0098228F"/>
    <w:rsid w:val="00984B22"/>
    <w:rsid w:val="0098758D"/>
    <w:rsid w:val="00992FD6"/>
    <w:rsid w:val="009941D8"/>
    <w:rsid w:val="00994812"/>
    <w:rsid w:val="00995A01"/>
    <w:rsid w:val="00997037"/>
    <w:rsid w:val="009979FC"/>
    <w:rsid w:val="009A04C8"/>
    <w:rsid w:val="009A0575"/>
    <w:rsid w:val="009A2052"/>
    <w:rsid w:val="009A2AFD"/>
    <w:rsid w:val="009B0177"/>
    <w:rsid w:val="009B23DF"/>
    <w:rsid w:val="009B604D"/>
    <w:rsid w:val="009B7F01"/>
    <w:rsid w:val="009C0302"/>
    <w:rsid w:val="009C0727"/>
    <w:rsid w:val="009C58C8"/>
    <w:rsid w:val="009C6589"/>
    <w:rsid w:val="009D1858"/>
    <w:rsid w:val="009D3DE1"/>
    <w:rsid w:val="009E0454"/>
    <w:rsid w:val="009E0C34"/>
    <w:rsid w:val="009E25A0"/>
    <w:rsid w:val="009E6ACA"/>
    <w:rsid w:val="009E7D40"/>
    <w:rsid w:val="009F1BE6"/>
    <w:rsid w:val="009F3BC2"/>
    <w:rsid w:val="009F5762"/>
    <w:rsid w:val="00A002F4"/>
    <w:rsid w:val="00A01F4E"/>
    <w:rsid w:val="00A03825"/>
    <w:rsid w:val="00A05788"/>
    <w:rsid w:val="00A10810"/>
    <w:rsid w:val="00A12A7E"/>
    <w:rsid w:val="00A13A97"/>
    <w:rsid w:val="00A16E08"/>
    <w:rsid w:val="00A20D9D"/>
    <w:rsid w:val="00A22906"/>
    <w:rsid w:val="00A320DD"/>
    <w:rsid w:val="00A33F5F"/>
    <w:rsid w:val="00A35068"/>
    <w:rsid w:val="00A35E24"/>
    <w:rsid w:val="00A3768F"/>
    <w:rsid w:val="00A403DB"/>
    <w:rsid w:val="00A40B3B"/>
    <w:rsid w:val="00A45CF9"/>
    <w:rsid w:val="00A46EDA"/>
    <w:rsid w:val="00A56B95"/>
    <w:rsid w:val="00A5718C"/>
    <w:rsid w:val="00A61C37"/>
    <w:rsid w:val="00A66967"/>
    <w:rsid w:val="00A709B4"/>
    <w:rsid w:val="00A80B1A"/>
    <w:rsid w:val="00A80E06"/>
    <w:rsid w:val="00A81BC8"/>
    <w:rsid w:val="00A860A6"/>
    <w:rsid w:val="00A90525"/>
    <w:rsid w:val="00A921CB"/>
    <w:rsid w:val="00A94159"/>
    <w:rsid w:val="00AA0C55"/>
    <w:rsid w:val="00AA1F7B"/>
    <w:rsid w:val="00AA324E"/>
    <w:rsid w:val="00AA4606"/>
    <w:rsid w:val="00AA5D67"/>
    <w:rsid w:val="00AA5F13"/>
    <w:rsid w:val="00AB2196"/>
    <w:rsid w:val="00AB31C4"/>
    <w:rsid w:val="00AC398D"/>
    <w:rsid w:val="00AC5192"/>
    <w:rsid w:val="00AC54D9"/>
    <w:rsid w:val="00AD1AD1"/>
    <w:rsid w:val="00AD2AB0"/>
    <w:rsid w:val="00AE2FC2"/>
    <w:rsid w:val="00AE7825"/>
    <w:rsid w:val="00AF0F21"/>
    <w:rsid w:val="00B011F3"/>
    <w:rsid w:val="00B01C44"/>
    <w:rsid w:val="00B022FB"/>
    <w:rsid w:val="00B148B7"/>
    <w:rsid w:val="00B16B3D"/>
    <w:rsid w:val="00B16F7A"/>
    <w:rsid w:val="00B17379"/>
    <w:rsid w:val="00B2604C"/>
    <w:rsid w:val="00B26C0B"/>
    <w:rsid w:val="00B30C37"/>
    <w:rsid w:val="00B32CC0"/>
    <w:rsid w:val="00B3768D"/>
    <w:rsid w:val="00B40308"/>
    <w:rsid w:val="00B423C5"/>
    <w:rsid w:val="00B445E6"/>
    <w:rsid w:val="00B47083"/>
    <w:rsid w:val="00B47C7D"/>
    <w:rsid w:val="00B500E5"/>
    <w:rsid w:val="00B52A04"/>
    <w:rsid w:val="00B53AEF"/>
    <w:rsid w:val="00B57A3A"/>
    <w:rsid w:val="00B606B0"/>
    <w:rsid w:val="00B62E6D"/>
    <w:rsid w:val="00B63B2D"/>
    <w:rsid w:val="00B663AC"/>
    <w:rsid w:val="00B70FE3"/>
    <w:rsid w:val="00B71700"/>
    <w:rsid w:val="00B766F2"/>
    <w:rsid w:val="00B81E8F"/>
    <w:rsid w:val="00B83743"/>
    <w:rsid w:val="00B83BA4"/>
    <w:rsid w:val="00B85EFA"/>
    <w:rsid w:val="00B90EB2"/>
    <w:rsid w:val="00B91995"/>
    <w:rsid w:val="00B92349"/>
    <w:rsid w:val="00B93643"/>
    <w:rsid w:val="00BA2E3E"/>
    <w:rsid w:val="00BA3C8C"/>
    <w:rsid w:val="00BA4E32"/>
    <w:rsid w:val="00BA5B6A"/>
    <w:rsid w:val="00BA6F95"/>
    <w:rsid w:val="00BA7EE1"/>
    <w:rsid w:val="00BB09AB"/>
    <w:rsid w:val="00BB2B43"/>
    <w:rsid w:val="00BB548E"/>
    <w:rsid w:val="00BB763E"/>
    <w:rsid w:val="00BC118C"/>
    <w:rsid w:val="00BC3313"/>
    <w:rsid w:val="00BC5AC8"/>
    <w:rsid w:val="00BC61D1"/>
    <w:rsid w:val="00BC78B6"/>
    <w:rsid w:val="00BE03D2"/>
    <w:rsid w:val="00BE146A"/>
    <w:rsid w:val="00BE2092"/>
    <w:rsid w:val="00BF11F3"/>
    <w:rsid w:val="00BF29D7"/>
    <w:rsid w:val="00BF5ED4"/>
    <w:rsid w:val="00C0431D"/>
    <w:rsid w:val="00C059FC"/>
    <w:rsid w:val="00C05B21"/>
    <w:rsid w:val="00C1037F"/>
    <w:rsid w:val="00C15970"/>
    <w:rsid w:val="00C15E68"/>
    <w:rsid w:val="00C17B6A"/>
    <w:rsid w:val="00C215B5"/>
    <w:rsid w:val="00C252F8"/>
    <w:rsid w:val="00C25E87"/>
    <w:rsid w:val="00C26CD7"/>
    <w:rsid w:val="00C27B5A"/>
    <w:rsid w:val="00C30949"/>
    <w:rsid w:val="00C32C55"/>
    <w:rsid w:val="00C32EAE"/>
    <w:rsid w:val="00C33DE5"/>
    <w:rsid w:val="00C34B63"/>
    <w:rsid w:val="00C35C9F"/>
    <w:rsid w:val="00C41CA2"/>
    <w:rsid w:val="00C50167"/>
    <w:rsid w:val="00C57B5C"/>
    <w:rsid w:val="00C60A1C"/>
    <w:rsid w:val="00C6113D"/>
    <w:rsid w:val="00C63B5D"/>
    <w:rsid w:val="00C670B1"/>
    <w:rsid w:val="00C700F0"/>
    <w:rsid w:val="00C70D8B"/>
    <w:rsid w:val="00C729D2"/>
    <w:rsid w:val="00C72AB3"/>
    <w:rsid w:val="00C74C1F"/>
    <w:rsid w:val="00C7572C"/>
    <w:rsid w:val="00C82182"/>
    <w:rsid w:val="00C8400A"/>
    <w:rsid w:val="00C90B61"/>
    <w:rsid w:val="00C93D56"/>
    <w:rsid w:val="00C93E3E"/>
    <w:rsid w:val="00C9660B"/>
    <w:rsid w:val="00C97647"/>
    <w:rsid w:val="00CA2FD1"/>
    <w:rsid w:val="00CA38AF"/>
    <w:rsid w:val="00CA7A5F"/>
    <w:rsid w:val="00CA7B83"/>
    <w:rsid w:val="00CB1D72"/>
    <w:rsid w:val="00CB3B4B"/>
    <w:rsid w:val="00CC20B1"/>
    <w:rsid w:val="00CD08A2"/>
    <w:rsid w:val="00CD11F3"/>
    <w:rsid w:val="00CD1DC1"/>
    <w:rsid w:val="00CD1E22"/>
    <w:rsid w:val="00CD2E75"/>
    <w:rsid w:val="00CD6154"/>
    <w:rsid w:val="00CE2315"/>
    <w:rsid w:val="00CE28B8"/>
    <w:rsid w:val="00CE3EF7"/>
    <w:rsid w:val="00CE69AE"/>
    <w:rsid w:val="00CE71F2"/>
    <w:rsid w:val="00CF102A"/>
    <w:rsid w:val="00D00F57"/>
    <w:rsid w:val="00D11237"/>
    <w:rsid w:val="00D11E0D"/>
    <w:rsid w:val="00D12CF5"/>
    <w:rsid w:val="00D16F68"/>
    <w:rsid w:val="00D25BDA"/>
    <w:rsid w:val="00D265D7"/>
    <w:rsid w:val="00D27975"/>
    <w:rsid w:val="00D32C2E"/>
    <w:rsid w:val="00D33733"/>
    <w:rsid w:val="00D33D93"/>
    <w:rsid w:val="00D3449E"/>
    <w:rsid w:val="00D375DF"/>
    <w:rsid w:val="00D445BC"/>
    <w:rsid w:val="00D50A85"/>
    <w:rsid w:val="00D5168D"/>
    <w:rsid w:val="00D56865"/>
    <w:rsid w:val="00D606B0"/>
    <w:rsid w:val="00D60CA4"/>
    <w:rsid w:val="00D63FCC"/>
    <w:rsid w:val="00D6557B"/>
    <w:rsid w:val="00D65F30"/>
    <w:rsid w:val="00D66FDA"/>
    <w:rsid w:val="00D72209"/>
    <w:rsid w:val="00D736CD"/>
    <w:rsid w:val="00D74487"/>
    <w:rsid w:val="00D765C7"/>
    <w:rsid w:val="00D84C90"/>
    <w:rsid w:val="00D85356"/>
    <w:rsid w:val="00D86A4F"/>
    <w:rsid w:val="00D86EFF"/>
    <w:rsid w:val="00D879A9"/>
    <w:rsid w:val="00D903A6"/>
    <w:rsid w:val="00D90E6E"/>
    <w:rsid w:val="00D910D4"/>
    <w:rsid w:val="00D93561"/>
    <w:rsid w:val="00D96875"/>
    <w:rsid w:val="00DA7D6A"/>
    <w:rsid w:val="00DB354A"/>
    <w:rsid w:val="00DB48C1"/>
    <w:rsid w:val="00DC3FB1"/>
    <w:rsid w:val="00DC5783"/>
    <w:rsid w:val="00DC691B"/>
    <w:rsid w:val="00DC7FF6"/>
    <w:rsid w:val="00DD39B5"/>
    <w:rsid w:val="00DD61D1"/>
    <w:rsid w:val="00DE03AA"/>
    <w:rsid w:val="00DE1CA8"/>
    <w:rsid w:val="00DE34CF"/>
    <w:rsid w:val="00DE736B"/>
    <w:rsid w:val="00DF7137"/>
    <w:rsid w:val="00DF7640"/>
    <w:rsid w:val="00E021E0"/>
    <w:rsid w:val="00E12A27"/>
    <w:rsid w:val="00E14E82"/>
    <w:rsid w:val="00E16F22"/>
    <w:rsid w:val="00E21320"/>
    <w:rsid w:val="00E21AB5"/>
    <w:rsid w:val="00E22EC4"/>
    <w:rsid w:val="00E238CD"/>
    <w:rsid w:val="00E2503E"/>
    <w:rsid w:val="00E2591E"/>
    <w:rsid w:val="00E259A3"/>
    <w:rsid w:val="00E27621"/>
    <w:rsid w:val="00E27689"/>
    <w:rsid w:val="00E31A49"/>
    <w:rsid w:val="00E33CFB"/>
    <w:rsid w:val="00E341EA"/>
    <w:rsid w:val="00E36ECE"/>
    <w:rsid w:val="00E37A46"/>
    <w:rsid w:val="00E44BCD"/>
    <w:rsid w:val="00E46346"/>
    <w:rsid w:val="00E57881"/>
    <w:rsid w:val="00E70792"/>
    <w:rsid w:val="00E76FBB"/>
    <w:rsid w:val="00E77A97"/>
    <w:rsid w:val="00E80B02"/>
    <w:rsid w:val="00E8116C"/>
    <w:rsid w:val="00E82988"/>
    <w:rsid w:val="00E831F1"/>
    <w:rsid w:val="00E84EEA"/>
    <w:rsid w:val="00E90594"/>
    <w:rsid w:val="00E914B3"/>
    <w:rsid w:val="00E96F88"/>
    <w:rsid w:val="00EA09AC"/>
    <w:rsid w:val="00EA26AB"/>
    <w:rsid w:val="00EB0A67"/>
    <w:rsid w:val="00EB21F6"/>
    <w:rsid w:val="00EB2B24"/>
    <w:rsid w:val="00EB3CA4"/>
    <w:rsid w:val="00EC2CCA"/>
    <w:rsid w:val="00EC2D1F"/>
    <w:rsid w:val="00EC680D"/>
    <w:rsid w:val="00ED2ED5"/>
    <w:rsid w:val="00ED3384"/>
    <w:rsid w:val="00ED475D"/>
    <w:rsid w:val="00ED6DDE"/>
    <w:rsid w:val="00EE0520"/>
    <w:rsid w:val="00EE34AC"/>
    <w:rsid w:val="00EE3F8A"/>
    <w:rsid w:val="00EF0FE3"/>
    <w:rsid w:val="00EF4D81"/>
    <w:rsid w:val="00EF660D"/>
    <w:rsid w:val="00EF6D1D"/>
    <w:rsid w:val="00EF76A9"/>
    <w:rsid w:val="00EF7B59"/>
    <w:rsid w:val="00F01DA7"/>
    <w:rsid w:val="00F01E56"/>
    <w:rsid w:val="00F04A49"/>
    <w:rsid w:val="00F05D22"/>
    <w:rsid w:val="00F06A26"/>
    <w:rsid w:val="00F06F7F"/>
    <w:rsid w:val="00F100E5"/>
    <w:rsid w:val="00F1381D"/>
    <w:rsid w:val="00F13A16"/>
    <w:rsid w:val="00F169B7"/>
    <w:rsid w:val="00F228C9"/>
    <w:rsid w:val="00F25ECE"/>
    <w:rsid w:val="00F272AD"/>
    <w:rsid w:val="00F277F4"/>
    <w:rsid w:val="00F31FE9"/>
    <w:rsid w:val="00F32C10"/>
    <w:rsid w:val="00F34682"/>
    <w:rsid w:val="00F41123"/>
    <w:rsid w:val="00F43379"/>
    <w:rsid w:val="00F443FB"/>
    <w:rsid w:val="00F44A4C"/>
    <w:rsid w:val="00F4569D"/>
    <w:rsid w:val="00F45812"/>
    <w:rsid w:val="00F47ADA"/>
    <w:rsid w:val="00F47B9C"/>
    <w:rsid w:val="00F52D2C"/>
    <w:rsid w:val="00F55F3D"/>
    <w:rsid w:val="00F575CD"/>
    <w:rsid w:val="00F70545"/>
    <w:rsid w:val="00F7219D"/>
    <w:rsid w:val="00F72893"/>
    <w:rsid w:val="00F772EF"/>
    <w:rsid w:val="00F82795"/>
    <w:rsid w:val="00F8289D"/>
    <w:rsid w:val="00F83F0B"/>
    <w:rsid w:val="00F84213"/>
    <w:rsid w:val="00F86937"/>
    <w:rsid w:val="00F8702D"/>
    <w:rsid w:val="00F87669"/>
    <w:rsid w:val="00F87DA7"/>
    <w:rsid w:val="00F92896"/>
    <w:rsid w:val="00F972C4"/>
    <w:rsid w:val="00F97ECC"/>
    <w:rsid w:val="00FA0B3D"/>
    <w:rsid w:val="00FA1852"/>
    <w:rsid w:val="00FA56F1"/>
    <w:rsid w:val="00FA6102"/>
    <w:rsid w:val="00FA6810"/>
    <w:rsid w:val="00FA68D4"/>
    <w:rsid w:val="00FA6B24"/>
    <w:rsid w:val="00FB0FF4"/>
    <w:rsid w:val="00FB13FA"/>
    <w:rsid w:val="00FB20C3"/>
    <w:rsid w:val="00FB3274"/>
    <w:rsid w:val="00FB37CB"/>
    <w:rsid w:val="00FC0215"/>
    <w:rsid w:val="00FC2229"/>
    <w:rsid w:val="00FC2DDF"/>
    <w:rsid w:val="00FC4402"/>
    <w:rsid w:val="00FC52BF"/>
    <w:rsid w:val="00FC5349"/>
    <w:rsid w:val="00FD22C0"/>
    <w:rsid w:val="00FD4FD7"/>
    <w:rsid w:val="00FD69C6"/>
    <w:rsid w:val="00FE0C92"/>
    <w:rsid w:val="00FE2A3B"/>
    <w:rsid w:val="00FE3FED"/>
    <w:rsid w:val="00FE4BF8"/>
    <w:rsid w:val="00FE64DC"/>
    <w:rsid w:val="00FF591C"/>
    <w:rsid w:val="15270A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semiHidden="0" w:name="heading 2" w:locked="1"/>
    <w:lsdException w:qFormat="1" w:uiPriority="0" w:semiHidden="0" w:name="heading 3" w:locked="1"/>
    <w:lsdException w:qFormat="1" w:uiPriority="0" w:semiHidden="0" w:name="heading 4" w:locked="1"/>
    <w:lsdException w:qFormat="1" w:uiPriority="0" w:semiHidden="0" w:name="heading 5" w:locked="1"/>
    <w:lsdException w:qFormat="1" w:uiPriority="0" w:semiHidden="0" w:name="heading 6" w:locked="1"/>
    <w:lsdException w:qFormat="1" w:uiPriority="0" w:semiHidden="0" w:name="heading 7" w:locked="1"/>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99"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nhideWhenUsed="0" w:uiPriority="0" w:semiHidden="0" w:name="FollowedHyperlink"/>
    <w:lsdException w:unhideWhenUsed="0" w:uiPriority="99" w:semiHidden="0" w:name="Strong"/>
    <w:lsdException w:unhideWhenUsed="0" w:uiPriority="99"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pPr>
    <w:rPr>
      <w:rFonts w:asciiTheme="minorHAnsi" w:hAnsiTheme="minorHAnsi" w:eastAsiaTheme="minorEastAsia" w:cstheme="minorBidi"/>
      <w:kern w:val="2"/>
      <w:sz w:val="24"/>
      <w:szCs w:val="21"/>
      <w:lang w:val="en-US" w:eastAsia="zh-CN" w:bidi="ar-SA"/>
    </w:rPr>
  </w:style>
  <w:style w:type="paragraph" w:styleId="2">
    <w:name w:val="heading 1"/>
    <w:basedOn w:val="1"/>
    <w:next w:val="1"/>
    <w:link w:val="39"/>
    <w:qFormat/>
    <w:locked/>
    <w:uiPriority w:val="0"/>
    <w:pPr>
      <w:keepNext/>
      <w:keepLines/>
      <w:numPr>
        <w:ilvl w:val="0"/>
        <w:numId w:val="1"/>
      </w:numPr>
      <w:spacing w:after="120"/>
      <w:outlineLvl w:val="0"/>
    </w:pPr>
    <w:rPr>
      <w:rFonts w:ascii="宋体" w:hAnsi="宋体" w:eastAsia="宋体" w:cs="宋体"/>
      <w:b/>
      <w:bCs/>
      <w:kern w:val="44"/>
      <w:sz w:val="36"/>
      <w:szCs w:val="36"/>
    </w:rPr>
  </w:style>
  <w:style w:type="paragraph" w:styleId="3">
    <w:name w:val="heading 2"/>
    <w:basedOn w:val="1"/>
    <w:next w:val="1"/>
    <w:link w:val="40"/>
    <w:unhideWhenUsed/>
    <w:qFormat/>
    <w:locked/>
    <w:uiPriority w:val="0"/>
    <w:pPr>
      <w:keepNext/>
      <w:keepLines/>
      <w:numPr>
        <w:ilvl w:val="1"/>
        <w:numId w:val="1"/>
      </w:numPr>
      <w:spacing w:after="120"/>
      <w:outlineLvl w:val="1"/>
    </w:pPr>
    <w:rPr>
      <w:rFonts w:ascii="宋体" w:hAnsi="宋体" w:eastAsia="宋体" w:cs="宋体"/>
      <w:b/>
      <w:bCs/>
      <w:sz w:val="32"/>
      <w:szCs w:val="32"/>
    </w:rPr>
  </w:style>
  <w:style w:type="paragraph" w:styleId="4">
    <w:name w:val="heading 3"/>
    <w:basedOn w:val="1"/>
    <w:next w:val="1"/>
    <w:link w:val="41"/>
    <w:unhideWhenUsed/>
    <w:qFormat/>
    <w:locked/>
    <w:uiPriority w:val="0"/>
    <w:pPr>
      <w:keepNext/>
      <w:keepLines/>
      <w:numPr>
        <w:ilvl w:val="2"/>
        <w:numId w:val="1"/>
      </w:numPr>
      <w:spacing w:after="120"/>
      <w:outlineLvl w:val="2"/>
    </w:pPr>
    <w:rPr>
      <w:rFonts w:ascii="宋体" w:hAnsi="宋体" w:eastAsia="宋体" w:cs="宋体"/>
      <w:b/>
      <w:bCs/>
      <w:sz w:val="30"/>
      <w:szCs w:val="30"/>
    </w:rPr>
  </w:style>
  <w:style w:type="paragraph" w:styleId="5">
    <w:name w:val="heading 4"/>
    <w:basedOn w:val="1"/>
    <w:next w:val="1"/>
    <w:link w:val="42"/>
    <w:unhideWhenUsed/>
    <w:qFormat/>
    <w:locked/>
    <w:uiPriority w:val="0"/>
    <w:pPr>
      <w:keepNext/>
      <w:keepLines/>
      <w:numPr>
        <w:ilvl w:val="3"/>
        <w:numId w:val="1"/>
      </w:numPr>
      <w:spacing w:after="120"/>
      <w:outlineLvl w:val="3"/>
    </w:pPr>
    <w:rPr>
      <w:rFonts w:ascii="宋体" w:hAnsi="宋体" w:eastAsia="宋体" w:cs="宋体"/>
      <w:b/>
      <w:bCs/>
      <w:sz w:val="28"/>
      <w:szCs w:val="28"/>
    </w:rPr>
  </w:style>
  <w:style w:type="paragraph" w:styleId="6">
    <w:name w:val="heading 5"/>
    <w:basedOn w:val="1"/>
    <w:next w:val="1"/>
    <w:link w:val="43"/>
    <w:unhideWhenUsed/>
    <w:qFormat/>
    <w:locked/>
    <w:uiPriority w:val="0"/>
    <w:pPr>
      <w:keepNext/>
      <w:keepLines/>
      <w:numPr>
        <w:ilvl w:val="4"/>
        <w:numId w:val="1"/>
      </w:numPr>
      <w:spacing w:after="120"/>
      <w:outlineLvl w:val="4"/>
    </w:pPr>
    <w:rPr>
      <w:rFonts w:ascii="宋体" w:hAnsi="宋体" w:eastAsia="宋体" w:cs="宋体"/>
      <w:b/>
      <w:bCs/>
      <w:szCs w:val="24"/>
    </w:rPr>
  </w:style>
  <w:style w:type="paragraph" w:styleId="7">
    <w:name w:val="heading 6"/>
    <w:basedOn w:val="1"/>
    <w:next w:val="1"/>
    <w:link w:val="44"/>
    <w:unhideWhenUsed/>
    <w:qFormat/>
    <w:locked/>
    <w:uiPriority w:val="0"/>
    <w:pPr>
      <w:keepNext/>
      <w:keepLines/>
      <w:numPr>
        <w:ilvl w:val="5"/>
        <w:numId w:val="1"/>
      </w:numPr>
      <w:spacing w:after="120"/>
      <w:ind w:left="0"/>
      <w:outlineLvl w:val="5"/>
    </w:pPr>
    <w:rPr>
      <w:rFonts w:ascii="宋体" w:hAnsi="宋体" w:eastAsia="宋体" w:cs="宋体"/>
      <w:bCs/>
      <w:szCs w:val="24"/>
    </w:rPr>
  </w:style>
  <w:style w:type="paragraph" w:styleId="8">
    <w:name w:val="heading 7"/>
    <w:basedOn w:val="1"/>
    <w:next w:val="1"/>
    <w:link w:val="45"/>
    <w:unhideWhenUsed/>
    <w:qFormat/>
    <w:locked/>
    <w:uiPriority w:val="0"/>
    <w:pPr>
      <w:keepNext/>
      <w:keepLines/>
      <w:numPr>
        <w:ilvl w:val="6"/>
        <w:numId w:val="1"/>
      </w:numPr>
      <w:outlineLvl w:val="6"/>
    </w:pPr>
    <w:rPr>
      <w:rFonts w:ascii="宋体" w:hAnsi="宋体" w:eastAsia="宋体" w:cs="宋体"/>
      <w:bCs/>
      <w:szCs w:val="24"/>
    </w:rPr>
  </w:style>
  <w:style w:type="paragraph" w:styleId="9">
    <w:name w:val="heading 8"/>
    <w:basedOn w:val="1"/>
    <w:next w:val="1"/>
    <w:link w:val="48"/>
    <w:semiHidden/>
    <w:unhideWhenUsed/>
    <w:qFormat/>
    <w:uiPriority w:val="0"/>
    <w:pPr>
      <w:keepNext/>
      <w:keepLines/>
      <w:spacing w:before="240" w:after="64" w:line="317" w:lineRule="auto"/>
      <w:ind w:left="1440" w:hanging="1440"/>
      <w:outlineLvl w:val="7"/>
    </w:pPr>
    <w:rPr>
      <w:rFonts w:ascii="Arial" w:hAnsi="Arial" w:eastAsia="黑体"/>
      <w:szCs w:val="24"/>
    </w:rPr>
  </w:style>
  <w:style w:type="paragraph" w:styleId="10">
    <w:name w:val="heading 9"/>
    <w:basedOn w:val="1"/>
    <w:next w:val="1"/>
    <w:link w:val="49"/>
    <w:semiHidden/>
    <w:unhideWhenUsed/>
    <w:qFormat/>
    <w:uiPriority w:val="0"/>
    <w:pPr>
      <w:keepNext/>
      <w:keepLines/>
      <w:spacing w:before="240" w:after="64" w:line="317" w:lineRule="auto"/>
      <w:ind w:left="1583" w:hanging="1583"/>
      <w:outlineLvl w:val="8"/>
    </w:pPr>
    <w:rPr>
      <w:rFonts w:ascii="Arial" w:hAnsi="Arial" w:eastAsia="黑体"/>
      <w:szCs w:val="24"/>
    </w:rPr>
  </w:style>
  <w:style w:type="character" w:default="1" w:styleId="34">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autoRedefine/>
    <w:unhideWhenUsed/>
    <w:qFormat/>
    <w:uiPriority w:val="39"/>
    <w:pPr>
      <w:ind w:left="1260"/>
    </w:pPr>
    <w:rPr>
      <w:rFonts w:cstheme="minorHAnsi"/>
      <w:sz w:val="18"/>
      <w:szCs w:val="18"/>
    </w:rPr>
  </w:style>
  <w:style w:type="paragraph" w:styleId="12">
    <w:name w:val="Normal Indent"/>
    <w:basedOn w:val="1"/>
    <w:link w:val="62"/>
    <w:qFormat/>
    <w:uiPriority w:val="0"/>
    <w:pPr>
      <w:spacing w:line="240" w:lineRule="auto"/>
      <w:ind w:firstLine="420"/>
      <w:jc w:val="both"/>
    </w:pPr>
    <w:rPr>
      <w:rFonts w:ascii="Times New Roman" w:hAnsi="Times New Roman" w:eastAsia="宋体" w:cs="Times New Roman"/>
      <w:sz w:val="21"/>
      <w:szCs w:val="24"/>
    </w:rPr>
  </w:style>
  <w:style w:type="paragraph" w:styleId="13">
    <w:name w:val="annotation text"/>
    <w:basedOn w:val="1"/>
    <w:link w:val="69"/>
    <w:semiHidden/>
    <w:unhideWhenUsed/>
    <w:qFormat/>
    <w:uiPriority w:val="99"/>
  </w:style>
  <w:style w:type="paragraph" w:styleId="14">
    <w:name w:val="Body Text"/>
    <w:basedOn w:val="1"/>
    <w:link w:val="67"/>
    <w:qFormat/>
    <w:uiPriority w:val="0"/>
    <w:pPr>
      <w:tabs>
        <w:tab w:val="left" w:pos="567"/>
      </w:tabs>
      <w:spacing w:before="120" w:line="22" w:lineRule="atLeast"/>
      <w:jc w:val="both"/>
    </w:pPr>
    <w:rPr>
      <w:rFonts w:ascii="宋体" w:hAnsi="宋体" w:eastAsia="宋体" w:cs="Times New Roman"/>
      <w:szCs w:val="24"/>
    </w:rPr>
  </w:style>
  <w:style w:type="paragraph" w:styleId="15">
    <w:name w:val="Body Text Indent"/>
    <w:basedOn w:val="1"/>
    <w:link w:val="72"/>
    <w:semiHidden/>
    <w:unhideWhenUsed/>
    <w:uiPriority w:val="99"/>
    <w:pPr>
      <w:spacing w:after="120"/>
      <w:ind w:left="420" w:leftChars="200"/>
    </w:pPr>
  </w:style>
  <w:style w:type="paragraph" w:styleId="16">
    <w:name w:val="toc 5"/>
    <w:basedOn w:val="1"/>
    <w:next w:val="1"/>
    <w:autoRedefine/>
    <w:unhideWhenUsed/>
    <w:qFormat/>
    <w:uiPriority w:val="39"/>
    <w:pPr>
      <w:ind w:left="840"/>
    </w:pPr>
    <w:rPr>
      <w:rFonts w:cstheme="minorHAnsi"/>
      <w:sz w:val="18"/>
      <w:szCs w:val="18"/>
    </w:rPr>
  </w:style>
  <w:style w:type="paragraph" w:styleId="17">
    <w:name w:val="toc 3"/>
    <w:basedOn w:val="1"/>
    <w:next w:val="1"/>
    <w:autoRedefine/>
    <w:unhideWhenUsed/>
    <w:qFormat/>
    <w:uiPriority w:val="39"/>
    <w:pPr>
      <w:ind w:left="420"/>
    </w:pPr>
    <w:rPr>
      <w:rFonts w:cstheme="minorHAnsi"/>
      <w:i/>
      <w:iCs/>
      <w:sz w:val="20"/>
      <w:szCs w:val="20"/>
    </w:rPr>
  </w:style>
  <w:style w:type="paragraph" w:styleId="18">
    <w:name w:val="Plain Text"/>
    <w:basedOn w:val="1"/>
    <w:link w:val="60"/>
    <w:qFormat/>
    <w:uiPriority w:val="0"/>
    <w:pPr>
      <w:spacing w:line="240" w:lineRule="auto"/>
      <w:jc w:val="both"/>
    </w:pPr>
    <w:rPr>
      <w:rFonts w:ascii="宋体" w:hAnsi="Courier New" w:eastAsia="宋体" w:cs="Times New Roman"/>
      <w:sz w:val="21"/>
    </w:rPr>
  </w:style>
  <w:style w:type="paragraph" w:styleId="19">
    <w:name w:val="toc 8"/>
    <w:basedOn w:val="1"/>
    <w:next w:val="1"/>
    <w:autoRedefine/>
    <w:unhideWhenUsed/>
    <w:qFormat/>
    <w:uiPriority w:val="39"/>
    <w:pPr>
      <w:ind w:left="1470"/>
    </w:pPr>
    <w:rPr>
      <w:rFonts w:cstheme="minorHAnsi"/>
      <w:sz w:val="18"/>
      <w:szCs w:val="18"/>
    </w:rPr>
  </w:style>
  <w:style w:type="paragraph" w:styleId="20">
    <w:name w:val="Balloon Text"/>
    <w:basedOn w:val="1"/>
    <w:link w:val="56"/>
    <w:unhideWhenUsed/>
    <w:qFormat/>
    <w:uiPriority w:val="0"/>
    <w:rPr>
      <w:sz w:val="18"/>
      <w:szCs w:val="18"/>
    </w:rPr>
  </w:style>
  <w:style w:type="paragraph" w:styleId="21">
    <w:name w:val="footer"/>
    <w:basedOn w:val="1"/>
    <w:link w:val="47"/>
    <w:unhideWhenUsed/>
    <w:qFormat/>
    <w:uiPriority w:val="99"/>
    <w:pPr>
      <w:tabs>
        <w:tab w:val="center" w:pos="4153"/>
        <w:tab w:val="right" w:pos="8306"/>
      </w:tabs>
      <w:snapToGrid w:val="0"/>
    </w:pPr>
    <w:rPr>
      <w:sz w:val="18"/>
      <w:szCs w:val="18"/>
    </w:rPr>
  </w:style>
  <w:style w:type="paragraph" w:styleId="22">
    <w:name w:val="header"/>
    <w:basedOn w:val="1"/>
    <w:link w:val="46"/>
    <w:unhideWhenUsed/>
    <w:qFormat/>
    <w:uiPriority w:val="99"/>
    <w:pPr>
      <w:pBdr>
        <w:bottom w:val="single" w:color="auto" w:sz="6" w:space="1"/>
      </w:pBdr>
      <w:tabs>
        <w:tab w:val="center" w:pos="4153"/>
        <w:tab w:val="right" w:pos="8306"/>
      </w:tabs>
      <w:snapToGrid w:val="0"/>
      <w:jc w:val="center"/>
    </w:pPr>
    <w:rPr>
      <w:sz w:val="18"/>
      <w:szCs w:val="18"/>
    </w:rPr>
  </w:style>
  <w:style w:type="paragraph" w:styleId="23">
    <w:name w:val="toc 1"/>
    <w:basedOn w:val="1"/>
    <w:next w:val="1"/>
    <w:autoRedefine/>
    <w:unhideWhenUsed/>
    <w:qFormat/>
    <w:uiPriority w:val="39"/>
    <w:pPr>
      <w:spacing w:before="120" w:after="120"/>
    </w:pPr>
    <w:rPr>
      <w:rFonts w:cstheme="minorHAnsi"/>
      <w:b/>
      <w:bCs/>
      <w:caps/>
      <w:sz w:val="20"/>
      <w:szCs w:val="20"/>
    </w:rPr>
  </w:style>
  <w:style w:type="paragraph" w:styleId="24">
    <w:name w:val="toc 4"/>
    <w:basedOn w:val="1"/>
    <w:next w:val="1"/>
    <w:autoRedefine/>
    <w:unhideWhenUsed/>
    <w:qFormat/>
    <w:uiPriority w:val="39"/>
    <w:pPr>
      <w:ind w:left="630"/>
    </w:pPr>
    <w:rPr>
      <w:rFonts w:cstheme="minorHAnsi"/>
      <w:sz w:val="18"/>
      <w:szCs w:val="18"/>
    </w:rPr>
  </w:style>
  <w:style w:type="paragraph" w:styleId="25">
    <w:name w:val="toc 6"/>
    <w:basedOn w:val="1"/>
    <w:next w:val="1"/>
    <w:autoRedefine/>
    <w:unhideWhenUsed/>
    <w:qFormat/>
    <w:uiPriority w:val="39"/>
    <w:pPr>
      <w:ind w:left="1050"/>
    </w:pPr>
    <w:rPr>
      <w:rFonts w:cstheme="minorHAnsi"/>
      <w:sz w:val="18"/>
      <w:szCs w:val="18"/>
    </w:rPr>
  </w:style>
  <w:style w:type="paragraph" w:styleId="26">
    <w:name w:val="toc 2"/>
    <w:basedOn w:val="1"/>
    <w:next w:val="1"/>
    <w:autoRedefine/>
    <w:unhideWhenUsed/>
    <w:qFormat/>
    <w:uiPriority w:val="39"/>
    <w:pPr>
      <w:ind w:left="210"/>
    </w:pPr>
    <w:rPr>
      <w:rFonts w:cstheme="minorHAnsi"/>
      <w:smallCaps/>
      <w:sz w:val="20"/>
      <w:szCs w:val="20"/>
    </w:rPr>
  </w:style>
  <w:style w:type="paragraph" w:styleId="27">
    <w:name w:val="toc 9"/>
    <w:basedOn w:val="1"/>
    <w:next w:val="1"/>
    <w:autoRedefine/>
    <w:unhideWhenUsed/>
    <w:qFormat/>
    <w:uiPriority w:val="39"/>
    <w:pPr>
      <w:ind w:left="1680"/>
    </w:pPr>
    <w:rPr>
      <w:rFonts w:cstheme="minorHAnsi"/>
      <w:sz w:val="18"/>
      <w:szCs w:val="18"/>
    </w:rPr>
  </w:style>
  <w:style w:type="paragraph" w:styleId="28">
    <w:name w:val="Normal (Web)"/>
    <w:basedOn w:val="1"/>
    <w:semiHidden/>
    <w:unhideWhenUsed/>
    <w:uiPriority w:val="99"/>
    <w:pPr>
      <w:widowControl/>
      <w:spacing w:before="100" w:beforeAutospacing="1" w:after="100" w:afterAutospacing="1" w:line="240" w:lineRule="auto"/>
    </w:pPr>
    <w:rPr>
      <w:rFonts w:ascii="宋体" w:hAnsi="宋体" w:eastAsia="宋体" w:cs="宋体"/>
      <w:kern w:val="0"/>
      <w:szCs w:val="24"/>
    </w:rPr>
  </w:style>
  <w:style w:type="paragraph" w:styleId="29">
    <w:name w:val="Title"/>
    <w:basedOn w:val="1"/>
    <w:next w:val="1"/>
    <w:link w:val="54"/>
    <w:qFormat/>
    <w:uiPriority w:val="99"/>
    <w:pPr>
      <w:spacing w:before="240" w:after="60"/>
      <w:jc w:val="center"/>
      <w:outlineLvl w:val="0"/>
    </w:pPr>
    <w:rPr>
      <w:rFonts w:eastAsia="宋体" w:asciiTheme="majorHAnsi" w:hAnsiTheme="majorHAnsi" w:cstheme="majorBidi"/>
      <w:b/>
      <w:bCs/>
      <w:sz w:val="32"/>
      <w:szCs w:val="32"/>
    </w:rPr>
  </w:style>
  <w:style w:type="paragraph" w:styleId="30">
    <w:name w:val="annotation subject"/>
    <w:basedOn w:val="13"/>
    <w:next w:val="13"/>
    <w:link w:val="70"/>
    <w:semiHidden/>
    <w:unhideWhenUsed/>
    <w:qFormat/>
    <w:uiPriority w:val="99"/>
    <w:rPr>
      <w:b/>
      <w:bCs/>
    </w:rPr>
  </w:style>
  <w:style w:type="paragraph" w:styleId="31">
    <w:name w:val="Body Text First Indent 2"/>
    <w:basedOn w:val="15"/>
    <w:link w:val="73"/>
    <w:qFormat/>
    <w:uiPriority w:val="0"/>
    <w:pPr>
      <w:spacing w:line="240" w:lineRule="auto"/>
      <w:ind w:firstLine="420" w:firstLineChars="200"/>
      <w:jc w:val="both"/>
    </w:pPr>
    <w:rPr>
      <w:rFonts w:ascii="Times New Roman" w:hAnsi="Times New Roman" w:eastAsia="宋体" w:cs="Times New Roman"/>
      <w:sz w:val="21"/>
      <w:szCs w:val="24"/>
    </w:rPr>
  </w:style>
  <w:style w:type="table" w:styleId="33">
    <w:name w:val="Table Grid"/>
    <w:basedOn w:val="3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5">
    <w:name w:val="FollowedHyperlink"/>
    <w:qFormat/>
    <w:uiPriority w:val="0"/>
    <w:rPr>
      <w:color w:val="2B2B2B"/>
      <w:u w:val="none"/>
    </w:rPr>
  </w:style>
  <w:style w:type="character" w:styleId="36">
    <w:name w:val="Hyperlink"/>
    <w:basedOn w:val="34"/>
    <w:unhideWhenUsed/>
    <w:qFormat/>
    <w:uiPriority w:val="99"/>
    <w:rPr>
      <w:color w:val="0563C1" w:themeColor="hyperlink"/>
      <w:u w:val="single"/>
      <w14:textFill>
        <w14:solidFill>
          <w14:schemeClr w14:val="hlink"/>
        </w14:solidFill>
      </w14:textFill>
    </w:rPr>
  </w:style>
  <w:style w:type="character" w:styleId="37">
    <w:name w:val="annotation reference"/>
    <w:basedOn w:val="34"/>
    <w:semiHidden/>
    <w:unhideWhenUsed/>
    <w:qFormat/>
    <w:uiPriority w:val="99"/>
    <w:rPr>
      <w:sz w:val="21"/>
      <w:szCs w:val="21"/>
    </w:rPr>
  </w:style>
  <w:style w:type="paragraph" w:styleId="38">
    <w:name w:val="List Paragraph"/>
    <w:basedOn w:val="1"/>
    <w:next w:val="1"/>
    <w:link w:val="51"/>
    <w:qFormat/>
    <w:uiPriority w:val="99"/>
    <w:pPr>
      <w:jc w:val="center"/>
    </w:pPr>
    <w:rPr>
      <w:rFonts w:ascii="宋体" w:hAnsi="宋体" w:eastAsia="宋体" w:cs="宋体"/>
    </w:rPr>
  </w:style>
  <w:style w:type="character" w:customStyle="1" w:styleId="39">
    <w:name w:val="标题 1 字符"/>
    <w:basedOn w:val="34"/>
    <w:link w:val="2"/>
    <w:qFormat/>
    <w:uiPriority w:val="0"/>
    <w:rPr>
      <w:rFonts w:ascii="宋体" w:hAnsi="宋体" w:eastAsia="宋体" w:cs="宋体"/>
      <w:b/>
      <w:bCs/>
      <w:kern w:val="44"/>
      <w:sz w:val="36"/>
      <w:szCs w:val="36"/>
    </w:rPr>
  </w:style>
  <w:style w:type="character" w:customStyle="1" w:styleId="40">
    <w:name w:val="标题 2 字符"/>
    <w:basedOn w:val="34"/>
    <w:link w:val="3"/>
    <w:qFormat/>
    <w:uiPriority w:val="0"/>
    <w:rPr>
      <w:rFonts w:ascii="宋体" w:hAnsi="宋体" w:eastAsia="宋体" w:cs="宋体"/>
      <w:b/>
      <w:bCs/>
      <w:sz w:val="32"/>
      <w:szCs w:val="32"/>
    </w:rPr>
  </w:style>
  <w:style w:type="character" w:customStyle="1" w:styleId="41">
    <w:name w:val="标题 3 字符"/>
    <w:basedOn w:val="34"/>
    <w:link w:val="4"/>
    <w:qFormat/>
    <w:uiPriority w:val="0"/>
    <w:rPr>
      <w:rFonts w:ascii="宋体" w:hAnsi="宋体" w:eastAsia="宋体" w:cs="宋体"/>
      <w:b/>
      <w:bCs/>
      <w:sz w:val="30"/>
      <w:szCs w:val="30"/>
    </w:rPr>
  </w:style>
  <w:style w:type="character" w:customStyle="1" w:styleId="42">
    <w:name w:val="标题 4 字符"/>
    <w:basedOn w:val="34"/>
    <w:link w:val="5"/>
    <w:qFormat/>
    <w:uiPriority w:val="0"/>
    <w:rPr>
      <w:rFonts w:ascii="宋体" w:hAnsi="宋体" w:eastAsia="宋体" w:cs="宋体"/>
      <w:b/>
      <w:bCs/>
      <w:sz w:val="28"/>
      <w:szCs w:val="28"/>
    </w:rPr>
  </w:style>
  <w:style w:type="character" w:customStyle="1" w:styleId="43">
    <w:name w:val="标题 5 字符"/>
    <w:basedOn w:val="34"/>
    <w:link w:val="6"/>
    <w:qFormat/>
    <w:uiPriority w:val="0"/>
    <w:rPr>
      <w:rFonts w:ascii="宋体" w:hAnsi="宋体" w:eastAsia="宋体" w:cs="宋体"/>
      <w:b/>
      <w:bCs/>
      <w:sz w:val="24"/>
      <w:szCs w:val="24"/>
    </w:rPr>
  </w:style>
  <w:style w:type="character" w:customStyle="1" w:styleId="44">
    <w:name w:val="标题 6 字符"/>
    <w:basedOn w:val="34"/>
    <w:link w:val="7"/>
    <w:qFormat/>
    <w:uiPriority w:val="0"/>
    <w:rPr>
      <w:rFonts w:ascii="宋体" w:hAnsi="宋体" w:eastAsia="宋体" w:cs="宋体"/>
      <w:bCs/>
      <w:sz w:val="24"/>
      <w:szCs w:val="24"/>
    </w:rPr>
  </w:style>
  <w:style w:type="character" w:customStyle="1" w:styleId="45">
    <w:name w:val="标题 7 字符"/>
    <w:basedOn w:val="34"/>
    <w:link w:val="8"/>
    <w:qFormat/>
    <w:uiPriority w:val="0"/>
    <w:rPr>
      <w:rFonts w:ascii="宋体" w:hAnsi="宋体" w:eastAsia="宋体" w:cs="宋体"/>
      <w:bCs/>
      <w:sz w:val="24"/>
      <w:szCs w:val="24"/>
    </w:rPr>
  </w:style>
  <w:style w:type="character" w:customStyle="1" w:styleId="46">
    <w:name w:val="页眉 字符"/>
    <w:basedOn w:val="34"/>
    <w:link w:val="22"/>
    <w:qFormat/>
    <w:uiPriority w:val="99"/>
    <w:rPr>
      <w:sz w:val="18"/>
      <w:szCs w:val="18"/>
    </w:rPr>
  </w:style>
  <w:style w:type="character" w:customStyle="1" w:styleId="47">
    <w:name w:val="页脚 字符"/>
    <w:basedOn w:val="34"/>
    <w:link w:val="21"/>
    <w:qFormat/>
    <w:uiPriority w:val="99"/>
    <w:rPr>
      <w:sz w:val="18"/>
      <w:szCs w:val="18"/>
    </w:rPr>
  </w:style>
  <w:style w:type="character" w:customStyle="1" w:styleId="48">
    <w:name w:val="标题 8 字符"/>
    <w:basedOn w:val="34"/>
    <w:link w:val="9"/>
    <w:semiHidden/>
    <w:qFormat/>
    <w:uiPriority w:val="0"/>
    <w:rPr>
      <w:rFonts w:ascii="Arial" w:hAnsi="Arial" w:eastAsia="黑体"/>
      <w:sz w:val="24"/>
      <w:szCs w:val="24"/>
    </w:rPr>
  </w:style>
  <w:style w:type="character" w:customStyle="1" w:styleId="49">
    <w:name w:val="标题 9 字符"/>
    <w:basedOn w:val="34"/>
    <w:link w:val="10"/>
    <w:semiHidden/>
    <w:qFormat/>
    <w:uiPriority w:val="0"/>
    <w:rPr>
      <w:rFonts w:ascii="Arial" w:hAnsi="Arial" w:eastAsia="黑体"/>
      <w:szCs w:val="24"/>
    </w:rPr>
  </w:style>
  <w:style w:type="paragraph" w:customStyle="1" w:styleId="50">
    <w:name w:val="表格2"/>
    <w:basedOn w:val="1"/>
    <w:next w:val="1"/>
    <w:qFormat/>
    <w:uiPriority w:val="99"/>
    <w:pPr>
      <w:topLinePunct/>
      <w:autoSpaceDE w:val="0"/>
      <w:autoSpaceDN w:val="0"/>
      <w:adjustRightInd w:val="0"/>
      <w:jc w:val="center"/>
      <w:textAlignment w:val="baseline"/>
    </w:pPr>
    <w:rPr>
      <w:rFonts w:ascii="宋体" w:hAnsi="Impact" w:eastAsia="宋体" w:cs="Times New Roman"/>
      <w:kern w:val="24"/>
      <w:position w:val="-28"/>
      <w:szCs w:val="20"/>
    </w:rPr>
  </w:style>
  <w:style w:type="character" w:customStyle="1" w:styleId="51">
    <w:name w:val="列出段落 字符"/>
    <w:link w:val="38"/>
    <w:qFormat/>
    <w:uiPriority w:val="99"/>
    <w:rPr>
      <w:rFonts w:ascii="宋体" w:hAnsi="宋体" w:eastAsia="宋体" w:cs="宋体"/>
    </w:rPr>
  </w:style>
  <w:style w:type="paragraph" w:styleId="52">
    <w:name w:val="No Spacing"/>
    <w:link w:val="53"/>
    <w:qFormat/>
    <w:uiPriority w:val="0"/>
    <w:pPr>
      <w:widowControl w:val="0"/>
      <w:spacing w:line="360" w:lineRule="auto"/>
      <w:ind w:firstLine="200" w:firstLineChars="200"/>
    </w:pPr>
    <w:rPr>
      <w:rFonts w:ascii="宋体" w:hAnsi="宋体" w:eastAsia="宋体" w:cs="宋体"/>
      <w:kern w:val="2"/>
      <w:sz w:val="24"/>
      <w:szCs w:val="24"/>
      <w:lang w:val="en-US" w:eastAsia="zh-CN" w:bidi="ar-SA"/>
    </w:rPr>
  </w:style>
  <w:style w:type="character" w:customStyle="1" w:styleId="53">
    <w:name w:val="无间隔 字符"/>
    <w:basedOn w:val="34"/>
    <w:link w:val="52"/>
    <w:qFormat/>
    <w:uiPriority w:val="0"/>
    <w:rPr>
      <w:rFonts w:ascii="宋体" w:hAnsi="宋体" w:eastAsia="宋体" w:cs="宋体"/>
      <w:sz w:val="24"/>
      <w:szCs w:val="24"/>
    </w:rPr>
  </w:style>
  <w:style w:type="character" w:customStyle="1" w:styleId="54">
    <w:name w:val="标题 字符"/>
    <w:basedOn w:val="34"/>
    <w:link w:val="29"/>
    <w:qFormat/>
    <w:uiPriority w:val="99"/>
    <w:rPr>
      <w:rFonts w:eastAsia="宋体" w:asciiTheme="majorHAnsi" w:hAnsiTheme="majorHAnsi" w:cstheme="majorBidi"/>
      <w:b/>
      <w:bCs/>
      <w:sz w:val="32"/>
      <w:szCs w:val="32"/>
    </w:rPr>
  </w:style>
  <w:style w:type="character" w:customStyle="1" w:styleId="55">
    <w:name w:val="Subtle Emphasis"/>
    <w:qFormat/>
    <w:uiPriority w:val="99"/>
    <w:rPr>
      <w:rFonts w:ascii="宋体" w:hAnsi="宋体" w:eastAsia="宋体" w:cs="宋体"/>
      <w:iCs/>
      <w:color w:val="auto"/>
      <w:sz w:val="21"/>
      <w:szCs w:val="21"/>
    </w:rPr>
  </w:style>
  <w:style w:type="character" w:customStyle="1" w:styleId="56">
    <w:name w:val="批注框文本 字符"/>
    <w:basedOn w:val="34"/>
    <w:link w:val="20"/>
    <w:qFormat/>
    <w:uiPriority w:val="0"/>
    <w:rPr>
      <w:sz w:val="18"/>
      <w:szCs w:val="18"/>
    </w:rPr>
  </w:style>
  <w:style w:type="paragraph" w:styleId="57">
    <w:name w:val="Quote"/>
    <w:basedOn w:val="1"/>
    <w:next w:val="1"/>
    <w:link w:val="58"/>
    <w:qFormat/>
    <w:uiPriority w:val="0"/>
    <w:pPr>
      <w:jc w:val="center"/>
    </w:pPr>
    <w:rPr>
      <w:rFonts w:ascii="宋体" w:hAnsi="宋体" w:eastAsia="宋体" w:cs="宋体"/>
      <w:iCs/>
    </w:rPr>
  </w:style>
  <w:style w:type="character" w:customStyle="1" w:styleId="58">
    <w:name w:val="引用 字符"/>
    <w:basedOn w:val="34"/>
    <w:link w:val="57"/>
    <w:qFormat/>
    <w:uiPriority w:val="0"/>
    <w:rPr>
      <w:rFonts w:ascii="宋体" w:hAnsi="宋体" w:eastAsia="宋体" w:cs="宋体"/>
      <w:iCs/>
    </w:rPr>
  </w:style>
  <w:style w:type="character" w:customStyle="1" w:styleId="59">
    <w:name w:val="纯文本 Char"/>
    <w:basedOn w:val="34"/>
    <w:semiHidden/>
    <w:qFormat/>
    <w:uiPriority w:val="99"/>
    <w:rPr>
      <w:rFonts w:ascii="宋体" w:hAnsi="Courier New" w:eastAsia="宋体" w:cs="Courier New"/>
    </w:rPr>
  </w:style>
  <w:style w:type="character" w:customStyle="1" w:styleId="60">
    <w:name w:val="纯文本 字符"/>
    <w:link w:val="18"/>
    <w:qFormat/>
    <w:uiPriority w:val="0"/>
    <w:rPr>
      <w:rFonts w:ascii="宋体" w:hAnsi="Courier New" w:eastAsia="宋体" w:cs="Times New Roman"/>
    </w:rPr>
  </w:style>
  <w:style w:type="paragraph" w:customStyle="1" w:styleId="61">
    <w:name w:val="图文"/>
    <w:basedOn w:val="1"/>
    <w:qFormat/>
    <w:uiPriority w:val="0"/>
    <w:pPr>
      <w:adjustRightInd w:val="0"/>
      <w:snapToGrid w:val="0"/>
      <w:spacing w:after="50"/>
      <w:jc w:val="both"/>
    </w:pPr>
    <w:rPr>
      <w:rFonts w:ascii="Times New Roman" w:hAnsi="Times New Roman" w:eastAsia="宋体" w:cs="Times New Roman"/>
      <w:szCs w:val="24"/>
    </w:rPr>
  </w:style>
  <w:style w:type="character" w:customStyle="1" w:styleId="62">
    <w:name w:val="正文缩进 字符"/>
    <w:link w:val="12"/>
    <w:qFormat/>
    <w:uiPriority w:val="0"/>
    <w:rPr>
      <w:rFonts w:ascii="Times New Roman" w:hAnsi="Times New Roman" w:eastAsia="宋体" w:cs="Times New Roman"/>
      <w:szCs w:val="24"/>
    </w:rPr>
  </w:style>
  <w:style w:type="paragraph" w:customStyle="1" w:styleId="63">
    <w:name w:val="样式2"/>
    <w:basedOn w:val="1"/>
    <w:qFormat/>
    <w:uiPriority w:val="0"/>
    <w:pPr>
      <w:spacing w:line="300" w:lineRule="auto"/>
      <w:jc w:val="center"/>
      <w:outlineLvl w:val="0"/>
    </w:pPr>
    <w:rPr>
      <w:rFonts w:ascii="Times New Roman" w:hAnsi="Times New Roman" w:eastAsia="宋体" w:cs="Times New Roman"/>
      <w:b/>
      <w:szCs w:val="20"/>
    </w:rPr>
  </w:style>
  <w:style w:type="paragraph" w:customStyle="1" w:styleId="64">
    <w:name w:val="黑列表"/>
    <w:basedOn w:val="1"/>
    <w:qFormat/>
    <w:uiPriority w:val="0"/>
    <w:pPr>
      <w:widowControl/>
      <w:tabs>
        <w:tab w:val="left" w:pos="482"/>
        <w:tab w:val="left" w:pos="960"/>
      </w:tabs>
      <w:adjustRightInd w:val="0"/>
      <w:spacing w:line="300" w:lineRule="auto"/>
      <w:ind w:left="840" w:hanging="240"/>
    </w:pPr>
    <w:rPr>
      <w:rFonts w:ascii="Times New Roman" w:hAnsi="Times New Roman" w:eastAsia="宋体" w:cs="Times New Roman"/>
      <w:kern w:val="0"/>
      <w:szCs w:val="20"/>
    </w:rPr>
  </w:style>
  <w:style w:type="paragraph" w:customStyle="1" w:styleId="65">
    <w:name w:val="_Style 156"/>
    <w:basedOn w:val="1"/>
    <w:next w:val="38"/>
    <w:qFormat/>
    <w:uiPriority w:val="34"/>
    <w:pPr>
      <w:ind w:firstLine="420" w:firstLineChars="200"/>
      <w:jc w:val="both"/>
    </w:pPr>
    <w:rPr>
      <w:rFonts w:ascii="Calibri" w:hAnsi="Calibri" w:eastAsia="宋体" w:cs="Times New Roman"/>
      <w:sz w:val="21"/>
      <w:szCs w:val="24"/>
    </w:rPr>
  </w:style>
  <w:style w:type="character" w:customStyle="1" w:styleId="66">
    <w:name w:val="val"/>
    <w:basedOn w:val="34"/>
    <w:qFormat/>
    <w:uiPriority w:val="0"/>
  </w:style>
  <w:style w:type="character" w:customStyle="1" w:styleId="67">
    <w:name w:val="正文文本 字符"/>
    <w:basedOn w:val="34"/>
    <w:link w:val="14"/>
    <w:qFormat/>
    <w:uiPriority w:val="0"/>
    <w:rPr>
      <w:rFonts w:ascii="宋体" w:hAnsi="宋体" w:eastAsia="宋体" w:cs="Times New Roman"/>
      <w:sz w:val="24"/>
      <w:szCs w:val="24"/>
    </w:rPr>
  </w:style>
  <w:style w:type="paragraph" w:customStyle="1" w:styleId="68">
    <w:name w:val="1.5倍行距正文"/>
    <w:basedOn w:val="1"/>
    <w:qFormat/>
    <w:uiPriority w:val="0"/>
    <w:pPr>
      <w:ind w:firstLine="480" w:firstLineChars="200"/>
      <w:jc w:val="both"/>
    </w:pPr>
    <w:rPr>
      <w:rFonts w:ascii="Times New Roman" w:hAnsi="Times New Roman" w:eastAsia="宋体" w:cs="Times New Roman"/>
      <w:szCs w:val="24"/>
    </w:rPr>
  </w:style>
  <w:style w:type="character" w:customStyle="1" w:styleId="69">
    <w:name w:val="批注文字 字符"/>
    <w:basedOn w:val="34"/>
    <w:link w:val="13"/>
    <w:semiHidden/>
    <w:qFormat/>
    <w:uiPriority w:val="99"/>
    <w:rPr>
      <w:sz w:val="24"/>
    </w:rPr>
  </w:style>
  <w:style w:type="character" w:customStyle="1" w:styleId="70">
    <w:name w:val="批注主题 字符"/>
    <w:basedOn w:val="69"/>
    <w:link w:val="30"/>
    <w:semiHidden/>
    <w:qFormat/>
    <w:uiPriority w:val="99"/>
    <w:rPr>
      <w:b/>
      <w:bCs/>
      <w:sz w:val="24"/>
    </w:rPr>
  </w:style>
  <w:style w:type="character" w:customStyle="1" w:styleId="71">
    <w:name w:val="richtext"/>
    <w:basedOn w:val="34"/>
    <w:qFormat/>
    <w:uiPriority w:val="0"/>
  </w:style>
  <w:style w:type="character" w:customStyle="1" w:styleId="72">
    <w:name w:val="正文文本缩进 字符"/>
    <w:basedOn w:val="34"/>
    <w:link w:val="15"/>
    <w:semiHidden/>
    <w:uiPriority w:val="99"/>
    <w:rPr>
      <w:sz w:val="24"/>
    </w:rPr>
  </w:style>
  <w:style w:type="character" w:customStyle="1" w:styleId="73">
    <w:name w:val="正文首行缩进 2 字符"/>
    <w:basedOn w:val="72"/>
    <w:link w:val="31"/>
    <w:uiPriority w:val="0"/>
    <w:rPr>
      <w:rFonts w:ascii="Times New Roman" w:hAnsi="Times New Roman" w:eastAsia="宋体" w:cs="Times New Roman"/>
      <w:sz w:val="2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1.emf"/><Relationship Id="rId8" Type="http://schemas.openxmlformats.org/officeDocument/2006/relationships/oleObject" Target="embeddings/Microsoft_Visio_2003-2010___1.vsd"/><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0" Type="http://schemas.openxmlformats.org/officeDocument/2006/relationships/fontTable" Target="fontTable.xml"/><Relationship Id="rId3" Type="http://schemas.openxmlformats.org/officeDocument/2006/relationships/footnotes" Target="footnotes.xml"/><Relationship Id="rId29" Type="http://schemas.openxmlformats.org/officeDocument/2006/relationships/customXml" Target="../customXml/item2.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image" Target="media/image17.jpeg"/><Relationship Id="rId25" Type="http://schemas.openxmlformats.org/officeDocument/2006/relationships/image" Target="media/image16.jpeg"/><Relationship Id="rId24" Type="http://schemas.openxmlformats.org/officeDocument/2006/relationships/image" Target="media/image15.png"/><Relationship Id="rId23" Type="http://schemas.openxmlformats.org/officeDocument/2006/relationships/image" Target="media/image14.jpe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jpe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oleObject" Target="embeddings/Microsoft_Visio_2003-2010___2.vsd"/><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5A50C09-F6C2-40A4-8B38-FFB57997BEB4}">
  <ds:schemaRefs/>
</ds:datastoreItem>
</file>

<file path=docProps/app.xml><?xml version="1.0" encoding="utf-8"?>
<Properties xmlns="http://schemas.openxmlformats.org/officeDocument/2006/extended-properties" xmlns:vt="http://schemas.openxmlformats.org/officeDocument/2006/docPropsVTypes">
  <Template>Normal</Template>
  <Pages>75</Pages>
  <Words>2875</Words>
  <Characters>3434</Characters>
  <Lines>374</Lines>
  <Paragraphs>105</Paragraphs>
  <TotalTime>5</TotalTime>
  <ScaleCrop>false</ScaleCrop>
  <LinksUpToDate>false</LinksUpToDate>
  <CharactersWithSpaces>3599</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2022-06-08T11:23:00Z</dcterms:created>
  <dcterms:modified xsi:type="dcterms:W3CDTF">2026-10-13T13:47:40Z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eyJoZGlkIjoiMjIwNWZkYzZmZDcxZTQ4NDgzODNkYjBjYmI0N2Q5OWIiLCJ1c2VySWQiOiI0MzAwMDY4OTQifQ==</vt:lpwstr>
  </property>
  <property fmtid="{D5CDD505-2E9C-101B-9397-08002B2CF9AE}" pid="3" name="KSOProductBuildVer">
    <vt:lpwstr>2052-12.1.0.29158</vt:lpwstr>
  </property>
  <property fmtid="{D5CDD505-2E9C-101B-9397-08002B2CF9AE}" pid="4" name="ICV">
    <vt:lpwstr>F6742FD11DD4485BBB34541E56808295_12</vt:lpwstr>
  </property>
</Properties>
</file>