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ind w:firstLine="0"/>
        <w:jc w:val="center"/>
      </w:pPr>
      <w:r>
        <w:t>数据质量管理文件</w:t>
      </w:r>
    </w:p>
    <w:p>
      <w:pPr>
        <w:spacing w:line="324" w:lineRule="auto"/>
        <w:ind w:firstLine="0"/>
        <w:jc w:val="center"/>
      </w:pPr>
      <w:r>
        <w:t>矿山装备制造领域高质量数据集建设及场景应用项目配套设施</w:t>
        <w:br/>
        <w:t>数据加工生产服务</w:t>
      </w:r>
    </w:p>
    <w:p>
      <w:pPr>
        <w:spacing w:after="200"/>
      </w:pPr>
      <w:r>
        <w:t>我方围绕矿山装备制造领域的数据质量要求，形成数据质量管理办法、数据质量需求清单、数据质量校验规则库、质量分析报告和质量问题整改台账，将九个业务域、六个质量维度及数据供给要求落实到业务条件、执行规则、检查任务、专业复核和整改记录。</w:t>
      </w:r>
    </w:p>
    <w:p>
      <w:pPr>
        <w:spacing w:line="264" w:lineRule="auto"/>
        <w:ind w:firstLine="0"/>
      </w:pPr>
      <w:r>
        <w:rPr>
          <w:b/>
        </w:rPr>
        <w:t>目录</w:t>
      </w:r>
    </w:p>
    <w:p>
      <w:pPr>
        <w:tabs>
          <w:tab w:pos="9411" w:val="right" w:leader="dot"/>
        </w:tabs>
        <w:spacing w:line="300" w:lineRule="exact" w:after="40"/>
        <w:ind w:firstLine="0"/>
      </w:pPr>
      <w:r>
        <w:rPr>
          <w:sz w:val="21"/>
        </w:rPr>
        <w:t>1 数据质量管理办法</w:t>
        <w:tab/>
        <w:t>2</w:t>
      </w:r>
    </w:p>
    <w:p>
      <w:pPr>
        <w:tabs>
          <w:tab w:pos="9411" w:val="right" w:leader="dot"/>
        </w:tabs>
        <w:spacing w:line="300" w:lineRule="exact" w:after="40"/>
        <w:ind w:firstLine="0"/>
      </w:pPr>
      <w:r>
        <w:rPr>
          <w:sz w:val="21"/>
        </w:rPr>
        <w:t>2 数据质量需求清单</w:t>
        <w:tab/>
        <w:t>13</w:t>
      </w:r>
    </w:p>
    <w:p>
      <w:pPr>
        <w:tabs>
          <w:tab w:pos="9411" w:val="right" w:leader="dot"/>
        </w:tabs>
        <w:spacing w:line="300" w:lineRule="exact" w:after="40"/>
        <w:ind w:firstLine="0"/>
      </w:pPr>
      <w:r>
        <w:rPr>
          <w:sz w:val="21"/>
        </w:rPr>
        <w:t>3 数据质量校验规则库</w:t>
        <w:tab/>
        <w:t>33</w:t>
      </w:r>
    </w:p>
    <w:p>
      <w:pPr>
        <w:tabs>
          <w:tab w:pos="9411" w:val="right" w:leader="dot"/>
        </w:tabs>
        <w:spacing w:line="300" w:lineRule="exact" w:after="40"/>
        <w:ind w:firstLine="0"/>
      </w:pPr>
      <w:r>
        <w:rPr>
          <w:sz w:val="21"/>
        </w:rPr>
        <w:t>4 质量分析报告</w:t>
        <w:tab/>
        <w:t>60</w:t>
      </w:r>
    </w:p>
    <w:p>
      <w:pPr>
        <w:tabs>
          <w:tab w:pos="9411" w:val="right" w:leader="dot"/>
        </w:tabs>
        <w:spacing w:line="300" w:lineRule="exact" w:after="40"/>
        <w:ind w:firstLine="0"/>
      </w:pPr>
      <w:r>
        <w:rPr>
          <w:sz w:val="21"/>
        </w:rPr>
        <w:t>5 质量问题整改台账</w:t>
        <w:tab/>
        <w:t>71</w:t>
      </w:r>
    </w:p>
    <w:p>
      <w:r>
        <w:br w:type="page"/>
      </w:r>
    </w:p>
    <w:p>
      <w:pPr>
        <w:pStyle w:val="Heading1"/>
      </w:pPr>
      <w:r>
        <w:t>1 数据质量管理办法</w:t>
      </w:r>
    </w:p>
    <w:p>
      <w:pPr>
        <w:pStyle w:val="Heading2"/>
      </w:pPr>
      <w:r>
        <w:t>1.1 文件管理与实施范围</w:t>
      </w:r>
    </w:p>
    <w:p>
      <w:pPr>
        <w:jc w:val="both"/>
      </w:pPr>
      <w:r>
        <w:t>本办法文件编号为GHY26691-GV-06-0001-V1.0，适用于矿山装备制造领域高质量数据集建设及场景应用项目配套设施数据加工生产服务中的业务数据质量规划、检查、评价、整改和持续改进。数据质量需求清单、数据质量校验规则库、质量分析报告和质量问题整改台账与本办法配套执行。五份文件分别管理标识、版本、批准记录和生效范围，通过需求编号、规则编号、检查任务编号、问题编号及数据版本建立联系。</w:t>
      </w:r>
    </w:p>
    <w:p>
      <w:pPr>
        <w:jc w:val="both"/>
      </w:pPr>
      <w:r>
        <w:t>我方围绕人力资源、研发设计、生产制造、仓储物流、财务管理、设备管理、采购管理、营销管理、质量管理九个业务域开展质量管理。CRM、ERP、SCM、QMS、WMS、MES、LMS、EMS、SOS、EAM、PLM、SCADA、OA、久其、主数据、热处理群控、安全监管十七套系统均纳入对象调查和质量责任确认，逐项核对其实际业务范围、数据结构、权威来源、接口和历史保留情况。系统名称与业务域之间不作未经调查的一对一绑定；同一业务对象分布于多套系统时，按业务事实、有效时间和使用目的明确各来源的责任。</w:t>
      </w:r>
    </w:p>
    <w:p>
      <w:pPr>
        <w:jc w:val="both"/>
      </w:pPr>
      <w:r>
        <w:t>质量管理覆盖业务发生、源端登记、采集交换、标准转换、关联整合、指标加工、数据供给、数据集生产和使用反馈。源端检查与平台检查相互衔接，平台运行成功不直接等同于业务数据正确，源系统已经通过审核也不免除下游对版本、关联、时效和使用条件的检查。外部获取、历史迁移、人工补录和专业判断形成的数据同样纳入管理，保留来源、权利和形成过程。</w:t>
      </w:r>
    </w:p>
    <w:p>
      <w:pPr>
        <w:jc w:val="both"/>
      </w:pPr>
      <w:r>
        <w:t>文件修订由数据管理办公室组织，业务责任部门、平台技术岗位、质量岗位和相关专业岗位参与。修订内容涉及重大治理原则、跨域责任或重大资源配置的，提交数据治理委员会按授权审议。发布时同步明确实施日期、替代关系、适用对象和过渡安排；历史版本及其当时有效的配置、检查结果、整改记录保留，不以新版本覆盖旧版事实。</w:t>
      </w:r>
    </w:p>
    <w:p>
      <w:pPr>
        <w:pStyle w:val="Heading2"/>
      </w:pPr>
      <w:r>
        <w:t>1.2 基本原则与控制要求</w:t>
      </w:r>
    </w:p>
    <w:p>
      <w:pPr>
        <w:pStyle w:val="Heading3"/>
      </w:pPr>
      <w:r>
        <w:t>1.2.1 业务事实与可追溯原则</w:t>
      </w:r>
    </w:p>
    <w:p>
      <w:pPr>
        <w:jc w:val="both"/>
      </w:pPr>
      <w:r>
        <w:t>第一条 数据质量判断以真实业务事实、有效业务标准和明确使用目的为依据。对同一设备、物料、合同或工单的不同状态，应先区分业务时点、对象粒度、组织范围和状态定义，再判断数据是否冲突。合法的版本并存、多条适用工艺路线、计划与实际差异以及结算与开票时间差，应按实际业务关系表达，不通过强制一致掩盖差异。</w:t>
      </w:r>
    </w:p>
    <w:p>
      <w:pPr>
        <w:jc w:val="both"/>
      </w:pPr>
      <w:r>
        <w:t>第二条 质量检查所使用的输入数据应具有稳定标识和可复现边界。检查任务记录来源系统、对象集合、业务时间、提取时间、批次、快照、字段映射和规则版本；流式对象记录窗口、检查点和迟到处理策略。检查后源数据发生变化的，以后继任务重新检查，不回写原检查时点的结果。对依法依约不能长期保留的明细证据，保留合规的摘要、受控引用和删除记录，使复核能够识别当时对象及处理过程。</w:t>
      </w:r>
    </w:p>
    <w:p>
      <w:pPr>
        <w:jc w:val="both"/>
      </w:pPr>
      <w:r>
        <w:t>第三条 业务权威来源按对象和属性确定，不以平台先接入或数据量较大作为权威依据。设计尺寸、工艺约束、检验结论、设备状态和财务金额可具有不同的责任来源。权威来源改变时，记录批准依据、有效日期、字段范围和历史解释规则，避免对已经交付的数据造成无依据的追溯改写。</w:t>
      </w:r>
    </w:p>
    <w:p>
      <w:pPr>
        <w:pStyle w:val="Heading3"/>
      </w:pPr>
      <w:r>
        <w:t>1.2.2 分层评价与独立判定原则</w:t>
      </w:r>
    </w:p>
    <w:p>
      <w:pPr>
        <w:jc w:val="both"/>
      </w:pPr>
      <w:r>
        <w:t>第四条 业务数据治理采用完整性、准确性、一致性、唯一性、及时性、有效性六个维度。完整性关注应有对象、必要属性和关键关联是否齐备；准确性关注数据与业务事实、有效凭据及专业判定是否相符；一致性关注同义数据在统一条件下是否相符；唯一性关注同一业务粒度是否存在非业务需要的重复；及时性关注数据在规定业务时限内形成、到达或更新；有效性关注格式、取值、状态、范围及适用条件是否符合规定。</w:t>
      </w:r>
    </w:p>
    <w:p>
      <w:pPr>
        <w:jc w:val="both"/>
      </w:pPr>
      <w:r>
        <w:t>第五条 六维业务质量评价、数据加工生产环节的专项质检以及数据集正式质量评测分别建立指标、分母、判定和记录，不用一个综合分数替代其他层次的检查。能够共同使用的数据快照、问题记录和复核证据保持版本关联。业务质量评分良好不自动代表数据集可发布，数据集抽样评测合格也不取消对已知业务错误的整改责任。</w:t>
      </w:r>
    </w:p>
    <w:p>
      <w:pPr>
        <w:jc w:val="both"/>
      </w:pPr>
      <w:r>
        <w:t>第六条 对人身安全、设备安全、重大经营决策、敏感信息保护、权利限制以及正式交付硬性指标设置独立限制条件。关键限制条件未满足时，相应对象停止进入受影响用途，其他维度得分不能抵消该限制。限制可以作用于具体记录、批次、接口或用途，按实际影响范围实施，不为降低统计问题数而无依据扩大排除范围。</w:t>
      </w:r>
    </w:p>
    <w:p>
      <w:pPr>
        <w:pStyle w:val="Heading3"/>
      </w:pPr>
      <w:r>
        <w:t>1.2.3 真实整改与持续改进原则</w:t>
      </w:r>
    </w:p>
    <w:p>
      <w:pPr>
        <w:jc w:val="both"/>
      </w:pPr>
      <w:r>
        <w:t>第七条 质量问题按上报、分派、整改、复核、归档顺序办理。紧急情况下先采取必要的隔离、停用、访问控制和使用通知等措施，再补齐受理与责任分派记录，保留措施发生时间。问题原因不明、责任有争议或依赖跨系统改造的，继续在台账中跟踪，不以转交、延期、审批中或已知缺口替代整改完成。</w:t>
      </w:r>
    </w:p>
    <w:p>
      <w:pPr>
        <w:jc w:val="both"/>
      </w:pPr>
      <w:r>
        <w:t>第八条 整改以实际纠正问题和消除不当影响为依据。源数据修正、治理转换修复、样本重新加工、下游重新分发可以分别形成办理动作，并在同一主问题下关联。仅修订统计口径、降低检查阈值、删除问题记录、减少交付规模或修改报告措辞，不构成对原缺陷的整改。确属误报的，通过独立复核纠正分类，保留原判定、纠正依据和影响范围。</w:t>
      </w:r>
    </w:p>
    <w:p>
      <w:pPr>
        <w:jc w:val="both"/>
      </w:pPr>
      <w:r>
        <w:t>第九条 原始事实不能恢复或缺少必要授权的对象，不通过推断补造、虚构时间、伪造业务凭据或人为改变来源性质取得合格状态。该类对象保持受限，按业务需要重新采集、取得合法证明或补充真实数据。正式数据集因剔除不合格对象产生的数量和覆盖缺口另行补足，各领域、各用途的交付净量及其他硬性条件分别满足。</w:t>
      </w:r>
    </w:p>
    <w:p>
      <w:pPr>
        <w:jc w:val="both"/>
      </w:pPr>
      <w:r>
        <w:t>第十条 重复发生的问题应从业务流程、采集方式、字段设计、系统接口、规则配置、人员操作和责任衔接等方面分析。治理改进应有明确对象和验证方式，不以一般性培训代替接口修复，不以系统改造代替必要的业务标准裁决。整改后的观测周期覆盖相关业务节奏，低频业务需跨越其实际发生机会后评价是否复发。</w:t>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1" name="Picture 1"/>
            <wp:cNvGraphicFramePr>
              <a:graphicFrameLocks noChangeAspect="1"/>
            </wp:cNvGraphicFramePr>
            <a:graphic>
              <a:graphicData uri="http://schemas.openxmlformats.org/drawingml/2006/picture">
                <pic:pic>
                  <pic:nvPicPr>
                    <pic:cNvPr id="0" name="图1_质量体系.png"/>
                    <pic:cNvPicPr/>
                  </pic:nvPicPr>
                  <pic:blipFill>
                    <a:blip r:embed="rId11"/>
                    <a:stretch>
                      <a:fillRect/>
                    </a:stretch>
                  </pic:blipFill>
                  <pic:spPr>
                    <a:xfrm>
                      <a:off x="0" y="0"/>
                      <a:ext cx="6048000" cy="3004615"/>
                    </a:xfrm>
                    <a:prstGeom prst="rect"/>
                  </pic:spPr>
                </pic:pic>
              </a:graphicData>
            </a:graphic>
          </wp:inline>
        </w:drawing>
      </w:r>
    </w:p>
    <w:p>
      <w:pPr>
        <w:pStyle w:val="Caption"/>
        <w:jc w:val="center"/>
      </w:pPr>
      <w:r>
        <w:t>图1-1 数据质量管理体系</w:t>
      </w:r>
    </w:p>
    <w:p>
      <w:pPr>
        <w:pStyle w:val="Heading2"/>
      </w:pPr>
      <w:r>
        <w:t>1.3 组织职责与履职要求</w:t>
      </w:r>
    </w:p>
    <w:p>
      <w:pPr>
        <w:jc w:val="both"/>
      </w:pPr>
      <w:r>
        <w:t>数据治理委员会负责重大质量方针、跨域重大争议和重大资源投入的审议，监督影响企业生产经营和项目交付的重要质量事项。数据管理办公室负责质量需求、规则、检查计划、问题整改及考核的统筹，维护统一对象和状态口径，组织跨域协调，推动逾期问题及高影响问题升级处理。两层组织的实际人员与审批权限依据甲方正式授权落实，不将项目编制人员自动等同于企业治理任职人员。</w:t>
      </w:r>
    </w:p>
    <w:p>
      <w:pPr>
        <w:jc w:val="both"/>
      </w:pPr>
      <w:r>
        <w:t>业务责任部门对业务对象的定义、凭据、适用条件和业务正确性负责，指定责任岗位及替补岗位。技术岗位对接入、映射、计算、调度、运行和技术恢复负责。质量岗位独立核查规则有效性、检查结果、整改证据和关闭条件。安全与权利管理岗位对敏感数据访问、脱敏、使用限制、留存和对外提供条件提出专业判断。必要时组织热处理、焊接、检验、设备维护等领域专家核验专业数据。</w:t>
      </w:r>
    </w:p>
    <w:p>
      <w:pPr>
        <w:jc w:val="both"/>
      </w:pPr>
      <w:r>
        <w:t>我方组织质量需求分析、规则开发、平台实施、检查运行、报告编制和整改配合，将业务确认事项提交相应责任岗位。源系统需要甲方或第三方厂商实施改造的，明确接口、输入、交付物和完成条件，持续跟踪对项目任务的影响。我方承担的加工和平台配置缺陷由我方落实修复，不因存在外部依赖而将全部责任转交业务部门。</w:t>
      </w:r>
    </w:p>
    <w:p>
      <w:pPr>
        <w:pStyle w:val="Caption"/>
        <w:keepNext/>
      </w:pPr>
      <w:r>
        <w:t>表1-1 组织职责与履职要求</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角色</w:t>
            </w:r>
          </w:p>
        </w:tc>
        <w:tc>
          <w:tcPr>
            <w:tcW w:type="dxa" w:w="3855"/>
            <w:vAlign w:val="center"/>
            <w:shd w:fill="EDF1F3"/>
          </w:tcPr>
          <w:p>
            <w:pPr>
              <w:keepNext/>
              <w:spacing w:line="320" w:lineRule="exact" w:after="0" w:before="0"/>
              <w:ind w:firstLine="0"/>
              <w:jc w:val="center"/>
            </w:pPr>
            <w:r>
              <w:rPr>
                <w:b/>
                <w:sz w:val="21"/>
              </w:rPr>
              <w:t>核心责任</w:t>
            </w:r>
          </w:p>
        </w:tc>
        <w:tc>
          <w:tcPr>
            <w:tcW w:type="dxa" w:w="3277"/>
            <w:vAlign w:val="center"/>
            <w:shd w:fill="EDF1F3"/>
          </w:tcPr>
          <w:p>
            <w:pPr>
              <w:keepNext/>
              <w:spacing w:line="320" w:lineRule="exact" w:after="0" w:before="0"/>
              <w:ind w:firstLine="0"/>
              <w:jc w:val="center"/>
            </w:pPr>
            <w:r>
              <w:rPr>
                <w:b/>
                <w:sz w:val="21"/>
              </w:rPr>
              <w:t>必须保留的履职记录</w:t>
            </w:r>
          </w:p>
        </w:tc>
      </w:tr>
      <w:tr>
        <w:trPr>
          <w:cantSplit/>
        </w:trPr>
        <w:tc>
          <w:tcPr>
            <w:tcW w:type="dxa" w:w="2506"/>
            <w:vAlign w:val="center"/>
          </w:tcPr>
          <w:p>
            <w:pPr>
              <w:keepNext w:val="0"/>
              <w:spacing w:line="320" w:lineRule="exact" w:after="0" w:before="0"/>
              <w:ind w:firstLine="0"/>
              <w:jc w:val="left"/>
            </w:pPr>
            <w:r>
              <w:rPr>
                <w:b w:val="0"/>
                <w:sz w:val="21"/>
              </w:rPr>
              <w:t>数据治理委员会</w:t>
            </w:r>
          </w:p>
        </w:tc>
        <w:tc>
          <w:tcPr>
            <w:tcW w:type="dxa" w:w="3855"/>
            <w:vAlign w:val="center"/>
          </w:tcPr>
          <w:p>
            <w:pPr>
              <w:keepNext w:val="0"/>
              <w:spacing w:line="320" w:lineRule="exact" w:after="0" w:before="0"/>
              <w:ind w:firstLine="0"/>
              <w:jc w:val="left"/>
            </w:pPr>
            <w:r>
              <w:rPr>
                <w:b w:val="0"/>
                <w:sz w:val="21"/>
              </w:rPr>
              <w:t>重大原则、资源及跨域争议审议</w:t>
            </w:r>
          </w:p>
        </w:tc>
        <w:tc>
          <w:tcPr>
            <w:tcW w:type="dxa" w:w="3277"/>
            <w:vAlign w:val="center"/>
          </w:tcPr>
          <w:p>
            <w:pPr>
              <w:keepNext w:val="0"/>
              <w:spacing w:line="320" w:lineRule="exact" w:after="0" w:before="0"/>
              <w:ind w:firstLine="0"/>
              <w:jc w:val="left"/>
            </w:pPr>
            <w:r>
              <w:rPr>
                <w:b w:val="0"/>
                <w:sz w:val="21"/>
              </w:rPr>
              <w:t>审议事项、参与意见、有效决定及执行监督</w:t>
            </w:r>
          </w:p>
        </w:tc>
      </w:tr>
      <w:tr>
        <w:trPr>
          <w:cantSplit/>
        </w:trPr>
        <w:tc>
          <w:tcPr>
            <w:tcW w:type="dxa" w:w="2506"/>
            <w:vAlign w:val="center"/>
          </w:tcPr>
          <w:p>
            <w:pPr>
              <w:keepNext w:val="0"/>
              <w:spacing w:line="320" w:lineRule="exact" w:after="0" w:before="0"/>
              <w:ind w:firstLine="0"/>
              <w:jc w:val="left"/>
            </w:pPr>
            <w:r>
              <w:rPr>
                <w:b w:val="0"/>
                <w:sz w:val="21"/>
              </w:rPr>
              <w:t>数据管理办公室</w:t>
            </w:r>
          </w:p>
        </w:tc>
        <w:tc>
          <w:tcPr>
            <w:tcW w:type="dxa" w:w="3855"/>
            <w:vAlign w:val="center"/>
          </w:tcPr>
          <w:p>
            <w:pPr>
              <w:keepNext w:val="0"/>
              <w:spacing w:line="320" w:lineRule="exact" w:after="0" w:before="0"/>
              <w:ind w:firstLine="0"/>
              <w:jc w:val="left"/>
            </w:pPr>
            <w:r>
              <w:rPr>
                <w:b w:val="0"/>
                <w:sz w:val="21"/>
              </w:rPr>
              <w:t>需求与规则统筹、计划协调、升级督办</w:t>
            </w:r>
          </w:p>
        </w:tc>
        <w:tc>
          <w:tcPr>
            <w:tcW w:type="dxa" w:w="3277"/>
            <w:vAlign w:val="center"/>
          </w:tcPr>
          <w:p>
            <w:pPr>
              <w:keepNext w:val="0"/>
              <w:spacing w:line="320" w:lineRule="exact" w:after="0" w:before="0"/>
              <w:ind w:firstLine="0"/>
              <w:jc w:val="left"/>
            </w:pPr>
            <w:r>
              <w:rPr>
                <w:b w:val="0"/>
                <w:sz w:val="21"/>
              </w:rPr>
              <w:t>评审结论、分派依据、检查计划及督办记录</w:t>
            </w:r>
          </w:p>
        </w:tc>
      </w:tr>
      <w:tr>
        <w:trPr>
          <w:cantSplit/>
        </w:trPr>
        <w:tc>
          <w:tcPr>
            <w:tcW w:type="dxa" w:w="2506"/>
            <w:vAlign w:val="center"/>
          </w:tcPr>
          <w:p>
            <w:pPr>
              <w:keepNext w:val="0"/>
              <w:spacing w:line="320" w:lineRule="exact" w:after="0" w:before="0"/>
              <w:ind w:firstLine="0"/>
              <w:jc w:val="left"/>
            </w:pPr>
            <w:r>
              <w:rPr>
                <w:b w:val="0"/>
                <w:sz w:val="21"/>
              </w:rPr>
              <w:t>业务责任岗位</w:t>
            </w:r>
          </w:p>
        </w:tc>
        <w:tc>
          <w:tcPr>
            <w:tcW w:type="dxa" w:w="3855"/>
            <w:vAlign w:val="center"/>
          </w:tcPr>
          <w:p>
            <w:pPr>
              <w:keepNext w:val="0"/>
              <w:spacing w:line="320" w:lineRule="exact" w:after="0" w:before="0"/>
              <w:ind w:firstLine="0"/>
              <w:jc w:val="left"/>
            </w:pPr>
            <w:r>
              <w:rPr>
                <w:b w:val="0"/>
                <w:sz w:val="21"/>
              </w:rPr>
              <w:t>业务定义、权威凭据、影响判断及修正确认</w:t>
            </w:r>
          </w:p>
        </w:tc>
        <w:tc>
          <w:tcPr>
            <w:tcW w:type="dxa" w:w="3277"/>
            <w:vAlign w:val="center"/>
          </w:tcPr>
          <w:p>
            <w:pPr>
              <w:keepNext w:val="0"/>
              <w:spacing w:line="320" w:lineRule="exact" w:after="0" w:before="0"/>
              <w:ind w:firstLine="0"/>
              <w:jc w:val="left"/>
            </w:pPr>
            <w:r>
              <w:rPr>
                <w:b w:val="0"/>
                <w:sz w:val="21"/>
              </w:rPr>
              <w:t>条件确认、业务证据、处理意见及结果确认</w:t>
            </w:r>
          </w:p>
        </w:tc>
      </w:tr>
      <w:tr>
        <w:trPr>
          <w:cantSplit/>
        </w:trPr>
        <w:tc>
          <w:tcPr>
            <w:tcW w:type="dxa" w:w="2506"/>
            <w:vAlign w:val="center"/>
          </w:tcPr>
          <w:p>
            <w:pPr>
              <w:keepNext w:val="0"/>
              <w:spacing w:line="320" w:lineRule="exact" w:after="0" w:before="0"/>
              <w:ind w:firstLine="0"/>
              <w:jc w:val="left"/>
            </w:pPr>
            <w:r>
              <w:rPr>
                <w:b w:val="0"/>
                <w:sz w:val="21"/>
              </w:rPr>
              <w:t>平台与技术岗位</w:t>
            </w:r>
          </w:p>
        </w:tc>
        <w:tc>
          <w:tcPr>
            <w:tcW w:type="dxa" w:w="3855"/>
            <w:vAlign w:val="center"/>
          </w:tcPr>
          <w:p>
            <w:pPr>
              <w:keepNext w:val="0"/>
              <w:spacing w:line="320" w:lineRule="exact" w:after="0" w:before="0"/>
              <w:ind w:firstLine="0"/>
              <w:jc w:val="left"/>
            </w:pPr>
            <w:r>
              <w:rPr>
                <w:b w:val="0"/>
                <w:sz w:val="21"/>
              </w:rPr>
              <w:t>数据接入、规则实现、调度运行及恢复</w:t>
            </w:r>
          </w:p>
        </w:tc>
        <w:tc>
          <w:tcPr>
            <w:tcW w:type="dxa" w:w="3277"/>
            <w:vAlign w:val="center"/>
          </w:tcPr>
          <w:p>
            <w:pPr>
              <w:keepNext w:val="0"/>
              <w:spacing w:line="320" w:lineRule="exact" w:after="0" w:before="0"/>
              <w:ind w:firstLine="0"/>
              <w:jc w:val="left"/>
            </w:pPr>
            <w:r>
              <w:rPr>
                <w:b w:val="0"/>
                <w:sz w:val="21"/>
              </w:rPr>
              <w:t>配置版本、作业日志、变更记录及技术验证</w:t>
            </w:r>
          </w:p>
        </w:tc>
      </w:tr>
      <w:tr>
        <w:trPr>
          <w:cantSplit/>
        </w:trPr>
        <w:tc>
          <w:tcPr>
            <w:tcW w:type="dxa" w:w="2506"/>
            <w:vAlign w:val="center"/>
          </w:tcPr>
          <w:p>
            <w:pPr>
              <w:keepNext w:val="0"/>
              <w:spacing w:line="320" w:lineRule="exact" w:after="0" w:before="0"/>
              <w:ind w:firstLine="0"/>
              <w:jc w:val="left"/>
            </w:pPr>
            <w:r>
              <w:rPr>
                <w:b w:val="0"/>
                <w:sz w:val="21"/>
              </w:rPr>
              <w:t>质量复核岗位</w:t>
            </w:r>
          </w:p>
        </w:tc>
        <w:tc>
          <w:tcPr>
            <w:tcW w:type="dxa" w:w="3855"/>
            <w:vAlign w:val="center"/>
          </w:tcPr>
          <w:p>
            <w:pPr>
              <w:keepNext w:val="0"/>
              <w:spacing w:line="320" w:lineRule="exact" w:after="0" w:before="0"/>
              <w:ind w:firstLine="0"/>
              <w:jc w:val="left"/>
            </w:pPr>
            <w:r>
              <w:rPr>
                <w:b w:val="0"/>
                <w:sz w:val="21"/>
              </w:rPr>
              <w:t>检查有效性、问题判定和独立复核</w:t>
            </w:r>
          </w:p>
        </w:tc>
        <w:tc>
          <w:tcPr>
            <w:tcW w:type="dxa" w:w="3277"/>
            <w:vAlign w:val="center"/>
          </w:tcPr>
          <w:p>
            <w:pPr>
              <w:keepNext w:val="0"/>
              <w:spacing w:line="320" w:lineRule="exact" w:after="0" w:before="0"/>
              <w:ind w:firstLine="0"/>
              <w:jc w:val="left"/>
            </w:pPr>
            <w:r>
              <w:rPr>
                <w:b w:val="0"/>
                <w:sz w:val="21"/>
              </w:rPr>
              <w:t>复核范围、方法、证据、结论及退回原因</w:t>
            </w:r>
          </w:p>
        </w:tc>
      </w:tr>
      <w:tr>
        <w:trPr>
          <w:cantSplit/>
        </w:trPr>
        <w:tc>
          <w:tcPr>
            <w:tcW w:type="dxa" w:w="2506"/>
            <w:vAlign w:val="center"/>
          </w:tcPr>
          <w:p>
            <w:pPr>
              <w:keepNext w:val="0"/>
              <w:spacing w:line="320" w:lineRule="exact" w:after="0" w:before="0"/>
              <w:ind w:firstLine="0"/>
              <w:jc w:val="left"/>
            </w:pPr>
            <w:r>
              <w:rPr>
                <w:b w:val="0"/>
                <w:sz w:val="21"/>
              </w:rPr>
              <w:t>安全及专业岗位</w:t>
            </w:r>
          </w:p>
        </w:tc>
        <w:tc>
          <w:tcPr>
            <w:tcW w:type="dxa" w:w="3855"/>
            <w:vAlign w:val="center"/>
          </w:tcPr>
          <w:p>
            <w:pPr>
              <w:keepNext w:val="0"/>
              <w:spacing w:line="320" w:lineRule="exact" w:after="0" w:before="0"/>
              <w:ind w:firstLine="0"/>
              <w:jc w:val="left"/>
            </w:pPr>
            <w:r>
              <w:rPr>
                <w:b w:val="0"/>
                <w:sz w:val="21"/>
              </w:rPr>
              <w:t>分级使用、专业依据和风险控制</w:t>
            </w:r>
          </w:p>
        </w:tc>
        <w:tc>
          <w:tcPr>
            <w:tcW w:type="dxa" w:w="3277"/>
            <w:vAlign w:val="center"/>
          </w:tcPr>
          <w:p>
            <w:pPr>
              <w:keepNext w:val="0"/>
              <w:spacing w:line="320" w:lineRule="exact" w:after="0" w:before="0"/>
              <w:ind w:firstLine="0"/>
              <w:jc w:val="left"/>
            </w:pPr>
            <w:r>
              <w:rPr>
                <w:b w:val="0"/>
                <w:sz w:val="21"/>
              </w:rPr>
              <w:t>授权边界、专业判断、限制条件及审核记录</w:t>
            </w:r>
          </w:p>
        </w:tc>
      </w:tr>
    </w:tbl>
    <w:p>
      <w:pPr>
        <w:spacing w:after="40" w:line="240" w:lineRule="auto"/>
        <w:ind w:firstLine="0"/>
      </w:pPr>
      <w:r>
        <w:rPr>
          <w:sz w:val="4"/>
        </w:rPr>
      </w:r>
    </w:p>
    <w:p>
      <w:pPr>
        <w:jc w:val="both"/>
      </w:pPr>
      <w:r>
        <w:t>质量问题的提出人、整改执行人、业务确认人和关闭复核人分别登记。对关键问题，整改执行人与关闭复核人不得为同一人；资源有限时由管理层安排其他具备能力的复核人，不以执行人自查代替独立复核。跨域问题确定一个牵头责任岗位，相关部门承担具体子任务，主问题在全部必要子任务完成并通过整体复核前保持未关闭。</w:t>
      </w:r>
    </w:p>
    <w:p>
      <w:pPr>
        <w:pStyle w:val="Heading2"/>
      </w:pPr>
      <w:r>
        <w:t>1.4 质量对象与关键数据元素管理</w:t>
      </w:r>
    </w:p>
    <w:p>
      <w:pPr>
        <w:pStyle w:val="Heading3"/>
      </w:pPr>
      <w:r>
        <w:t>1.4.1 对象识别与范围登记</w:t>
      </w:r>
    </w:p>
    <w:p>
      <w:pPr>
        <w:jc w:val="both"/>
      </w:pPr>
      <w:r>
        <w:t>质量对象登记到业务实体、字段、关系、文档、时序区间、图像对象或视频片段，不只停留在数据库表名。物料以编码、规格、版本及组织适用范围识别；设计对象以产品、图号、版次、有效范围及审批状态识别；生产对象以订单、工单、工序、实物批次及执行时段识别；检验对象以检验任务、样本、项目、方法和结论识别。实际复合键由业务确认后配置，避免遗漏有效区分条件造成误判重复。</w:t>
      </w:r>
    </w:p>
    <w:p>
      <w:pPr>
        <w:jc w:val="both"/>
      </w:pPr>
      <w:r>
        <w:t>关键数据元素优先覆盖身份标识、版本、时间、数量、金额、单位、工艺参数、检验结论、设备状态、质量等级以及关联业务凭证的键值。确定优先级时综合生产经营影响、使用频度、传播范围、纠正成本和敏感程度，不单按空值率高低排序。关键字段的来源、责任岗位、使用范围、检查规则和异常限制条件一并登记。</w:t>
      </w:r>
    </w:p>
    <w:p>
      <w:pPr>
        <w:pStyle w:val="Heading3"/>
      </w:pPr>
      <w:r>
        <w:t>1.4.2 九个业务域的对象重点</w:t>
      </w:r>
    </w:p>
    <w:p>
      <w:pPr>
        <w:pStyle w:val="Caption"/>
        <w:keepNext/>
      </w:pPr>
      <w:r>
        <w:t>表1-2 九个业务域的对象重点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业务域</w:t>
            </w:r>
          </w:p>
        </w:tc>
        <w:tc>
          <w:tcPr>
            <w:tcW w:type="dxa" w:w="3855"/>
            <w:vAlign w:val="center"/>
            <w:shd w:fill="EDF1F3"/>
          </w:tcPr>
          <w:p>
            <w:pPr>
              <w:keepNext/>
              <w:spacing w:line="320" w:lineRule="exact" w:after="0" w:before="0"/>
              <w:ind w:firstLine="0"/>
              <w:jc w:val="center"/>
            </w:pPr>
            <w:r>
              <w:rPr>
                <w:b/>
                <w:sz w:val="21"/>
              </w:rPr>
              <w:t>关键对象</w:t>
            </w:r>
          </w:p>
        </w:tc>
        <w:tc>
          <w:tcPr>
            <w:tcW w:type="dxa" w:w="3277"/>
            <w:vAlign w:val="center"/>
            <w:shd w:fill="EDF1F3"/>
          </w:tcPr>
          <w:p>
            <w:pPr>
              <w:keepNext/>
              <w:spacing w:line="320" w:lineRule="exact" w:after="0" w:before="0"/>
              <w:ind w:firstLine="0"/>
              <w:jc w:val="center"/>
            </w:pPr>
            <w:r>
              <w:rPr>
                <w:b/>
                <w:sz w:val="21"/>
              </w:rPr>
              <w:t>优先控制的质量关系</w:t>
            </w:r>
          </w:p>
        </w:tc>
      </w:tr>
      <w:tr>
        <w:trPr>
          <w:cantSplit/>
        </w:trPr>
        <w:tc>
          <w:tcPr>
            <w:tcW w:type="dxa" w:w="2506"/>
            <w:vAlign w:val="center"/>
          </w:tcPr>
          <w:p>
            <w:pPr>
              <w:keepNext w:val="0"/>
              <w:spacing w:line="320" w:lineRule="exact" w:after="0" w:before="0"/>
              <w:ind w:firstLine="0"/>
              <w:jc w:val="left"/>
            </w:pPr>
            <w:r>
              <w:rPr>
                <w:b w:val="0"/>
                <w:sz w:val="21"/>
              </w:rPr>
              <w:t>人力资源</w:t>
            </w:r>
          </w:p>
        </w:tc>
        <w:tc>
          <w:tcPr>
            <w:tcW w:type="dxa" w:w="3855"/>
            <w:vAlign w:val="center"/>
          </w:tcPr>
          <w:p>
            <w:pPr>
              <w:keepNext w:val="0"/>
              <w:spacing w:line="320" w:lineRule="exact" w:after="0" w:before="0"/>
              <w:ind w:firstLine="0"/>
              <w:jc w:val="left"/>
            </w:pPr>
            <w:r>
              <w:rPr>
                <w:b w:val="0"/>
                <w:sz w:val="21"/>
              </w:rPr>
              <w:t>人员、岗位、组织、资质与培训</w:t>
            </w:r>
          </w:p>
        </w:tc>
        <w:tc>
          <w:tcPr>
            <w:tcW w:type="dxa" w:w="3277"/>
            <w:vAlign w:val="center"/>
          </w:tcPr>
          <w:p>
            <w:pPr>
              <w:keepNext w:val="0"/>
              <w:spacing w:line="320" w:lineRule="exact" w:after="0" w:before="0"/>
              <w:ind w:firstLine="0"/>
              <w:jc w:val="left"/>
            </w:pPr>
            <w:r>
              <w:rPr>
                <w:b w:val="0"/>
                <w:sz w:val="21"/>
              </w:rPr>
              <w:t>人岗有效期、资格适用工序及授权边界</w:t>
            </w:r>
          </w:p>
        </w:tc>
      </w:tr>
      <w:tr>
        <w:trPr>
          <w:cantSplit/>
        </w:trPr>
        <w:tc>
          <w:tcPr>
            <w:tcW w:type="dxa" w:w="2506"/>
            <w:vAlign w:val="center"/>
          </w:tcPr>
          <w:p>
            <w:pPr>
              <w:keepNext w:val="0"/>
              <w:spacing w:line="320" w:lineRule="exact" w:after="0" w:before="0"/>
              <w:ind w:firstLine="0"/>
              <w:jc w:val="left"/>
            </w:pPr>
            <w:r>
              <w:rPr>
                <w:b w:val="0"/>
                <w:sz w:val="21"/>
              </w:rPr>
              <w:t>研发设计</w:t>
            </w:r>
          </w:p>
        </w:tc>
        <w:tc>
          <w:tcPr>
            <w:tcW w:type="dxa" w:w="3855"/>
            <w:vAlign w:val="center"/>
          </w:tcPr>
          <w:p>
            <w:pPr>
              <w:keepNext w:val="0"/>
              <w:spacing w:line="320" w:lineRule="exact" w:after="0" w:before="0"/>
              <w:ind w:firstLine="0"/>
              <w:jc w:val="left"/>
            </w:pPr>
            <w:r>
              <w:rPr>
                <w:b w:val="0"/>
                <w:sz w:val="21"/>
              </w:rPr>
              <w:t>产品、图纸、物料清单与工艺设计</w:t>
            </w:r>
          </w:p>
        </w:tc>
        <w:tc>
          <w:tcPr>
            <w:tcW w:type="dxa" w:w="3277"/>
            <w:vAlign w:val="center"/>
          </w:tcPr>
          <w:p>
            <w:pPr>
              <w:keepNext w:val="0"/>
              <w:spacing w:line="320" w:lineRule="exact" w:after="0" w:before="0"/>
              <w:ind w:firstLine="0"/>
              <w:jc w:val="left"/>
            </w:pPr>
            <w:r>
              <w:rPr>
                <w:b w:val="0"/>
                <w:sz w:val="21"/>
              </w:rPr>
              <w:t>版本适用、结构关联、尺寸及单位</w:t>
            </w:r>
          </w:p>
        </w:tc>
      </w:tr>
      <w:tr>
        <w:trPr>
          <w:cantSplit/>
        </w:trPr>
        <w:tc>
          <w:tcPr>
            <w:tcW w:type="dxa" w:w="2506"/>
            <w:vAlign w:val="center"/>
          </w:tcPr>
          <w:p>
            <w:pPr>
              <w:keepNext w:val="0"/>
              <w:spacing w:line="320" w:lineRule="exact" w:after="0" w:before="0"/>
              <w:ind w:firstLine="0"/>
              <w:jc w:val="left"/>
            </w:pPr>
            <w:r>
              <w:rPr>
                <w:b w:val="0"/>
                <w:sz w:val="21"/>
              </w:rPr>
              <w:t>生产制造</w:t>
            </w:r>
          </w:p>
        </w:tc>
        <w:tc>
          <w:tcPr>
            <w:tcW w:type="dxa" w:w="3855"/>
            <w:vAlign w:val="center"/>
          </w:tcPr>
          <w:p>
            <w:pPr>
              <w:keepNext w:val="0"/>
              <w:spacing w:line="320" w:lineRule="exact" w:after="0" w:before="0"/>
              <w:ind w:firstLine="0"/>
              <w:jc w:val="left"/>
            </w:pPr>
            <w:r>
              <w:rPr>
                <w:b w:val="0"/>
                <w:sz w:val="21"/>
              </w:rPr>
              <w:t>计划、工单、工序、报工与过程参数</w:t>
            </w:r>
          </w:p>
        </w:tc>
        <w:tc>
          <w:tcPr>
            <w:tcW w:type="dxa" w:w="3277"/>
            <w:vAlign w:val="center"/>
          </w:tcPr>
          <w:p>
            <w:pPr>
              <w:keepNext w:val="0"/>
              <w:spacing w:line="320" w:lineRule="exact" w:after="0" w:before="0"/>
              <w:ind w:firstLine="0"/>
              <w:jc w:val="left"/>
            </w:pPr>
            <w:r>
              <w:rPr>
                <w:b w:val="0"/>
                <w:sz w:val="21"/>
              </w:rPr>
              <w:t>实物批次、工艺执行、时间顺序及采集完整</w:t>
            </w:r>
          </w:p>
        </w:tc>
      </w:tr>
      <w:tr>
        <w:trPr>
          <w:cantSplit/>
        </w:trPr>
        <w:tc>
          <w:tcPr>
            <w:tcW w:type="dxa" w:w="2506"/>
            <w:vAlign w:val="center"/>
          </w:tcPr>
          <w:p>
            <w:pPr>
              <w:keepNext w:val="0"/>
              <w:spacing w:line="320" w:lineRule="exact" w:after="0" w:before="0"/>
              <w:ind w:firstLine="0"/>
              <w:jc w:val="left"/>
            </w:pPr>
            <w:r>
              <w:rPr>
                <w:b w:val="0"/>
                <w:sz w:val="21"/>
              </w:rPr>
              <w:t>仓储物流</w:t>
            </w:r>
          </w:p>
        </w:tc>
        <w:tc>
          <w:tcPr>
            <w:tcW w:type="dxa" w:w="3855"/>
            <w:vAlign w:val="center"/>
          </w:tcPr>
          <w:p>
            <w:pPr>
              <w:keepNext w:val="0"/>
              <w:spacing w:line="320" w:lineRule="exact" w:after="0" w:before="0"/>
              <w:ind w:firstLine="0"/>
              <w:jc w:val="left"/>
            </w:pPr>
            <w:r>
              <w:rPr>
                <w:b w:val="0"/>
                <w:sz w:val="21"/>
              </w:rPr>
              <w:t>物料、库位、库存、出入库及运输</w:t>
            </w:r>
          </w:p>
        </w:tc>
        <w:tc>
          <w:tcPr>
            <w:tcW w:type="dxa" w:w="3277"/>
            <w:vAlign w:val="center"/>
          </w:tcPr>
          <w:p>
            <w:pPr>
              <w:keepNext w:val="0"/>
              <w:spacing w:line="320" w:lineRule="exact" w:after="0" w:before="0"/>
              <w:ind w:firstLine="0"/>
              <w:jc w:val="left"/>
            </w:pPr>
            <w:r>
              <w:rPr>
                <w:b w:val="0"/>
                <w:sz w:val="21"/>
              </w:rPr>
              <w:t>状态与时点对齐、单位换算及实物流转</w:t>
            </w:r>
          </w:p>
        </w:tc>
      </w:tr>
      <w:tr>
        <w:trPr>
          <w:cantSplit/>
        </w:trPr>
        <w:tc>
          <w:tcPr>
            <w:tcW w:type="dxa" w:w="2506"/>
            <w:vAlign w:val="center"/>
          </w:tcPr>
          <w:p>
            <w:pPr>
              <w:keepNext w:val="0"/>
              <w:spacing w:line="320" w:lineRule="exact" w:after="0" w:before="0"/>
              <w:ind w:firstLine="0"/>
              <w:jc w:val="left"/>
            </w:pPr>
            <w:r>
              <w:rPr>
                <w:b w:val="0"/>
                <w:sz w:val="21"/>
              </w:rPr>
              <w:t>财务管理</w:t>
            </w:r>
          </w:p>
        </w:tc>
        <w:tc>
          <w:tcPr>
            <w:tcW w:type="dxa" w:w="3855"/>
            <w:vAlign w:val="center"/>
          </w:tcPr>
          <w:p>
            <w:pPr>
              <w:keepNext w:val="0"/>
              <w:spacing w:line="320" w:lineRule="exact" w:after="0" w:before="0"/>
              <w:ind w:firstLine="0"/>
              <w:jc w:val="left"/>
            </w:pPr>
            <w:r>
              <w:rPr>
                <w:b w:val="0"/>
                <w:sz w:val="21"/>
              </w:rPr>
              <w:t>凭证、科目、结算、成本与报表</w:t>
            </w:r>
          </w:p>
        </w:tc>
        <w:tc>
          <w:tcPr>
            <w:tcW w:type="dxa" w:w="3277"/>
            <w:vAlign w:val="center"/>
          </w:tcPr>
          <w:p>
            <w:pPr>
              <w:keepNext w:val="0"/>
              <w:spacing w:line="320" w:lineRule="exact" w:after="0" w:before="0"/>
              <w:ind w:firstLine="0"/>
              <w:jc w:val="left"/>
            </w:pPr>
            <w:r>
              <w:rPr>
                <w:b w:val="0"/>
                <w:sz w:val="21"/>
              </w:rPr>
              <w:t>期间、组织、币种、金额及业务凭据</w:t>
            </w:r>
          </w:p>
        </w:tc>
      </w:tr>
      <w:tr>
        <w:trPr>
          <w:cantSplit/>
        </w:trPr>
        <w:tc>
          <w:tcPr>
            <w:tcW w:type="dxa" w:w="2506"/>
            <w:vAlign w:val="center"/>
          </w:tcPr>
          <w:p>
            <w:pPr>
              <w:keepNext w:val="0"/>
              <w:spacing w:line="320" w:lineRule="exact" w:after="0" w:before="0"/>
              <w:ind w:firstLine="0"/>
              <w:jc w:val="left"/>
            </w:pPr>
            <w:r>
              <w:rPr>
                <w:b w:val="0"/>
                <w:sz w:val="21"/>
              </w:rPr>
              <w:t>设备管理</w:t>
            </w:r>
          </w:p>
        </w:tc>
        <w:tc>
          <w:tcPr>
            <w:tcW w:type="dxa" w:w="3855"/>
            <w:vAlign w:val="center"/>
          </w:tcPr>
          <w:p>
            <w:pPr>
              <w:keepNext w:val="0"/>
              <w:spacing w:line="320" w:lineRule="exact" w:after="0" w:before="0"/>
              <w:ind w:firstLine="0"/>
              <w:jc w:val="left"/>
            </w:pPr>
            <w:r>
              <w:rPr>
                <w:b w:val="0"/>
                <w:sz w:val="21"/>
              </w:rPr>
              <w:t>设备、部件、维护、故障及状态</w:t>
            </w:r>
          </w:p>
        </w:tc>
        <w:tc>
          <w:tcPr>
            <w:tcW w:type="dxa" w:w="3277"/>
            <w:vAlign w:val="center"/>
          </w:tcPr>
          <w:p>
            <w:pPr>
              <w:keepNext w:val="0"/>
              <w:spacing w:line="320" w:lineRule="exact" w:after="0" w:before="0"/>
              <w:ind w:firstLine="0"/>
              <w:jc w:val="left"/>
            </w:pPr>
            <w:r>
              <w:rPr>
                <w:b w:val="0"/>
                <w:sz w:val="21"/>
              </w:rPr>
              <w:t>设备层级、测点、维修过程和事件关联</w:t>
            </w:r>
          </w:p>
        </w:tc>
      </w:tr>
      <w:tr>
        <w:trPr>
          <w:cantSplit/>
        </w:trPr>
        <w:tc>
          <w:tcPr>
            <w:tcW w:type="dxa" w:w="2506"/>
            <w:vAlign w:val="center"/>
          </w:tcPr>
          <w:p>
            <w:pPr>
              <w:keepNext w:val="0"/>
              <w:spacing w:line="320" w:lineRule="exact" w:after="0" w:before="0"/>
              <w:ind w:firstLine="0"/>
              <w:jc w:val="left"/>
            </w:pPr>
            <w:r>
              <w:rPr>
                <w:b w:val="0"/>
                <w:sz w:val="21"/>
              </w:rPr>
              <w:t>采购管理</w:t>
            </w:r>
          </w:p>
        </w:tc>
        <w:tc>
          <w:tcPr>
            <w:tcW w:type="dxa" w:w="3855"/>
            <w:vAlign w:val="center"/>
          </w:tcPr>
          <w:p>
            <w:pPr>
              <w:keepNext w:val="0"/>
              <w:spacing w:line="320" w:lineRule="exact" w:after="0" w:before="0"/>
              <w:ind w:firstLine="0"/>
              <w:jc w:val="left"/>
            </w:pPr>
            <w:r>
              <w:rPr>
                <w:b w:val="0"/>
                <w:sz w:val="21"/>
              </w:rPr>
              <w:t>供应商、采购订单、到货与质保资料</w:t>
            </w:r>
          </w:p>
        </w:tc>
        <w:tc>
          <w:tcPr>
            <w:tcW w:type="dxa" w:w="3277"/>
            <w:vAlign w:val="center"/>
          </w:tcPr>
          <w:p>
            <w:pPr>
              <w:keepNext w:val="0"/>
              <w:spacing w:line="320" w:lineRule="exact" w:after="0" w:before="0"/>
              <w:ind w:firstLine="0"/>
              <w:jc w:val="left"/>
            </w:pPr>
            <w:r>
              <w:rPr>
                <w:b w:val="0"/>
                <w:sz w:val="21"/>
              </w:rPr>
              <w:t>合同约束、收货批次、检验与结算关系</w:t>
            </w:r>
          </w:p>
        </w:tc>
      </w:tr>
      <w:tr>
        <w:trPr>
          <w:cantSplit/>
        </w:trPr>
        <w:tc>
          <w:tcPr>
            <w:tcW w:type="dxa" w:w="2506"/>
            <w:vAlign w:val="center"/>
          </w:tcPr>
          <w:p>
            <w:pPr>
              <w:keepNext w:val="0"/>
              <w:spacing w:line="320" w:lineRule="exact" w:after="0" w:before="0"/>
              <w:ind w:firstLine="0"/>
              <w:jc w:val="left"/>
            </w:pPr>
            <w:r>
              <w:rPr>
                <w:b w:val="0"/>
                <w:sz w:val="21"/>
              </w:rPr>
              <w:t>营销管理</w:t>
            </w:r>
          </w:p>
        </w:tc>
        <w:tc>
          <w:tcPr>
            <w:tcW w:type="dxa" w:w="3855"/>
            <w:vAlign w:val="center"/>
          </w:tcPr>
          <w:p>
            <w:pPr>
              <w:keepNext w:val="0"/>
              <w:spacing w:line="320" w:lineRule="exact" w:after="0" w:before="0"/>
              <w:ind w:firstLine="0"/>
              <w:jc w:val="left"/>
            </w:pPr>
            <w:r>
              <w:rPr>
                <w:b w:val="0"/>
                <w:sz w:val="21"/>
              </w:rPr>
              <w:t>客户、产品配置、合同、交付与反馈</w:t>
            </w:r>
          </w:p>
        </w:tc>
        <w:tc>
          <w:tcPr>
            <w:tcW w:type="dxa" w:w="3277"/>
            <w:vAlign w:val="center"/>
          </w:tcPr>
          <w:p>
            <w:pPr>
              <w:keepNext w:val="0"/>
              <w:spacing w:line="320" w:lineRule="exact" w:after="0" w:before="0"/>
              <w:ind w:firstLine="0"/>
              <w:jc w:val="left"/>
            </w:pPr>
            <w:r>
              <w:rPr>
                <w:b w:val="0"/>
                <w:sz w:val="21"/>
              </w:rPr>
              <w:t>客户主体、配置版本、履约范围及反馈对象</w:t>
            </w:r>
          </w:p>
        </w:tc>
      </w:tr>
      <w:tr>
        <w:trPr>
          <w:cantSplit/>
        </w:trPr>
        <w:tc>
          <w:tcPr>
            <w:tcW w:type="dxa" w:w="2506"/>
            <w:vAlign w:val="center"/>
          </w:tcPr>
          <w:p>
            <w:pPr>
              <w:keepNext w:val="0"/>
              <w:spacing w:line="320" w:lineRule="exact" w:after="0" w:before="0"/>
              <w:ind w:firstLine="0"/>
              <w:jc w:val="left"/>
            </w:pPr>
            <w:r>
              <w:rPr>
                <w:b w:val="0"/>
                <w:sz w:val="21"/>
              </w:rPr>
              <w:t>质量管理</w:t>
            </w:r>
          </w:p>
        </w:tc>
        <w:tc>
          <w:tcPr>
            <w:tcW w:type="dxa" w:w="3855"/>
            <w:vAlign w:val="center"/>
          </w:tcPr>
          <w:p>
            <w:pPr>
              <w:keepNext w:val="0"/>
              <w:spacing w:line="320" w:lineRule="exact" w:after="0" w:before="0"/>
              <w:ind w:firstLine="0"/>
              <w:jc w:val="left"/>
            </w:pPr>
            <w:r>
              <w:rPr>
                <w:b w:val="0"/>
                <w:sz w:val="21"/>
              </w:rPr>
              <w:t>检验、试验、不合格品与质量追溯</w:t>
            </w:r>
          </w:p>
        </w:tc>
        <w:tc>
          <w:tcPr>
            <w:tcW w:type="dxa" w:w="3277"/>
            <w:vAlign w:val="center"/>
          </w:tcPr>
          <w:p>
            <w:pPr>
              <w:keepNext w:val="0"/>
              <w:spacing w:line="320" w:lineRule="exact" w:after="0" w:before="0"/>
              <w:ind w:firstLine="0"/>
              <w:jc w:val="left"/>
            </w:pPr>
            <w:r>
              <w:rPr>
                <w:b w:val="0"/>
                <w:sz w:val="21"/>
              </w:rPr>
              <w:t>检验标准、实测结果、判定及处置闭环</w:t>
            </w:r>
          </w:p>
        </w:tc>
      </w:tr>
    </w:tbl>
    <w:p>
      <w:pPr>
        <w:spacing w:after="40" w:line="240" w:lineRule="auto"/>
        <w:ind w:firstLine="0"/>
      </w:pPr>
      <w:r>
        <w:rPr>
          <w:sz w:val="4"/>
        </w:rPr>
      </w:r>
    </w:p>
    <w:p>
      <w:pPr>
        <w:pStyle w:val="Heading3"/>
      </w:pPr>
      <w:r>
        <w:t>1.4.3 多模态与派生对象控制</w:t>
      </w:r>
    </w:p>
    <w:p>
      <w:pPr>
        <w:jc w:val="both"/>
      </w:pPr>
      <w:r>
        <w:t>图像和视频记录原文件、业务对象、采集时间、设备或工位、分辨率及必要拍摄条件，校验文件可读性与业务关联。外观相似但对应不同焊缝、不同零件或不同工序的图像不得因视觉相近而直接合并。视频截帧、片段抽取和图像裁切保留派生关系，区分原业务时间与加工时间，避免派生文件被误认为新增业务证据。</w:t>
      </w:r>
    </w:p>
    <w:p>
      <w:pPr>
        <w:jc w:val="both"/>
      </w:pPr>
      <w:r>
        <w:t>时序数据按测点、采样周期、单位、设备状态和时间窗口登记。检查间断、重复、漂移、饱和和异常突变时，结合停机、切换、校准、通信异常及工艺阶段确认原因。时间对齐规则说明时区、时钟来源、允许偏差及偏差修正记录，不任意平移曲线以满足工艺要求。异常数值保留原值、校正依据和质量标识，不用平滑结果覆盖原始采集事实。</w:t>
      </w:r>
    </w:p>
    <w:p>
      <w:pPr>
        <w:jc w:val="both"/>
      </w:pPr>
      <w:r>
        <w:t>指标和知识对象保留其上游输入、转换规则、适用范围及版本。不同粒度数据关联时说明一对一、一对多或多对多关系和分摊依据，检查结果应能回溯到参与计算的对象。对人工专业解释、知识摘要及模型生成内容，分别记录形成方式与核验依据，不把文本表述完整直接判为事实准确。</w:t>
      </w:r>
    </w:p>
    <w:p>
      <w:pPr>
        <w:pStyle w:val="Heading2"/>
      </w:pPr>
      <w:r>
        <w:t>1.5 需求受理、规则建设与生效管理</w:t>
      </w:r>
    </w:p>
    <w:p>
      <w:pPr>
        <w:jc w:val="both"/>
      </w:pPr>
      <w:r>
        <w:t>第十一条 质量需求由业务使用、标准要求、现状评估、检查发现、应用反馈或合同交付要求提出。受理时明确对象、业务目的、质量维度、判断依据、适用条件、严重程度、检查频率和责任岗位。对“数据准确”“及时更新”等概括性要求，细化到可定位对象、可取得依据和可解释结果后进入规则设计。</w:t>
      </w:r>
    </w:p>
    <w:p>
      <w:pPr>
        <w:jc w:val="both"/>
      </w:pPr>
      <w:r>
        <w:t>第十二条 需求评审至少核对业务合理性、数据可得性、可检测性、可整改性及与既有标准的一致性。无法自动判断的需求保留人工检查任务，明确专业岗位、审核总体、抽取方法和证据要求。依赖尚未具备的数据字段或外部凭据时登记前置条件与落实责任，不以规则尚不能运行视为需求已覆盖。</w:t>
      </w:r>
    </w:p>
    <w:p>
      <w:pPr>
        <w:jc w:val="both"/>
      </w:pPr>
      <w:r>
        <w:t>第十三条 规则建设包括适用条件、输入字段、对象粒度、检验逻辑、预期结果、严重程度、容差、异常分类、运行频率和整改指向。每项规则建立正常、异常、边界、缺失、重复、迟到和不适用输入的测试记录。涉及工艺参数或专业判断的，使用已确认的标准、图纸和工艺文件进行业务验证，未经确认的经验范围不得直接作为生产放行阈值。</w:t>
      </w:r>
    </w:p>
    <w:p>
      <w:pPr>
        <w:jc w:val="both"/>
      </w:pPr>
      <w:r>
        <w:t>第十四条 规则发布前完成业务确认、技术验证和质量复核，记录其依赖的标准、代码集和参数版本。新增或修改规则先在受控对象上检查命中情况与误报原因，再按批准范围生效。规则启停、参数变化及有效期调整均有授权和日志，不允许操作者为降低问题数临时关闭规则而不留记录。</w:t>
      </w:r>
    </w:p>
    <w:p>
      <w:pPr>
        <w:jc w:val="both"/>
      </w:pPr>
      <w:r>
        <w:t>第十五条 规则定义含义、对象粒度或核心判定发生实质变化时，建立新标识并记录替代关系；仅修正实现缺陷、优化性能且判断含义不变时，按版本管理处理。历史评价可同时提供当时口径结果与新口径重算结果，但分别标识，不能把重算数据冒充历史实际运行结果。</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2" name="Picture 2"/>
            <wp:cNvGraphicFramePr>
              <a:graphicFrameLocks noChangeAspect="1"/>
            </wp:cNvGraphicFramePr>
            <a:graphic>
              <a:graphicData uri="http://schemas.openxmlformats.org/drawingml/2006/picture">
                <pic:pic>
                  <pic:nvPicPr>
                    <pic:cNvPr id="0" name="图2_检查执行.png"/>
                    <pic:cNvPicPr/>
                  </pic:nvPicPr>
                  <pic:blipFill>
                    <a:blip r:embed="rId12"/>
                    <a:stretch>
                      <a:fillRect/>
                    </a:stretch>
                  </pic:blipFill>
                  <pic:spPr>
                    <a:xfrm>
                      <a:off x="0" y="0"/>
                      <a:ext cx="6048000" cy="1942338"/>
                    </a:xfrm>
                    <a:prstGeom prst="rect"/>
                  </pic:spPr>
                </pic:pic>
              </a:graphicData>
            </a:graphic>
          </wp:inline>
        </w:drawing>
      </w:r>
    </w:p>
    <w:p>
      <w:pPr>
        <w:pStyle w:val="Caption"/>
        <w:jc w:val="center"/>
      </w:pPr>
      <w:r>
        <w:t>图1-2 检查执行与异常办理</w:t>
      </w:r>
    </w:p>
    <w:p>
      <w:pPr>
        <w:pStyle w:val="Heading2"/>
      </w:pPr>
      <w:r>
        <w:t>1.6 检查计划、执行与异常处置</w:t>
      </w:r>
    </w:p>
    <w:p>
      <w:pPr>
        <w:pStyle w:val="Heading3"/>
      </w:pPr>
      <w:r>
        <w:t>1.6.1 检查安排</w:t>
      </w:r>
    </w:p>
    <w:p>
      <w:pPr>
        <w:jc w:val="both"/>
      </w:pPr>
      <w:r>
        <w:t>首次接入开展对象画像、全量基础检查和关键关联核验，形成初始质量基线。日常运行按数据变化方式设置增量检查、周期全量检查、事件触发检查及专业复核。库存结存、财务期间、设计发放、工艺版本切换和数据集发布等关键节点开展相应专项检查，频率与业务节奏一致，不用统一的日检查替代月结、换版或发布前的必要核验。</w:t>
      </w:r>
    </w:p>
    <w:p>
      <w:pPr>
        <w:jc w:val="both"/>
      </w:pPr>
      <w:r>
        <w:t>计划登记对象总体、时间窗口、适用规则集、依赖数据、资源、执行责任和结果接收岗位。涉及多系统关联时，明确各来源应到批次与对齐时点，先核验输入完整，再执行跨源判断。尚有数据未到达的，记录输入未齐和受影响规则，不把空结果认定为无问题。</w:t>
      </w:r>
    </w:p>
    <w:p>
      <w:pPr>
        <w:pStyle w:val="Heading3"/>
      </w:pPr>
      <w:r>
        <w:t>1.6.2 执行控制</w:t>
      </w:r>
    </w:p>
    <w:p>
      <w:pPr>
        <w:jc w:val="both"/>
      </w:pPr>
      <w:r>
        <w:t>第十六条 每次检查生成唯一任务标识，固定数据快照和规则版本，记录开始、结束、实际检查量、异常量、未检查量及失败原因。作业超时、连接中断、权限不足、字段变更或资源不足分别归为执行异常，不纳入数据合格数量。重试任务与原任务关联，重复运行结果不得重复计入同一批次质量统计。</w:t>
      </w:r>
    </w:p>
    <w:p>
      <w:pPr>
        <w:jc w:val="both"/>
      </w:pPr>
      <w:r>
        <w:t>第十七条 检查结果至少区分通过、不通过、不适用、待证实和未执行。不适用必须有业务条件依据，待证实必须有补证责任与时限，未执行必须说明技术或组织原因。只有实际满足规则的对象进入通过数量。规则适用总体、实际检查总体和可判定总体分别统计，检查覆盖不足不能由已检查部分的较高通过率掩盖。</w:t>
      </w:r>
    </w:p>
    <w:p>
      <w:pPr>
        <w:jc w:val="both"/>
      </w:pPr>
      <w:r>
        <w:t>第十八条 命中异常后保留必要证据并生成候选问题，由业务和质量岗位确认是否存在实际缺陷。疑似异常可先按风险限制使用，确认后明确问题类别和范围。对误报修正规则或输入解释时，回查同版本受影响任务，避免只关闭当前一条告警而保留同类误判。</w:t>
      </w:r>
    </w:p>
    <w:p>
      <w:pPr>
        <w:pStyle w:val="Heading3"/>
      </w:pPr>
      <w:r>
        <w:t>1.6.3 检查证据与敏感信息控制</w:t>
      </w:r>
    </w:p>
    <w:p>
      <w:pPr>
        <w:jc w:val="both"/>
      </w:pPr>
      <w:r>
        <w:t>检查证据包含对象标识、规则、原始取值或受控引用、预期条件、判断过程和任务版本。个人信息、商业秘密及敏感工艺信息按L1公开、L2内部、L3重要、L4敏感、L5机密分级要求实施访问与展示控制。报告和普通任务看板优先使用必要的摘要信息，明细证据仅向有权岗位开放，下载、转发和批量导出留痕。</w:t>
      </w:r>
    </w:p>
    <w:p>
      <w:pPr>
        <w:jc w:val="both"/>
      </w:pPr>
      <w:r>
        <w:t>证据保留期限结合适用法规、合同、企业制度和对象生命周期确定。达到期限后按批准流程归档或删除，保留合法必要的索引与操作记录。法律保全、争议处理或未完成复核涉及的证据按实际要求暂停常规删除；暂停范围及解除条件由有权岗位确认，不无期限保留无关数据。</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3" name="Picture 3"/>
            <wp:cNvGraphicFramePr>
              <a:graphicFrameLocks noChangeAspect="1"/>
            </wp:cNvGraphicFramePr>
            <a:graphic>
              <a:graphicData uri="http://schemas.openxmlformats.org/drawingml/2006/picture">
                <pic:pic>
                  <pic:nvPicPr>
                    <pic:cNvPr id="0" name="图3_评价层次.png"/>
                    <pic:cNvPicPr/>
                  </pic:nvPicPr>
                  <pic:blipFill>
                    <a:blip r:embed="rId13"/>
                    <a:stretch>
                      <a:fillRect/>
                    </a:stretch>
                  </pic:blipFill>
                  <pic:spPr>
                    <a:xfrm>
                      <a:off x="0" y="0"/>
                      <a:ext cx="6048000" cy="2477354"/>
                    </a:xfrm>
                    <a:prstGeom prst="rect"/>
                  </pic:spPr>
                </pic:pic>
              </a:graphicData>
            </a:graphic>
          </wp:inline>
        </w:drawing>
      </w:r>
    </w:p>
    <w:p>
      <w:pPr>
        <w:pStyle w:val="Caption"/>
        <w:jc w:val="center"/>
      </w:pPr>
      <w:r>
        <w:t>图1-3 分层评价与发布条件</w:t>
      </w:r>
    </w:p>
    <w:p>
      <w:pPr>
        <w:pStyle w:val="Heading2"/>
      </w:pPr>
      <w:r>
        <w:t>1.7 评价口径与指标管理</w:t>
      </w:r>
    </w:p>
    <w:p>
      <w:pPr>
        <w:pStyle w:val="Heading3"/>
      </w:pPr>
      <w:r>
        <w:t>1.7.1 六维统计口径</w:t>
      </w:r>
    </w:p>
    <w:p>
      <w:pPr>
        <w:jc w:val="both"/>
      </w:pPr>
      <w:r>
        <w:t>对每条规则分别登记适用对象数、已检查对象数、可判定对象数、通过对象数、不通过对象数、待证实对象数和未执行对象数。通过率按通过对象数除以可判定对象数计算；检查覆盖率按已检查对象数除以适用对象数计算；可判定覆盖率按可判定对象数除以适用对象数计算。三项结果并列展示。分母为零时记为无适用对象或不可计算，并保留原因，不输出100%或用零替代。</w:t>
      </w:r>
    </w:p>
    <w:p>
      <w:pPr>
        <w:jc w:val="both"/>
      </w:pPr>
      <w:r>
        <w:t>完整性可以分别以对象、字段、关系或连续时段为检查单位，同一指标内不混用。唯一性同时报告重复键组数和重复记录数，区分需保留的主记录与冗余记录。及时性说明业务起算事件、截止时间、允许延迟和时间来源，分别反映迟到与缺失。准确性依赖专业复核时，报告抽查设计、样本量和误差边界，不能把样本结果直接写成未经检查的全量结论。</w:t>
      </w:r>
    </w:p>
    <w:p>
      <w:pPr>
        <w:pStyle w:val="Caption"/>
        <w:keepNext/>
      </w:pPr>
      <w:r>
        <w:t>表1-3 六维统计口径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指标</w:t>
            </w:r>
          </w:p>
        </w:tc>
        <w:tc>
          <w:tcPr>
            <w:tcW w:type="dxa" w:w="3855"/>
            <w:vAlign w:val="center"/>
            <w:shd w:fill="EDF1F3"/>
          </w:tcPr>
          <w:p>
            <w:pPr>
              <w:keepNext/>
              <w:spacing w:line="320" w:lineRule="exact" w:after="0" w:before="0"/>
              <w:ind w:firstLine="0"/>
              <w:jc w:val="center"/>
            </w:pPr>
            <w:r>
              <w:rPr>
                <w:b/>
                <w:sz w:val="21"/>
              </w:rPr>
              <w:t>计算关系</w:t>
            </w:r>
          </w:p>
        </w:tc>
        <w:tc>
          <w:tcPr>
            <w:tcW w:type="dxa" w:w="3277"/>
            <w:vAlign w:val="center"/>
            <w:shd w:fill="EDF1F3"/>
          </w:tcPr>
          <w:p>
            <w:pPr>
              <w:keepNext/>
              <w:spacing w:line="320" w:lineRule="exact" w:after="0" w:before="0"/>
              <w:ind w:firstLine="0"/>
              <w:jc w:val="center"/>
            </w:pPr>
            <w:r>
              <w:rPr>
                <w:b/>
                <w:sz w:val="21"/>
              </w:rPr>
              <w:t>必须同时提供的条件</w:t>
            </w:r>
          </w:p>
        </w:tc>
      </w:tr>
      <w:tr>
        <w:trPr>
          <w:cantSplit/>
        </w:trPr>
        <w:tc>
          <w:tcPr>
            <w:tcW w:type="dxa" w:w="2506"/>
            <w:vAlign w:val="center"/>
          </w:tcPr>
          <w:p>
            <w:pPr>
              <w:keepNext w:val="0"/>
              <w:spacing w:line="320" w:lineRule="exact" w:after="0" w:before="0"/>
              <w:ind w:firstLine="0"/>
              <w:jc w:val="left"/>
            </w:pPr>
            <w:r>
              <w:rPr>
                <w:b w:val="0"/>
                <w:sz w:val="21"/>
              </w:rPr>
              <w:t>检查覆盖率</w:t>
            </w:r>
          </w:p>
        </w:tc>
        <w:tc>
          <w:tcPr>
            <w:tcW w:type="dxa" w:w="3855"/>
            <w:vAlign w:val="center"/>
          </w:tcPr>
          <w:p>
            <w:pPr>
              <w:keepNext w:val="0"/>
              <w:spacing w:line="320" w:lineRule="exact" w:after="0" w:before="0"/>
              <w:ind w:firstLine="0"/>
              <w:jc w:val="left"/>
            </w:pPr>
            <w:r>
              <w:rPr>
                <w:b w:val="0"/>
                <w:sz w:val="21"/>
              </w:rPr>
              <w:t>已检查对象数÷适用对象数</w:t>
            </w:r>
          </w:p>
        </w:tc>
        <w:tc>
          <w:tcPr>
            <w:tcW w:type="dxa" w:w="3277"/>
            <w:vAlign w:val="center"/>
          </w:tcPr>
          <w:p>
            <w:pPr>
              <w:keepNext w:val="0"/>
              <w:spacing w:line="320" w:lineRule="exact" w:after="0" w:before="0"/>
              <w:ind w:firstLine="0"/>
              <w:jc w:val="left"/>
            </w:pPr>
            <w:r>
              <w:rPr>
                <w:b w:val="0"/>
                <w:sz w:val="21"/>
              </w:rPr>
              <w:t>对象粒度、任务状态及未执行原因</w:t>
            </w:r>
          </w:p>
        </w:tc>
      </w:tr>
      <w:tr>
        <w:trPr>
          <w:cantSplit/>
        </w:trPr>
        <w:tc>
          <w:tcPr>
            <w:tcW w:type="dxa" w:w="2506"/>
            <w:vAlign w:val="center"/>
          </w:tcPr>
          <w:p>
            <w:pPr>
              <w:keepNext w:val="0"/>
              <w:spacing w:line="320" w:lineRule="exact" w:after="0" w:before="0"/>
              <w:ind w:firstLine="0"/>
              <w:jc w:val="left"/>
            </w:pPr>
            <w:r>
              <w:rPr>
                <w:b w:val="0"/>
                <w:sz w:val="21"/>
              </w:rPr>
              <w:t>可判定覆盖率</w:t>
            </w:r>
          </w:p>
        </w:tc>
        <w:tc>
          <w:tcPr>
            <w:tcW w:type="dxa" w:w="3855"/>
            <w:vAlign w:val="center"/>
          </w:tcPr>
          <w:p>
            <w:pPr>
              <w:keepNext w:val="0"/>
              <w:spacing w:line="320" w:lineRule="exact" w:after="0" w:before="0"/>
              <w:ind w:firstLine="0"/>
              <w:jc w:val="left"/>
            </w:pPr>
            <w:r>
              <w:rPr>
                <w:b w:val="0"/>
                <w:sz w:val="21"/>
              </w:rPr>
              <w:t>可判定对象数÷适用对象数</w:t>
            </w:r>
          </w:p>
        </w:tc>
        <w:tc>
          <w:tcPr>
            <w:tcW w:type="dxa" w:w="3277"/>
            <w:vAlign w:val="center"/>
          </w:tcPr>
          <w:p>
            <w:pPr>
              <w:keepNext w:val="0"/>
              <w:spacing w:line="320" w:lineRule="exact" w:after="0" w:before="0"/>
              <w:ind w:firstLine="0"/>
              <w:jc w:val="left"/>
            </w:pPr>
            <w:r>
              <w:rPr>
                <w:b w:val="0"/>
                <w:sz w:val="21"/>
              </w:rPr>
              <w:t>待证实对象、依据缺口及补证安排</w:t>
            </w:r>
          </w:p>
        </w:tc>
      </w:tr>
      <w:tr>
        <w:trPr>
          <w:cantSplit/>
        </w:trPr>
        <w:tc>
          <w:tcPr>
            <w:tcW w:type="dxa" w:w="2506"/>
            <w:vAlign w:val="center"/>
          </w:tcPr>
          <w:p>
            <w:pPr>
              <w:keepNext w:val="0"/>
              <w:spacing w:line="320" w:lineRule="exact" w:after="0" w:before="0"/>
              <w:ind w:firstLine="0"/>
              <w:jc w:val="left"/>
            </w:pPr>
            <w:r>
              <w:rPr>
                <w:b w:val="0"/>
                <w:sz w:val="21"/>
              </w:rPr>
              <w:t>规则通过率</w:t>
            </w:r>
          </w:p>
        </w:tc>
        <w:tc>
          <w:tcPr>
            <w:tcW w:type="dxa" w:w="3855"/>
            <w:vAlign w:val="center"/>
          </w:tcPr>
          <w:p>
            <w:pPr>
              <w:keepNext w:val="0"/>
              <w:spacing w:line="320" w:lineRule="exact" w:after="0" w:before="0"/>
              <w:ind w:firstLine="0"/>
              <w:jc w:val="left"/>
            </w:pPr>
            <w:r>
              <w:rPr>
                <w:b w:val="0"/>
                <w:sz w:val="21"/>
              </w:rPr>
              <w:t>通过对象数÷可判定对象数</w:t>
            </w:r>
          </w:p>
        </w:tc>
        <w:tc>
          <w:tcPr>
            <w:tcW w:type="dxa" w:w="3277"/>
            <w:vAlign w:val="center"/>
          </w:tcPr>
          <w:p>
            <w:pPr>
              <w:keepNext w:val="0"/>
              <w:spacing w:line="320" w:lineRule="exact" w:after="0" w:before="0"/>
              <w:ind w:firstLine="0"/>
              <w:jc w:val="left"/>
            </w:pPr>
            <w:r>
              <w:rPr>
                <w:b w:val="0"/>
                <w:sz w:val="21"/>
              </w:rPr>
              <w:t>判定条件、容差和异常对象数</w:t>
            </w:r>
          </w:p>
        </w:tc>
      </w:tr>
      <w:tr>
        <w:trPr>
          <w:cantSplit/>
        </w:trPr>
        <w:tc>
          <w:tcPr>
            <w:tcW w:type="dxa" w:w="2506"/>
            <w:vAlign w:val="center"/>
          </w:tcPr>
          <w:p>
            <w:pPr>
              <w:keepNext w:val="0"/>
              <w:spacing w:line="320" w:lineRule="exact" w:after="0" w:before="0"/>
              <w:ind w:firstLine="0"/>
              <w:jc w:val="left"/>
            </w:pPr>
            <w:r>
              <w:rPr>
                <w:b w:val="0"/>
                <w:sz w:val="21"/>
              </w:rPr>
              <w:t>问题按期完成率</w:t>
            </w:r>
          </w:p>
        </w:tc>
        <w:tc>
          <w:tcPr>
            <w:tcW w:type="dxa" w:w="3855"/>
            <w:vAlign w:val="center"/>
          </w:tcPr>
          <w:p>
            <w:pPr>
              <w:keepNext w:val="0"/>
              <w:spacing w:line="320" w:lineRule="exact" w:after="0" w:before="0"/>
              <w:ind w:firstLine="0"/>
              <w:jc w:val="left"/>
            </w:pPr>
            <w:r>
              <w:rPr>
                <w:b w:val="0"/>
                <w:sz w:val="21"/>
              </w:rPr>
              <w:t>按原承诺期限复核完成的问题数÷本期应完成问题数</w:t>
            </w:r>
          </w:p>
        </w:tc>
        <w:tc>
          <w:tcPr>
            <w:tcW w:type="dxa" w:w="3277"/>
            <w:vAlign w:val="center"/>
          </w:tcPr>
          <w:p>
            <w:pPr>
              <w:keepNext w:val="0"/>
              <w:spacing w:line="320" w:lineRule="exact" w:after="0" w:before="0"/>
              <w:ind w:firstLine="0"/>
              <w:jc w:val="left"/>
            </w:pPr>
            <w:r>
              <w:rPr>
                <w:b w:val="0"/>
                <w:sz w:val="21"/>
              </w:rPr>
              <w:t>原期限、调整期限及延期原因分别保留</w:t>
            </w:r>
          </w:p>
        </w:tc>
      </w:tr>
      <w:tr>
        <w:trPr>
          <w:cantSplit/>
        </w:trPr>
        <w:tc>
          <w:tcPr>
            <w:tcW w:type="dxa" w:w="2506"/>
            <w:vAlign w:val="center"/>
          </w:tcPr>
          <w:p>
            <w:pPr>
              <w:keepNext w:val="0"/>
              <w:spacing w:line="320" w:lineRule="exact" w:after="0" w:before="0"/>
              <w:ind w:firstLine="0"/>
              <w:jc w:val="left"/>
            </w:pPr>
            <w:r>
              <w:rPr>
                <w:b w:val="0"/>
                <w:sz w:val="21"/>
              </w:rPr>
              <w:t>问题整改关闭率</w:t>
            </w:r>
          </w:p>
        </w:tc>
        <w:tc>
          <w:tcPr>
            <w:tcW w:type="dxa" w:w="3855"/>
            <w:vAlign w:val="center"/>
          </w:tcPr>
          <w:p>
            <w:pPr>
              <w:keepNext w:val="0"/>
              <w:spacing w:line="320" w:lineRule="exact" w:after="0" w:before="0"/>
              <w:ind w:firstLine="0"/>
              <w:jc w:val="left"/>
            </w:pPr>
            <w:r>
              <w:rPr>
                <w:b w:val="0"/>
                <w:sz w:val="21"/>
              </w:rPr>
              <w:t>通过关闭复核的问题数÷纳入统计的问题数</w:t>
            </w:r>
          </w:p>
        </w:tc>
        <w:tc>
          <w:tcPr>
            <w:tcW w:type="dxa" w:w="3277"/>
            <w:vAlign w:val="center"/>
          </w:tcPr>
          <w:p>
            <w:pPr>
              <w:keepNext w:val="0"/>
              <w:spacing w:line="320" w:lineRule="exact" w:after="0" w:before="0"/>
              <w:ind w:firstLine="0"/>
              <w:jc w:val="left"/>
            </w:pPr>
            <w:r>
              <w:rPr>
                <w:b w:val="0"/>
                <w:sz w:val="21"/>
              </w:rPr>
              <w:t>统计范围、截止时点、重开与未关闭数量</w:t>
            </w:r>
          </w:p>
        </w:tc>
      </w:tr>
      <w:tr>
        <w:trPr>
          <w:cantSplit/>
        </w:trPr>
        <w:tc>
          <w:tcPr>
            <w:tcW w:type="dxa" w:w="2506"/>
            <w:vAlign w:val="center"/>
          </w:tcPr>
          <w:p>
            <w:pPr>
              <w:keepNext w:val="0"/>
              <w:spacing w:line="320" w:lineRule="exact" w:after="0" w:before="0"/>
              <w:ind w:firstLine="0"/>
              <w:jc w:val="left"/>
            </w:pPr>
            <w:r>
              <w:rPr>
                <w:b w:val="0"/>
                <w:sz w:val="21"/>
              </w:rPr>
              <w:t>问题复发情况</w:t>
            </w:r>
          </w:p>
        </w:tc>
        <w:tc>
          <w:tcPr>
            <w:tcW w:type="dxa" w:w="3855"/>
            <w:vAlign w:val="center"/>
          </w:tcPr>
          <w:p>
            <w:pPr>
              <w:keepNext w:val="0"/>
              <w:spacing w:line="320" w:lineRule="exact" w:after="0" w:before="0"/>
              <w:ind w:firstLine="0"/>
              <w:jc w:val="left"/>
            </w:pPr>
            <w:r>
              <w:rPr>
                <w:b w:val="0"/>
                <w:sz w:val="21"/>
              </w:rPr>
              <w:t>同根因再次发生的问题数量及受影响对象量</w:t>
            </w:r>
          </w:p>
        </w:tc>
        <w:tc>
          <w:tcPr>
            <w:tcW w:type="dxa" w:w="3277"/>
            <w:vAlign w:val="center"/>
          </w:tcPr>
          <w:p>
            <w:pPr>
              <w:keepNext w:val="0"/>
              <w:spacing w:line="320" w:lineRule="exact" w:after="0" w:before="0"/>
              <w:ind w:firstLine="0"/>
              <w:jc w:val="left"/>
            </w:pPr>
            <w:r>
              <w:rPr>
                <w:b w:val="0"/>
                <w:sz w:val="21"/>
              </w:rPr>
              <w:t>观察机会、规则版本及对象范围</w:t>
            </w:r>
          </w:p>
        </w:tc>
      </w:tr>
    </w:tbl>
    <w:p>
      <w:pPr>
        <w:spacing w:after="40" w:line="240" w:lineRule="auto"/>
        <w:ind w:firstLine="0"/>
      </w:pPr>
      <w:r>
        <w:rPr>
          <w:sz w:val="4"/>
        </w:rPr>
      </w:r>
    </w:p>
    <w:p>
      <w:pPr>
        <w:pStyle w:val="Heading3"/>
      </w:pPr>
      <w:r>
        <w:t>1.7.2 评分和比较</w:t>
      </w:r>
    </w:p>
    <w:p>
      <w:pPr>
        <w:jc w:val="both"/>
      </w:pPr>
      <w:r>
        <w:t>六维评分由经批准的指标体系确定，先明确业务场景和关键对象，再确定指标与权重。权重总和、缺项处理、严重问题限制条件及评分版本在评价前固化，不在结果形成后为改善分数调整权重。没有适用对象的指标与因技术失败未执行的指标分别处理，后者不得以权重重新分配掩盖检查缺口。关键限制条件单列判定，不并入平均值后被稀释。</w:t>
      </w:r>
    </w:p>
    <w:p>
      <w:pPr>
        <w:jc w:val="both"/>
      </w:pPr>
      <w:r>
        <w:t>不同业务域的业务节奏和对象风险存在差异，横向比较应同时展示范围、覆盖和规则成熟度。趋势比较固定统计口径；对象范围扩大、规则增强、迟到数据补齐或历史数据重算导致的变化单独分解。质量报告区分业务改善、检测能力变化和统计范围变化，使管理层能够判断问题减少是否来自真实整改。</w:t>
      </w:r>
    </w:p>
    <w:p>
      <w:pPr>
        <w:pStyle w:val="Heading3"/>
      </w:pPr>
      <w:r>
        <w:t>1.7.3 正式交付的独立要求</w:t>
      </w:r>
    </w:p>
    <w:p>
      <w:pPr>
        <w:jc w:val="both"/>
      </w:pPr>
      <w:r>
        <w:t>四大数据集的正式质量评测按说明文档、数据质量、模型应用三个维度分别执行，各维度达到90分，综合分数不低于85分，81项指标逐项形成记录。高危命中100%人工复核，高风险问题清零，中低风险问题100%整改；已知问题不因总体评分达标或抽样未命中而放行。不少于4次集中完整复测按正式安排实施，首检和日常自检不计入该次数，第三方形成相应正式盖章报告。</w:t>
      </w:r>
    </w:p>
    <w:p>
      <w:pPr>
        <w:jc w:val="both"/>
      </w:pPr>
      <w:r>
        <w:t>治理质量问题向数据集传播的，追踪涉及的来源批次、加工版本、样本家族和用途子集，分别完成修复、再加工、专项复核及必要的正式复测。业务台账关闭与数据集发布许可分别记录，治理问题已关闭但受影响数据集尚未完成重新验证的，数据集仍维持原有限制状态。</w:t>
      </w:r>
    </w:p>
    <w:p>
      <w:pPr>
        <w:pStyle w:val="Heading2"/>
      </w:pPr>
      <w:r>
        <w:t>1.8 问题分级与整改控制</w:t>
      </w:r>
    </w:p>
    <w:p>
      <w:pPr>
        <w:jc w:val="both"/>
      </w:pPr>
      <w:r>
        <w:t>第十九条 问题分级综合实际或可能造成的安全、经营、合规、生产和交付影响，结合传播范围、暴露程度及可恢复性判断。紧急高影响问题立即采取限制措施并通知责任岗位，处置计划根据对象风险和技术事实确定。一般质量问题纳入正常整改计划，重复发生、跨域扩散或超过原期限的按规则升级。业务治理分级与正式数据集风险等级建立对应，但不得机械替代正式评测的风险判定。</w:t>
      </w:r>
    </w:p>
    <w:p>
      <w:pPr>
        <w:jc w:val="both"/>
      </w:pPr>
      <w:r>
        <w:t>第二十条 分派记录明确牵头岗位、参与岗位、问题范围、预期结果、原承诺期限、必要资源和验证方式。受派岗位发现责任或边界不准确时提出有依据的调整请求；调整批准前由原牵头岗位保持跟踪责任，避免转派期间无人处理。外部厂商或供应方承担的动作纳入主问题计划，记录请求、回执、处理结果及影响。</w:t>
      </w:r>
    </w:p>
    <w:p>
      <w:pPr>
        <w:jc w:val="both"/>
      </w:pPr>
      <w:r>
        <w:t>第二十一条 整改前识别影响范围并保护必要证据，按批准方案实施源端修正、映射修复、补采、关联重建、规则修正或流程改进。涉及批量更新、删除或重算的，先核对对象清单、备份与恢复条件，采用受控执行和抽核，完成后进行数量、关联、权限及业务结果核对。数据修复不得破坏已合法形成的审计轨迹、历史凭证和批准关系。</w:t>
      </w:r>
    </w:p>
    <w:p>
      <w:pPr>
        <w:jc w:val="both"/>
      </w:pPr>
      <w:r>
        <w:t>第二十二条 复核分别检查数据结果、业务正确性、技术执行及下游影响。需专业判断的，由具备相应能力的岗位核验；需重跑规则的，使用固定规则版本和修复后的数据版本，并将新旧结果关联。仅提供截图、口头确认或执行成功日志不足以证明业务缺陷已纠正，关闭依据应支持对象级回查。</w:t>
      </w:r>
    </w:p>
    <w:p>
      <w:pPr>
        <w:jc w:val="both"/>
      </w:pPr>
      <w:r>
        <w:t>第二十三条 问题关闭后进入观察和归档。观察期间再次出现同根因缺陷的，重开原问题或建立关联问题，明确复发标识并检查前次措施不足。已关闭问题的关闭时间和证据不直接修改，补充后继记录反映新的状态。归档包含问题事实、责任、措施、复核、下游处理和必要的长期改进任务。</w:t>
      </w:r>
    </w:p>
    <w:p>
      <w:pPr>
        <w:pStyle w:val="Heading2"/>
      </w:pPr>
      <w:r>
        <w:t>1.9 变更、审计与服务衔接</w:t>
      </w:r>
    </w:p>
    <w:p>
      <w:pPr>
        <w:pStyle w:val="Heading3"/>
      </w:pPr>
      <w:r>
        <w:t>1.9.1 变更影响检查</w:t>
      </w:r>
    </w:p>
    <w:p>
      <w:pPr>
        <w:jc w:val="both"/>
      </w:pPr>
      <w:r>
        <w:t>源系统升级、数据结构调整、代码集变更、设备替换、测点校准、业务流程变化、工艺换版及数据服务新增，均应评估对质量规则的影响。技术变更单关联受影响的需求、规则、任务、报告和问题记录，明确并行验证、切换时间和恢复条件。切换后检查未执行规则、命中分布异常和关键关联断裂，不能只核对作业能否启动。</w:t>
      </w:r>
    </w:p>
    <w:p>
      <w:pPr>
        <w:jc w:val="both"/>
      </w:pPr>
      <w:r>
        <w:t>规则停用时检查是否仍有有效需求依赖该规则。被替代规则保留历史解释功能，迁移期间分别标识新旧版本运行范围，不将双轨运行结果重复计数。质量指标或业务口径发生变化的，报告同时给出变化原因、可比范围和生效日期，使后续使用者能够理解趋势断点。</w:t>
      </w:r>
    </w:p>
    <w:p>
      <w:pPr>
        <w:pStyle w:val="Heading3"/>
      </w:pPr>
      <w:r>
        <w:t>1.9.2 监督与考核</w:t>
      </w:r>
    </w:p>
    <w:p>
      <w:pPr>
        <w:jc w:val="both"/>
      </w:pPr>
      <w:r>
        <w:t>第二十四条 数据管理办公室按周期检查需求落实、规则有效、任务运行、问题处置和责任履行情况，重点关注长期待证实、反复误报、规则静默失效、逾期未关闭及整改后复发等事项。考核依据真实对象和记录，不以发现问题多作为负面评价的唯一依据，避免压低上报数量。主动发现和及时控制重要缺陷，与缺陷产生责任分别评价。</w:t>
      </w:r>
    </w:p>
    <w:p>
      <w:pPr>
        <w:jc w:val="both"/>
      </w:pPr>
      <w:r>
        <w:t>第二十五条 监督抽查从报告结论反向追溯到指标、检查任务、规则、数据对象和原始凭据，也从重要源端变更正向追踪到下游数据集及使用记录。无法重现的结论登记为证据问题，补齐必要依据后重新评价。发现未经授权停用规则、篡改结果、伪造关闭记录或违规访问证据的，按甲方制度处理并落实技术限制。</w:t>
      </w:r>
    </w:p>
    <w:p>
      <w:pPr>
        <w:pStyle w:val="Heading3"/>
      </w:pPr>
      <w:r>
        <w:t>1.9.3 移交与持续维护</w:t>
      </w:r>
    </w:p>
    <w:p>
      <w:pPr>
        <w:jc w:val="both"/>
      </w:pPr>
      <w:r>
        <w:t>第二十六条 交付时移交五份数据质量文件及其有效版本，配套提供需求与规则对应关系、规则配置、检查计划、运行记录、报告、问题台账和必要操作培训。文档与平台配置逐项核对，实际运行对象、权限、调度和异常处理路径完成验证。仍在持续观察或涉及后续业务周期的事项登记责任、期限和跟踪方式，不以移交动作自动关闭。</w:t>
      </w:r>
    </w:p>
    <w:p>
      <w:pPr>
        <w:jc w:val="both"/>
      </w:pPr>
      <w:r>
        <w:t>第二十七条 项目按2028年5月前完成最终验收的要求组织实施。验收合格之日起提供不少于12个月质保，质保期满后提供24个月免费技术服务。服务期间持续处理我方交付范围内的规则实现、平台配置及文档问题，配合业务标准和数据对象变化开展影响分析，保留处理记录与版本关系。</w:t>
      </w:r>
    </w:p>
    <w:p>
      <w:pPr>
        <w:jc w:val="both"/>
      </w:pPr>
      <w:r>
        <w:t>第二十八条 本办法与数据标准、数据安全、数据生命周期、数据应用流通及数据加工生产管理制度衔接。发生要求冲突时，按适用法律法规、合同及招标要求和甲方有效制度核实，不以局部操作习惯降低正式交付要求。重大争议形成明确的裁决和执行记录，相关文档、配置及培训内容同步更新。</w:t>
      </w:r>
    </w:p>
    <w:p>
      <w:pPr>
        <w:pStyle w:val="Heading1"/>
        <w:pageBreakBefore/>
      </w:pPr>
      <w:r>
        <w:t>2 数据质量需求清单</w:t>
      </w:r>
    </w:p>
    <w:p>
      <w:pPr>
        <w:pStyle w:val="Heading2"/>
      </w:pPr>
      <w:r>
        <w:t>2.1 文件标识与需求组织</w:t>
      </w:r>
    </w:p>
    <w:p>
      <w:pPr>
        <w:jc w:val="both"/>
      </w:pPr>
      <w:r>
        <w:t>本清单文件编号为GHY26691-GV-06-0002-V1.0，按九个业务域和六个质量维度组织质量需求，并补充跨系统、跨模态及数据集供给的共同控制。业务域需求使用DQ-N-业务域码-四位序号标识；每个业务域依次设置完整性、准确性、一致性、唯一性、及时性、有效性六项基础需求。需求可以向具体对象继续分解，但分解后保留父级需求、业务目的和控制范围，不能以一条笼统需求代替实际规则建设。</w:t>
      </w:r>
    </w:p>
    <w:p>
      <w:pPr>
        <w:jc w:val="both"/>
      </w:pPr>
      <w:r>
        <w:t>业务域码采用HR人力资源、RD研发设计、MF生产制造、WL仓储物流、FI财务管理、EQ设备管理、PC采购管理、MK营销管理、QA质量管理；共同控制采用CM。维度码采用CP完整性、AC准确性、CS一致性、UQ唯一性、TM及时性、VA有效性。规则编号中的域码与维度码使用同一字典，避免同一缩写在不同文件中表达不同含义。</w:t>
      </w:r>
    </w:p>
    <w:p>
      <w:pPr>
        <w:jc w:val="both"/>
      </w:pPr>
      <w:r>
        <w:t>每项需求记录所需数据、业务判断依据、检查对象、优先级、检查机会、责任岗位、证据和验收方法。清单中的业务要求由对应岗位在对象调查和需求评审中落实到实际字段、来源和生效范围，形成受控配置；执行配置变化不消除需求责任。需求状态包括已受理、评审中、已批准、实施中、已验证、生效、暂停和退出，状态变化记录依据与责任。</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4" name="Picture 4"/>
            <wp:cNvGraphicFramePr>
              <a:graphicFrameLocks noChangeAspect="1"/>
            </wp:cNvGraphicFramePr>
            <a:graphic>
              <a:graphicData uri="http://schemas.openxmlformats.org/drawingml/2006/picture">
                <pic:pic>
                  <pic:nvPicPr>
                    <pic:cNvPr id="0" name="图4_需求落实.png"/>
                    <pic:cNvPicPr/>
                  </pic:nvPicPr>
                  <pic:blipFill>
                    <a:blip r:embed="rId14"/>
                    <a:stretch>
                      <a:fillRect/>
                    </a:stretch>
                  </pic:blipFill>
                  <pic:spPr>
                    <a:xfrm>
                      <a:off x="0" y="0"/>
                      <a:ext cx="6048000" cy="1942338"/>
                    </a:xfrm>
                    <a:prstGeom prst="rect"/>
                  </pic:spPr>
                </pic:pic>
              </a:graphicData>
            </a:graphic>
          </wp:inline>
        </w:drawing>
      </w:r>
    </w:p>
    <w:p>
      <w:pPr>
        <w:pStyle w:val="Caption"/>
        <w:jc w:val="center"/>
      </w:pPr>
      <w:r>
        <w:t>图2-1 质量需求落实过程</w:t>
      </w:r>
    </w:p>
    <w:p>
      <w:pPr>
        <w:pStyle w:val="Heading2"/>
      </w:pPr>
      <w:r>
        <w:t>2.2 清单字段及办理要求</w:t>
      </w:r>
    </w:p>
    <w:p>
      <w:pPr>
        <w:pStyle w:val="Caption"/>
        <w:keepNext/>
      </w:pPr>
      <w:r>
        <w:t>表2-1 清单字段及办理要求</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字段组</w:t>
            </w:r>
          </w:p>
        </w:tc>
        <w:tc>
          <w:tcPr>
            <w:tcW w:type="dxa" w:w="3855"/>
            <w:vAlign w:val="center"/>
            <w:shd w:fill="EDF1F3"/>
          </w:tcPr>
          <w:p>
            <w:pPr>
              <w:keepNext/>
              <w:spacing w:line="320" w:lineRule="exact" w:after="0" w:before="0"/>
              <w:ind w:firstLine="0"/>
              <w:jc w:val="center"/>
            </w:pPr>
            <w:r>
              <w:rPr>
                <w:b/>
                <w:sz w:val="21"/>
              </w:rPr>
              <w:t>登记内容</w:t>
            </w:r>
          </w:p>
        </w:tc>
        <w:tc>
          <w:tcPr>
            <w:tcW w:type="dxa" w:w="3277"/>
            <w:vAlign w:val="center"/>
            <w:shd w:fill="EDF1F3"/>
          </w:tcPr>
          <w:p>
            <w:pPr>
              <w:keepNext/>
              <w:spacing w:line="320" w:lineRule="exact" w:after="0" w:before="0"/>
              <w:ind w:firstLine="0"/>
              <w:jc w:val="center"/>
            </w:pPr>
            <w:r>
              <w:rPr>
                <w:b/>
                <w:sz w:val="21"/>
              </w:rPr>
              <w:t>控制要求</w:t>
            </w:r>
          </w:p>
        </w:tc>
      </w:tr>
      <w:tr>
        <w:trPr>
          <w:cantSplit/>
        </w:trPr>
        <w:tc>
          <w:tcPr>
            <w:tcW w:type="dxa" w:w="2506"/>
            <w:vAlign w:val="center"/>
          </w:tcPr>
          <w:p>
            <w:pPr>
              <w:keepNext w:val="0"/>
              <w:spacing w:line="320" w:lineRule="exact" w:after="0" w:before="0"/>
              <w:ind w:firstLine="0"/>
              <w:jc w:val="left"/>
            </w:pPr>
            <w:r>
              <w:rPr>
                <w:b w:val="0"/>
                <w:sz w:val="21"/>
              </w:rPr>
              <w:t>身份与来源</w:t>
            </w:r>
          </w:p>
        </w:tc>
        <w:tc>
          <w:tcPr>
            <w:tcW w:type="dxa" w:w="3855"/>
            <w:vAlign w:val="center"/>
          </w:tcPr>
          <w:p>
            <w:pPr>
              <w:keepNext w:val="0"/>
              <w:spacing w:line="320" w:lineRule="exact" w:after="0" w:before="0"/>
              <w:ind w:firstLine="0"/>
              <w:jc w:val="left"/>
            </w:pPr>
            <w:r>
              <w:rPr>
                <w:b w:val="0"/>
                <w:sz w:val="21"/>
              </w:rPr>
              <w:t>需求编号、名称、业务域、提出岗位、提出时间及依据</w:t>
            </w:r>
          </w:p>
        </w:tc>
        <w:tc>
          <w:tcPr>
            <w:tcW w:type="dxa" w:w="3277"/>
            <w:vAlign w:val="center"/>
          </w:tcPr>
          <w:p>
            <w:pPr>
              <w:keepNext w:val="0"/>
              <w:spacing w:line="320" w:lineRule="exact" w:after="0" w:before="0"/>
              <w:ind w:firstLine="0"/>
              <w:jc w:val="left"/>
            </w:pPr>
            <w:r>
              <w:rPr>
                <w:b w:val="0"/>
                <w:sz w:val="21"/>
              </w:rPr>
              <w:t>标识稳定，来源可以回查，父子需求保持关联</w:t>
            </w:r>
          </w:p>
        </w:tc>
      </w:tr>
      <w:tr>
        <w:trPr>
          <w:cantSplit/>
        </w:trPr>
        <w:tc>
          <w:tcPr>
            <w:tcW w:type="dxa" w:w="2506"/>
            <w:vAlign w:val="center"/>
          </w:tcPr>
          <w:p>
            <w:pPr>
              <w:keepNext w:val="0"/>
              <w:spacing w:line="320" w:lineRule="exact" w:after="0" w:before="0"/>
              <w:ind w:firstLine="0"/>
              <w:jc w:val="left"/>
            </w:pPr>
            <w:r>
              <w:rPr>
                <w:b w:val="0"/>
                <w:sz w:val="21"/>
              </w:rPr>
              <w:t>对象与目的</w:t>
            </w:r>
          </w:p>
        </w:tc>
        <w:tc>
          <w:tcPr>
            <w:tcW w:type="dxa" w:w="3855"/>
            <w:vAlign w:val="center"/>
          </w:tcPr>
          <w:p>
            <w:pPr>
              <w:keepNext w:val="0"/>
              <w:spacing w:line="320" w:lineRule="exact" w:after="0" w:before="0"/>
              <w:ind w:firstLine="0"/>
              <w:jc w:val="left"/>
            </w:pPr>
            <w:r>
              <w:rPr>
                <w:b w:val="0"/>
                <w:sz w:val="21"/>
              </w:rPr>
              <w:t>业务实体、粒度、字段或关系、使用任务及下游范围</w:t>
            </w:r>
          </w:p>
        </w:tc>
        <w:tc>
          <w:tcPr>
            <w:tcW w:type="dxa" w:w="3277"/>
            <w:vAlign w:val="center"/>
          </w:tcPr>
          <w:p>
            <w:pPr>
              <w:keepNext w:val="0"/>
              <w:spacing w:line="320" w:lineRule="exact" w:after="0" w:before="0"/>
              <w:ind w:firstLine="0"/>
              <w:jc w:val="left"/>
            </w:pPr>
            <w:r>
              <w:rPr>
                <w:b w:val="0"/>
                <w:sz w:val="21"/>
              </w:rPr>
              <w:t>能定位对象，说明为什么需要该项质量</w:t>
            </w:r>
          </w:p>
        </w:tc>
      </w:tr>
      <w:tr>
        <w:trPr>
          <w:cantSplit/>
        </w:trPr>
        <w:tc>
          <w:tcPr>
            <w:tcW w:type="dxa" w:w="2506"/>
            <w:vAlign w:val="center"/>
          </w:tcPr>
          <w:p>
            <w:pPr>
              <w:keepNext w:val="0"/>
              <w:spacing w:line="320" w:lineRule="exact" w:after="0" w:before="0"/>
              <w:ind w:firstLine="0"/>
              <w:jc w:val="left"/>
            </w:pPr>
            <w:r>
              <w:rPr>
                <w:b w:val="0"/>
                <w:sz w:val="21"/>
              </w:rPr>
              <w:t>判定与统计</w:t>
            </w:r>
          </w:p>
        </w:tc>
        <w:tc>
          <w:tcPr>
            <w:tcW w:type="dxa" w:w="3855"/>
            <w:vAlign w:val="center"/>
          </w:tcPr>
          <w:p>
            <w:pPr>
              <w:keepNext w:val="0"/>
              <w:spacing w:line="320" w:lineRule="exact" w:after="0" w:before="0"/>
              <w:ind w:firstLine="0"/>
              <w:jc w:val="left"/>
            </w:pPr>
            <w:r>
              <w:rPr>
                <w:b w:val="0"/>
                <w:sz w:val="21"/>
              </w:rPr>
              <w:t>质量维度、业务条件、预期要求、容差、分母及例外</w:t>
            </w:r>
          </w:p>
        </w:tc>
        <w:tc>
          <w:tcPr>
            <w:tcW w:type="dxa" w:w="3277"/>
            <w:vAlign w:val="center"/>
          </w:tcPr>
          <w:p>
            <w:pPr>
              <w:keepNext w:val="0"/>
              <w:spacing w:line="320" w:lineRule="exact" w:after="0" w:before="0"/>
              <w:ind w:firstLine="0"/>
              <w:jc w:val="left"/>
            </w:pPr>
            <w:r>
              <w:rPr>
                <w:b w:val="0"/>
                <w:sz w:val="21"/>
              </w:rPr>
              <w:t>判定可解释，合法差异和实际缺陷区分</w:t>
            </w:r>
          </w:p>
        </w:tc>
      </w:tr>
      <w:tr>
        <w:trPr>
          <w:cantSplit/>
        </w:trPr>
        <w:tc>
          <w:tcPr>
            <w:tcW w:type="dxa" w:w="2506"/>
            <w:vAlign w:val="center"/>
          </w:tcPr>
          <w:p>
            <w:pPr>
              <w:keepNext w:val="0"/>
              <w:spacing w:line="320" w:lineRule="exact" w:after="0" w:before="0"/>
              <w:ind w:firstLine="0"/>
              <w:jc w:val="left"/>
            </w:pPr>
            <w:r>
              <w:rPr>
                <w:b w:val="0"/>
                <w:sz w:val="21"/>
              </w:rPr>
              <w:t>实施与检查</w:t>
            </w:r>
          </w:p>
        </w:tc>
        <w:tc>
          <w:tcPr>
            <w:tcW w:type="dxa" w:w="3855"/>
            <w:vAlign w:val="center"/>
          </w:tcPr>
          <w:p>
            <w:pPr>
              <w:keepNext w:val="0"/>
              <w:spacing w:line="320" w:lineRule="exact" w:after="0" w:before="0"/>
              <w:ind w:firstLine="0"/>
              <w:jc w:val="left"/>
            </w:pPr>
            <w:r>
              <w:rPr>
                <w:b w:val="0"/>
                <w:sz w:val="21"/>
              </w:rPr>
              <w:t>来源、接口、规则、检查频率、自动或人工方法</w:t>
            </w:r>
          </w:p>
        </w:tc>
        <w:tc>
          <w:tcPr>
            <w:tcW w:type="dxa" w:w="3277"/>
            <w:vAlign w:val="center"/>
          </w:tcPr>
          <w:p>
            <w:pPr>
              <w:keepNext w:val="0"/>
              <w:spacing w:line="320" w:lineRule="exact" w:after="0" w:before="0"/>
              <w:ind w:firstLine="0"/>
              <w:jc w:val="left"/>
            </w:pPr>
            <w:r>
              <w:rPr>
                <w:b w:val="0"/>
                <w:sz w:val="21"/>
              </w:rPr>
              <w:t>无法自动实现时仍保留完整检查路径</w:t>
            </w:r>
          </w:p>
        </w:tc>
      </w:tr>
      <w:tr>
        <w:trPr>
          <w:cantSplit/>
        </w:trPr>
        <w:tc>
          <w:tcPr>
            <w:tcW w:type="dxa" w:w="2506"/>
            <w:vAlign w:val="center"/>
          </w:tcPr>
          <w:p>
            <w:pPr>
              <w:keepNext w:val="0"/>
              <w:spacing w:line="320" w:lineRule="exact" w:after="0" w:before="0"/>
              <w:ind w:firstLine="0"/>
              <w:jc w:val="left"/>
            </w:pPr>
            <w:r>
              <w:rPr>
                <w:b w:val="0"/>
                <w:sz w:val="21"/>
              </w:rPr>
              <w:t>责任与风险</w:t>
            </w:r>
          </w:p>
        </w:tc>
        <w:tc>
          <w:tcPr>
            <w:tcW w:type="dxa" w:w="3855"/>
            <w:vAlign w:val="center"/>
          </w:tcPr>
          <w:p>
            <w:pPr>
              <w:keepNext w:val="0"/>
              <w:spacing w:line="320" w:lineRule="exact" w:after="0" w:before="0"/>
              <w:ind w:firstLine="0"/>
              <w:jc w:val="left"/>
            </w:pPr>
            <w:r>
              <w:rPr>
                <w:b w:val="0"/>
                <w:sz w:val="21"/>
              </w:rPr>
              <w:t>业务责任、技术责任、复核岗位、严重程度及限制</w:t>
            </w:r>
          </w:p>
        </w:tc>
        <w:tc>
          <w:tcPr>
            <w:tcW w:type="dxa" w:w="3277"/>
            <w:vAlign w:val="center"/>
          </w:tcPr>
          <w:p>
            <w:pPr>
              <w:keepNext w:val="0"/>
              <w:spacing w:line="320" w:lineRule="exact" w:after="0" w:before="0"/>
              <w:ind w:firstLine="0"/>
              <w:jc w:val="left"/>
            </w:pPr>
            <w:r>
              <w:rPr>
                <w:b w:val="0"/>
                <w:sz w:val="21"/>
              </w:rPr>
              <w:t>关键风险独立控制，职责与权限一致</w:t>
            </w:r>
          </w:p>
        </w:tc>
      </w:tr>
      <w:tr>
        <w:trPr>
          <w:cantSplit/>
        </w:trPr>
        <w:tc>
          <w:tcPr>
            <w:tcW w:type="dxa" w:w="2506"/>
            <w:vAlign w:val="center"/>
          </w:tcPr>
          <w:p>
            <w:pPr>
              <w:keepNext w:val="0"/>
              <w:spacing w:line="320" w:lineRule="exact" w:after="0" w:before="0"/>
              <w:ind w:firstLine="0"/>
              <w:jc w:val="left"/>
            </w:pPr>
            <w:r>
              <w:rPr>
                <w:b w:val="0"/>
                <w:sz w:val="21"/>
              </w:rPr>
              <w:t>证据与状态</w:t>
            </w:r>
          </w:p>
        </w:tc>
        <w:tc>
          <w:tcPr>
            <w:tcW w:type="dxa" w:w="3855"/>
            <w:vAlign w:val="center"/>
          </w:tcPr>
          <w:p>
            <w:pPr>
              <w:keepNext w:val="0"/>
              <w:spacing w:line="320" w:lineRule="exact" w:after="0" w:before="0"/>
              <w:ind w:firstLine="0"/>
              <w:jc w:val="left"/>
            </w:pPr>
            <w:r>
              <w:rPr>
                <w:b w:val="0"/>
                <w:sz w:val="21"/>
              </w:rPr>
              <w:t>输入版本、结果、问题、批准、有效期及修订关系</w:t>
            </w:r>
          </w:p>
        </w:tc>
        <w:tc>
          <w:tcPr>
            <w:tcW w:type="dxa" w:w="3277"/>
            <w:vAlign w:val="center"/>
          </w:tcPr>
          <w:p>
            <w:pPr>
              <w:keepNext w:val="0"/>
              <w:spacing w:line="320" w:lineRule="exact" w:after="0" w:before="0"/>
              <w:ind w:firstLine="0"/>
              <w:jc w:val="left"/>
            </w:pPr>
            <w:r>
              <w:rPr>
                <w:b w:val="0"/>
                <w:sz w:val="21"/>
              </w:rPr>
              <w:t>生效依据完整，历史需求与实现记录可追溯</w:t>
            </w:r>
          </w:p>
        </w:tc>
      </w:tr>
    </w:tbl>
    <w:p>
      <w:pPr>
        <w:spacing w:after="40" w:line="240" w:lineRule="auto"/>
        <w:ind w:firstLine="0"/>
      </w:pPr>
      <w:r>
        <w:rPr>
          <w:sz w:val="4"/>
        </w:rPr>
      </w:r>
    </w:p>
    <w:p>
      <w:pPr>
        <w:jc w:val="both"/>
      </w:pPr>
      <w:r>
        <w:t>需求评审针对预期用途确认合格条件。涉及数值范围的，应明确数值所属物理量、单位、状态和有效标准；涉及跨源相符的，应明确比较时点、组织和状态；涉及唯一性的，应明确复合键和合法多值；涉及及时性的，应明确起算事件、业务日历和到达位置。缺少这些条件时先补齐需求定义，不直接将技术实现中的默认值作为业务标准。</w:t>
      </w:r>
    </w:p>
    <w:p>
      <w:pPr>
        <w:jc w:val="both"/>
      </w:pPr>
      <w:r>
        <w:t>需求落实采用“业务确认、规则实现、检查验证、结果接收”四个检查节点。业务确认检查对象和条件，规则实现检查逻辑与配置，检查验证检查正常和异常结果，结果接收检查责任岗位能否理解并处理异常。四个节点分别保留证据。仅登记需求、形成规则条目或部署作业，均不能独立视为需求已经得到有效落实。</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5" name="Picture 5"/>
            <wp:cNvGraphicFramePr>
              <a:graphicFrameLocks noChangeAspect="1"/>
            </wp:cNvGraphicFramePr>
            <a:graphic>
              <a:graphicData uri="http://schemas.openxmlformats.org/drawingml/2006/picture">
                <pic:pic>
                  <pic:nvPicPr>
                    <pic:cNvPr id="0" name="图5_跨域关系.png"/>
                    <pic:cNvPicPr/>
                  </pic:nvPicPr>
                  <pic:blipFill>
                    <a:blip r:embed="rId15"/>
                    <a:stretch>
                      <a:fillRect/>
                    </a:stretch>
                  </pic:blipFill>
                  <pic:spPr>
                    <a:xfrm>
                      <a:off x="0" y="0"/>
                      <a:ext cx="6048000" cy="2477354"/>
                    </a:xfrm>
                    <a:prstGeom prst="rect"/>
                  </pic:spPr>
                </pic:pic>
              </a:graphicData>
            </a:graphic>
          </wp:inline>
        </w:drawing>
      </w:r>
    </w:p>
    <w:p>
      <w:pPr>
        <w:pStyle w:val="Caption"/>
        <w:jc w:val="center"/>
      </w:pPr>
      <w:r>
        <w:t>图2-2 九业务域的关键关联</w:t>
      </w:r>
    </w:p>
    <w:p>
      <w:pPr>
        <w:pStyle w:val="Heading2"/>
      </w:pPr>
      <w:r>
        <w:t>2.3 人力资源质量需求</w:t>
      </w:r>
    </w:p>
    <w:p>
      <w:pPr>
        <w:jc w:val="both"/>
      </w:pPr>
      <w:r>
        <w:t>人力资源的检查对象包括人员、组织、岗位及专业资质，由人力资源管理岗位会同工艺、安全及实际用工责任岗位确认业务条件和结果。各项需求在实际来源系统落实字段、关系和版本，责任不因数据复制到治理平台而转移。</w:t>
      </w:r>
    </w:p>
    <w:p>
      <w:pPr>
        <w:pStyle w:val="Heading3"/>
      </w:pPr>
      <w:r>
        <w:t>2.3.1 人员任职与资质关联完整</w:t>
      </w:r>
    </w:p>
    <w:p>
      <w:pPr>
        <w:jc w:val="both"/>
      </w:pPr>
      <w:r>
        <w:t>需求编号：DQ-N-HR-0001。质量维度：完整性。对应规则：DQ-R-HR-CP-0001。</w:t>
      </w:r>
    </w:p>
    <w:p>
      <w:pPr>
        <w:jc w:val="both"/>
      </w:pPr>
      <w:r>
        <w:t>有效任职人员应关联有效人员标识、组织、岗位和任职期间。承担有资质要求的检验、焊接、热处理等工作的人员，还应关联满足相应任务条件的资质记录；未承担该类任务的人员不机械要求同一类资质。</w:t>
      </w:r>
    </w:p>
    <w:p>
      <w:pPr>
        <w:jc w:val="both"/>
      </w:pPr>
      <w:r>
        <w:t>离职、休假和历史任职以有效时间区分；无适用资质要求与资质缺失分别记录，不把空值自动解释为不适用。</w:t>
      </w:r>
    </w:p>
    <w:p>
      <w:pPr>
        <w:jc w:val="both"/>
      </w:pPr>
      <w:r>
        <w:t>从任职关系出发核对人员、组织、岗位和有效期，再按实际任务要求关联资质种类、等级及适用范围。以应检查的任职关系和任务关联分别计数，必要项缺失形成对象级问题。</w:t>
      </w:r>
    </w:p>
    <w:p>
      <w:pPr>
        <w:pStyle w:val="Heading3"/>
      </w:pPr>
      <w:r>
        <w:t>2.3.2 人员及资质信息准确</w:t>
      </w:r>
    </w:p>
    <w:p>
      <w:pPr>
        <w:jc w:val="both"/>
      </w:pPr>
      <w:r>
        <w:t>需求编号：DQ-N-HR-0002。质量维度：准确性。对应规则：DQ-R-HR-AC-0001。</w:t>
      </w:r>
    </w:p>
    <w:p>
      <w:pPr>
        <w:jc w:val="both"/>
      </w:pPr>
      <w:r>
        <w:t>姓名、人员标识、资格种类、发证信息及有效期间应与有权管理的业务凭据一致。自动识别证书取得的信息需核对关键字段，不能以识别置信度替代资质有效性的专业确认。</w:t>
      </w:r>
    </w:p>
    <w:p>
      <w:pPr>
        <w:jc w:val="both"/>
      </w:pPr>
      <w:r>
        <w:t>同名人员按稳定标识区分；证件续期、换证和姓名变更按合法变更关系处理，历史资料不强制覆盖为现名。</w:t>
      </w:r>
    </w:p>
    <w:p>
      <w:pPr>
        <w:jc w:val="both"/>
      </w:pPr>
      <w:r>
        <w:t>在授权范围内对人员记录与人事凭据、资质资料进行核验，重要资格覆盖实际参与关键作业的人员。保存核验凭据引用及差异字段，不在普通报告公开完整个人信息。</w:t>
      </w:r>
    </w:p>
    <w:p>
      <w:pPr>
        <w:pStyle w:val="Heading3"/>
      </w:pPr>
      <w:r>
        <w:t>2.3.3 跨系统人员与组织一致</w:t>
      </w:r>
    </w:p>
    <w:p>
      <w:pPr>
        <w:jc w:val="both"/>
      </w:pPr>
      <w:r>
        <w:t>需求编号：DQ-N-HR-0003。质量维度：一致性。对应规则：DQ-R-HR-CS-0001。</w:t>
      </w:r>
    </w:p>
    <w:p>
      <w:pPr>
        <w:jc w:val="both"/>
      </w:pPr>
      <w:r>
        <w:t>业务系统引用的人员和组织应与对应业务时间有效的主记录匹配。组织调整前形成的业务记录保留原组织事实，报表需要按新组织汇总时使用明确的映射关系。</w:t>
      </w:r>
    </w:p>
    <w:p>
      <w:pPr>
        <w:jc w:val="both"/>
      </w:pPr>
      <w:r>
        <w:t>兼职、借调和多岗位任职具有合法多值时，按任职类型和期间区分；不能仅凭一个人员对应多个部门认定错误。</w:t>
      </w:r>
    </w:p>
    <w:p>
      <w:pPr>
        <w:jc w:val="both"/>
      </w:pPr>
      <w:r>
        <w:t>对齐业务发生时间后比对人员键、组织键和任职状态，分别检查未映射、多重映射及失效映射。对跨系统同义字段先核对代码与含义，再比较值。</w:t>
      </w:r>
    </w:p>
    <w:p>
      <w:pPr>
        <w:pStyle w:val="Heading3"/>
      </w:pPr>
      <w:r>
        <w:t>2.3.4 人员主记录与任职关系唯一</w:t>
      </w:r>
    </w:p>
    <w:p>
      <w:pPr>
        <w:jc w:val="both"/>
      </w:pPr>
      <w:r>
        <w:t>需求编号：DQ-N-HR-0004。质量维度：唯一性。对应规则：DQ-R-HR-UQ-0001。</w:t>
      </w:r>
    </w:p>
    <w:p>
      <w:pPr>
        <w:jc w:val="both"/>
      </w:pPr>
      <w:r>
        <w:t>同一权威人员身份在规定组织范围内应具有稳定主标识，同一人员、岗位、任职类型和有效期间的重复记录应被识别。合法历史任职和并行任职保留。</w:t>
      </w:r>
    </w:p>
    <w:p>
      <w:pPr>
        <w:jc w:val="both"/>
      </w:pPr>
      <w:r>
        <w:t>外协人员、临时人员与正式人员采用各自合法标识策略，跨身份转变应建立关联，不以重名或手机号复用作为唯一合并依据。</w:t>
      </w:r>
    </w:p>
    <w:p>
      <w:pPr>
        <w:jc w:val="both"/>
      </w:pPr>
      <w:r>
        <w:t>按经确认的身份识别键检测主记录重复，再按任职复合键检查重复关系；对疑似同一人的相似记录进行人工核验，不凭姓名单字段自动合并。</w:t>
      </w:r>
    </w:p>
    <w:p>
      <w:pPr>
        <w:pStyle w:val="Heading3"/>
      </w:pPr>
      <w:r>
        <w:t>2.3.5 任职与资质变化及时更新</w:t>
      </w:r>
    </w:p>
    <w:p>
      <w:pPr>
        <w:jc w:val="both"/>
      </w:pPr>
      <w:r>
        <w:t>需求编号：DQ-N-HR-0005。质量维度：及时性。对应规则：DQ-R-HR-TM-0001。</w:t>
      </w:r>
    </w:p>
    <w:p>
      <w:pPr>
        <w:jc w:val="both"/>
      </w:pPr>
      <w:r>
        <w:t>入职、离职、转岗和资质到期等事件按批准的业务时限反映到需要该信息的业务系统。资质将到期与已经到期分别触发提醒和使用限制。</w:t>
      </w:r>
    </w:p>
    <w:p>
      <w:pPr>
        <w:jc w:val="both"/>
      </w:pPr>
      <w:r>
        <w:t>追溯生效的合法人事变更同时保留批准时间和生效时间；补录不能被解释为当日新发生事件以消除历史延迟。</w:t>
      </w:r>
    </w:p>
    <w:p>
      <w:pPr>
        <w:jc w:val="both"/>
      </w:pPr>
      <w:r>
        <w:t>以正式业务事件生效时间为起点，检查源端登记和目标系统可见时间，分别统计登记延迟与同步延迟；到期检查按有效期执行，不依赖有无新数据推送。</w:t>
      </w:r>
    </w:p>
    <w:p>
      <w:pPr>
        <w:pStyle w:val="Heading3"/>
      </w:pPr>
      <w:r>
        <w:t>2.3.6 任职状态与资质适用有效</w:t>
      </w:r>
    </w:p>
    <w:p>
      <w:pPr>
        <w:jc w:val="both"/>
      </w:pPr>
      <w:r>
        <w:t>需求编号：DQ-N-HR-0006。质量维度：有效性。对应规则：DQ-R-HR-VA-0001。</w:t>
      </w:r>
    </w:p>
    <w:p>
      <w:pPr>
        <w:jc w:val="both"/>
      </w:pPr>
      <w:r>
        <w:t>人员状态、岗位类型、资质类别和有效期应符合有效代码集及专业业务要求；必要的个人信息仅用于授权目的，不能因检查方便扩大公开范围。</w:t>
      </w:r>
    </w:p>
    <w:p>
      <w:pPr>
        <w:jc w:val="both"/>
      </w:pPr>
      <w:r>
        <w:t>证书有效不等同于覆盖所有作业；停用、撤销与到期分别识别，日期缺失先列待证实而非默认长期有效。</w:t>
      </w:r>
    </w:p>
    <w:p>
      <w:pPr>
        <w:jc w:val="both"/>
      </w:pPr>
      <w:r>
        <w:t>校验状态代码、日期先后和引用有效性，再按作业类型判断资质是否覆盖具体工艺、等级和期间。检查未知代码与不满足资格条件分别输出。</w:t>
      </w:r>
    </w:p>
    <w:p>
      <w:pPr>
        <w:pStyle w:val="Heading2"/>
      </w:pPr>
      <w:r>
        <w:t>2.4 研发设计质量需求</w:t>
      </w:r>
    </w:p>
    <w:p>
      <w:pPr>
        <w:jc w:val="both"/>
      </w:pPr>
      <w:r>
        <w:t>研发设计的检查对象包括产品结构、图纸版次、工艺文件及设计参数，由研发设计责任岗位会同工艺、配置管理和制造使用岗位确认业务条件和结果。各项需求在实际来源系统落实字段、关系和版本，责任不因数据复制到治理平台而转移。</w:t>
      </w:r>
    </w:p>
    <w:p>
      <w:pPr>
        <w:pStyle w:val="Heading3"/>
      </w:pPr>
      <w:r>
        <w:t>2.4.1 设计结构与有效文件完整</w:t>
      </w:r>
    </w:p>
    <w:p>
      <w:pPr>
        <w:jc w:val="both"/>
      </w:pPr>
      <w:r>
        <w:t>需求编号：DQ-N-RD-0001。质量维度：完整性。对应规则：DQ-R-RD-CP-0001。</w:t>
      </w:r>
    </w:p>
    <w:p>
      <w:pPr>
        <w:jc w:val="both"/>
      </w:pPr>
      <w:r>
        <w:t>发放用于制造的产品结构应具备规定层级、关键物料、图纸及必要技术条件，并能识别有效版次与适用产品范围。工艺文件按实际制造路线关联，允许一项设计存在多条经批准的适用路线。</w:t>
      </w:r>
    </w:p>
    <w:p>
      <w:pPr>
        <w:jc w:val="both"/>
      </w:pPr>
      <w:r>
        <w:t>历史取消零件、选配件和条件选项按配置规则判断适用性，不能按所有可选件均应出现计算完整性。</w:t>
      </w:r>
    </w:p>
    <w:p>
      <w:pPr>
        <w:jc w:val="both"/>
      </w:pPr>
      <w:r>
        <w:t>从发放产品及其配置基线出发展开结构，核对必需节点、图纸引用和技术条件；对结构循环、悬空引用及必要附件缺失分别记录对象路径。</w:t>
      </w:r>
    </w:p>
    <w:p>
      <w:pPr>
        <w:pStyle w:val="Heading3"/>
      </w:pPr>
      <w:r>
        <w:t>2.4.2 尺寸材料及设计参数准确</w:t>
      </w:r>
    </w:p>
    <w:p>
      <w:pPr>
        <w:jc w:val="both"/>
      </w:pPr>
      <w:r>
        <w:t>需求编号：DQ-N-RD-0002。质量维度：准确性。对应规则：DQ-R-RD-AC-0001。</w:t>
      </w:r>
    </w:p>
    <w:p>
      <w:pPr>
        <w:jc w:val="both"/>
      </w:pPr>
      <w:r>
        <w:t>尺寸、公差、材料牌号和性能参数应与适用的批准图纸及技术条件相符。文本解析、图纸识别与人工录入得到的数值保留原始位置和单位，关键参数由专业岗位核验。</w:t>
      </w:r>
    </w:p>
    <w:p>
      <w:pPr>
        <w:jc w:val="both"/>
      </w:pPr>
      <w:r>
        <w:t>修订前后参数差异按有效版次判定；不同加工阶段的毛坯尺寸与成品尺寸不能直接互判错误。</w:t>
      </w:r>
    </w:p>
    <w:p>
      <w:pPr>
        <w:jc w:val="both"/>
      </w:pPr>
      <w:r>
        <w:t>抽取关键参数与对应图号版次、页码或区域进行比对；对公差上下限、直径半径、角度及单位进行专业核对，识别小数点、符号和上下标误读。</w:t>
      </w:r>
    </w:p>
    <w:p>
      <w:pPr>
        <w:pStyle w:val="Heading3"/>
      </w:pPr>
      <w:r>
        <w:t>2.4.3 设计版本与下游引用一致</w:t>
      </w:r>
    </w:p>
    <w:p>
      <w:pPr>
        <w:jc w:val="both"/>
      </w:pPr>
      <w:r>
        <w:t>需求编号：DQ-N-RD-0003。质量维度：一致性。对应规则：DQ-R-RD-CS-0001。</w:t>
      </w:r>
    </w:p>
    <w:p>
      <w:pPr>
        <w:jc w:val="both"/>
      </w:pPr>
      <w:r>
        <w:t>工艺、制造和检验使用的图纸、物料清单及技术条件应与其实际适用的设计基线一致。设计更改的生效范围、在制品处理和替代关系明确，不默认最新版本适用于全部历史对象。</w:t>
      </w:r>
    </w:p>
    <w:p>
      <w:pPr>
        <w:jc w:val="both"/>
      </w:pPr>
      <w:r>
        <w:t>允许经批准的旧版继续用于限定批次；需要并行生产的多版本按适用范围区分，不能统一覆盖为最高版号。</w:t>
      </w:r>
    </w:p>
    <w:p>
      <w:pPr>
        <w:jc w:val="both"/>
      </w:pPr>
      <w:r>
        <w:t>以产品配置、订单或批次及生效条件定位应采用的设计版本，再比对工艺文件、工单与检验依据。输出错误引用、适用范围不明和缺少更改关系三类结果。</w:t>
      </w:r>
    </w:p>
    <w:p>
      <w:pPr>
        <w:pStyle w:val="Heading3"/>
      </w:pPr>
      <w:r>
        <w:t>2.4.4 设计对象与配置关系唯一</w:t>
      </w:r>
    </w:p>
    <w:p>
      <w:pPr>
        <w:jc w:val="both"/>
      </w:pPr>
      <w:r>
        <w:t>需求编号：DQ-N-RD-0004。质量维度：唯一性。对应规则：DQ-R-RD-UQ-0001。</w:t>
      </w:r>
    </w:p>
    <w:p>
      <w:pPr>
        <w:jc w:val="both"/>
      </w:pPr>
      <w:r>
        <w:t>同一产品、图号、版次和受控配置范围内的正式设计对象具有唯一有效标识。结构中同一物料多处使用可以存在多个实例，不能按物料编码简单去重。</w:t>
      </w:r>
    </w:p>
    <w:p>
      <w:pPr>
        <w:jc w:val="both"/>
      </w:pPr>
      <w:r>
        <w:t>图纸镜像件、左右件、变型件和多个安装位置按真实设计身份区分；文件内容相同也不能直接推断业务对象相同。</w:t>
      </w:r>
    </w:p>
    <w:p>
      <w:pPr>
        <w:jc w:val="both"/>
      </w:pPr>
      <w:r>
        <w:t>检查正式文档标识的重复和结构实例键冲突，区分文档副本、合法引用与独立设计对象；对版本生效范围重叠的记录进行业务核查。</w:t>
      </w:r>
    </w:p>
    <w:p>
      <w:pPr>
        <w:pStyle w:val="Heading3"/>
      </w:pPr>
      <w:r>
        <w:t>2.4.5 设计更改传递及时</w:t>
      </w:r>
    </w:p>
    <w:p>
      <w:pPr>
        <w:jc w:val="both"/>
      </w:pPr>
      <w:r>
        <w:t>需求编号：DQ-N-RD-0005。质量维度：及时性。对应规则：DQ-R-RD-TM-0001。</w:t>
      </w:r>
    </w:p>
    <w:p>
      <w:pPr>
        <w:jc w:val="both"/>
      </w:pPr>
      <w:r>
        <w:t>经批准的设计发放与更改应在规定生效节点前传递到需要使用的岗位和系统，关键工单在使用前能够取得适用文件及更改处置要求。</w:t>
      </w:r>
    </w:p>
    <w:p>
      <w:pPr>
        <w:jc w:val="both"/>
      </w:pPr>
      <w:r>
        <w:t>紧急更改、撤回和延后生效具有不同时间关系；合法审批晚于原计划也应如实报告实际过程，不回改审批时间。</w:t>
      </w:r>
    </w:p>
    <w:p>
      <w:pPr>
        <w:jc w:val="both"/>
      </w:pPr>
      <w:r>
        <w:t>记录批准、发布、生效和下游接收时间，按更改单要求检查传递与接收，不仅检查接口到达。生效前未完成必要接收的对象列入使用限制。</w:t>
      </w:r>
    </w:p>
    <w:p>
      <w:pPr>
        <w:pStyle w:val="Heading3"/>
      </w:pPr>
      <w:r>
        <w:t>2.4.6 设计属性与结构约束有效</w:t>
      </w:r>
    </w:p>
    <w:p>
      <w:pPr>
        <w:jc w:val="both"/>
      </w:pPr>
      <w:r>
        <w:t>需求编号：DQ-N-RD-0006。质量维度：有效性。对应规则：DQ-R-RD-VA-0001。</w:t>
      </w:r>
    </w:p>
    <w:p>
      <w:pPr>
        <w:jc w:val="both"/>
      </w:pPr>
      <w:r>
        <w:t>材料、单位、文档状态、版本格式和产品结构关系应符合有效标准及配置规则。公差范围、参数组合和结构层级检查结合实际对象，不采用缺乏依据的统一数值界限。</w:t>
      </w:r>
    </w:p>
    <w:p>
      <w:pPr>
        <w:jc w:val="both"/>
      </w:pPr>
      <w:r>
        <w:t>尚处设计过程的草稿按其用途隔离，不能因未达正式发放条件判定全部设计过程数据无效，但不得冒充正式制造依据。</w:t>
      </w:r>
    </w:p>
    <w:p>
      <w:pPr>
        <w:jc w:val="both"/>
      </w:pPr>
      <w:r>
        <w:t>执行代码引用、单位维度、公差上下限和结构约束检查，识别循环结构、非法状态及不允许的参数组合；专业规则关联批准标准版本。</w:t>
      </w:r>
    </w:p>
    <w:p>
      <w:pPr>
        <w:pStyle w:val="Heading2"/>
      </w:pPr>
      <w:r>
        <w:t>2.5 生产制造质量需求</w:t>
      </w:r>
    </w:p>
    <w:p>
      <w:pPr>
        <w:jc w:val="both"/>
      </w:pPr>
      <w:r>
        <w:t>生产制造的检查对象包括生产计划、工单、工序执行、实物批次及过程曲线，由生产管理岗位会同工艺、班组和过程采集技术岗位确认业务条件和结果。各项需求在实际来源系统落实字段、关系和版本，责任不因数据复制到治理平台而转移。</w:t>
      </w:r>
    </w:p>
    <w:p>
      <w:pPr>
        <w:pStyle w:val="Heading3"/>
      </w:pPr>
      <w:r>
        <w:t>2.5.1 生产工序与过程记录完整</w:t>
      </w:r>
    </w:p>
    <w:p>
      <w:pPr>
        <w:jc w:val="both"/>
      </w:pPr>
      <w:r>
        <w:t>需求编号：DQ-N-MF-0001。质量维度：完整性。对应规则：DQ-R-MF-CP-0001。</w:t>
      </w:r>
    </w:p>
    <w:p>
      <w:pPr>
        <w:jc w:val="both"/>
      </w:pPr>
      <w:r>
        <w:t>纳入加工和分析的工单应关联适用工艺、关键工序、实物对象和必要执行记录。热处理、焊接等过程数据按工艺要求记录必要参数、时间和设备，不以有一条数据代表全周期完整。</w:t>
      </w:r>
    </w:p>
    <w:p>
      <w:pPr>
        <w:jc w:val="both"/>
      </w:pPr>
      <w:r>
        <w:t>返工、跳序和并行工序按批准流程识别；停机和不要求采集的阶段具备业务依据后单独标识，不直接拼接为连续正常生产。</w:t>
      </w:r>
    </w:p>
    <w:p>
      <w:pPr>
        <w:jc w:val="both"/>
      </w:pPr>
      <w:r>
        <w:t>按工单工艺路线生成应有工序集合，核对报工、关键参数和实物批次关联；时序完整性按应采区间及采样策略检查间断，分别统计对象缺失与区间缺口。</w:t>
      </w:r>
    </w:p>
    <w:p>
      <w:pPr>
        <w:pStyle w:val="Heading3"/>
      </w:pPr>
      <w:r>
        <w:t>2.5.2 生产数量与过程参数准确</w:t>
      </w:r>
    </w:p>
    <w:p>
      <w:pPr>
        <w:jc w:val="both"/>
      </w:pPr>
      <w:r>
        <w:t>需求编号：DQ-N-MF-0002。质量维度：准确性。对应规则：DQ-R-MF-AC-0001。</w:t>
      </w:r>
    </w:p>
    <w:p>
      <w:pPr>
        <w:jc w:val="both"/>
      </w:pPr>
      <w:r>
        <w:t>报工数量、工时及过程参数应反映对应实物和实际工序。采集设备的测量范围、精度、校准和单位转换与业务要求匹配，异常平滑和插值结果不得替代原始测量事实。</w:t>
      </w:r>
    </w:p>
    <w:p>
      <w:pPr>
        <w:jc w:val="both"/>
      </w:pPr>
      <w:r>
        <w:t>废品、返工、拆分合并和跨班次报工分别处理；工艺允许的升降温或切换突变不能按一般统计异常直接删除。</w:t>
      </w:r>
    </w:p>
    <w:p>
      <w:pPr>
        <w:jc w:val="both"/>
      </w:pPr>
      <w:r>
        <w:t>对报工数量与领料、转序及检验记录开展有条件核对，对关键曲线与采集原值和校准信息核验；温度、压力、电流等参数按工艺阶段使用实际依据判断。</w:t>
      </w:r>
    </w:p>
    <w:p>
      <w:pPr>
        <w:pStyle w:val="Heading3"/>
      </w:pPr>
      <w:r>
        <w:t>2.5.3 工单批次与工艺关联一致</w:t>
      </w:r>
    </w:p>
    <w:p>
      <w:pPr>
        <w:jc w:val="both"/>
      </w:pPr>
      <w:r>
        <w:t>需求编号：DQ-N-MF-0003。质量维度：一致性。对应规则：DQ-R-MF-CS-0001。</w:t>
      </w:r>
    </w:p>
    <w:p>
      <w:pPr>
        <w:jc w:val="both"/>
      </w:pPr>
      <w:r>
        <w:t>计划、工单、工序、设备和实物批次的关联应与实际执行关系一致，工艺参数与对应有效工艺版本匹配。不同系统的完成状态在同一业务时点和状态映射下比较。</w:t>
      </w:r>
    </w:p>
    <w:p>
      <w:pPr>
        <w:jc w:val="both"/>
      </w:pPr>
      <w:r>
        <w:t>一炉多批、一批多件及工单拆分按实际关系建模，不能用强制一对一关联丢弃合法对象。</w:t>
      </w:r>
    </w:p>
    <w:p>
      <w:pPr>
        <w:jc w:val="both"/>
      </w:pPr>
      <w:r>
        <w:t>按工单、批次和工序实例连接计划与执行，核验投产版本、参数设定、设备引用和转序关系；跨源比较前统一状态含义、单位与时间窗口。</w:t>
      </w:r>
    </w:p>
    <w:p>
      <w:pPr>
        <w:pStyle w:val="Heading3"/>
      </w:pPr>
      <w:r>
        <w:t>2.5.4 生产事件与实物标识唯一</w:t>
      </w:r>
    </w:p>
    <w:p>
      <w:pPr>
        <w:jc w:val="both"/>
      </w:pPr>
      <w:r>
        <w:t>需求编号：DQ-N-MF-0004。质量维度：唯一性。对应规则：DQ-R-MF-UQ-0001。</w:t>
      </w:r>
    </w:p>
    <w:p>
      <w:pPr>
        <w:jc w:val="both"/>
      </w:pPr>
      <w:r>
        <w:t>同一工单工序实例的业务事件具有可识别的唯一事件键，接口重发和采集重试不应生成重复业务量。相同时间值的不同测点、不同设备或合法并发事件分别保留。</w:t>
      </w:r>
    </w:p>
    <w:p>
      <w:pPr>
        <w:jc w:val="both"/>
      </w:pPr>
      <w:r>
        <w:t>重报、更正与冲销具有独立业务含义时形成关联事件，不直接按内容相同删除；时序相同数值连续出现并不等于重复记录。</w:t>
      </w:r>
    </w:p>
    <w:p>
      <w:pPr>
        <w:jc w:val="both"/>
      </w:pPr>
      <w:r>
        <w:t>优先使用源事件标识及版本进行幂等检查；缺少稳定标识时按经确认的复合键和内容摘要识别疑似重复，并核查事件类型与修正关系。</w:t>
      </w:r>
    </w:p>
    <w:p>
      <w:pPr>
        <w:pStyle w:val="Heading3"/>
      </w:pPr>
      <w:r>
        <w:t>2.5.5 生产状态与过程数据及时到达</w:t>
      </w:r>
    </w:p>
    <w:p>
      <w:pPr>
        <w:jc w:val="both"/>
      </w:pPr>
      <w:r>
        <w:t>需求编号：DQ-N-MF-0005。质量维度：及时性。对应规则：DQ-R-MF-TM-0001。</w:t>
      </w:r>
    </w:p>
    <w:p>
      <w:pPr>
        <w:jc w:val="both"/>
      </w:pPr>
      <w:r>
        <w:t>工序完成、异常停机和关键过程数据应在相应用途规定的延迟内到达。面向实时状态、批次追溯和周期统计分别设置时限，不用同一时限评价全部生产数据。</w:t>
      </w:r>
    </w:p>
    <w:p>
      <w:pPr>
        <w:jc w:val="both"/>
      </w:pPr>
      <w:r>
        <w:t>离线补传、网络恢复及设备时钟异常单独识别，补传到达时间不能替换原事件时间，未知时间不直接视为及时。</w:t>
      </w:r>
    </w:p>
    <w:p>
      <w:pPr>
        <w:jc w:val="both"/>
      </w:pPr>
      <w:r>
        <w:t>以设备事件时间或经核实的业务发生时间为起点，比较源端、采集层和服务层到达时间，分解各段延迟；检查水位及迟到对象对已发布窗口的影响。</w:t>
      </w:r>
    </w:p>
    <w:p>
      <w:pPr>
        <w:pStyle w:val="Heading3"/>
      </w:pPr>
      <w:r>
        <w:t>2.5.6 生产状态与工艺参数有效</w:t>
      </w:r>
    </w:p>
    <w:p>
      <w:pPr>
        <w:jc w:val="both"/>
      </w:pPr>
      <w:r>
        <w:t>需求编号：DQ-N-MF-0006。质量维度：有效性。对应规则：DQ-R-MF-VA-0001。</w:t>
      </w:r>
    </w:p>
    <w:p>
      <w:pPr>
        <w:jc w:val="both"/>
      </w:pPr>
      <w:r>
        <w:t>工序状态转换、设备可用条件和工艺参数组合符合适用工艺及业务流程。参数有效范围按材料、规格、设备和工艺阶段确定，不使用跨产品的单一经验区间。</w:t>
      </w:r>
    </w:p>
    <w:p>
      <w:pPr>
        <w:jc w:val="both"/>
      </w:pPr>
      <w:r>
        <w:t>实际工艺允许的应急和返工路径需有批准依据；检验不合格后的受控返工不能与正常完工状态混同。</w:t>
      </w:r>
    </w:p>
    <w:p>
      <w:pPr>
        <w:jc w:val="both"/>
      </w:pPr>
      <w:r>
        <w:t>校验状态迁移、必要前置条件、单位和参数上下限，按有效工艺配置检查保温、升温或焊接过程约束；缺失工艺依据时列待证实并限制相关结论。</w:t>
      </w:r>
    </w:p>
    <w:p>
      <w:pPr>
        <w:pStyle w:val="Heading2"/>
      </w:pPr>
      <w:r>
        <w:t>2.6 仓储物流质量需求</w:t>
      </w:r>
    </w:p>
    <w:p>
      <w:pPr>
        <w:jc w:val="both"/>
      </w:pPr>
      <w:r>
        <w:t>仓储物流的检查对象包括库存余额、出入库凭证、批次库位及运输交接，由仓储物流岗位会同物料、生产和财务责任岗位确认业务条件和结果。各项需求在实际来源系统落实字段、关系和版本，责任不因数据复制到治理平台而转移。</w:t>
      </w:r>
    </w:p>
    <w:p>
      <w:pPr>
        <w:pStyle w:val="Heading3"/>
      </w:pPr>
      <w:r>
        <w:t>2.6.1 出入库与批次去向完整</w:t>
      </w:r>
    </w:p>
    <w:p>
      <w:pPr>
        <w:jc w:val="both"/>
      </w:pPr>
      <w:r>
        <w:t>需求编号：DQ-N-WL-0001。质量维度：完整性。对应规则：DQ-R-WL-CP-0001。</w:t>
      </w:r>
    </w:p>
    <w:p>
      <w:pPr>
        <w:jc w:val="both"/>
      </w:pPr>
      <w:r>
        <w:t>物料收发、转移及库存调整应记录物料、批次或其他适用追溯键、数量、单位、库位、状态和业务凭证。关键实物交接需有相应发生时间及责任记录。</w:t>
      </w:r>
    </w:p>
    <w:p>
      <w:pPr>
        <w:jc w:val="both"/>
      </w:pPr>
      <w:r>
        <w:t>散件、按重量管理物料及不采用逐件追溯的对象按批准粒度处理，不能强制生成不存在的单件身份。</w:t>
      </w:r>
    </w:p>
    <w:p>
      <w:pPr>
        <w:jc w:val="both"/>
      </w:pPr>
      <w:r>
        <w:t>从实际应形成的收发和调整事件核对必要字段与上下游凭证，识别有业务量无凭据、有凭据无必要明细及批次去向不明；按适用追溯粒度分别统计。</w:t>
      </w:r>
    </w:p>
    <w:p>
      <w:pPr>
        <w:pStyle w:val="Heading3"/>
      </w:pPr>
      <w:r>
        <w:t>2.6.2 库存数量与物料属性准确</w:t>
      </w:r>
    </w:p>
    <w:p>
      <w:pPr>
        <w:jc w:val="both"/>
      </w:pPr>
      <w:r>
        <w:t>需求编号：DQ-N-WL-0002。质量维度：准确性。对应规则：DQ-R-WL-AC-0001。</w:t>
      </w:r>
    </w:p>
    <w:p>
      <w:pPr>
        <w:jc w:val="both"/>
      </w:pPr>
      <w:r>
        <w:t>库存记录的物料、规格、批次、数量和单位应与可核实的收发事实及盘点结果相符。盘点差异需要核对截止时点、在途、冻结和已发生未登记业务，不能直接等同于数据错误。</w:t>
      </w:r>
    </w:p>
    <w:p>
      <w:pPr>
        <w:jc w:val="both"/>
      </w:pPr>
      <w:r>
        <w:t>理论重量与实测重量、可用量与账面量分别定义；未明确换算关系时不强制比较为相等。</w:t>
      </w:r>
    </w:p>
    <w:p>
      <w:pPr>
        <w:jc w:val="both"/>
      </w:pPr>
      <w:r>
        <w:t>以同一盘点时点和状态范围对账，确认计量单位与换算依据；对差异核查凭证和实物，区分业务损耗、计量差异、登记错误和时间差。</w:t>
      </w:r>
    </w:p>
    <w:p>
      <w:pPr>
        <w:pStyle w:val="Heading3"/>
      </w:pPr>
      <w:r>
        <w:t>2.6.3 库存账与流转凭据一致</w:t>
      </w:r>
    </w:p>
    <w:p>
      <w:pPr>
        <w:jc w:val="both"/>
      </w:pPr>
      <w:r>
        <w:t>需求编号：DQ-N-WL-0003。质量维度：一致性。对应规则：DQ-R-WL-CS-0001。</w:t>
      </w:r>
    </w:p>
    <w:p>
      <w:pPr>
        <w:jc w:val="both"/>
      </w:pPr>
      <w:r>
        <w:t>ERP、WMS及相关业务来源的库存和收发数据在相同物料、组织、库位、批次、状态、单位和截止时点下保持可解释的一致。差异应能定位到业务事件或映射关系。</w:t>
      </w:r>
    </w:p>
    <w:p>
      <w:pPr>
        <w:jc w:val="both"/>
      </w:pPr>
      <w:r>
        <w:t>预留、冻结、寄售、委外和在途有不同业务含义，分别比较相应口径，不能将可用库存直接与全部实存比较。</w:t>
      </w:r>
    </w:p>
    <w:p>
      <w:pPr>
        <w:jc w:val="both"/>
      </w:pPr>
      <w:r>
        <w:t>将期初、入库、出库、调整和期末在统一口径下核对，跨系统按完整维度对齐；输出缺单、重复单、数量差和状态映射差，不只给出总额差。</w:t>
      </w:r>
    </w:p>
    <w:p>
      <w:pPr>
        <w:pStyle w:val="Heading3"/>
      </w:pPr>
      <w:r>
        <w:t>2.6.4 物流凭证与库存身份唯一</w:t>
      </w:r>
    </w:p>
    <w:p>
      <w:pPr>
        <w:jc w:val="both"/>
      </w:pPr>
      <w:r>
        <w:t>需求编号：DQ-N-WL-0004。质量维度：唯一性。对应规则：DQ-R-WL-UQ-0001。</w:t>
      </w:r>
    </w:p>
    <w:p>
      <w:pPr>
        <w:jc w:val="both"/>
      </w:pPr>
      <w:r>
        <w:t>同一来源凭证行和业务动作不因重发、重试而重复计量，库存身份键能够区分物料、组织、库位、批次和状态。合法多行拆分保留其实际业务身份。</w:t>
      </w:r>
    </w:p>
    <w:p>
      <w:pPr>
        <w:jc w:val="both"/>
      </w:pPr>
      <w:r>
        <w:t>冲销与重新过账形成独立关联动作，不能当作重复直接删除；同一批次在不同库位的分布合法存在。</w:t>
      </w:r>
    </w:p>
    <w:p>
      <w:pPr>
        <w:jc w:val="both"/>
      </w:pPr>
      <w:r>
        <w:t>按来源单据、行号、动作类型和版本校验幂等，再检查库存复合键冲突；相同物料同日多次收发按不同事件保留。</w:t>
      </w:r>
    </w:p>
    <w:p>
      <w:pPr>
        <w:pStyle w:val="Heading3"/>
      </w:pPr>
      <w:r>
        <w:t>2.6.5 库存变动与物流状态及时</w:t>
      </w:r>
    </w:p>
    <w:p>
      <w:pPr>
        <w:jc w:val="both"/>
      </w:pPr>
      <w:r>
        <w:t>需求编号：DQ-N-WL-0005。质量维度：及时性。对应规则：DQ-R-WL-TM-0001。</w:t>
      </w:r>
    </w:p>
    <w:p>
      <w:pPr>
        <w:jc w:val="both"/>
      </w:pPr>
      <w:r>
        <w:t>收发、移库、冻结解冻和运输交接在业务规定期限内登记并同步到使用方。用于库存优化和供需决策的数据应明确截止时间和实际延迟。</w:t>
      </w:r>
    </w:p>
    <w:p>
      <w:pPr>
        <w:jc w:val="both"/>
      </w:pPr>
      <w:r>
        <w:t>补登记应保持实际发生时间和登记时间，月末跨期及离线仓库补传单独分析，不回改事件日期掩盖延迟。</w:t>
      </w:r>
    </w:p>
    <w:p>
      <w:pPr>
        <w:jc w:val="both"/>
      </w:pPr>
      <w:r>
        <w:t>分别记录实物交接、凭证登记、接口到达和服务更新时间，识别积压、迟到及断档；对已发布库存快照评估迟到事件是否需要后继修订。</w:t>
      </w:r>
    </w:p>
    <w:p>
      <w:pPr>
        <w:pStyle w:val="Heading3"/>
      </w:pPr>
      <w:r>
        <w:t>2.6.6 库存状态与计量关系有效</w:t>
      </w:r>
    </w:p>
    <w:p>
      <w:pPr>
        <w:jc w:val="both"/>
      </w:pPr>
      <w:r>
        <w:t>需求编号：DQ-N-WL-0006。质量维度：有效性。对应规则：DQ-R-WL-VA-0001。</w:t>
      </w:r>
    </w:p>
    <w:p>
      <w:pPr>
        <w:jc w:val="both"/>
      </w:pPr>
      <w:r>
        <w:t>物料状态、库位属性、单位及换算关系符合有效标准，库存动作满足适用流程。负库存是否允许依据业务制度和对象确定，不能将统一阈值替代业务政策。</w:t>
      </w:r>
    </w:p>
    <w:p>
      <w:pPr>
        <w:jc w:val="both"/>
      </w:pPr>
      <w:r>
        <w:t>受控暂存、待检、隔离和报废状态分别表达，数量为零与对象失效不同；业务允许的短时负数仍需符合其条件。</w:t>
      </w:r>
    </w:p>
    <w:p>
      <w:pPr>
        <w:jc w:val="both"/>
      </w:pPr>
      <w:r>
        <w:t>检查代码有效期、库位适用、单位维度、换算精度和状态迁移；对违反允许库存规则或处于不允许使用状态的对象形成限制。</w:t>
      </w:r>
    </w:p>
    <w:p>
      <w:pPr>
        <w:pStyle w:val="Heading2"/>
      </w:pPr>
      <w:r>
        <w:t>2.7 财务管理质量需求</w:t>
      </w:r>
    </w:p>
    <w:p>
      <w:pPr>
        <w:jc w:val="both"/>
      </w:pPr>
      <w:r>
        <w:t>财务管理的检查对象包括业务凭据、会计凭证、结算金额、成本与期间报表，由财务责任岗位会同相关业务部门及系统管理岗位确认业务条件和结果。各项需求在实际来源系统落实字段、关系和版本，责任不因数据复制到治理平台而转移。</w:t>
      </w:r>
    </w:p>
    <w:p>
      <w:pPr>
        <w:pStyle w:val="Heading3"/>
      </w:pPr>
      <w:r>
        <w:t>2.7.1 财务凭证与业务依据完整</w:t>
      </w:r>
    </w:p>
    <w:p>
      <w:pPr>
        <w:jc w:val="both"/>
      </w:pPr>
      <w:r>
        <w:t>需求编号：DQ-N-FI-0001。质量维度：完整性。对应规则：DQ-R-FI-CP-0001。</w:t>
      </w:r>
    </w:p>
    <w:p>
      <w:pPr>
        <w:jc w:val="both"/>
      </w:pPr>
      <w:r>
        <w:t>纳入质量管理的财务记录应具备规定的组织、期间、科目、币种、金额、凭证状态及业务依据，附件与业务明细按实际制度要求关联。</w:t>
      </w:r>
    </w:p>
    <w:p>
      <w:pPr>
        <w:jc w:val="both"/>
      </w:pPr>
      <w:r>
        <w:t>暂估、计提、结转和调整凭证具有不同依据类型，不能强制一律关联采购发票；缺少依据与不适用分别登记。</w:t>
      </w:r>
    </w:p>
    <w:p>
      <w:pPr>
        <w:jc w:val="both"/>
      </w:pPr>
      <w:r>
        <w:t>以应形成的凭证和结算事项核对必要字段、分录及来源关系，检查附件引用可取得性；涉及无须附件或汇总凭证的情形按批准制度判断。</w:t>
      </w:r>
    </w:p>
    <w:p>
      <w:pPr>
        <w:pStyle w:val="Heading3"/>
      </w:pPr>
      <w:r>
        <w:t>2.7.2 金额税额与成本计算准确</w:t>
      </w:r>
    </w:p>
    <w:p>
      <w:pPr>
        <w:jc w:val="both"/>
      </w:pPr>
      <w:r>
        <w:t>需求编号：DQ-N-FI-0002。质量维度：准确性。对应规则：DQ-R-FI-AC-0001。</w:t>
      </w:r>
    </w:p>
    <w:p>
      <w:pPr>
        <w:jc w:val="both"/>
      </w:pPr>
      <w:r>
        <w:t>金额、税额、汇率、数量和成本分配应符合对应业务合同、凭据、会计政策及有效计算规则。精度、舍入和币种转换在计算前明确。</w:t>
      </w:r>
    </w:p>
    <w:p>
      <w:pPr>
        <w:jc w:val="both"/>
      </w:pPr>
      <w:r>
        <w:t>合法的尾差处理、折扣及调整按政策识别；多币种结果不能未经换算直接比较或汇总。</w:t>
      </w:r>
    </w:p>
    <w:p>
      <w:pPr>
        <w:jc w:val="both"/>
      </w:pPr>
      <w:r>
        <w:t>对关键计算重算并核查输入依据，比较含税不含税口径、汇率日期和分配基础；输出差异到凭证行和计算步骤，不以整体平衡证明明细准确。</w:t>
      </w:r>
    </w:p>
    <w:p>
      <w:pPr>
        <w:pStyle w:val="Heading3"/>
      </w:pPr>
      <w:r>
        <w:t>2.7.3 财务与业务记录口径一致</w:t>
      </w:r>
    </w:p>
    <w:p>
      <w:pPr>
        <w:jc w:val="both"/>
      </w:pPr>
      <w:r>
        <w:t>需求编号：DQ-N-FI-0003。质量维度：一致性。对应规则：DQ-R-FI-CS-0001。</w:t>
      </w:r>
    </w:p>
    <w:p>
      <w:pPr>
        <w:jc w:val="both"/>
      </w:pPr>
      <w:r>
        <w:t>采购、销售、仓储和财务数据在相同组织、期间、币种、业务状态及确认口径下具有可解释关系。收货、开票、付款和确认收入分别代表不同事实。</w:t>
      </w:r>
    </w:p>
    <w:p>
      <w:pPr>
        <w:jc w:val="both"/>
      </w:pPr>
      <w:r>
        <w:t>未开票、预付款、暂估和跨期调整可以产生合法差异，需有业务依据，不强制每个时点全部相等。</w:t>
      </w:r>
    </w:p>
    <w:p>
      <w:pPr>
        <w:jc w:val="both"/>
      </w:pPr>
      <w:r>
        <w:t>按合同或业务凭据建立对应，分层核对数量、金额与状态；差异按时点、确认政策、映射及错误分类，先完成口径对齐再判断数据一致性。</w:t>
      </w:r>
    </w:p>
    <w:p>
      <w:pPr>
        <w:pStyle w:val="Heading3"/>
      </w:pPr>
      <w:r>
        <w:t>2.7.4 凭证与结算记录唯一</w:t>
      </w:r>
    </w:p>
    <w:p>
      <w:pPr>
        <w:jc w:val="both"/>
      </w:pPr>
      <w:r>
        <w:t>需求编号：DQ-N-FI-0004。质量维度：唯一性。对应规则：DQ-R-FI-UQ-0001。</w:t>
      </w:r>
    </w:p>
    <w:p>
      <w:pPr>
        <w:jc w:val="both"/>
      </w:pPr>
      <w:r>
        <w:t>同一组织、期间、凭证标识及分录序号的记录应按其正式版本唯一，接口重放不得重复增加金额。合法冲销、更正和重记通过关系链表达。</w:t>
      </w:r>
    </w:p>
    <w:p>
      <w:pPr>
        <w:jc w:val="both"/>
      </w:pPr>
      <w:r>
        <w:t>同号不同组织、不同期间的凭证合法区分；红字冲销和原凭证金额相反不应作为简单重复删除。</w:t>
      </w:r>
    </w:p>
    <w:p>
      <w:pPr>
        <w:jc w:val="both"/>
      </w:pPr>
      <w:r>
        <w:t>检查凭证复合键、源事件标识和导入批次幂等，识别重复导入与相互冲突版本；结算记录按实际单据粒度核查。</w:t>
      </w:r>
    </w:p>
    <w:p>
      <w:pPr>
        <w:pStyle w:val="Heading3"/>
      </w:pPr>
      <w:r>
        <w:t>2.7.5 财务期间数据及时形成</w:t>
      </w:r>
    </w:p>
    <w:p>
      <w:pPr>
        <w:jc w:val="both"/>
      </w:pPr>
      <w:r>
        <w:t>需求编号：DQ-N-FI-0005。质量维度：及时性。对应规则：DQ-R-FI-TM-0001。</w:t>
      </w:r>
    </w:p>
    <w:p>
      <w:pPr>
        <w:jc w:val="both"/>
      </w:pPr>
      <w:r>
        <w:t>凭证、结算和报表数据按业务日历及关账要求形成和传递，周期统计使用明确的截止时点。已关账期间的后续调整采用受控流程记录。</w:t>
      </w:r>
    </w:p>
    <w:p>
      <w:pPr>
        <w:jc w:val="both"/>
      </w:pPr>
      <w:r>
        <w:t>节假日、工作日和法定期限采用正式日历配置；事后补录保留实际批准及登记时间，不以改写时间取得及时状态。</w:t>
      </w:r>
    </w:p>
    <w:p>
      <w:pPr>
        <w:jc w:val="both"/>
      </w:pPr>
      <w:r>
        <w:t>比较规定完成节点、实际登记和下游可用时间，区分业务处理延迟与接口同步延迟；按期间检查必要数据是否齐备。</w:t>
      </w:r>
    </w:p>
    <w:p>
      <w:pPr>
        <w:pStyle w:val="Heading3"/>
      </w:pPr>
      <w:r>
        <w:t>2.7.6 科目期间与凭证状态有效</w:t>
      </w:r>
    </w:p>
    <w:p>
      <w:pPr>
        <w:jc w:val="both"/>
      </w:pPr>
      <w:r>
        <w:t>需求编号：DQ-N-FI-0006。质量维度：有效性。对应规则：DQ-R-FI-VA-0001。</w:t>
      </w:r>
    </w:p>
    <w:p>
      <w:pPr>
        <w:jc w:val="both"/>
      </w:pPr>
      <w:r>
        <w:t>科目、组织、币种和期间引用有效，凭证状态及借贷方向符合其业务规则。治理平台不越权替代会计审批或直接修改已记账源凭证。</w:t>
      </w:r>
    </w:p>
    <w:p>
      <w:pPr>
        <w:jc w:val="both"/>
      </w:pPr>
      <w:r>
        <w:t>历史凭证保留当时合法的科目与组织，不能因当前停用判为历史无效；业务调整按新旧规则关系解释。</w:t>
      </w:r>
    </w:p>
    <w:p>
      <w:pPr>
        <w:jc w:val="both"/>
      </w:pPr>
      <w:r>
        <w:t>核对代码集有效期、期间开放条件、状态迁移和计算约束，对无效科目、失效组织及越权状态引用分别输出。</w:t>
      </w:r>
    </w:p>
    <w:p>
      <w:pPr>
        <w:pStyle w:val="Heading2"/>
      </w:pPr>
      <w:r>
        <w:t>2.8 设备管理质量需求</w:t>
      </w:r>
    </w:p>
    <w:p>
      <w:pPr>
        <w:jc w:val="both"/>
      </w:pPr>
      <w:r>
        <w:t>设备管理的检查对象包括设备与部件台账、测点、故障、维修及运行状态，由设备管理岗位会同维护、生产和状态采集岗位确认业务条件和结果。各项需求在实际来源系统落实字段、关系和版本，责任不因数据复制到治理平台而转移。</w:t>
      </w:r>
    </w:p>
    <w:p>
      <w:pPr>
        <w:pStyle w:val="Heading3"/>
      </w:pPr>
      <w:r>
        <w:t>2.8.1 设备层级与维修记录完整</w:t>
      </w:r>
    </w:p>
    <w:p>
      <w:pPr>
        <w:jc w:val="both"/>
      </w:pPr>
      <w:r>
        <w:t>需求编号：DQ-N-EQ-0001。质量维度：完整性。对应规则：DQ-R-EQ-CP-0001。</w:t>
      </w:r>
    </w:p>
    <w:p>
      <w:pPr>
        <w:jc w:val="both"/>
      </w:pPr>
      <w:r>
        <w:t>关键设备应具备设备身份、型号、位置、部件层级和必要测点关系，故障与维修应关联事件时间、对象、现象、处理及必要验证记录。</w:t>
      </w:r>
    </w:p>
    <w:p>
      <w:pPr>
        <w:jc w:val="both"/>
      </w:pPr>
      <w:r>
        <w:t>无故障设备不要求虚构故障记录；预防维护与故障维修具有不同触发原因，分别按适用要求检查。</w:t>
      </w:r>
    </w:p>
    <w:p>
      <w:pPr>
        <w:jc w:val="both"/>
      </w:pPr>
      <w:r>
        <w:t>以纳入管理的设备和维修事件为总体，核对必需属性及部件、测点、故障和维修关系；按设备类型区分所需记录，不只检查台账字段是否非空。</w:t>
      </w:r>
    </w:p>
    <w:p>
      <w:pPr>
        <w:pStyle w:val="Heading3"/>
      </w:pPr>
      <w:r>
        <w:t>2.8.2 测点及故障判定准确</w:t>
      </w:r>
    </w:p>
    <w:p>
      <w:pPr>
        <w:jc w:val="both"/>
      </w:pPr>
      <w:r>
        <w:t>需求编号：DQ-N-EQ-0002。质量维度：准确性。对应规则：DQ-R-EQ-AC-0001。</w:t>
      </w:r>
    </w:p>
    <w:p>
      <w:pPr>
        <w:jc w:val="both"/>
      </w:pPr>
      <w:r>
        <w:t>测点数据应对应正确设备部位、物理量和单位，故障类型与维修结论具有可核实依据。模型预警与实际确认故障分别登记，不能直接互相替代。</w:t>
      </w:r>
    </w:p>
    <w:p>
      <w:pPr>
        <w:jc w:val="both"/>
      </w:pPr>
      <w:r>
        <w:t>一个预警可能无实际故障，一个故障也可能有多个症状；不强制所有预警均配对故障标签形成虚假监督数据。</w:t>
      </w:r>
    </w:p>
    <w:p>
      <w:pPr>
        <w:jc w:val="both"/>
      </w:pPr>
      <w:r>
        <w:t>核验测点配置、安装位置、校准及转换规则，对重要故障结合维修发现和专业意见复核；区分原始观测、推断原因和最终确认。</w:t>
      </w:r>
    </w:p>
    <w:p>
      <w:pPr>
        <w:pStyle w:val="Heading3"/>
      </w:pPr>
      <w:r>
        <w:t>2.8.3 设备状态与维修事件一致</w:t>
      </w:r>
    </w:p>
    <w:p>
      <w:pPr>
        <w:jc w:val="both"/>
      </w:pPr>
      <w:r>
        <w:t>需求编号：DQ-N-EQ-0003。质量维度：一致性。对应规则：DQ-R-EQ-CS-0001。</w:t>
      </w:r>
    </w:p>
    <w:p>
      <w:pPr>
        <w:jc w:val="both"/>
      </w:pPr>
      <w:r>
        <w:t>生产运行、设备台账、维护工单和采集数据在同一时点下可解释关联。停机、检修、备用和故障状态具有明确含义，设备更换与部件替换保留实际关系。</w:t>
      </w:r>
    </w:p>
    <w:p>
      <w:pPr>
        <w:jc w:val="both"/>
      </w:pPr>
      <w:r>
        <w:t>停机但仍有辅助信号、检修试运行和多状态并存按实际设备逻辑处理，不仅按信号非零认定正常生产。</w:t>
      </w:r>
    </w:p>
    <w:p>
      <w:pPr>
        <w:jc w:val="both"/>
      </w:pPr>
      <w:r>
        <w:t>对齐设备身份、部件和事件窗口，核查状态变更与维修活动、运行信号的关系；对矛盾状态和时间重叠进行专业确认。</w:t>
      </w:r>
    </w:p>
    <w:p>
      <w:pPr>
        <w:pStyle w:val="Heading3"/>
      </w:pPr>
      <w:r>
        <w:t>2.8.4 设备身份与事件记录唯一</w:t>
      </w:r>
    </w:p>
    <w:p>
      <w:pPr>
        <w:jc w:val="both"/>
      </w:pPr>
      <w:r>
        <w:t>需求编号：DQ-N-EQ-0004。质量维度：唯一性。对应规则：DQ-R-EQ-UQ-0001。</w:t>
      </w:r>
    </w:p>
    <w:p>
      <w:pPr>
        <w:jc w:val="both"/>
      </w:pPr>
      <w:r>
        <w:t>设备主标识在其管理范围内稳定唯一，部件更换不导致不同实物混为同一对象。故障和维修事件具有独立标识，多个告警可关联同一实际事件。</w:t>
      </w:r>
    </w:p>
    <w:p>
      <w:pPr>
        <w:jc w:val="both"/>
      </w:pPr>
      <w:r>
        <w:t>同型号设备不可按型号合并；拆装转移保留同一实物身份，替换新部件应建立新的实物或安装实例。</w:t>
      </w:r>
    </w:p>
    <w:p>
      <w:pPr>
        <w:jc w:val="both"/>
      </w:pPr>
      <w:r>
        <w:t>检查设备身份冲突、序列号复用和事件重复，结合设备层级及安装期间核查；告警聚合保留原告警明细和关联依据。</w:t>
      </w:r>
    </w:p>
    <w:p>
      <w:pPr>
        <w:pStyle w:val="Heading3"/>
      </w:pPr>
      <w:r>
        <w:t>2.8.5 设备状态与维护反馈及时</w:t>
      </w:r>
    </w:p>
    <w:p>
      <w:pPr>
        <w:jc w:val="both"/>
      </w:pPr>
      <w:r>
        <w:t>需求编号：DQ-N-EQ-0005。质量维度：及时性。对应规则：DQ-R-EQ-TM-0001。</w:t>
      </w:r>
    </w:p>
    <w:p>
      <w:pPr>
        <w:jc w:val="both"/>
      </w:pPr>
      <w:r>
        <w:t>故障、维修完成、部件更换和测点变化按业务时限更新，使维护计划和状态分析能够使用有效信息。紧急事件优先反馈其事实与限制条件。</w:t>
      </w:r>
    </w:p>
    <w:p>
      <w:pPr>
        <w:jc w:val="both"/>
      </w:pPr>
      <w:r>
        <w:t>长期停用设备可以降低采集频率但需明确停用依据；数据中断不能被解释为设备稳定健康。</w:t>
      </w:r>
    </w:p>
    <w:p>
      <w:pPr>
        <w:jc w:val="both"/>
      </w:pPr>
      <w:r>
        <w:t>以实际事件和批准记录的时间核查登记及同步延迟，监测采集心跳和设备身份配置更新；区分无变化与数据断流。</w:t>
      </w:r>
    </w:p>
    <w:p>
      <w:pPr>
        <w:pStyle w:val="Heading3"/>
      </w:pPr>
      <w:r>
        <w:t>2.8.6 设备参数与维护状态有效</w:t>
      </w:r>
    </w:p>
    <w:p>
      <w:pPr>
        <w:jc w:val="both"/>
      </w:pPr>
      <w:r>
        <w:t>需求编号：DQ-N-EQ-0006。质量维度：有效性。对应规则：DQ-R-EQ-VA-0001。</w:t>
      </w:r>
    </w:p>
    <w:p>
      <w:pPr>
        <w:jc w:val="both"/>
      </w:pPr>
      <w:r>
        <w:t>设备参数、测点单位、量程及维护状态符合对应设备和部件的有效规范，安全限制条件与授权维护流程一致。</w:t>
      </w:r>
    </w:p>
    <w:p>
      <w:pPr>
        <w:jc w:val="both"/>
      </w:pPr>
      <w:r>
        <w:t>校准、试车和停机阶段有不同合法范围，不能采用运行阶段阈值统一判断；未知设备型号不得套用相邻型号配置。</w:t>
      </w:r>
    </w:p>
    <w:p>
      <w:pPr>
        <w:jc w:val="both"/>
      </w:pPr>
      <w:r>
        <w:t>校验测点物理量、量程、时间顺序及维护状态迁移，按设备类型和运行阶段检查可接受条件；传感器越量程与实际设备异常分别分类。</w:t>
      </w:r>
    </w:p>
    <w:p>
      <w:pPr>
        <w:pStyle w:val="Heading2"/>
      </w:pPr>
      <w:r>
        <w:t>2.9 采购管理质量需求</w:t>
      </w:r>
    </w:p>
    <w:p>
      <w:pPr>
        <w:jc w:val="both"/>
      </w:pPr>
      <w:r>
        <w:t>采购管理的检查对象包括供应商、合同、采购订单、到货及质量证明，由采购责任岗位会同收货、质量和财务岗位确认业务条件和结果。各项需求在实际来源系统落实字段、关系和版本，责任不因数据复制到治理平台而转移。</w:t>
      </w:r>
    </w:p>
    <w:p>
      <w:pPr>
        <w:pStyle w:val="Heading3"/>
      </w:pPr>
      <w:r>
        <w:t>2.9.1 采购履约与到货资料完整</w:t>
      </w:r>
    </w:p>
    <w:p>
      <w:pPr>
        <w:jc w:val="both"/>
      </w:pPr>
      <w:r>
        <w:t>需求编号：DQ-N-PC-0001。质量维度：完整性。对应规则：DQ-R-PC-CP-0001。</w:t>
      </w:r>
    </w:p>
    <w:p>
      <w:pPr>
        <w:jc w:val="both"/>
      </w:pPr>
      <w:r>
        <w:t>采购订单应关联供应商、物料、规格、数量、单位和适用合同要求，到货批次关联必要的收货、检验及质量证明。所需证明依据采购对象和合同确定。</w:t>
      </w:r>
    </w:p>
    <w:p>
      <w:pPr>
        <w:jc w:val="both"/>
      </w:pPr>
      <w:r>
        <w:t>服务采购与实物采购采用不同资料要求；无需特定材质证明的对象不机械要求同类附件。</w:t>
      </w:r>
    </w:p>
    <w:p>
      <w:pPr>
        <w:jc w:val="both"/>
      </w:pPr>
      <w:r>
        <w:t>从有效采购订单和实际到货出发核查关键属性、批次及证明引用，检查部分到货、分批检验和退货关系是否可追踪。</w:t>
      </w:r>
    </w:p>
    <w:p>
      <w:pPr>
        <w:pStyle w:val="Heading3"/>
      </w:pPr>
      <w:r>
        <w:t>2.9.2 采购条件与收货信息准确</w:t>
      </w:r>
    </w:p>
    <w:p>
      <w:pPr>
        <w:jc w:val="both"/>
      </w:pPr>
      <w:r>
        <w:t>需求编号：DQ-N-PC-0002。质量维度：准确性。对应规则：DQ-R-PC-AC-0001。</w:t>
      </w:r>
    </w:p>
    <w:p>
      <w:pPr>
        <w:jc w:val="both"/>
      </w:pPr>
      <w:r>
        <w:t>物料规格、采购数量、价格、交付条件及收货数量与有效合同、变更和实际收货事实相符，录入或解析结果可回查原凭据。</w:t>
      </w:r>
    </w:p>
    <w:p>
      <w:pPr>
        <w:jc w:val="both"/>
      </w:pPr>
      <w:r>
        <w:t>订单变更、价格调整和允许数量偏差按有效约定处理，不能将原始合同值永久作为唯一正确值。</w:t>
      </w:r>
    </w:p>
    <w:p>
      <w:pPr>
        <w:jc w:val="both"/>
      </w:pPr>
      <w:r>
        <w:t>核对关键合同条款与结构化字段，按实际单位及含税口径检查金额和数量；到货与承运、收货和检验记录有条件交叉核验。</w:t>
      </w:r>
    </w:p>
    <w:p>
      <w:pPr>
        <w:pStyle w:val="Heading3"/>
      </w:pPr>
      <w:r>
        <w:t>2.9.3 采购收货检验结算一致</w:t>
      </w:r>
    </w:p>
    <w:p>
      <w:pPr>
        <w:jc w:val="both"/>
      </w:pPr>
      <w:r>
        <w:t>需求编号：DQ-N-PC-0003。质量维度：一致性。对应规则：DQ-R-PC-CS-0001。</w:t>
      </w:r>
    </w:p>
    <w:p>
      <w:pPr>
        <w:jc w:val="both"/>
      </w:pPr>
      <w:r>
        <w:t>采购、收货、检验、退货及结算之间建立符合实际履约过程的关系，在相同状态和时间范围下对账。合同量、到货量与合格量分别表达。</w:t>
      </w:r>
    </w:p>
    <w:p>
      <w:pPr>
        <w:jc w:val="both"/>
      </w:pPr>
      <w:r>
        <w:t>已到货未检验、部分合格和分次开票具有不同状态，不能强制所有数量即时相等。</w:t>
      </w:r>
    </w:p>
    <w:p>
      <w:pPr>
        <w:jc w:val="both"/>
      </w:pPr>
      <w:r>
        <w:t>按采购单行和到货批次建立关系，核查累计到货、退货、检验放行及结算引用；差异区分时间差、合法分批和实际错误。</w:t>
      </w:r>
    </w:p>
    <w:p>
      <w:pPr>
        <w:pStyle w:val="Heading3"/>
      </w:pPr>
      <w:r>
        <w:t>2.9.4 供应商身份与采购事件唯一</w:t>
      </w:r>
    </w:p>
    <w:p>
      <w:pPr>
        <w:jc w:val="both"/>
      </w:pPr>
      <w:r>
        <w:t>需求编号：DQ-N-PC-0004。质量维度：唯一性。对应规则：DQ-R-PC-UQ-0001。</w:t>
      </w:r>
    </w:p>
    <w:p>
      <w:pPr>
        <w:jc w:val="both"/>
      </w:pPr>
      <w:r>
        <w:t>同一合法供应主体应能通过稳定主标识识别，分支机构和结算主体按实际法律与业务关系区分。采购、收货和退货事件不因接口重试重复登记。</w:t>
      </w:r>
    </w:p>
    <w:p>
      <w:pPr>
        <w:jc w:val="both"/>
      </w:pPr>
      <w:r>
        <w:t>供应商更名、合并及主体变更保留历史关系，不能把不同法律主体因简称相同直接合并。</w:t>
      </w:r>
    </w:p>
    <w:p>
      <w:pPr>
        <w:jc w:val="both"/>
      </w:pPr>
      <w:r>
        <w:t>按经确认的主体识别键核查供应商重复，再按单据行及事件版本检查幂等；名称相似或联系方式相同仅作为疑似重复线索。</w:t>
      </w:r>
    </w:p>
    <w:p>
      <w:pPr>
        <w:pStyle w:val="Heading3"/>
      </w:pPr>
      <w:r>
        <w:t>2.9.5 履约变化与到货异常及时反馈</w:t>
      </w:r>
    </w:p>
    <w:p>
      <w:pPr>
        <w:jc w:val="both"/>
      </w:pPr>
      <w:r>
        <w:t>需求编号：DQ-N-PC-0005。质量维度：及时性。对应规则：DQ-R-PC-TM-0001。</w:t>
      </w:r>
    </w:p>
    <w:p>
      <w:pPr>
        <w:jc w:val="both"/>
      </w:pPr>
      <w:r>
        <w:t>订单变更、延期、到货、退货和质量异常按业务规定时限传递给计划、仓储及财务等使用岗位，关键供货风险能够及时影响供需判断。</w:t>
      </w:r>
    </w:p>
    <w:p>
      <w:pPr>
        <w:jc w:val="both"/>
      </w:pPr>
      <w:r>
        <w:t>供应商承诺日期与实际到货日期分别管理，预计日期变化不等同于履约事实改变。</w:t>
      </w:r>
    </w:p>
    <w:p>
      <w:pPr>
        <w:jc w:val="both"/>
      </w:pPr>
      <w:r>
        <w:t>比较实际发生、业务确认及各使用方接收时间，分解源端处理和传递延迟；延期承诺保留原约定和后续修订，不覆盖原到期记录。</w:t>
      </w:r>
    </w:p>
    <w:p>
      <w:pPr>
        <w:pStyle w:val="Heading3"/>
      </w:pPr>
      <w:r>
        <w:t>2.9.6 供应商及采购状态有效</w:t>
      </w:r>
    </w:p>
    <w:p>
      <w:pPr>
        <w:jc w:val="both"/>
      </w:pPr>
      <w:r>
        <w:t>需求编号：DQ-N-PC-0006。质量维度：有效性。对应规则：DQ-R-PC-VA-0001。</w:t>
      </w:r>
    </w:p>
    <w:p>
      <w:pPr>
        <w:jc w:val="both"/>
      </w:pPr>
      <w:r>
        <w:t>供应商资质和准入状态、采购对象代码、合同有效范围及业务状态转换符合适用制度。资质有效需覆盖实际采购品类和业务期间。</w:t>
      </w:r>
    </w:p>
    <w:p>
      <w:pPr>
        <w:jc w:val="both"/>
      </w:pPr>
      <w:r>
        <w:t>历史采购按当时有效资格判断，当前停用不自动否定历史事实；临时特批需具备有权批准及限定范围。</w:t>
      </w:r>
    </w:p>
    <w:p>
      <w:pPr>
        <w:jc w:val="both"/>
      </w:pPr>
      <w:r>
        <w:t>校验主体、资质有效期、品类范围、物料代码、单位及订单状态，识别失效资质、无效引用和不允许的状态跳转。</w:t>
      </w:r>
    </w:p>
    <w:p>
      <w:pPr>
        <w:pStyle w:val="Heading2"/>
      </w:pPr>
      <w:r>
        <w:t>2.10 营销管理质量需求</w:t>
      </w:r>
    </w:p>
    <w:p>
      <w:pPr>
        <w:jc w:val="both"/>
      </w:pPr>
      <w:r>
        <w:t>营销管理的检查对象包括客户、产品配置、销售合同、交付与服务反馈，由营销责任岗位会同产品、交付和售后服务岗位确认业务条件和结果。各项需求在实际来源系统落实字段、关系和版本，责任不因数据复制到治理平台而转移。</w:t>
      </w:r>
    </w:p>
    <w:p>
      <w:pPr>
        <w:pStyle w:val="Heading3"/>
      </w:pPr>
      <w:r>
        <w:t>2.10.1 客户合同与交付要求完整</w:t>
      </w:r>
    </w:p>
    <w:p>
      <w:pPr>
        <w:jc w:val="both"/>
      </w:pPr>
      <w:r>
        <w:t>需求编号：DQ-N-MK-0001。质量维度：完整性。对应规则：DQ-R-MK-CP-0001。</w:t>
      </w:r>
    </w:p>
    <w:p>
      <w:pPr>
        <w:jc w:val="both"/>
      </w:pPr>
      <w:r>
        <w:t>销售合同及订单应关联实际客户主体、产品配置、数量、交付条件和关键技术要求，交付与售后反馈能够追溯到具体产品或批次。</w:t>
      </w:r>
    </w:p>
    <w:p>
      <w:pPr>
        <w:jc w:val="both"/>
      </w:pPr>
      <w:r>
        <w:t>意向客户和正式签约客户按阶段适用不同必需项；尚未形成实物的机会记录不要求设备序列号。</w:t>
      </w:r>
    </w:p>
    <w:p>
      <w:pPr>
        <w:jc w:val="both"/>
      </w:pPr>
      <w:r>
        <w:t>按合同和交付对象核对必要属性、技术附件及配置关系，检查售后问题的产品、时间和服务对象关联，区分业务资料缺失与接口未传。</w:t>
      </w:r>
    </w:p>
    <w:p>
      <w:pPr>
        <w:pStyle w:val="Heading3"/>
      </w:pPr>
      <w:r>
        <w:t>2.10.2 客户需求与产品配置准确</w:t>
      </w:r>
    </w:p>
    <w:p>
      <w:pPr>
        <w:jc w:val="both"/>
      </w:pPr>
      <w:r>
        <w:t>需求编号：DQ-N-MK-0002。质量维度：准确性。对应规则：DQ-R-MK-AC-0001。</w:t>
      </w:r>
    </w:p>
    <w:p>
      <w:pPr>
        <w:jc w:val="both"/>
      </w:pPr>
      <w:r>
        <w:t>客户需求、使用条件和所选配置应与有效合同、技术协议及确认记录相符。产品选型依据可追溯，营销摘要不能擅自改变已确认技术边界。</w:t>
      </w:r>
    </w:p>
    <w:p>
      <w:pPr>
        <w:jc w:val="both"/>
      </w:pPr>
      <w:r>
        <w:t>客户口头意向、正式技术确认和后续变更分别管理，不能混用状态；不同现场条件不能套用同一默认配置。</w:t>
      </w:r>
    </w:p>
    <w:p>
      <w:pPr>
        <w:jc w:val="both"/>
      </w:pPr>
      <w:r>
        <w:t>对关键环境、能力、接口和配置参数核对原始协议与确认记录，由专业岗位检查解析和转换结果；销售金额按币种及合同口径校验。</w:t>
      </w:r>
    </w:p>
    <w:p>
      <w:pPr>
        <w:pStyle w:val="Heading3"/>
      </w:pPr>
      <w:r>
        <w:t>2.10.3 合同配置与交付反馈一致</w:t>
      </w:r>
    </w:p>
    <w:p>
      <w:pPr>
        <w:jc w:val="both"/>
      </w:pPr>
      <w:r>
        <w:t>需求编号：DQ-N-MK-0003。质量维度：一致性。对应规则：DQ-R-MK-CS-0001。</w:t>
      </w:r>
    </w:p>
    <w:p>
      <w:pPr>
        <w:jc w:val="both"/>
      </w:pPr>
      <w:r>
        <w:t>销售合同、产品设计配置、实际交付及售后反馈在同一产品和有效变更范围下对应，技术变更与客户确认关系明确。</w:t>
      </w:r>
    </w:p>
    <w:p>
      <w:pPr>
        <w:jc w:val="both"/>
      </w:pPr>
      <w:r>
        <w:t>合同可分批交付，同型号可有不同客户配置；型号相同不能作为配置一致的充分依据。</w:t>
      </w:r>
    </w:p>
    <w:p>
      <w:pPr>
        <w:jc w:val="both"/>
      </w:pPr>
      <w:r>
        <w:t>以合同、订单、产品实例及配置基线贯通记录，核查交付配置和服务对象；对差异区分合法变更、替代供货和错误关联。</w:t>
      </w:r>
    </w:p>
    <w:p>
      <w:pPr>
        <w:pStyle w:val="Heading3"/>
      </w:pPr>
      <w:r>
        <w:t>2.10.4 客户与销售业务记录唯一</w:t>
      </w:r>
    </w:p>
    <w:p>
      <w:pPr>
        <w:jc w:val="both"/>
      </w:pPr>
      <w:r>
        <w:t>需求编号：DQ-N-MK-0004。质量维度：唯一性。对应规则：DQ-R-MK-UQ-0001。</w:t>
      </w:r>
    </w:p>
    <w:p>
      <w:pPr>
        <w:jc w:val="both"/>
      </w:pPr>
      <w:r>
        <w:t>客户主标识区分合法主体、分支机构和服务站点，合同与订单记录按正式标识和版本唯一。业务机会转为合同后保持关联而非简单重复删除。</w:t>
      </w:r>
    </w:p>
    <w:p>
      <w:pPr>
        <w:jc w:val="both"/>
      </w:pPr>
      <w:r>
        <w:t>集团客户和下属单位具有不同业务身份时分别保留，多个项目使用相似合同名称不应自动合并。</w:t>
      </w:r>
    </w:p>
    <w:p>
      <w:pPr>
        <w:jc w:val="both"/>
      </w:pPr>
      <w:r>
        <w:t>核验客户主体识别键与层级，检查合同订单复合键及接口幂等；对同名、简称和多渠道引入客户进行人工识别。</w:t>
      </w:r>
    </w:p>
    <w:p>
      <w:pPr>
        <w:pStyle w:val="Heading3"/>
      </w:pPr>
      <w:r>
        <w:t>2.10.5 合同变化与客户反馈及时传递</w:t>
      </w:r>
    </w:p>
    <w:p>
      <w:pPr>
        <w:jc w:val="both"/>
      </w:pPr>
      <w:r>
        <w:t>需求编号：DQ-N-MK-0005。质量维度：及时性。对应规则：DQ-R-MK-TM-0001。</w:t>
      </w:r>
    </w:p>
    <w:p>
      <w:pPr>
        <w:jc w:val="both"/>
      </w:pPr>
      <w:r>
        <w:t>合同变更、配置确认、交付状态及客户质量反馈按业务时限进入相应责任流程，使供需计划、制造和服务使用有效信息。</w:t>
      </w:r>
    </w:p>
    <w:p>
      <w:pPr>
        <w:jc w:val="both"/>
      </w:pPr>
      <w:r>
        <w:t>客户提出时间与企业接收时间可能不同，应保留证据；尚未确认的反馈先登记，不因等待最终结论而延迟上报事实。</w:t>
      </w:r>
    </w:p>
    <w:p>
      <w:pPr>
        <w:jc w:val="both"/>
      </w:pPr>
      <w:r>
        <w:t>记录反馈接收、业务确认、分派和目标系统到达时间，检查关键变更在执行前是否被接收；逾期事项按原期限及调整期限分别统计。</w:t>
      </w:r>
    </w:p>
    <w:p>
      <w:pPr>
        <w:pStyle w:val="Heading3"/>
      </w:pPr>
      <w:r>
        <w:t>2.10.6 产品选型与合同状态有效</w:t>
      </w:r>
    </w:p>
    <w:p>
      <w:pPr>
        <w:jc w:val="both"/>
      </w:pPr>
      <w:r>
        <w:t>需求编号：DQ-N-MK-0006。质量维度：有效性。对应规则：DQ-R-MK-VA-0001。</w:t>
      </w:r>
    </w:p>
    <w:p>
      <w:pPr>
        <w:jc w:val="both"/>
      </w:pPr>
      <w:r>
        <w:t>产品配置和使用条件满足经确认的适用边界，合同状态、客户类别和交付状态符合有效规则；未批准的信息不能作为正式交付依据。</w:t>
      </w:r>
    </w:p>
    <w:p>
      <w:pPr>
        <w:jc w:val="both"/>
      </w:pPr>
      <w:r>
        <w:t>产品能力受工作条件和配置影响，不能以单一目录参数保证所有现场适用；合法定制方案以批准技术条件为依据。</w:t>
      </w:r>
    </w:p>
    <w:p>
      <w:pPr>
        <w:jc w:val="both"/>
      </w:pPr>
      <w:r>
        <w:t>校验配置组合、关键性能约束、代码集与状态迁移，将超出已确认能力或适用条件的组合提交专业核验并限制自动推荐。</w:t>
      </w:r>
    </w:p>
    <w:p>
      <w:pPr>
        <w:pStyle w:val="Heading2"/>
      </w:pPr>
      <w:r>
        <w:t>2.11 质量管理质量需求</w:t>
      </w:r>
    </w:p>
    <w:p>
      <w:pPr>
        <w:jc w:val="both"/>
      </w:pPr>
      <w:r>
        <w:t>质量管理的检查对象包括检验任务、检测结果、判定标准及不合格处置，由质量管理岗位会同检验、试验、工艺和生产岗位确认业务条件和结果。各项需求在实际来源系统落实字段、关系和版本，责任不因数据复制到治理平台而转移。</w:t>
      </w:r>
    </w:p>
    <w:p>
      <w:pPr>
        <w:pStyle w:val="Heading3"/>
      </w:pPr>
      <w:r>
        <w:t>2.11.1 检验过程与处置记录完整</w:t>
      </w:r>
    </w:p>
    <w:p>
      <w:pPr>
        <w:jc w:val="both"/>
      </w:pPr>
      <w:r>
        <w:t>需求编号：DQ-N-QA-0001。质量维度：完整性。对应规则：DQ-R-QA-CP-0001。</w:t>
      </w:r>
    </w:p>
    <w:p>
      <w:pPr>
        <w:jc w:val="both"/>
      </w:pPr>
      <w:r>
        <w:t>应实施的检验项目应关联对象、批次、方法、依据、实测值或观察结果、判定和必要签署；不合格处置记录包含责任、措施及复检结果。</w:t>
      </w:r>
    </w:p>
    <w:p>
      <w:pPr>
        <w:jc w:val="both"/>
      </w:pPr>
      <w:r>
        <w:t>免检、抽检和全检按有效制度区分，未经批准不能以无记录认定免检；未发生不合格不要求虚构处置记录。</w:t>
      </w:r>
    </w:p>
    <w:p>
      <w:pPr>
        <w:jc w:val="both"/>
      </w:pPr>
      <w:r>
        <w:t>根据适用检验计划生成应检项目集合，核对实际记录及附件，区分漏检、漏记、缺失依据和处置未闭环；抽检按批准方案确定应检对象。</w:t>
      </w:r>
    </w:p>
    <w:p>
      <w:pPr>
        <w:pStyle w:val="Heading3"/>
      </w:pPr>
      <w:r>
        <w:t>2.11.2 实测结果与质量判定准确</w:t>
      </w:r>
    </w:p>
    <w:p>
      <w:pPr>
        <w:jc w:val="both"/>
      </w:pPr>
      <w:r>
        <w:t>需求编号：DQ-N-QA-0002。质量维度：准确性。对应规则：DQ-R-QA-AC-0001。</w:t>
      </w:r>
    </w:p>
    <w:p>
      <w:pPr>
        <w:jc w:val="both"/>
      </w:pPr>
      <w:r>
        <w:t>检验实测值、单位、测量条件及判定结论应与原始记录和适用标准相符，测量设备与方法满足该检验项目要求。</w:t>
      </w:r>
    </w:p>
    <w:p>
      <w:pPr>
        <w:jc w:val="both"/>
      </w:pPr>
      <w:r>
        <w:t>测量不确定度、复测规则和允许判定方式按适用规范执行，不能自设容差把不合格改为合格。</w:t>
      </w:r>
    </w:p>
    <w:p>
      <w:pPr>
        <w:jc w:val="both"/>
      </w:pPr>
      <w:r>
        <w:t>核对原始测量记录、仪器信息及标准限值，重算关键判定并专业复核边界结果；识别单位误转、符号误读及结论与数值不符。</w:t>
      </w:r>
    </w:p>
    <w:p>
      <w:pPr>
        <w:pStyle w:val="Heading3"/>
      </w:pPr>
      <w:r>
        <w:t>2.11.3 检验依据与实物版本一致</w:t>
      </w:r>
    </w:p>
    <w:p>
      <w:pPr>
        <w:jc w:val="both"/>
      </w:pPr>
      <w:r>
        <w:t>需求编号：DQ-N-QA-0003。质量维度：一致性。对应规则：DQ-R-QA-CS-0001。</w:t>
      </w:r>
    </w:p>
    <w:p>
      <w:pPr>
        <w:jc w:val="both"/>
      </w:pPr>
      <w:r>
        <w:t>检验对象的材料、规格、工艺及设计版本与所用标准和检验方法相匹配，检验、放行与不合格处置状态在同一业务时点可解释一致。</w:t>
      </w:r>
    </w:p>
    <w:p>
      <w:pPr>
        <w:jc w:val="both"/>
      </w:pPr>
      <w:r>
        <w:t>复检可以形成不同轮次结果，最终状态依据有效处置流程确定，不直接覆盖初检事实。</w:t>
      </w:r>
    </w:p>
    <w:p>
      <w:pPr>
        <w:jc w:val="both"/>
      </w:pPr>
      <w:r>
        <w:t>按产品或批次定位适用图纸、标准和检验计划，核对实测项目及判定规则；检查不合格未处置却显示可放行等矛盾状态。</w:t>
      </w:r>
    </w:p>
    <w:p>
      <w:pPr>
        <w:pStyle w:val="Heading3"/>
      </w:pPr>
      <w:r>
        <w:t>2.11.4 检验记录与不合格事件唯一</w:t>
      </w:r>
    </w:p>
    <w:p>
      <w:pPr>
        <w:jc w:val="both"/>
      </w:pPr>
      <w:r>
        <w:t>需求编号：DQ-N-QA-0004。质量维度：唯一性。对应规则：DQ-R-QA-UQ-0001。</w:t>
      </w:r>
    </w:p>
    <w:p>
      <w:pPr>
        <w:jc w:val="both"/>
      </w:pPr>
      <w:r>
        <w:t>同一检验任务、对象、项目、轮次和测量序次形成明确记录身份，不因重复导入扩大样本量。不同复检轮次和多次合法测量分别保留。</w:t>
      </w:r>
    </w:p>
    <w:p>
      <w:pPr>
        <w:jc w:val="both"/>
      </w:pPr>
      <w:r>
        <w:t>复测值相同并不代表重复，需结合序次及测量事实；一个批次多个缺陷可以分别存在，不按批次键强行去重。</w:t>
      </w:r>
    </w:p>
    <w:p>
      <w:pPr>
        <w:jc w:val="both"/>
      </w:pPr>
      <w:r>
        <w:t>按检验复合键和源记录标识检查重复与冲突版本，识别一个不合格事件被多次登记但未关联的情况，保留其多来源证据。</w:t>
      </w:r>
    </w:p>
    <w:p>
      <w:pPr>
        <w:pStyle w:val="Heading3"/>
      </w:pPr>
      <w:r>
        <w:t>2.11.5 检验结果与质量限制及时生效</w:t>
      </w:r>
    </w:p>
    <w:p>
      <w:pPr>
        <w:jc w:val="both"/>
      </w:pPr>
      <w:r>
        <w:t>需求编号：DQ-N-QA-0005。质量维度：及时性。对应规则：DQ-R-QA-TM-0001。</w:t>
      </w:r>
    </w:p>
    <w:p>
      <w:pPr>
        <w:jc w:val="both"/>
      </w:pPr>
      <w:r>
        <w:t>检验结论、不合格限制、复检和解除限制及时传递到生产、仓储及交付岗位。关键放行前必须取得有效质量状态，不能用事后补传替代。</w:t>
      </w:r>
    </w:p>
    <w:p>
      <w:pPr>
        <w:jc w:val="both"/>
      </w:pPr>
      <w:r>
        <w:t>检验实际完成与报告签发是不同事件，应按业务规则确定可用条件；时钟异常需先核实，不凭表面时间直接归责。</w:t>
      </w:r>
    </w:p>
    <w:p>
      <w:pPr>
        <w:jc w:val="both"/>
      </w:pPr>
      <w:r>
        <w:t>对比检验完成、结论确认、限制生效及使用方接收时间，核查放行事件与有效结论顺序；同步失败时保持相应限制并登记原因。</w:t>
      </w:r>
    </w:p>
    <w:p>
      <w:pPr>
        <w:pStyle w:val="Heading3"/>
      </w:pPr>
      <w:r>
        <w:t>2.11.6 检验项目标准与结论有效</w:t>
      </w:r>
    </w:p>
    <w:p>
      <w:pPr>
        <w:jc w:val="both"/>
      </w:pPr>
      <w:r>
        <w:t>需求编号：DQ-N-QA-0006。质量维度：有效性。对应规则：DQ-R-QA-VA-0001。</w:t>
      </w:r>
    </w:p>
    <w:p>
      <w:pPr>
        <w:jc w:val="both"/>
      </w:pPr>
      <w:r>
        <w:t>检验项目、方法、限值、计量单位及结论代码符合适用标准，量具和仪器在其实际使用期间满足所需条件。</w:t>
      </w:r>
    </w:p>
    <w:p>
      <w:pPr>
        <w:jc w:val="both"/>
      </w:pPr>
      <w:r>
        <w:t>旧版标准在限定历史对象上的合法适用保留依据；标准更新不能无条件追溯否定所有历史检验。</w:t>
      </w:r>
    </w:p>
    <w:p>
      <w:pPr>
        <w:jc w:val="both"/>
      </w:pPr>
      <w:r>
        <w:t>校验标准有效期、项目适用性、单位维度、仪器状态及判定代码，检查不允许的空结论、无依据放行和状态跳转。</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6" name="Picture 6"/>
            <wp:cNvGraphicFramePr>
              <a:graphicFrameLocks noChangeAspect="1"/>
            </wp:cNvGraphicFramePr>
            <a:graphic>
              <a:graphicData uri="http://schemas.openxmlformats.org/drawingml/2006/picture">
                <pic:pic>
                  <pic:nvPicPr>
                    <pic:cNvPr id="0" name="图6_供给检查.png"/>
                    <pic:cNvPicPr/>
                  </pic:nvPicPr>
                  <pic:blipFill>
                    <a:blip r:embed="rId16"/>
                    <a:stretch>
                      <a:fillRect/>
                    </a:stretch>
                  </pic:blipFill>
                  <pic:spPr>
                    <a:xfrm>
                      <a:off x="0" y="0"/>
                      <a:ext cx="6048000" cy="1942338"/>
                    </a:xfrm>
                    <a:prstGeom prst="rect"/>
                  </pic:spPr>
                </pic:pic>
              </a:graphicData>
            </a:graphic>
          </wp:inline>
        </w:drawing>
      </w:r>
    </w:p>
    <w:p>
      <w:pPr>
        <w:pStyle w:val="Caption"/>
        <w:jc w:val="center"/>
      </w:pPr>
      <w:r>
        <w:t>图2-3 数据供给质量检查</w:t>
      </w:r>
    </w:p>
    <w:p>
      <w:pPr>
        <w:pStyle w:val="Heading2"/>
      </w:pPr>
      <w:r>
        <w:t>2.12 共同质量需求与数据供给要求</w:t>
      </w:r>
    </w:p>
    <w:p>
      <w:pPr>
        <w:pStyle w:val="Heading3"/>
      </w:pPr>
      <w:r>
        <w:t>2.12.1 来源、关联与版本需求</w:t>
      </w:r>
    </w:p>
    <w:p>
      <w:pPr>
        <w:jc w:val="both"/>
      </w:pPr>
      <w:r>
        <w:t>DQ-N-CM-0001要求每批接入数据均可识别来源、授权、提取范围、业务时间和接入批次，原始对象与后继加工结果保持可追溯关系。检查对象包括文件、接口记录、数据库快照及流式窗口。来源不明、授权范围不清或业务时间缺失的对象分别登记问题，不能仅凭已经成功导入认定符合使用要求。</w:t>
      </w:r>
    </w:p>
    <w:p>
      <w:pPr>
        <w:jc w:val="both"/>
      </w:pPr>
      <w:r>
        <w:t>DQ-N-CM-0002要求十七套系统涉及的跨源对象按明确的标识、映射和生效期间关联。同一物料、设备、人员、组织、合同和产品实例存在多个来源键时，建立权威标识及历史映射。关联结果应解释匹配依据、置信状态和人工裁决，不以模糊匹配概率自动替代关键业务关系的确认。</w:t>
      </w:r>
    </w:p>
    <w:p>
      <w:pPr>
        <w:jc w:val="both"/>
      </w:pPr>
      <w:r>
        <w:t>DQ-N-CM-0003要求文档、代码集、参数、模型和规则版本与其适用对象同时记录。实际检查使用的版本可重现，过期规则有停用或替代关系。历史业务根据当时有效条件解释；需要按新标准重新评价时形成新的任务和结果，不覆盖历史有效记录。</w:t>
      </w:r>
    </w:p>
    <w:p>
      <w:pPr>
        <w:pStyle w:val="Heading3"/>
      </w:pPr>
      <w:r>
        <w:t>2.12.2 多模态、时间与安全需求</w:t>
      </w:r>
    </w:p>
    <w:p>
      <w:pPr>
        <w:jc w:val="both"/>
      </w:pPr>
      <w:r>
        <w:t>DQ-N-CM-0004要求文本、图像、时序和视频具有实际业务内容及可读取的载体，跨模态关系能够定位到同一对象、事件或明确任务。仅改变文件格式不增加有效模态；把数值表截图也不当然形成有独立信息价值的图像模态。模态关联失效、时间不对齐或对象不同的记录不能作为有效多模态组合统计。</w:t>
      </w:r>
    </w:p>
    <w:p>
      <w:pPr>
        <w:jc w:val="both"/>
      </w:pPr>
      <w:r>
        <w:t>DQ-N-CM-0005要求业务形成时间、源端登记时间、采集时间、加工时间和发布时间分别保存。近三年占比以实际发布日期向前倒推36个自然月的业务或资料形成时间认定。时间不明对象保留在有效记录总数分母中，不计入近三年分子；跨窗口对象按明确的业务粒度和时间认定规则处理，不以修改时间或导入时间替换业务形成时间。</w:t>
      </w:r>
    </w:p>
    <w:p>
      <w:pPr>
        <w:jc w:val="both"/>
      </w:pPr>
      <w:r>
        <w:t>DQ-N-CM-0006要求敏感信息、商业秘密、授权和来源权利与质量证据共同控制。数据分级采用L1公开、L2内部、L3重要、L4敏感、L5机密，使用限制延续至派生内容。质量检查只能在授权范围内读取必要字段，受控摘要不影响有权复核岗位取得充分依据。来源许可不满足目标用途时，该对象不进入受影响数据集和应用供给。</w:t>
      </w:r>
    </w:p>
    <w:p>
      <w:pPr>
        <w:pStyle w:val="Heading3"/>
      </w:pPr>
      <w:r>
        <w:t>2.12.3 数据集规模与用途需求</w:t>
      </w:r>
    </w:p>
    <w:p>
      <w:pPr>
        <w:jc w:val="both"/>
      </w:pPr>
      <w:r>
        <w:t>DQ-N-CM-0007要求供需计划、产品工艺设计、制造过程、产品质量四个领域分别满足四类用途的交付净量。预训练分别为276、70、105、164亿Tokens；指令微调分别为40、10、15、24万条；偏好对齐分别为3.2、0.8、1、1.6万组；基准评测分别为0.4、0.1、0.2、0.25万条。各项净量按质量检查和训练验证后的有效交付内容计算，不能用其他领域超额数量抵补，不合格剔除和去重损耗另行补足。</w:t>
      </w:r>
    </w:p>
    <w:p>
      <w:pPr>
        <w:jc w:val="both"/>
      </w:pPr>
      <w:r>
        <w:t>DQ-N-CM-0008要求项目覆盖文本、图像、时序、视频四种模态，每个领域具有不少于三种有效模态，多模态占比和近三年数据占比均不低于40%。预训练按有效语义记录、指令微调按完整任务、偏好对齐按完整组、基准评测按完整题目统计条数比例。不得以文件数、拆分片段数或Token数量替代条数比例分母，也不通过假定平均Token长度推算真实记录数。</w:t>
      </w:r>
    </w:p>
    <w:p>
      <w:pPr>
        <w:jc w:val="both"/>
      </w:pPr>
      <w:r>
        <w:t>DQ-N-CM-0009要求来源性质与加工方式分开登记，真实或合成来源与是否增强形成独立属性。预训练合成及增强来源内容合计不超过有效Tokens的20%，交集只计一次；指令微调整体合成来源不超过45%，真实数据充足任务不超过30%，推理和长尾任务不超过60%，同时服从整体45%上限；偏好对齐含合成回答及其派生内容的组计入合成来源组，占比不超过50%；基准评测合成占比为零，不用人为增强扩充题量。</w:t>
      </w:r>
    </w:p>
    <w:p>
      <w:pPr>
        <w:jc w:val="both"/>
      </w:pPr>
      <w:r>
        <w:t>DQ-N-CM-0010要求同源文档、相邻片段、同一设备事件、同一产品实例及其派生内容按实际来源家族管理，先隔离基准评测来源再开展加工。用途之间的相似内容与潜在泄漏应可追踪。真实的复杂和边界业务可以作为经核验的评测内容，已知错误、伪造证据或无法判断正确性的内容不得因“困难样本”名义进入有效基准。</w:t>
      </w:r>
    </w:p>
    <w:p>
      <w:pPr>
        <w:jc w:val="both"/>
      </w:pPr>
      <w:r>
        <w:t>DQ-N-CM-0011要求业务治理检查、生产质检、训练验证及正式评测绑定相同数据版本及用途范围。正式发布前逐项确认数量、质量、模态、时间、来源比例、文档、安全与权利限制。任何已知问题未达到相应用途的放行条件时维持限制，不能用总体得分掩盖硬性条件未满足。</w:t>
      </w:r>
    </w:p>
    <w:p>
      <w:pPr>
        <w:jc w:val="both"/>
      </w:pPr>
      <w:r>
        <w:t>DQ-N-CM-0012要求问题从源端到平台、数据集和应用验证的影响可追踪，整改范围包括已经生成的派生内容。产品选型、板材备料、库存优化、热处理、焊接、刮板输送机健康评估六个场景，以及制度、标准、标书、决策、合同五个场景的验证反馈，均能回到具体来源、规则、版本和责任。场景验证结果用于改进数据供给，不将本项质量工作扩大为额外智能场景系统建设。</w:t>
      </w:r>
    </w:p>
    <w:p>
      <w:pPr>
        <w:pStyle w:val="Heading2"/>
      </w:pPr>
      <w:r>
        <w:t>2.13 优先级、检查频率与实施依赖</w:t>
      </w:r>
    </w:p>
    <w:p>
      <w:pPr>
        <w:jc w:val="both"/>
      </w:pPr>
      <w:r>
        <w:t>需求实施优先处理涉及生产安全、敏感信息、关键业务身份、版本适用、正式交付硬性指标和大范围传播的事项。随后结合实际业务使用频度和影响安排常规质量控制。优先级用于资源安排，不用于永久免除低优先级需求；未实施项持续登记其风险、替代检查措施和计划完成条件。</w:t>
      </w:r>
    </w:p>
    <w:p>
      <w:pPr>
        <w:pStyle w:val="Caption"/>
        <w:keepNext/>
      </w:pPr>
      <w:r>
        <w:t>表2-2 优先级、检查频率与实施依赖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触发机会</w:t>
            </w:r>
          </w:p>
        </w:tc>
        <w:tc>
          <w:tcPr>
            <w:tcW w:type="dxa" w:w="3855"/>
            <w:vAlign w:val="center"/>
            <w:shd w:fill="EDF1F3"/>
          </w:tcPr>
          <w:p>
            <w:pPr>
              <w:keepNext/>
              <w:spacing w:line="320" w:lineRule="exact" w:after="0" w:before="0"/>
              <w:ind w:firstLine="0"/>
              <w:jc w:val="center"/>
            </w:pPr>
            <w:r>
              <w:rPr>
                <w:b/>
                <w:sz w:val="21"/>
              </w:rPr>
              <w:t>优先执行内容</w:t>
            </w:r>
          </w:p>
        </w:tc>
        <w:tc>
          <w:tcPr>
            <w:tcW w:type="dxa" w:w="3277"/>
            <w:vAlign w:val="center"/>
            <w:shd w:fill="EDF1F3"/>
          </w:tcPr>
          <w:p>
            <w:pPr>
              <w:keepNext/>
              <w:spacing w:line="320" w:lineRule="exact" w:after="0" w:before="0"/>
              <w:ind w:firstLine="0"/>
              <w:jc w:val="center"/>
            </w:pPr>
            <w:r>
              <w:rPr>
                <w:b/>
                <w:sz w:val="21"/>
              </w:rPr>
              <w:t>需要具备的输入</w:t>
            </w:r>
          </w:p>
        </w:tc>
      </w:tr>
      <w:tr>
        <w:trPr>
          <w:cantSplit/>
        </w:trPr>
        <w:tc>
          <w:tcPr>
            <w:tcW w:type="dxa" w:w="2506"/>
            <w:vAlign w:val="center"/>
          </w:tcPr>
          <w:p>
            <w:pPr>
              <w:keepNext w:val="0"/>
              <w:spacing w:line="320" w:lineRule="exact" w:after="0" w:before="0"/>
              <w:ind w:firstLine="0"/>
              <w:jc w:val="left"/>
            </w:pPr>
            <w:r>
              <w:rPr>
                <w:b w:val="0"/>
                <w:sz w:val="21"/>
              </w:rPr>
              <w:t>首次接入或历史迁移</w:t>
            </w:r>
          </w:p>
        </w:tc>
        <w:tc>
          <w:tcPr>
            <w:tcW w:type="dxa" w:w="3855"/>
            <w:vAlign w:val="center"/>
          </w:tcPr>
          <w:p>
            <w:pPr>
              <w:keepNext w:val="0"/>
              <w:spacing w:line="320" w:lineRule="exact" w:after="0" w:before="0"/>
              <w:ind w:firstLine="0"/>
              <w:jc w:val="left"/>
            </w:pPr>
            <w:r>
              <w:rPr>
                <w:b w:val="0"/>
                <w:sz w:val="21"/>
              </w:rPr>
              <w:t>来源、结构、关键字段、重复及关联基线</w:t>
            </w:r>
          </w:p>
        </w:tc>
        <w:tc>
          <w:tcPr>
            <w:tcW w:type="dxa" w:w="3277"/>
            <w:vAlign w:val="center"/>
          </w:tcPr>
          <w:p>
            <w:pPr>
              <w:keepNext w:val="0"/>
              <w:spacing w:line="320" w:lineRule="exact" w:after="0" w:before="0"/>
              <w:ind w:firstLine="0"/>
              <w:jc w:val="left"/>
            </w:pPr>
            <w:r>
              <w:rPr>
                <w:b w:val="0"/>
                <w:sz w:val="21"/>
              </w:rPr>
              <w:t>对象范围、字段定义、权威来源与原始快照</w:t>
            </w:r>
          </w:p>
        </w:tc>
      </w:tr>
      <w:tr>
        <w:trPr>
          <w:cantSplit/>
        </w:trPr>
        <w:tc>
          <w:tcPr>
            <w:tcW w:type="dxa" w:w="2506"/>
            <w:vAlign w:val="center"/>
          </w:tcPr>
          <w:p>
            <w:pPr>
              <w:keepNext w:val="0"/>
              <w:spacing w:line="320" w:lineRule="exact" w:after="0" w:before="0"/>
              <w:ind w:firstLine="0"/>
              <w:jc w:val="left"/>
            </w:pPr>
            <w:r>
              <w:rPr>
                <w:b w:val="0"/>
                <w:sz w:val="21"/>
              </w:rPr>
              <w:t>日常业务变化</w:t>
            </w:r>
          </w:p>
        </w:tc>
        <w:tc>
          <w:tcPr>
            <w:tcW w:type="dxa" w:w="3855"/>
            <w:vAlign w:val="center"/>
          </w:tcPr>
          <w:p>
            <w:pPr>
              <w:keepNext w:val="0"/>
              <w:spacing w:line="320" w:lineRule="exact" w:after="0" w:before="0"/>
              <w:ind w:firstLine="0"/>
              <w:jc w:val="left"/>
            </w:pPr>
            <w:r>
              <w:rPr>
                <w:b w:val="0"/>
                <w:sz w:val="21"/>
              </w:rPr>
              <w:t>必填、有效值、事件幂等、时效与关键状态</w:t>
            </w:r>
          </w:p>
        </w:tc>
        <w:tc>
          <w:tcPr>
            <w:tcW w:type="dxa" w:w="3277"/>
            <w:vAlign w:val="center"/>
          </w:tcPr>
          <w:p>
            <w:pPr>
              <w:keepNext w:val="0"/>
              <w:spacing w:line="320" w:lineRule="exact" w:after="0" w:before="0"/>
              <w:ind w:firstLine="0"/>
              <w:jc w:val="left"/>
            </w:pPr>
            <w:r>
              <w:rPr>
                <w:b w:val="0"/>
                <w:sz w:val="21"/>
              </w:rPr>
              <w:t>变化记录、事件时间、当前有效规则及参数</w:t>
            </w:r>
          </w:p>
        </w:tc>
      </w:tr>
      <w:tr>
        <w:trPr>
          <w:cantSplit/>
        </w:trPr>
        <w:tc>
          <w:tcPr>
            <w:tcW w:type="dxa" w:w="2506"/>
            <w:vAlign w:val="center"/>
          </w:tcPr>
          <w:p>
            <w:pPr>
              <w:keepNext w:val="0"/>
              <w:spacing w:line="320" w:lineRule="exact" w:after="0" w:before="0"/>
              <w:ind w:firstLine="0"/>
              <w:jc w:val="left"/>
            </w:pPr>
            <w:r>
              <w:rPr>
                <w:b w:val="0"/>
                <w:sz w:val="21"/>
              </w:rPr>
              <w:t>设计或工艺换版</w:t>
            </w:r>
          </w:p>
        </w:tc>
        <w:tc>
          <w:tcPr>
            <w:tcW w:type="dxa" w:w="3855"/>
            <w:vAlign w:val="center"/>
          </w:tcPr>
          <w:p>
            <w:pPr>
              <w:keepNext w:val="0"/>
              <w:spacing w:line="320" w:lineRule="exact" w:after="0" w:before="0"/>
              <w:ind w:firstLine="0"/>
              <w:jc w:val="left"/>
            </w:pPr>
            <w:r>
              <w:rPr>
                <w:b w:val="0"/>
                <w:sz w:val="21"/>
              </w:rPr>
              <w:t>适用范围、上下游引用及专业参数</w:t>
            </w:r>
          </w:p>
        </w:tc>
        <w:tc>
          <w:tcPr>
            <w:tcW w:type="dxa" w:w="3277"/>
            <w:vAlign w:val="center"/>
          </w:tcPr>
          <w:p>
            <w:pPr>
              <w:keepNext w:val="0"/>
              <w:spacing w:line="320" w:lineRule="exact" w:after="0" w:before="0"/>
              <w:ind w:firstLine="0"/>
              <w:jc w:val="left"/>
            </w:pPr>
            <w:r>
              <w:rPr>
                <w:b w:val="0"/>
                <w:sz w:val="21"/>
              </w:rPr>
              <w:t>批准版本、生效条件、变更关系及对象清单</w:t>
            </w:r>
          </w:p>
        </w:tc>
      </w:tr>
      <w:tr>
        <w:trPr>
          <w:cantSplit/>
        </w:trPr>
        <w:tc>
          <w:tcPr>
            <w:tcW w:type="dxa" w:w="2506"/>
            <w:vAlign w:val="center"/>
          </w:tcPr>
          <w:p>
            <w:pPr>
              <w:keepNext w:val="0"/>
              <w:spacing w:line="320" w:lineRule="exact" w:after="0" w:before="0"/>
              <w:ind w:firstLine="0"/>
              <w:jc w:val="left"/>
            </w:pPr>
            <w:r>
              <w:rPr>
                <w:b w:val="0"/>
                <w:sz w:val="21"/>
              </w:rPr>
              <w:t>月结、盘点或周期报告</w:t>
            </w:r>
          </w:p>
        </w:tc>
        <w:tc>
          <w:tcPr>
            <w:tcW w:type="dxa" w:w="3855"/>
            <w:vAlign w:val="center"/>
          </w:tcPr>
          <w:p>
            <w:pPr>
              <w:keepNext w:val="0"/>
              <w:spacing w:line="320" w:lineRule="exact" w:after="0" w:before="0"/>
              <w:ind w:firstLine="0"/>
              <w:jc w:val="left"/>
            </w:pPr>
            <w:r>
              <w:rPr>
                <w:b w:val="0"/>
                <w:sz w:val="21"/>
              </w:rPr>
              <w:t>时点对账、期间完整与差异分析</w:t>
            </w:r>
          </w:p>
        </w:tc>
        <w:tc>
          <w:tcPr>
            <w:tcW w:type="dxa" w:w="3277"/>
            <w:vAlign w:val="center"/>
          </w:tcPr>
          <w:p>
            <w:pPr>
              <w:keepNext w:val="0"/>
              <w:spacing w:line="320" w:lineRule="exact" w:after="0" w:before="0"/>
              <w:ind w:firstLine="0"/>
              <w:jc w:val="left"/>
            </w:pPr>
            <w:r>
              <w:rPr>
                <w:b w:val="0"/>
                <w:sz w:val="21"/>
              </w:rPr>
              <w:t>截止时点、状态范围、业务日历及凭据</w:t>
            </w:r>
          </w:p>
        </w:tc>
      </w:tr>
      <w:tr>
        <w:trPr>
          <w:cantSplit/>
        </w:trPr>
        <w:tc>
          <w:tcPr>
            <w:tcW w:type="dxa" w:w="2506"/>
            <w:vAlign w:val="center"/>
          </w:tcPr>
          <w:p>
            <w:pPr>
              <w:keepNext w:val="0"/>
              <w:spacing w:line="320" w:lineRule="exact" w:after="0" w:before="0"/>
              <w:ind w:firstLine="0"/>
              <w:jc w:val="left"/>
            </w:pPr>
            <w:r>
              <w:rPr>
                <w:b w:val="0"/>
                <w:sz w:val="21"/>
              </w:rPr>
              <w:t>数据集冻结与发布</w:t>
            </w:r>
          </w:p>
        </w:tc>
        <w:tc>
          <w:tcPr>
            <w:tcW w:type="dxa" w:w="3855"/>
            <w:vAlign w:val="center"/>
          </w:tcPr>
          <w:p>
            <w:pPr>
              <w:keepNext w:val="0"/>
              <w:spacing w:line="320" w:lineRule="exact" w:after="0" w:before="0"/>
              <w:ind w:firstLine="0"/>
              <w:jc w:val="left"/>
            </w:pPr>
            <w:r>
              <w:rPr>
                <w:b w:val="0"/>
                <w:sz w:val="21"/>
              </w:rPr>
              <w:t>净量、比例、泄漏、质量和权利</w:t>
            </w:r>
          </w:p>
        </w:tc>
        <w:tc>
          <w:tcPr>
            <w:tcW w:type="dxa" w:w="3277"/>
            <w:vAlign w:val="center"/>
          </w:tcPr>
          <w:p>
            <w:pPr>
              <w:keepNext w:val="0"/>
              <w:spacing w:line="320" w:lineRule="exact" w:after="0" w:before="0"/>
              <w:ind w:firstLine="0"/>
              <w:jc w:val="left"/>
            </w:pPr>
            <w:r>
              <w:rPr>
                <w:b w:val="0"/>
                <w:sz w:val="21"/>
              </w:rPr>
              <w:t>固定版本、完整清单、正式检查及评测证据</w:t>
            </w:r>
          </w:p>
        </w:tc>
      </w:tr>
      <w:tr>
        <w:trPr>
          <w:cantSplit/>
        </w:trPr>
        <w:tc>
          <w:tcPr>
            <w:tcW w:type="dxa" w:w="2506"/>
            <w:vAlign w:val="center"/>
          </w:tcPr>
          <w:p>
            <w:pPr>
              <w:keepNext w:val="0"/>
              <w:spacing w:line="320" w:lineRule="exact" w:after="0" w:before="0"/>
              <w:ind w:firstLine="0"/>
              <w:jc w:val="left"/>
            </w:pPr>
            <w:r>
              <w:rPr>
                <w:b w:val="0"/>
                <w:sz w:val="21"/>
              </w:rPr>
              <w:t>重大问题整改完成</w:t>
            </w:r>
          </w:p>
        </w:tc>
        <w:tc>
          <w:tcPr>
            <w:tcW w:type="dxa" w:w="3855"/>
            <w:vAlign w:val="center"/>
          </w:tcPr>
          <w:p>
            <w:pPr>
              <w:keepNext w:val="0"/>
              <w:spacing w:line="320" w:lineRule="exact" w:after="0" w:before="0"/>
              <w:ind w:firstLine="0"/>
              <w:jc w:val="left"/>
            </w:pPr>
            <w:r>
              <w:rPr>
                <w:b w:val="0"/>
                <w:sz w:val="21"/>
              </w:rPr>
              <w:t>原缺陷消除、传播范围和同类复发</w:t>
            </w:r>
          </w:p>
        </w:tc>
        <w:tc>
          <w:tcPr>
            <w:tcW w:type="dxa" w:w="3277"/>
            <w:vAlign w:val="center"/>
          </w:tcPr>
          <w:p>
            <w:pPr>
              <w:keepNext w:val="0"/>
              <w:spacing w:line="320" w:lineRule="exact" w:after="0" w:before="0"/>
              <w:ind w:firstLine="0"/>
              <w:jc w:val="left"/>
            </w:pPr>
            <w:r>
              <w:rPr>
                <w:b w:val="0"/>
                <w:sz w:val="21"/>
              </w:rPr>
              <w:t>修复版本、原证据、影响清单及验证任务</w:t>
            </w:r>
          </w:p>
        </w:tc>
      </w:tr>
    </w:tbl>
    <w:p>
      <w:pPr>
        <w:spacing w:after="40" w:line="240" w:lineRule="auto"/>
        <w:ind w:firstLine="0"/>
      </w:pPr>
      <w:r>
        <w:rPr>
          <w:sz w:val="4"/>
        </w:rPr>
      </w:r>
    </w:p>
    <w:p>
      <w:pPr>
        <w:jc w:val="both"/>
      </w:pPr>
      <w:r>
        <w:t>实施依赖按业务依据、数据条件、技术能力和责任资源四类登记。业务依据不足的先组织口径确认；字段或关联缺失的安排源端补采、接口调整或合法资料补充；技术能力不足的明确规则实现与运行资源；专业判断资源不足的安排具备能力的岗位。替代检查需说明覆盖范围及限制，不能以临时人工抽查长期替代应有的关键自动检查。</w:t>
      </w:r>
    </w:p>
    <w:p>
      <w:pPr>
        <w:pStyle w:val="Heading2"/>
      </w:pPr>
      <w:r>
        <w:t>2.14 需求验收与变更维护</w:t>
      </w:r>
    </w:p>
    <w:p>
      <w:pPr>
        <w:jc w:val="both"/>
      </w:pPr>
      <w:r>
        <w:t>需求验收逐项检查实际规则或人工流程是否覆盖对象、条件和异常处理。正常输入能通过、真实异常能被识别、合法差异不被误报、缺少依据不被默认放行，是规则有效性验证的共同要求。对涉及多个来源的需求，验证各来源缺失、迟到、重复和版本变化时的行为，确认检查不依赖某一次理想数据状态。</w:t>
      </w:r>
    </w:p>
    <w:p>
      <w:pPr>
        <w:jc w:val="both"/>
      </w:pPr>
      <w:r>
        <w:t>业务岗位确认检查结果可理解并可执行整改，技术岗位提交实现与运行证据，质量岗位独立核查需求与规则对应。需求通过验证后转入有效运行；仍有对象未覆盖、规则未执行或结果无法解释的部分继续保留实施状态，并明确范围。需求退出需说明业务取消、制度变化或被新需求完整替代的依据，保留历史对应关系。</w:t>
      </w:r>
    </w:p>
    <w:p>
      <w:pPr>
        <w:pStyle w:val="Heading1"/>
        <w:pageBreakBefore/>
      </w:pPr>
      <w:r>
        <w:t>3 数据质量校验规则库</w:t>
      </w:r>
    </w:p>
    <w:p>
      <w:pPr>
        <w:pStyle w:val="Heading2"/>
      </w:pPr>
      <w:r>
        <w:t>3.1 文件标识与规则组织</w:t>
      </w:r>
    </w:p>
    <w:p>
      <w:pPr>
        <w:spacing w:line="400" w:lineRule="exact"/>
        <w:jc w:val="both"/>
      </w:pPr>
      <w:r>
        <w:t>本规则库文件编号为GHY26691-GV-06-0003-V1.0。规则标识采用DQ-R-业务域码-维度码-四位序号，文件版本与规则自身版本分别管理。本规则库所列主规则的定义版本统一为V1.0，实际生效时间、对象范围和运行配置随批准记录登记。九个业务域的54项基础规则分别对应54项业务质量需求；12项共同控制需求分别设置一项主规则，必要时在平台形成多个执行步骤，但不得通过拆分作业重复计算需求覆盖数量。</w:t>
      </w:r>
    </w:p>
    <w:p>
      <w:pPr>
        <w:spacing w:line="400" w:lineRule="exact"/>
        <w:jc w:val="both"/>
      </w:pPr>
      <w:r>
        <w:t>规则条目明确控制目的、适用对象、输入依据、检验过程、统计单位、异常分类、责任和修复路径。物理表名、接口字段和具体代码值由实施配置与经确认的业务元数据映射，规则库保留业务定义及引用关系，使规则能够在源系统变化后继续解释。平台配置与文档条目逐项对应，不另行维护含义不一致的第二套规则。</w:t>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7" name="Picture 7"/>
            <wp:cNvGraphicFramePr>
              <a:graphicFrameLocks noChangeAspect="1"/>
            </wp:cNvGraphicFramePr>
            <a:graphic>
              <a:graphicData uri="http://schemas.openxmlformats.org/drawingml/2006/picture">
                <pic:pic>
                  <pic:nvPicPr>
                    <pic:cNvPr id="0" name="图7_规则结构.png"/>
                    <pic:cNvPicPr/>
                  </pic:nvPicPr>
                  <pic:blipFill>
                    <a:blip r:embed="rId17"/>
                    <a:stretch>
                      <a:fillRect/>
                    </a:stretch>
                  </pic:blipFill>
                  <pic:spPr>
                    <a:xfrm>
                      <a:off x="0" y="0"/>
                      <a:ext cx="6048000" cy="3004615"/>
                    </a:xfrm>
                    <a:prstGeom prst="rect"/>
                  </pic:spPr>
                </pic:pic>
              </a:graphicData>
            </a:graphic>
          </wp:inline>
        </w:drawing>
      </w:r>
    </w:p>
    <w:p>
      <w:pPr>
        <w:pStyle w:val="Caption"/>
        <w:jc w:val="center"/>
      </w:pPr>
      <w:r>
        <w:t>图3-1 规则元数据结构</w:t>
      </w:r>
    </w:p>
    <w:p>
      <w:pPr>
        <w:pStyle w:val="Heading2"/>
      </w:pPr>
      <w:r>
        <w:t>3.2 规则元数据与执行结果结构</w:t>
      </w:r>
    </w:p>
    <w:p>
      <w:pPr>
        <w:pStyle w:val="Caption"/>
        <w:keepNext/>
      </w:pPr>
      <w:r>
        <w:t>表3-1 规则元数据与执行结果结构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0" w:type="dxa"/>
          <w:bottom w:w="6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00" w:lineRule="exact" w:after="0" w:before="0"/>
              <w:ind w:firstLine="0"/>
              <w:jc w:val="center"/>
            </w:pPr>
            <w:r>
              <w:rPr>
                <w:b/>
                <w:sz w:val="21"/>
              </w:rPr>
              <w:t>元数据组</w:t>
            </w:r>
          </w:p>
        </w:tc>
        <w:tc>
          <w:tcPr>
            <w:tcW w:type="dxa" w:w="3855"/>
            <w:vAlign w:val="center"/>
            <w:shd w:fill="EDF1F3"/>
          </w:tcPr>
          <w:p>
            <w:pPr>
              <w:keepNext/>
              <w:spacing w:line="300" w:lineRule="exact" w:after="0" w:before="0"/>
              <w:ind w:firstLine="0"/>
              <w:jc w:val="center"/>
            </w:pPr>
            <w:r>
              <w:rPr>
                <w:b/>
                <w:sz w:val="21"/>
              </w:rPr>
              <w:t>必需内容</w:t>
            </w:r>
          </w:p>
        </w:tc>
        <w:tc>
          <w:tcPr>
            <w:tcW w:type="dxa" w:w="3277"/>
            <w:vAlign w:val="center"/>
            <w:shd w:fill="EDF1F3"/>
          </w:tcPr>
          <w:p>
            <w:pPr>
              <w:keepNext/>
              <w:spacing w:line="300" w:lineRule="exact" w:after="0" w:before="0"/>
              <w:ind w:firstLine="0"/>
              <w:jc w:val="center"/>
            </w:pPr>
            <w:r>
              <w:rPr>
                <w:b/>
                <w:sz w:val="21"/>
              </w:rPr>
              <w:t>执行控制</w:t>
            </w:r>
          </w:p>
        </w:tc>
      </w:tr>
      <w:tr>
        <w:trPr>
          <w:cantSplit/>
        </w:trPr>
        <w:tc>
          <w:tcPr>
            <w:tcW w:type="dxa" w:w="2506"/>
            <w:vAlign w:val="center"/>
          </w:tcPr>
          <w:p>
            <w:pPr>
              <w:keepNext w:val="0"/>
              <w:spacing w:line="300" w:lineRule="exact" w:after="0" w:before="0"/>
              <w:ind w:firstLine="0"/>
              <w:jc w:val="left"/>
            </w:pPr>
            <w:r>
              <w:rPr>
                <w:b w:val="0"/>
                <w:sz w:val="21"/>
              </w:rPr>
              <w:t>规则身份</w:t>
            </w:r>
          </w:p>
        </w:tc>
        <w:tc>
          <w:tcPr>
            <w:tcW w:type="dxa" w:w="3855"/>
            <w:vAlign w:val="center"/>
          </w:tcPr>
          <w:p>
            <w:pPr>
              <w:keepNext w:val="0"/>
              <w:spacing w:line="300" w:lineRule="exact" w:after="0" w:before="0"/>
              <w:ind w:firstLine="0"/>
              <w:jc w:val="left"/>
            </w:pPr>
            <w:r>
              <w:rPr>
                <w:b w:val="0"/>
                <w:sz w:val="21"/>
              </w:rPr>
              <w:t>规则编号、名称、版本、需求、业务域、质量维度</w:t>
            </w:r>
          </w:p>
        </w:tc>
        <w:tc>
          <w:tcPr>
            <w:tcW w:type="dxa" w:w="3277"/>
            <w:vAlign w:val="center"/>
          </w:tcPr>
          <w:p>
            <w:pPr>
              <w:keepNext w:val="0"/>
              <w:spacing w:line="300" w:lineRule="exact" w:after="0" w:before="0"/>
              <w:ind w:firstLine="0"/>
              <w:jc w:val="left"/>
            </w:pPr>
            <w:r>
              <w:rPr>
                <w:b w:val="0"/>
                <w:sz w:val="21"/>
              </w:rPr>
              <w:t>标识稳定，含义变化建立新标识及替代关系</w:t>
            </w:r>
          </w:p>
        </w:tc>
      </w:tr>
      <w:tr>
        <w:trPr>
          <w:cantSplit/>
        </w:trPr>
        <w:tc>
          <w:tcPr>
            <w:tcW w:type="dxa" w:w="2506"/>
            <w:vAlign w:val="center"/>
          </w:tcPr>
          <w:p>
            <w:pPr>
              <w:keepNext w:val="0"/>
              <w:spacing w:line="300" w:lineRule="exact" w:after="0" w:before="0"/>
              <w:ind w:firstLine="0"/>
              <w:jc w:val="left"/>
            </w:pPr>
            <w:r>
              <w:rPr>
                <w:b w:val="0"/>
                <w:sz w:val="21"/>
              </w:rPr>
              <w:t>适用条件</w:t>
            </w:r>
          </w:p>
        </w:tc>
        <w:tc>
          <w:tcPr>
            <w:tcW w:type="dxa" w:w="3855"/>
            <w:vAlign w:val="center"/>
          </w:tcPr>
          <w:p>
            <w:pPr>
              <w:keepNext w:val="0"/>
              <w:spacing w:line="300" w:lineRule="exact" w:after="0" w:before="0"/>
              <w:ind w:firstLine="0"/>
              <w:jc w:val="left"/>
            </w:pPr>
            <w:r>
              <w:rPr>
                <w:b w:val="0"/>
                <w:sz w:val="21"/>
              </w:rPr>
              <w:t>对象粒度、来源范围、有效时间、状态及前置条件</w:t>
            </w:r>
          </w:p>
        </w:tc>
        <w:tc>
          <w:tcPr>
            <w:tcW w:type="dxa" w:w="3277"/>
            <w:vAlign w:val="center"/>
          </w:tcPr>
          <w:p>
            <w:pPr>
              <w:keepNext w:val="0"/>
              <w:spacing w:line="300" w:lineRule="exact" w:after="0" w:before="0"/>
              <w:ind w:firstLine="0"/>
              <w:jc w:val="left"/>
            </w:pPr>
            <w:r>
              <w:rPr>
                <w:b w:val="0"/>
                <w:sz w:val="21"/>
              </w:rPr>
              <w:t>先判断适用，再执行检查，保留不适用依据</w:t>
            </w:r>
          </w:p>
        </w:tc>
      </w:tr>
      <w:tr>
        <w:trPr>
          <w:cantSplit/>
        </w:trPr>
        <w:tc>
          <w:tcPr>
            <w:tcW w:type="dxa" w:w="2506"/>
            <w:vAlign w:val="center"/>
          </w:tcPr>
          <w:p>
            <w:pPr>
              <w:keepNext w:val="0"/>
              <w:spacing w:line="300" w:lineRule="exact" w:after="0" w:before="0"/>
              <w:ind w:firstLine="0"/>
              <w:jc w:val="left"/>
            </w:pPr>
            <w:r>
              <w:rPr>
                <w:b w:val="0"/>
                <w:sz w:val="21"/>
              </w:rPr>
              <w:t>输入与依赖</w:t>
            </w:r>
          </w:p>
        </w:tc>
        <w:tc>
          <w:tcPr>
            <w:tcW w:type="dxa" w:w="3855"/>
            <w:vAlign w:val="center"/>
          </w:tcPr>
          <w:p>
            <w:pPr>
              <w:keepNext w:val="0"/>
              <w:spacing w:line="300" w:lineRule="exact" w:after="0" w:before="0"/>
              <w:ind w:firstLine="0"/>
              <w:jc w:val="left"/>
            </w:pPr>
            <w:r>
              <w:rPr>
                <w:b w:val="0"/>
                <w:sz w:val="21"/>
              </w:rPr>
              <w:t>字段、关联、标准、代码集、凭据及参数版本</w:t>
            </w:r>
          </w:p>
        </w:tc>
        <w:tc>
          <w:tcPr>
            <w:tcW w:type="dxa" w:w="3277"/>
            <w:vAlign w:val="center"/>
          </w:tcPr>
          <w:p>
            <w:pPr>
              <w:keepNext w:val="0"/>
              <w:spacing w:line="300" w:lineRule="exact" w:after="0" w:before="0"/>
              <w:ind w:firstLine="0"/>
              <w:jc w:val="left"/>
            </w:pPr>
            <w:r>
              <w:rPr>
                <w:b w:val="0"/>
                <w:sz w:val="21"/>
              </w:rPr>
              <w:t>依赖缺失记录待证实或未执行，不默认通过</w:t>
            </w:r>
          </w:p>
        </w:tc>
      </w:tr>
      <w:tr>
        <w:trPr>
          <w:cantSplit/>
        </w:trPr>
        <w:tc>
          <w:tcPr>
            <w:tcW w:type="dxa" w:w="2506"/>
            <w:vAlign w:val="center"/>
          </w:tcPr>
          <w:p>
            <w:pPr>
              <w:keepNext w:val="0"/>
              <w:spacing w:line="300" w:lineRule="exact" w:after="0" w:before="0"/>
              <w:ind w:firstLine="0"/>
              <w:jc w:val="left"/>
            </w:pPr>
            <w:r>
              <w:rPr>
                <w:b w:val="0"/>
                <w:sz w:val="21"/>
              </w:rPr>
              <w:t>检验逻辑</w:t>
            </w:r>
          </w:p>
        </w:tc>
        <w:tc>
          <w:tcPr>
            <w:tcW w:type="dxa" w:w="3855"/>
            <w:vAlign w:val="center"/>
          </w:tcPr>
          <w:p>
            <w:pPr>
              <w:keepNext w:val="0"/>
              <w:spacing w:line="300" w:lineRule="exact" w:after="0" w:before="0"/>
              <w:ind w:firstLine="0"/>
              <w:jc w:val="left"/>
            </w:pPr>
            <w:r>
              <w:rPr>
                <w:b w:val="0"/>
                <w:sz w:val="21"/>
              </w:rPr>
              <w:t>比较方法、转换、容差、边界及人工环节</w:t>
            </w:r>
          </w:p>
        </w:tc>
        <w:tc>
          <w:tcPr>
            <w:tcW w:type="dxa" w:w="3277"/>
            <w:vAlign w:val="center"/>
          </w:tcPr>
          <w:p>
            <w:pPr>
              <w:keepNext w:val="0"/>
              <w:spacing w:line="300" w:lineRule="exact" w:after="0" w:before="0"/>
              <w:ind w:firstLine="0"/>
              <w:jc w:val="left"/>
            </w:pPr>
            <w:r>
              <w:rPr>
                <w:b w:val="0"/>
                <w:sz w:val="21"/>
              </w:rPr>
              <w:t>方法可重现，专业阈值有有效依据</w:t>
            </w:r>
          </w:p>
        </w:tc>
      </w:tr>
      <w:tr>
        <w:trPr>
          <w:cantSplit/>
        </w:trPr>
        <w:tc>
          <w:tcPr>
            <w:tcW w:type="dxa" w:w="2506"/>
            <w:vAlign w:val="center"/>
          </w:tcPr>
          <w:p>
            <w:pPr>
              <w:keepNext w:val="0"/>
              <w:spacing w:line="300" w:lineRule="exact" w:after="0" w:before="0"/>
              <w:ind w:firstLine="0"/>
              <w:jc w:val="left"/>
            </w:pPr>
            <w:r>
              <w:rPr>
                <w:b w:val="0"/>
                <w:sz w:val="21"/>
              </w:rPr>
              <w:t>结果与度量</w:t>
            </w:r>
          </w:p>
        </w:tc>
        <w:tc>
          <w:tcPr>
            <w:tcW w:type="dxa" w:w="3855"/>
            <w:vAlign w:val="center"/>
          </w:tcPr>
          <w:p>
            <w:pPr>
              <w:keepNext w:val="0"/>
              <w:spacing w:line="300" w:lineRule="exact" w:after="0" w:before="0"/>
              <w:ind w:firstLine="0"/>
              <w:jc w:val="left"/>
            </w:pPr>
            <w:r>
              <w:rPr>
                <w:b w:val="0"/>
                <w:sz w:val="21"/>
              </w:rPr>
              <w:t>对象键、判定、差异、适用与检查数量</w:t>
            </w:r>
          </w:p>
        </w:tc>
        <w:tc>
          <w:tcPr>
            <w:tcW w:type="dxa" w:w="3277"/>
            <w:vAlign w:val="center"/>
          </w:tcPr>
          <w:p>
            <w:pPr>
              <w:keepNext w:val="0"/>
              <w:spacing w:line="300" w:lineRule="exact" w:after="0" w:before="0"/>
              <w:ind w:firstLine="0"/>
              <w:jc w:val="left"/>
            </w:pPr>
            <w:r>
              <w:rPr>
                <w:b w:val="0"/>
                <w:sz w:val="21"/>
              </w:rPr>
              <w:t>分母及状态完整，重试不重复计数</w:t>
            </w:r>
          </w:p>
        </w:tc>
      </w:tr>
      <w:tr>
        <w:trPr>
          <w:cantSplit/>
        </w:trPr>
        <w:tc>
          <w:tcPr>
            <w:tcW w:type="dxa" w:w="2506"/>
            <w:vAlign w:val="center"/>
          </w:tcPr>
          <w:p>
            <w:pPr>
              <w:keepNext w:val="0"/>
              <w:spacing w:line="300" w:lineRule="exact" w:after="0" w:before="0"/>
              <w:ind w:firstLine="0"/>
              <w:jc w:val="left"/>
            </w:pPr>
            <w:r>
              <w:rPr>
                <w:b w:val="0"/>
                <w:sz w:val="21"/>
              </w:rPr>
              <w:t>风险与办理</w:t>
            </w:r>
          </w:p>
        </w:tc>
        <w:tc>
          <w:tcPr>
            <w:tcW w:type="dxa" w:w="3855"/>
            <w:vAlign w:val="center"/>
          </w:tcPr>
          <w:p>
            <w:pPr>
              <w:keepNext w:val="0"/>
              <w:spacing w:line="300" w:lineRule="exact" w:after="0" w:before="0"/>
              <w:ind w:firstLine="0"/>
              <w:jc w:val="left"/>
            </w:pPr>
            <w:r>
              <w:rPr>
                <w:b w:val="0"/>
                <w:sz w:val="21"/>
              </w:rPr>
              <w:t>严重程度、限制条件、业务及技术责任</w:t>
            </w:r>
          </w:p>
        </w:tc>
        <w:tc>
          <w:tcPr>
            <w:tcW w:type="dxa" w:w="3277"/>
            <w:vAlign w:val="center"/>
          </w:tcPr>
          <w:p>
            <w:pPr>
              <w:keepNext w:val="0"/>
              <w:spacing w:line="300" w:lineRule="exact" w:after="0" w:before="0"/>
              <w:ind w:firstLine="0"/>
              <w:jc w:val="left"/>
            </w:pPr>
            <w:r>
              <w:rPr>
                <w:b w:val="0"/>
                <w:sz w:val="21"/>
              </w:rPr>
              <w:t>风险控制独立执行，问题可派发并复核</w:t>
            </w:r>
          </w:p>
        </w:tc>
      </w:tr>
      <w:tr>
        <w:trPr>
          <w:cantSplit/>
        </w:trPr>
        <w:tc>
          <w:tcPr>
            <w:tcW w:type="dxa" w:w="2506"/>
            <w:vAlign w:val="center"/>
          </w:tcPr>
          <w:p>
            <w:pPr>
              <w:keepNext w:val="0"/>
              <w:spacing w:line="300" w:lineRule="exact" w:after="0" w:before="0"/>
              <w:ind w:firstLine="0"/>
              <w:jc w:val="left"/>
            </w:pPr>
            <w:r>
              <w:rPr>
                <w:b w:val="0"/>
                <w:sz w:val="21"/>
              </w:rPr>
              <w:t>运行管理</w:t>
            </w:r>
          </w:p>
        </w:tc>
        <w:tc>
          <w:tcPr>
            <w:tcW w:type="dxa" w:w="3855"/>
            <w:vAlign w:val="center"/>
          </w:tcPr>
          <w:p>
            <w:pPr>
              <w:keepNext w:val="0"/>
              <w:spacing w:line="300" w:lineRule="exact" w:after="0" w:before="0"/>
              <w:ind w:firstLine="0"/>
              <w:jc w:val="left"/>
            </w:pPr>
            <w:r>
              <w:rPr>
                <w:b w:val="0"/>
                <w:sz w:val="21"/>
              </w:rPr>
              <w:t>触发方式、调度、资源、日志及恢复</w:t>
            </w:r>
          </w:p>
        </w:tc>
        <w:tc>
          <w:tcPr>
            <w:tcW w:type="dxa" w:w="3277"/>
            <w:vAlign w:val="center"/>
          </w:tcPr>
          <w:p>
            <w:pPr>
              <w:keepNext w:val="0"/>
              <w:spacing w:line="300" w:lineRule="exact" w:after="0" w:before="0"/>
              <w:ind w:firstLine="0"/>
              <w:jc w:val="left"/>
            </w:pPr>
            <w:r>
              <w:rPr>
                <w:b w:val="0"/>
                <w:sz w:val="21"/>
              </w:rPr>
              <w:t>固定快照和版本，失败与数据不合格分开</w:t>
            </w:r>
          </w:p>
        </w:tc>
      </w:tr>
      <w:tr>
        <w:trPr>
          <w:cantSplit/>
        </w:trPr>
        <w:tc>
          <w:tcPr>
            <w:tcW w:type="dxa" w:w="2506"/>
            <w:vAlign w:val="center"/>
          </w:tcPr>
          <w:p>
            <w:pPr>
              <w:keepNext w:val="0"/>
              <w:spacing w:line="300" w:lineRule="exact" w:after="0" w:before="0"/>
              <w:ind w:firstLine="0"/>
              <w:jc w:val="left"/>
            </w:pPr>
            <w:r>
              <w:rPr>
                <w:b w:val="0"/>
                <w:sz w:val="21"/>
              </w:rPr>
              <w:t>生命周期</w:t>
            </w:r>
          </w:p>
        </w:tc>
        <w:tc>
          <w:tcPr>
            <w:tcW w:type="dxa" w:w="3855"/>
            <w:vAlign w:val="center"/>
          </w:tcPr>
          <w:p>
            <w:pPr>
              <w:keepNext w:val="0"/>
              <w:spacing w:line="300" w:lineRule="exact" w:after="0" w:before="0"/>
              <w:ind w:firstLine="0"/>
              <w:jc w:val="left"/>
            </w:pPr>
            <w:r>
              <w:rPr>
                <w:b w:val="0"/>
                <w:sz w:val="21"/>
              </w:rPr>
              <w:t>批准、生效、暂停、替代、退出及历史引用</w:t>
            </w:r>
          </w:p>
        </w:tc>
        <w:tc>
          <w:tcPr>
            <w:tcW w:type="dxa" w:w="3277"/>
            <w:vAlign w:val="center"/>
          </w:tcPr>
          <w:p>
            <w:pPr>
              <w:keepNext w:val="0"/>
              <w:spacing w:line="300" w:lineRule="exact" w:after="0" w:before="0"/>
              <w:ind w:firstLine="0"/>
              <w:jc w:val="left"/>
            </w:pPr>
            <w:r>
              <w:rPr>
                <w:b w:val="0"/>
                <w:sz w:val="21"/>
              </w:rPr>
              <w:t>变更有依据，历史结果保持可解释性</w:t>
            </w:r>
          </w:p>
        </w:tc>
      </w:tr>
    </w:tbl>
    <w:p>
      <w:pPr>
        <w:spacing w:after="40" w:line="240" w:lineRule="auto"/>
        <w:ind w:firstLine="0"/>
      </w:pPr>
      <w:r>
        <w:rPr>
          <w:sz w:val="4"/>
        </w:rPr>
      </w:r>
    </w:p>
    <w:p>
      <w:pPr>
        <w:spacing w:line="400" w:lineRule="exact"/>
        <w:jc w:val="both"/>
      </w:pPr>
      <w:r>
        <w:t>结果记录以“规则版本、检查任务、对象键、数据版本”为基本唯一组合，包含实际值或受控引用、预期条件、差异类型、判定状态及必要证据。一次检查可以对同一对象命中多条规则，规则结果分别保留，问题管理阶段再按根因与业务影响关联，不能在规则层提前丢弃其他命中。</w:t>
      </w:r>
    </w:p>
    <w:p>
      <w:pPr>
        <w:spacing w:line="400" w:lineRule="exact"/>
        <w:jc w:val="both"/>
      </w:pPr>
      <w:r>
        <w:t>执行结果状态采用通过、不通过、不适用、待证实、未执行。前置条件涉及规则是否适用的，条件明确不满足时判不适用；前置依据缺失导致无法判断是否适用或无法核验的，判待证实；技术任务未完成的，判未执行。查询返回空结果前先确认源范围和读取是否完整，零异常只有在实际完成检查的范围内成立。</w:t>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8" name="Picture 8"/>
            <wp:cNvGraphicFramePr>
              <a:graphicFrameLocks noChangeAspect="1"/>
            </wp:cNvGraphicFramePr>
            <a:graphic>
              <a:graphicData uri="http://schemas.openxmlformats.org/drawingml/2006/picture">
                <pic:pic>
                  <pic:nvPicPr>
                    <pic:cNvPr id="0" name="图8_结果状态.png"/>
                    <pic:cNvPicPr/>
                  </pic:nvPicPr>
                  <pic:blipFill>
                    <a:blip r:embed="rId18"/>
                    <a:stretch>
                      <a:fillRect/>
                    </a:stretch>
                  </pic:blipFill>
                  <pic:spPr>
                    <a:xfrm>
                      <a:off x="0" y="0"/>
                      <a:ext cx="6048000" cy="3004615"/>
                    </a:xfrm>
                    <a:prstGeom prst="rect"/>
                  </pic:spPr>
                </pic:pic>
              </a:graphicData>
            </a:graphic>
          </wp:inline>
        </w:drawing>
      </w:r>
    </w:p>
    <w:p>
      <w:pPr>
        <w:pStyle w:val="Caption"/>
        <w:jc w:val="center"/>
      </w:pPr>
      <w:r>
        <w:t>图3-2 五类检查结果状态</w:t>
      </w:r>
    </w:p>
    <w:p>
      <w:pPr>
        <w:pStyle w:val="Heading2"/>
      </w:pPr>
      <w:r>
        <w:t>3.3 公共执行方法与参数管理</w:t>
      </w:r>
    </w:p>
    <w:p>
      <w:pPr>
        <w:pStyle w:val="Heading3"/>
      </w:pPr>
      <w:r>
        <w:t>3.3.1 空值、重复与关联方法</w:t>
      </w:r>
    </w:p>
    <w:p>
      <w:pPr>
        <w:spacing w:line="400" w:lineRule="exact"/>
        <w:jc w:val="both"/>
      </w:pPr>
      <w:r>
        <w:t>必填检查识别数据库空值、空字符串、仅空白字符、约定无意义占位值及缺少关联对象等情况，处理方式依据字段定义确定。数值零、布尔假、合法的“无”和业务定义允许的空值不自动认定为缺失。文本修剪、编码转换或单位归一化保留转换记录，不能通过统一替换把未知状态改为有效业务值。</w:t>
      </w:r>
    </w:p>
    <w:p>
      <w:pPr>
        <w:spacing w:line="400" w:lineRule="exact"/>
        <w:jc w:val="both"/>
      </w:pPr>
      <w:r>
        <w:t>唯一性检查使用经业务确认的复合键，先检查构成键的字段是否有效，再判断重复。键值缺失的对象归入相应完整性问题，不能让多个空键被误判为一个正常业务实体。重复组内的保留记录依据权威来源、有效版本及业务关系确定，不只按最后修改时间选取。删除或合并前核查所有下游引用，保持历史映射。</w:t>
      </w:r>
    </w:p>
    <w:p>
      <w:pPr>
        <w:spacing w:line="400" w:lineRule="exact"/>
        <w:jc w:val="both"/>
      </w:pPr>
      <w:r>
        <w:t>关联检查分别处理缺失、孤立、多重冲突和有效期不匹配。关键关联采用确定标识或经确认的映射；相似度匹配生成候选关系并保留人工确认。允许多对多关系时使用关联实例、有效时间和分配依据，不依靠随意取第一条结果消除重复。检查连接后的数量变化，防止多对多扩张造成金额、产量或样本数成倍增加。</w:t>
      </w:r>
    </w:p>
    <w:p>
      <w:pPr>
        <w:pStyle w:val="Heading3"/>
      </w:pPr>
      <w:r>
        <w:t>3.3.2 数值、时间与状态方法</w:t>
      </w:r>
    </w:p>
    <w:p>
      <w:pPr>
        <w:spacing w:line="400" w:lineRule="exact"/>
        <w:jc w:val="both"/>
      </w:pPr>
      <w:r>
        <w:t>数值比较先统一物理量、单位、精度、舍入规则和有效状态。容差来源于有效标准、测量条件或业务制度，记录绝对或相对容差及适用范围。没有依据的数值容差不用于正式合格判定。异常检测模型可以发现疑似问题，但统计离群与业务错误分别确认，工艺边界值需结合对应阶段和专业依据。</w:t>
      </w:r>
    </w:p>
    <w:p>
      <w:pPr>
        <w:spacing w:line="400" w:lineRule="exact"/>
        <w:jc w:val="both"/>
      </w:pPr>
      <w:r>
        <w:t>时间检查保留时区、源时钟、事件时间和接收时间，必要时记录时钟校准与偏移估计。检查时间先后时考虑合法补录、追溯生效和异步处理；发现负延迟先核查时钟与时间字段含义，不立即将其解释为业务提前完成。迟到数据按规定重新计算受影响窗口，并标识后继版本，旧结果保持可回查。</w:t>
      </w:r>
    </w:p>
    <w:p>
      <w:pPr>
        <w:spacing w:line="400" w:lineRule="exact"/>
        <w:jc w:val="both"/>
      </w:pPr>
      <w:r>
        <w:t>状态检查采用经确认的状态集合及允许迁移关系，结合业务事件判断状态变化是否具备必要前置条件。暂停、撤销、冲销、返工、复检等路径分别登记，不能只允许单向线性流程。非法状态与状态未知分别输出，未知状态在关键用途上保持限制，等待业务确认后再恢复。</w:t>
      </w:r>
    </w:p>
    <w:p>
      <w:pPr>
        <w:pStyle w:val="Heading3"/>
      </w:pPr>
      <w:r>
        <w:t>3.3.3 参数与专业依据</w:t>
      </w:r>
    </w:p>
    <w:p>
      <w:pPr>
        <w:spacing w:line="400" w:lineRule="exact"/>
        <w:jc w:val="both"/>
      </w:pPr>
      <w:r>
        <w:t>每组参数记录来源文件、版本、批准岗位、生效时间、对象范围及单位。材料牌号、板厚、热处理工艺、焊接方法、设备型号和检验方法变化时检查参数是否仍适用。参数边界使用等号还是不等号有明确依据，边界测试覆盖刚好等于限值、略低于限值和略高于限值的情况。</w:t>
      </w:r>
    </w:p>
    <w:p>
      <w:pPr>
        <w:spacing w:line="400" w:lineRule="exact"/>
        <w:jc w:val="both"/>
      </w:pPr>
      <w:r>
        <w:t>专业判定无法完全自动化时，规则输出需要核验的对象和依据，分派到具备能力的岗位。人工复核记录观察、比较、理由和结论，并保留必要的证据引用。模型给出的置信度、相似度或自动解释可以辅助定位，不能代替需要专业责任的合格判定。人机结论冲突时保留双方结果及裁决依据，不只留下最终标签。</w:t>
      </w:r>
    </w:p>
    <w:p>
      <w:pPr>
        <w:pStyle w:val="Heading2"/>
      </w:pPr>
      <w:r>
        <w:t>3.4 人力资源校验规则</w:t>
      </w:r>
    </w:p>
    <w:p>
      <w:pPr>
        <w:spacing w:line="400" w:lineRule="exact"/>
        <w:jc w:val="both"/>
      </w:pPr>
      <w:r>
        <w:t>本组规则由人力资源管理岗位会同工艺、安全及实际用工责任岗位承担业务确认和整改结果接收，技术岗位负责配置与运行，质量岗位承担独立复核。对象范围为人员、组织、岗位及专业资质。</w:t>
      </w:r>
    </w:p>
    <w:p>
      <w:pPr>
        <w:pStyle w:val="Heading3"/>
      </w:pPr>
      <w:r>
        <w:t>3.4.1 人员任职与资质关联完整规则</w:t>
      </w:r>
    </w:p>
    <w:p>
      <w:pPr>
        <w:spacing w:line="400" w:lineRule="exact"/>
        <w:jc w:val="both"/>
      </w:pPr>
      <w:r>
        <w:t>规则编号：DQ-R-HR-CP-0001。对应需求：DQ-N-HR-0001。判定维度：完整性。</w:t>
      </w:r>
    </w:p>
    <w:p>
      <w:pPr>
        <w:spacing w:line="400" w:lineRule="exact"/>
        <w:jc w:val="both"/>
      </w:pPr>
      <w:r>
        <w:t>从任职关系出发核对人员、组织、岗位和有效期，再按实际任务要求关联资质种类、等级及适用范围。以应检查的任职关系和任务关联分别计数，必要项缺失形成对象级问题。</w:t>
      </w:r>
    </w:p>
    <w:p>
      <w:pPr>
        <w:spacing w:line="400" w:lineRule="exact"/>
        <w:jc w:val="both"/>
      </w:pPr>
      <w:r>
        <w:t>统计单位为应具备相应信息的业务对象、必要属性或关联实例，三者分别计量。规则命中证据包括应有对象或字段清单、实际缺失位置及业务适用条件。不通过对象形成候选问题，依据不足的对象保留待证实状态，并关联补证任务。</w:t>
      </w:r>
    </w:p>
    <w:p>
      <w:pPr>
        <w:spacing w:line="400" w:lineRule="exact"/>
        <w:jc w:val="both"/>
      </w:pPr>
      <w:r>
        <w:t>补齐有效业务凭据与关联，核对受影响的工单执行和检验签署；无依据的资格信息不得补造。</w:t>
      </w:r>
    </w:p>
    <w:p>
      <w:pPr>
        <w:pStyle w:val="Heading3"/>
      </w:pPr>
      <w:r>
        <w:t>3.4.2 人员及资质信息准确规则</w:t>
      </w:r>
    </w:p>
    <w:p>
      <w:pPr>
        <w:spacing w:line="400" w:lineRule="exact"/>
        <w:jc w:val="both"/>
      </w:pPr>
      <w:r>
        <w:t>规则编号：DQ-R-HR-AC-0001。对应需求：DQ-N-HR-0002。判定维度：准确性。</w:t>
      </w:r>
    </w:p>
    <w:p>
      <w:pPr>
        <w:spacing w:line="400" w:lineRule="exact"/>
        <w:jc w:val="both"/>
      </w:pPr>
      <w:r>
        <w:t>在授权范围内对人员记录与人事凭据、资质资料进行核验，重要资格覆盖实际参与关键作业的人员。保存核验凭据引用及差异字段，不在普通报告公开完整个人信息。</w:t>
      </w:r>
    </w:p>
    <w:p>
      <w:pPr>
        <w:spacing w:line="400" w:lineRule="exact"/>
        <w:jc w:val="both"/>
      </w:pPr>
      <w:r>
        <w:t>统计单位为具有可取得核验依据的业务对象；人工抽查另列抽查总体、抽取量及可判定量。规则命中证据包括原始凭据或受控引用、实际值、核验方法及差异位置。不通过对象形成候选问题，依据不足的对象保留待证实状态，并关联补证任务。</w:t>
      </w:r>
    </w:p>
    <w:p>
      <w:pPr>
        <w:spacing w:line="400" w:lineRule="exact"/>
        <w:jc w:val="both"/>
      </w:pPr>
      <w:r>
        <w:t>由有权岗位纠正记录，必要时核查错误信息影响的作业资格判断，保留修正前后版本及授权记录。</w:t>
      </w:r>
    </w:p>
    <w:p>
      <w:pPr>
        <w:pStyle w:val="Heading3"/>
      </w:pPr>
      <w:r>
        <w:t>3.4.3 跨系统人员与组织一致规则</w:t>
      </w:r>
    </w:p>
    <w:p>
      <w:pPr>
        <w:spacing w:line="400" w:lineRule="exact"/>
        <w:jc w:val="both"/>
      </w:pPr>
      <w:r>
        <w:t>规则编号：DQ-R-HR-CS-0001。对应需求：DQ-N-HR-0003。判定维度：一致性。</w:t>
      </w:r>
    </w:p>
    <w:p>
      <w:pPr>
        <w:spacing w:line="400" w:lineRule="exact"/>
        <w:jc w:val="both"/>
      </w:pPr>
      <w:r>
        <w:t>对齐业务发生时间后比对人员键、组织键和任职状态，分别检查未映射、多重映射及失效映射。对跨系统同义字段先核对代码与含义，再比较值。</w:t>
      </w:r>
    </w:p>
    <w:p>
      <w:pPr>
        <w:spacing w:line="400" w:lineRule="exact"/>
        <w:jc w:val="both"/>
      </w:pPr>
      <w:r>
        <w:t>统计单位为在同一时间、状态和口径下应形成对应的关联实例。规则命中证据包括参与比较的各来源版本、对齐条件、映射及差异对象。不通过对象形成候选问题，依据不足的对象保留待证实状态，并关联补证任务。</w:t>
      </w:r>
    </w:p>
    <w:p>
      <w:pPr>
        <w:spacing w:line="400" w:lineRule="exact"/>
        <w:jc w:val="both"/>
      </w:pPr>
      <w:r>
        <w:t>修正人员组织映射并回查使用该映射的授权、工时和业务签署记录，避免批量替换改变历史责任。</w:t>
      </w:r>
    </w:p>
    <w:p>
      <w:pPr>
        <w:pStyle w:val="Heading3"/>
      </w:pPr>
      <w:r>
        <w:t>3.4.4 人员主记录与任职关系唯一规则</w:t>
      </w:r>
    </w:p>
    <w:p>
      <w:pPr>
        <w:spacing w:line="400" w:lineRule="exact"/>
        <w:jc w:val="both"/>
      </w:pPr>
      <w:r>
        <w:t>规则编号：DQ-R-HR-UQ-0001。对应需求：DQ-N-HR-0004。判定维度：唯一性。</w:t>
      </w:r>
    </w:p>
    <w:p>
      <w:pPr>
        <w:spacing w:line="400" w:lineRule="exact"/>
        <w:jc w:val="both"/>
      </w:pPr>
      <w:r>
        <w:t>按经确认的身份识别键检测主记录重复，再按任职复合键检查重复关系；对疑似同一人的相似记录进行人工核验，不凭姓名单字段自动合并。</w:t>
      </w:r>
    </w:p>
    <w:p>
      <w:pPr>
        <w:spacing w:line="400" w:lineRule="exact"/>
        <w:jc w:val="both"/>
      </w:pPr>
      <w:r>
        <w:t>统计单位为经业务确认的复合键组及组内冗余记录，分别统计。规则命中证据包括重复键、组内全部对象、业务身份确认及引用关系。不通过对象形成候选问题，依据不足的对象保留待证实状态，并关联补证任务。</w:t>
      </w:r>
    </w:p>
    <w:p>
      <w:pPr>
        <w:spacing w:line="400" w:lineRule="exact"/>
        <w:jc w:val="both"/>
      </w:pPr>
      <w:r>
        <w:t>确认主记录后处理重复引用，保留旧标识映射和合并依据，复查下游权限与责任归属不被错误迁移。</w:t>
      </w:r>
    </w:p>
    <w:p>
      <w:pPr>
        <w:pStyle w:val="Heading3"/>
      </w:pPr>
      <w:r>
        <w:t>3.4.5 任职与资质变化及时更新规则</w:t>
      </w:r>
    </w:p>
    <w:p>
      <w:pPr>
        <w:spacing w:line="400" w:lineRule="exact"/>
        <w:jc w:val="both"/>
      </w:pPr>
      <w:r>
        <w:t>规则编号：DQ-R-HR-TM-0001。对应需求：DQ-N-HR-0005。判定维度：及时性。</w:t>
      </w:r>
    </w:p>
    <w:p>
      <w:pPr>
        <w:spacing w:line="400" w:lineRule="exact"/>
        <w:jc w:val="both"/>
      </w:pPr>
      <w:r>
        <w:t>以正式业务事件生效时间为起点，检查源端登记和目标系统可见时间，分别统计登记延迟与同步延迟；到期检查按有效期执行，不依赖有无新数据推送。</w:t>
      </w:r>
    </w:p>
    <w:p>
      <w:pPr>
        <w:spacing w:line="400" w:lineRule="exact"/>
        <w:jc w:val="both"/>
      </w:pPr>
      <w:r>
        <w:t>统计单位为具有明确起算事件和业务时限的事件或对象。规则命中证据包括业务起算时间、规定截止时间、实际到达时间和时间来源。不通过对象形成候选问题，依据不足的对象保留待证实状态，并关联补证任务。</w:t>
      </w:r>
    </w:p>
    <w:p>
      <w:pPr>
        <w:spacing w:line="400" w:lineRule="exact"/>
        <w:jc w:val="both"/>
      </w:pPr>
      <w:r>
        <w:t>修复事件传递或同步任务，复核已到期人员的任务权限和未完成业务，恢复条件由有权岗位确认。</w:t>
      </w:r>
    </w:p>
    <w:p>
      <w:pPr>
        <w:pStyle w:val="Heading3"/>
      </w:pPr>
      <w:r>
        <w:t>3.4.6 任职状态与资质适用有效规则</w:t>
      </w:r>
    </w:p>
    <w:p>
      <w:pPr>
        <w:spacing w:line="400" w:lineRule="exact"/>
        <w:jc w:val="both"/>
      </w:pPr>
      <w:r>
        <w:t>规则编号：DQ-R-HR-VA-0001。对应需求：DQ-N-HR-0006。判定维度：有效性。</w:t>
      </w:r>
    </w:p>
    <w:p>
      <w:pPr>
        <w:spacing w:line="400" w:lineRule="exact"/>
        <w:jc w:val="both"/>
      </w:pPr>
      <w:r>
        <w:t>校验状态代码、日期先后和引用有效性，再按作业类型判断资质是否覆盖具体工艺、等级和期间。检查未知代码与不满足资格条件分别输出。</w:t>
      </w:r>
    </w:p>
    <w:p>
      <w:pPr>
        <w:spacing w:line="400" w:lineRule="exact"/>
        <w:jc w:val="both"/>
      </w:pPr>
      <w:r>
        <w:t>统计单位为满足适用前提的属性、状态迁移或参数组合。规则命中证据包括有效标准或代码集、适用对象、实际取值及违反条件。不通过对象形成候选问题，依据不足的对象保留待证实状态，并关联补证任务。</w:t>
      </w:r>
    </w:p>
    <w:p>
      <w:pPr>
        <w:spacing w:line="400" w:lineRule="exact"/>
        <w:jc w:val="both"/>
      </w:pPr>
      <w:r>
        <w:t>确认并更正状态及适用关系，对超范围使用实施限制，专业岗位复核通过后方可恢复对应资格引用。</w:t>
      </w:r>
    </w:p>
    <w:p>
      <w:pPr>
        <w:pStyle w:val="Heading2"/>
      </w:pPr>
      <w:r>
        <w:t>3.5 研发设计校验规则</w:t>
      </w:r>
    </w:p>
    <w:p>
      <w:pPr>
        <w:spacing w:line="400" w:lineRule="exact"/>
        <w:jc w:val="both"/>
      </w:pPr>
      <w:r>
        <w:t>本组规则由研发设计责任岗位会同工艺、配置管理和制造使用岗位承担业务确认和整改结果接收，技术岗位负责配置与运行，质量岗位承担独立复核。对象范围为产品结构、图纸版次、工艺文件及设计参数。</w:t>
      </w:r>
    </w:p>
    <w:p>
      <w:pPr>
        <w:pStyle w:val="Heading3"/>
      </w:pPr>
      <w:r>
        <w:t>3.5.1 设计结构与有效文件完整规则</w:t>
      </w:r>
    </w:p>
    <w:p>
      <w:pPr>
        <w:spacing w:line="400" w:lineRule="exact"/>
        <w:jc w:val="both"/>
      </w:pPr>
      <w:r>
        <w:t>规则编号：DQ-R-RD-CP-0001。对应需求：DQ-N-RD-0001。判定维度：完整性。</w:t>
      </w:r>
    </w:p>
    <w:p>
      <w:pPr>
        <w:spacing w:line="400" w:lineRule="exact"/>
        <w:jc w:val="both"/>
      </w:pPr>
      <w:r>
        <w:t>从发放产品及其配置基线出发展开结构，核对必需节点、图纸引用和技术条件；对结构循环、悬空引用及必要附件缺失分别记录对象路径。</w:t>
      </w:r>
    </w:p>
    <w:p>
      <w:pPr>
        <w:spacing w:line="400" w:lineRule="exact"/>
        <w:jc w:val="both"/>
      </w:pPr>
      <w:r>
        <w:t>统计单位为应具备相应信息的业务对象、必要属性或关联实例，三者分别计量。规则命中证据包括应有对象或字段清单、实际缺失位置及业务适用条件。不通过对象形成候选问题，依据不足的对象保留待证实状态，并关联补证任务。</w:t>
      </w:r>
    </w:p>
    <w:p>
      <w:pPr>
        <w:spacing w:line="400" w:lineRule="exact"/>
        <w:jc w:val="both"/>
      </w:pPr>
      <w:r>
        <w:t>补齐经过批准的结构与文件，校验下游工艺、备料和工单引用，未完成必要设计确认的对象维持受限。</w:t>
      </w:r>
    </w:p>
    <w:p>
      <w:pPr>
        <w:pStyle w:val="Heading3"/>
      </w:pPr>
      <w:r>
        <w:t>3.5.2 尺寸材料及设计参数准确规则</w:t>
      </w:r>
    </w:p>
    <w:p>
      <w:pPr>
        <w:spacing w:line="400" w:lineRule="exact"/>
        <w:jc w:val="both"/>
      </w:pPr>
      <w:r>
        <w:t>规则编号：DQ-R-RD-AC-0001。对应需求：DQ-N-RD-0002。判定维度：准确性。</w:t>
      </w:r>
    </w:p>
    <w:p>
      <w:pPr>
        <w:spacing w:line="400" w:lineRule="exact"/>
        <w:jc w:val="both"/>
      </w:pPr>
      <w:r>
        <w:t>抽取关键参数与对应图号版次、页码或区域进行比对；对公差上下限、直径半径、角度及单位进行专业核对，识别小数点、符号和上下标误读。</w:t>
      </w:r>
    </w:p>
    <w:p>
      <w:pPr>
        <w:spacing w:line="400" w:lineRule="exact"/>
        <w:jc w:val="both"/>
      </w:pPr>
      <w:r>
        <w:t>统计单位为具有可取得核验依据的业务对象；人工抽查另列抽查总体、抽取量及可判定量。规则命中证据包括原始凭据或受控引用、实际值、核验方法及差异位置。不通过对象形成候选问题，依据不足的对象保留待证实状态，并关联补证任务。</w:t>
      </w:r>
    </w:p>
    <w:p>
      <w:pPr>
        <w:spacing w:line="400" w:lineRule="exact"/>
        <w:jc w:val="both"/>
      </w:pPr>
      <w:r>
        <w:t>修正解析或录入结果，排查采用同一解析方式的其他图纸，重验关联选型、工艺知识和样本中的参数。</w:t>
      </w:r>
    </w:p>
    <w:p>
      <w:pPr>
        <w:pStyle w:val="Heading3"/>
      </w:pPr>
      <w:r>
        <w:t>3.5.3 设计版本与下游引用一致规则</w:t>
      </w:r>
    </w:p>
    <w:p>
      <w:pPr>
        <w:spacing w:line="400" w:lineRule="exact"/>
        <w:jc w:val="both"/>
      </w:pPr>
      <w:r>
        <w:t>规则编号：DQ-R-RD-CS-0001。对应需求：DQ-N-RD-0003。判定维度：一致性。</w:t>
      </w:r>
    </w:p>
    <w:p>
      <w:pPr>
        <w:spacing w:line="400" w:lineRule="exact"/>
        <w:jc w:val="both"/>
      </w:pPr>
      <w:r>
        <w:t>以产品配置、订单或批次及生效条件定位应采用的设计版本，再比对工艺文件、工单与检验依据。输出错误引用、适用范围不明和缺少更改关系三类结果。</w:t>
      </w:r>
    </w:p>
    <w:p>
      <w:pPr>
        <w:spacing w:line="400" w:lineRule="exact"/>
        <w:jc w:val="both"/>
      </w:pPr>
      <w:r>
        <w:t>统计单位为在同一时间、状态和口径下应形成对应的关联实例。规则命中证据包括参与比较的各来源版本、对齐条件、映射及差异对象。不通过对象形成候选问题，依据不足的对象保留待证实状态，并关联补证任务。</w:t>
      </w:r>
    </w:p>
    <w:p>
      <w:pPr>
        <w:spacing w:line="400" w:lineRule="exact"/>
        <w:jc w:val="both"/>
      </w:pPr>
      <w:r>
        <w:t>更正下游版本引用并核查已经产生的业务结果，涉及实物影响时由业务岗位组织处置，数据修复与实物处置分别留痕。</w:t>
      </w:r>
    </w:p>
    <w:p>
      <w:pPr>
        <w:pStyle w:val="Heading3"/>
      </w:pPr>
      <w:r>
        <w:t>3.5.4 设计对象与配置关系唯一规则</w:t>
      </w:r>
    </w:p>
    <w:p>
      <w:pPr>
        <w:spacing w:line="400" w:lineRule="exact"/>
        <w:jc w:val="both"/>
      </w:pPr>
      <w:r>
        <w:t>规则编号：DQ-R-RD-UQ-0001。对应需求：DQ-N-RD-0004。判定维度：唯一性。</w:t>
      </w:r>
    </w:p>
    <w:p>
      <w:pPr>
        <w:spacing w:line="400" w:lineRule="exact"/>
        <w:jc w:val="both"/>
      </w:pPr>
      <w:r>
        <w:t>检查正式文档标识的重复和结构实例键冲突，区分文档副本、合法引用与独立设计对象；对版本生效范围重叠的记录进行业务核查。</w:t>
      </w:r>
    </w:p>
    <w:p>
      <w:pPr>
        <w:spacing w:line="400" w:lineRule="exact"/>
        <w:jc w:val="both"/>
      </w:pPr>
      <w:r>
        <w:t>统计单位为经业务确认的复合键组及组内冗余记录，分别统计。规则命中证据包括重复键、组内全部对象、业务身份确认及引用关系。不通过对象形成候选问题，依据不足的对象保留待证实状态，并关联补证任务。</w:t>
      </w:r>
    </w:p>
    <w:p>
      <w:pPr>
        <w:spacing w:line="400" w:lineRule="exact"/>
        <w:jc w:val="both"/>
      </w:pPr>
      <w:r>
        <w:t>确认权威对象和引用后整理副本与冲突标识，保留结构位置和数量，复查总成结构及下游用量。</w:t>
      </w:r>
    </w:p>
    <w:p>
      <w:pPr>
        <w:pStyle w:val="Heading3"/>
      </w:pPr>
      <w:r>
        <w:t>3.5.5 设计更改传递及时规则</w:t>
      </w:r>
    </w:p>
    <w:p>
      <w:pPr>
        <w:spacing w:line="400" w:lineRule="exact"/>
        <w:jc w:val="both"/>
      </w:pPr>
      <w:r>
        <w:t>规则编号：DQ-R-RD-TM-0001。对应需求：DQ-N-RD-0005。判定维度：及时性。</w:t>
      </w:r>
    </w:p>
    <w:p>
      <w:pPr>
        <w:spacing w:line="400" w:lineRule="exact"/>
        <w:jc w:val="both"/>
      </w:pPr>
      <w:r>
        <w:t>记录批准、发布、生效和下游接收时间，按更改单要求检查传递与接收，不仅检查接口到达。生效前未完成必要接收的对象列入使用限制。</w:t>
      </w:r>
    </w:p>
    <w:p>
      <w:pPr>
        <w:spacing w:line="400" w:lineRule="exact"/>
        <w:jc w:val="both"/>
      </w:pPr>
      <w:r>
        <w:t>统计单位为具有明确起算事件和业务时限的事件或对象。规则命中证据包括业务起算时间、规定截止时间、实际到达时间和时间来源。不通过对象形成候选问题，依据不足的对象保留待证实状态，并关联补证任务。</w:t>
      </w:r>
    </w:p>
    <w:p>
      <w:pPr>
        <w:spacing w:line="400" w:lineRule="exact"/>
        <w:jc w:val="both"/>
      </w:pPr>
      <w:r>
        <w:t>修复传递机制并补充业务接收确认，核查变更期间执行的工单及检验任务，保持历史责任证据。</w:t>
      </w:r>
    </w:p>
    <w:p>
      <w:pPr>
        <w:pStyle w:val="Heading3"/>
      </w:pPr>
      <w:r>
        <w:t>3.5.6 设计属性与结构约束有效规则</w:t>
      </w:r>
    </w:p>
    <w:p>
      <w:pPr>
        <w:spacing w:line="400" w:lineRule="exact"/>
        <w:jc w:val="both"/>
      </w:pPr>
      <w:r>
        <w:t>规则编号：DQ-R-RD-VA-0001。对应需求：DQ-N-RD-0006。判定维度：有效性。</w:t>
      </w:r>
    </w:p>
    <w:p>
      <w:pPr>
        <w:spacing w:line="400" w:lineRule="exact"/>
        <w:jc w:val="both"/>
      </w:pPr>
      <w:r>
        <w:t>执行代码引用、单位维度、公差上下限和结构约束检查，识别循环结构、非法状态及不允许的参数组合；专业规则关联批准标准版本。</w:t>
      </w:r>
    </w:p>
    <w:p>
      <w:pPr>
        <w:spacing w:line="400" w:lineRule="exact"/>
        <w:jc w:val="both"/>
      </w:pPr>
      <w:r>
        <w:t>统计单位为满足适用前提的属性、状态迁移或参数组合。规则命中证据包括有效标准或代码集、适用对象、实际取值及违反条件。不通过对象形成候选问题，依据不足的对象保留待证实状态，并关联补证任务。</w:t>
      </w:r>
    </w:p>
    <w:p>
      <w:pPr>
        <w:spacing w:line="400" w:lineRule="exact"/>
        <w:jc w:val="both"/>
      </w:pPr>
      <w:r>
        <w:t>纠正字段或配置规则，按批准流程重新确认正式版本，检查对知识抽取和工艺引用的影响。</w:t>
      </w:r>
    </w:p>
    <w:p>
      <w:pPr>
        <w:pStyle w:val="Heading2"/>
      </w:pPr>
      <w:r>
        <w:t>3.6 生产制造校验规则</w:t>
      </w:r>
    </w:p>
    <w:p>
      <w:pPr>
        <w:spacing w:line="400" w:lineRule="exact"/>
        <w:jc w:val="both"/>
      </w:pPr>
      <w:r>
        <w:t>本组规则由生产管理岗位会同工艺、班组和过程采集技术岗位承担业务确认和整改结果接收，技术岗位负责配置与运行，质量岗位承担独立复核。对象范围为生产计划、工单、工序执行、实物批次及过程曲线。</w:t>
      </w:r>
    </w:p>
    <w:p>
      <w:pPr>
        <w:pStyle w:val="Heading3"/>
      </w:pPr>
      <w:r>
        <w:t>3.6.1 生产工序与过程记录完整规则</w:t>
      </w:r>
    </w:p>
    <w:p>
      <w:pPr>
        <w:spacing w:line="400" w:lineRule="exact"/>
        <w:jc w:val="both"/>
      </w:pPr>
      <w:r>
        <w:t>规则编号：DQ-R-MF-CP-0001。对应需求：DQ-N-MF-0001。判定维度：完整性。</w:t>
      </w:r>
    </w:p>
    <w:p>
      <w:pPr>
        <w:spacing w:line="400" w:lineRule="exact"/>
        <w:jc w:val="both"/>
      </w:pPr>
      <w:r>
        <w:t>按工单工艺路线生成应有工序集合，核对报工、关键参数和实物批次关联；时序完整性按应采区间及采样策略检查间断，分别统计对象缺失与区间缺口。</w:t>
      </w:r>
    </w:p>
    <w:p>
      <w:pPr>
        <w:spacing w:line="400" w:lineRule="exact"/>
        <w:jc w:val="both"/>
      </w:pPr>
      <w:r>
        <w:t>统计单位为应具备相应信息的业务对象、必要属性或关联实例，三者分别计量。规则命中证据包括应有对象或字段清单、实际缺失位置及业务适用条件。不通过对象形成候选问题，依据不足的对象保留待证实状态，并关联补证任务。</w:t>
      </w:r>
    </w:p>
    <w:p>
      <w:pPr>
        <w:spacing w:line="400" w:lineRule="exact"/>
        <w:jc w:val="both"/>
      </w:pPr>
      <w:r>
        <w:t>补充合法可核实的执行记录，无法恢复的过程区间标记受限，修复采集链路并核查涉及批次的质量判定。</w:t>
      </w:r>
    </w:p>
    <w:p>
      <w:pPr>
        <w:pStyle w:val="Heading3"/>
      </w:pPr>
      <w:r>
        <w:t>3.6.2 生产数量与过程参数准确规则</w:t>
      </w:r>
    </w:p>
    <w:p>
      <w:pPr>
        <w:spacing w:line="400" w:lineRule="exact"/>
        <w:jc w:val="both"/>
      </w:pPr>
      <w:r>
        <w:t>规则编号：DQ-R-MF-AC-0001。对应需求：DQ-N-MF-0002。判定维度：准确性。</w:t>
      </w:r>
    </w:p>
    <w:p>
      <w:pPr>
        <w:spacing w:line="400" w:lineRule="exact"/>
        <w:jc w:val="both"/>
      </w:pPr>
      <w:r>
        <w:t>对报工数量与领料、转序及检验记录开展有条件核对，对关键曲线与采集原值和校准信息核验；温度、压力、电流等参数按工艺阶段使用实际依据判断。</w:t>
      </w:r>
    </w:p>
    <w:p>
      <w:pPr>
        <w:spacing w:line="400" w:lineRule="exact"/>
        <w:jc w:val="both"/>
      </w:pPr>
      <w:r>
        <w:t>统计单位为具有可取得核验依据的业务对象；人工抽查另列抽查总体、抽取量及可判定量。规则命中证据包括原始凭据或受控引用、实际值、核验方法及差异位置。不通过对象形成候选问题，依据不足的对象保留待证实状态，并关联补证任务。</w:t>
      </w:r>
    </w:p>
    <w:p>
      <w:pPr>
        <w:spacing w:line="400" w:lineRule="exact"/>
        <w:jc w:val="both"/>
      </w:pPr>
      <w:r>
        <w:t>纠正录入或转换问题，保留原采集值及校正依据，复核受影响的过程判断、质量分析和数据集样本。</w:t>
      </w:r>
    </w:p>
    <w:p>
      <w:pPr>
        <w:pStyle w:val="Heading3"/>
      </w:pPr>
      <w:r>
        <w:t>3.6.3 工单批次与工艺关联一致规则</w:t>
      </w:r>
    </w:p>
    <w:p>
      <w:pPr>
        <w:spacing w:line="400" w:lineRule="exact"/>
        <w:jc w:val="both"/>
      </w:pPr>
      <w:r>
        <w:t>规则编号：DQ-R-MF-CS-0001。对应需求：DQ-N-MF-0003。判定维度：一致性。</w:t>
      </w:r>
    </w:p>
    <w:p>
      <w:pPr>
        <w:spacing w:line="400" w:lineRule="exact"/>
        <w:jc w:val="both"/>
      </w:pPr>
      <w:r>
        <w:t>按工单、批次和工序实例连接计划与执行，核验投产版本、参数设定、设备引用和转序关系；跨源比较前统一状态含义、单位与时间窗口。</w:t>
      </w:r>
    </w:p>
    <w:p>
      <w:pPr>
        <w:spacing w:line="400" w:lineRule="exact"/>
        <w:jc w:val="both"/>
      </w:pPr>
      <w:r>
        <w:t>统计单位为在同一时间、状态和口径下应形成对应的关联实例。规则命中证据包括参与比较的各来源版本、对齐条件、映射及差异对象。不通过对象形成候选问题，依据不足的对象保留待证实状态，并关联补证任务。</w:t>
      </w:r>
    </w:p>
    <w:p>
      <w:pPr>
        <w:spacing w:line="400" w:lineRule="exact"/>
        <w:jc w:val="both"/>
      </w:pPr>
      <w:r>
        <w:t>修复关联键或映射，重新计算受影响的产量、工时和质量追溯关系，核对物料与实物边界。</w:t>
      </w:r>
    </w:p>
    <w:p>
      <w:pPr>
        <w:pStyle w:val="Heading3"/>
      </w:pPr>
      <w:r>
        <w:t>3.6.4 生产事件与实物标识唯一规则</w:t>
      </w:r>
    </w:p>
    <w:p>
      <w:pPr>
        <w:spacing w:line="400" w:lineRule="exact"/>
        <w:jc w:val="both"/>
      </w:pPr>
      <w:r>
        <w:t>规则编号：DQ-R-MF-UQ-0001。对应需求：DQ-N-MF-0004。判定维度：唯一性。</w:t>
      </w:r>
    </w:p>
    <w:p>
      <w:pPr>
        <w:spacing w:line="400" w:lineRule="exact"/>
        <w:jc w:val="both"/>
      </w:pPr>
      <w:r>
        <w:t>优先使用源事件标识及版本进行幂等检查；缺少稳定标识时按经确认的复合键和内容摘要识别疑似重复，并核查事件类型与修正关系。</w:t>
      </w:r>
    </w:p>
    <w:p>
      <w:pPr>
        <w:spacing w:line="400" w:lineRule="exact"/>
        <w:jc w:val="both"/>
      </w:pPr>
      <w:r>
        <w:t>统计单位为经业务确认的复合键组及组内冗余记录，分别统计。规则命中证据包括重复键、组内全部对象、业务身份确认及引用关系。不通过对象形成候选问题，依据不足的对象保留待证实状态，并关联补证任务。</w:t>
      </w:r>
    </w:p>
    <w:p>
      <w:pPr>
        <w:spacing w:line="400" w:lineRule="exact"/>
        <w:jc w:val="both"/>
      </w:pPr>
      <w:r>
        <w:t>修复重放和幂等配置，重算重复影响的数量及指标，保留被替代事件的映射和审计记录。</w:t>
      </w:r>
    </w:p>
    <w:p>
      <w:pPr>
        <w:pStyle w:val="Heading3"/>
      </w:pPr>
      <w:r>
        <w:t>3.6.5 生产状态与过程数据及时到达规则</w:t>
      </w:r>
    </w:p>
    <w:p>
      <w:pPr>
        <w:spacing w:line="400" w:lineRule="exact"/>
        <w:jc w:val="both"/>
      </w:pPr>
      <w:r>
        <w:t>规则编号：DQ-R-MF-TM-0001。对应需求：DQ-N-MF-0005。判定维度：及时性。</w:t>
      </w:r>
    </w:p>
    <w:p>
      <w:pPr>
        <w:spacing w:line="400" w:lineRule="exact"/>
        <w:jc w:val="both"/>
      </w:pPr>
      <w:r>
        <w:t>以设备事件时间或经核实的业务发生时间为起点，比较源端、采集层和服务层到达时间，分解各段延迟；检查水位及迟到对象对已发布窗口的影响。</w:t>
      </w:r>
    </w:p>
    <w:p>
      <w:pPr>
        <w:spacing w:line="400" w:lineRule="exact"/>
        <w:jc w:val="both"/>
      </w:pPr>
      <w:r>
        <w:t>统计单位为具有明确起算事件和业务时限的事件或对象。规则命中证据包括业务起算时间、规定截止时间、实际到达时间和时间来源。不通过对象形成候选问题，依据不足的对象保留待证实状态，并关联补证任务。</w:t>
      </w:r>
    </w:p>
    <w:p>
      <w:pPr>
        <w:spacing w:line="400" w:lineRule="exact"/>
        <w:jc w:val="both"/>
      </w:pPr>
      <w:r>
        <w:t>恢复采集并按受控方式补传，对已形成的生产统计和数据集版本评估重算或重新发布需求。</w:t>
      </w:r>
    </w:p>
    <w:p>
      <w:pPr>
        <w:pStyle w:val="Heading3"/>
      </w:pPr>
      <w:r>
        <w:t>3.6.6 生产状态与工艺参数有效规则</w:t>
      </w:r>
    </w:p>
    <w:p>
      <w:pPr>
        <w:spacing w:line="400" w:lineRule="exact"/>
        <w:jc w:val="both"/>
      </w:pPr>
      <w:r>
        <w:t>规则编号：DQ-R-MF-VA-0001。对应需求：DQ-N-MF-0006。判定维度：有效性。</w:t>
      </w:r>
    </w:p>
    <w:p>
      <w:pPr>
        <w:spacing w:line="400" w:lineRule="exact"/>
        <w:jc w:val="both"/>
      </w:pPr>
      <w:r>
        <w:t>校验状态迁移、必要前置条件、单位和参数上下限，按有效工艺配置检查保温、升温或焊接过程约束；缺失工艺依据时列待证实并限制相关结论。</w:t>
      </w:r>
    </w:p>
    <w:p>
      <w:pPr>
        <w:spacing w:line="400" w:lineRule="exact"/>
        <w:jc w:val="both"/>
      </w:pPr>
      <w:r>
        <w:t>统计单位为满足适用前提的属性、状态迁移或参数组合。规则命中证据包括有效标准或代码集、适用对象、实际取值及违反条件。不通过对象形成候选问题，依据不足的对象保留待证实状态，并关联补证任务。</w:t>
      </w:r>
    </w:p>
    <w:p>
      <w:pPr>
        <w:spacing w:line="400" w:lineRule="exact"/>
        <w:jc w:val="both"/>
      </w:pPr>
      <w:r>
        <w:t>更正错误状态或参数映射，专业岗位判断实物影响，完成必要工艺与质量处置后再确认数据用途。</w:t>
      </w:r>
    </w:p>
    <w:p>
      <w:pPr>
        <w:pStyle w:val="Heading2"/>
      </w:pPr>
      <w:r>
        <w:t>3.7 仓储物流校验规则</w:t>
      </w:r>
    </w:p>
    <w:p>
      <w:pPr>
        <w:spacing w:line="400" w:lineRule="exact"/>
        <w:jc w:val="both"/>
      </w:pPr>
      <w:r>
        <w:t>本组规则由仓储物流岗位会同物料、生产和财务责任岗位承担业务确认和整改结果接收，技术岗位负责配置与运行，质量岗位承担独立复核。对象范围为库存余额、出入库凭证、批次库位及运输交接。</w:t>
      </w:r>
    </w:p>
    <w:p>
      <w:pPr>
        <w:pStyle w:val="Heading3"/>
      </w:pPr>
      <w:r>
        <w:t>3.7.1 出入库与批次去向完整规则</w:t>
      </w:r>
    </w:p>
    <w:p>
      <w:pPr>
        <w:spacing w:line="400" w:lineRule="exact"/>
        <w:jc w:val="both"/>
      </w:pPr>
      <w:r>
        <w:t>规则编号：DQ-R-WL-CP-0001。对应需求：DQ-N-WL-0001。判定维度：完整性。</w:t>
      </w:r>
    </w:p>
    <w:p>
      <w:pPr>
        <w:spacing w:line="400" w:lineRule="exact"/>
        <w:jc w:val="both"/>
      </w:pPr>
      <w:r>
        <w:t>从实际应形成的收发和调整事件核对必要字段与上下游凭证，识别有业务量无凭据、有凭据无必要明细及批次去向不明；按适用追溯粒度分别统计。</w:t>
      </w:r>
    </w:p>
    <w:p>
      <w:pPr>
        <w:spacing w:line="400" w:lineRule="exact"/>
        <w:jc w:val="both"/>
      </w:pPr>
      <w:r>
        <w:t>统计单位为应具备相应信息的业务对象、必要属性或关联实例，三者分别计量。规则命中证据包括应有对象或字段清单、实际缺失位置及业务适用条件。不通过对象形成候选问题，依据不足的对象保留待证实状态，并关联补证任务。</w:t>
      </w:r>
    </w:p>
    <w:p>
      <w:pPr>
        <w:spacing w:line="400" w:lineRule="exact"/>
        <w:jc w:val="both"/>
      </w:pPr>
      <w:r>
        <w:t>依据实际交接和单据补齐关联，不能凭账面平衡虚构收发事件，无法确认去向的对象保持异常状态。</w:t>
      </w:r>
    </w:p>
    <w:p>
      <w:pPr>
        <w:pStyle w:val="Heading3"/>
      </w:pPr>
      <w:r>
        <w:t>3.7.2 库存数量与物料属性准确规则</w:t>
      </w:r>
    </w:p>
    <w:p>
      <w:pPr>
        <w:spacing w:line="400" w:lineRule="exact"/>
        <w:jc w:val="both"/>
      </w:pPr>
      <w:r>
        <w:t>规则编号：DQ-R-WL-AC-0001。对应需求：DQ-N-WL-0002。判定维度：准确性。</w:t>
      </w:r>
    </w:p>
    <w:p>
      <w:pPr>
        <w:spacing w:line="400" w:lineRule="exact"/>
        <w:jc w:val="both"/>
      </w:pPr>
      <w:r>
        <w:t>以同一盘点时点和状态范围对账，确认计量单位与换算依据；对差异核查凭证和实物，区分业务损耗、计量差异、登记错误和时间差。</w:t>
      </w:r>
    </w:p>
    <w:p>
      <w:pPr>
        <w:spacing w:line="400" w:lineRule="exact"/>
        <w:jc w:val="both"/>
      </w:pPr>
      <w:r>
        <w:t>统计单位为具有可取得核验依据的业务对象；人工抽查另列抽查总体、抽取量及可判定量。规则命中证据包括原始凭据或受控引用、实际值、核验方法及差异位置。不通过对象形成候选问题，依据不足的对象保留待证实状态，并关联补证任务。</w:t>
      </w:r>
    </w:p>
    <w:p>
      <w:pPr>
        <w:spacing w:line="400" w:lineRule="exact"/>
        <w:jc w:val="both"/>
      </w:pPr>
      <w:r>
        <w:t>按批准的盘点或业务调整流程处理实际差异，修正登记错误并复核相关库存、成本和供需计划。</w:t>
      </w:r>
    </w:p>
    <w:p>
      <w:pPr>
        <w:pStyle w:val="Heading3"/>
      </w:pPr>
      <w:r>
        <w:t>3.7.3 库存账与流转凭据一致规则</w:t>
      </w:r>
    </w:p>
    <w:p>
      <w:pPr>
        <w:spacing w:line="400" w:lineRule="exact"/>
        <w:jc w:val="both"/>
      </w:pPr>
      <w:r>
        <w:t>规则编号：DQ-R-WL-CS-0001。对应需求：DQ-N-WL-0003。判定维度：一致性。</w:t>
      </w:r>
    </w:p>
    <w:p>
      <w:pPr>
        <w:spacing w:line="400" w:lineRule="exact"/>
        <w:jc w:val="both"/>
      </w:pPr>
      <w:r>
        <w:t>将期初、入库、出库、调整和期末在统一口径下核对，跨系统按完整维度对齐；输出缺单、重复单、数量差和状态映射差，不只给出总额差。</w:t>
      </w:r>
    </w:p>
    <w:p>
      <w:pPr>
        <w:spacing w:line="400" w:lineRule="exact"/>
        <w:jc w:val="both"/>
      </w:pPr>
      <w:r>
        <w:t>统计单位为在同一时间、状态和口径下应形成对应的关联实例。规则命中证据包括参与比较的各来源版本、对齐条件、映射及差异对象。不通过对象形成候选问题，依据不足的对象保留待证实状态，并关联补证任务。</w:t>
      </w:r>
    </w:p>
    <w:p>
      <w:pPr>
        <w:spacing w:line="400" w:lineRule="exact"/>
        <w:jc w:val="both"/>
      </w:pPr>
      <w:r>
        <w:t>修复凭据同步或口径映射，重算受影响余额，业务调整与技术重算保持各自审批和证据。</w:t>
      </w:r>
    </w:p>
    <w:p>
      <w:pPr>
        <w:pStyle w:val="Heading3"/>
      </w:pPr>
      <w:r>
        <w:t>3.7.4 物流凭证与库存身份唯一规则</w:t>
      </w:r>
    </w:p>
    <w:p>
      <w:pPr>
        <w:spacing w:line="400" w:lineRule="exact"/>
        <w:jc w:val="both"/>
      </w:pPr>
      <w:r>
        <w:t>规则编号：DQ-R-WL-UQ-0001。对应需求：DQ-N-WL-0004。判定维度：唯一性。</w:t>
      </w:r>
    </w:p>
    <w:p>
      <w:pPr>
        <w:spacing w:line="400" w:lineRule="exact"/>
        <w:jc w:val="both"/>
      </w:pPr>
      <w:r>
        <w:t>按来源单据、行号、动作类型和版本校验幂等，再检查库存复合键冲突；相同物料同日多次收发按不同事件保留。</w:t>
      </w:r>
    </w:p>
    <w:p>
      <w:pPr>
        <w:spacing w:line="400" w:lineRule="exact"/>
        <w:jc w:val="both"/>
      </w:pPr>
      <w:r>
        <w:t>统计单位为经业务确认的复合键组及组内冗余记录，分别统计。规则命中证据包括重复键、组内全部对象、业务身份确认及引用关系。不通过对象形成候选问题，依据不足的对象保留待证实状态，并关联补证任务。</w:t>
      </w:r>
    </w:p>
    <w:p>
      <w:pPr>
        <w:spacing w:line="400" w:lineRule="exact"/>
        <w:jc w:val="both"/>
      </w:pPr>
      <w:r>
        <w:t>修复重复记账来源并通过受控流程纠正影响，核对总量、明细和下游消耗是否同步恢复。</w:t>
      </w:r>
    </w:p>
    <w:p>
      <w:pPr>
        <w:pStyle w:val="Heading3"/>
      </w:pPr>
      <w:r>
        <w:t>3.7.5 库存变动与物流状态及时规则</w:t>
      </w:r>
    </w:p>
    <w:p>
      <w:pPr>
        <w:spacing w:line="400" w:lineRule="exact"/>
        <w:jc w:val="both"/>
      </w:pPr>
      <w:r>
        <w:t>规则编号：DQ-R-WL-TM-0001。对应需求：DQ-N-WL-0005。判定维度：及时性。</w:t>
      </w:r>
    </w:p>
    <w:p>
      <w:pPr>
        <w:spacing w:line="400" w:lineRule="exact"/>
        <w:jc w:val="both"/>
      </w:pPr>
      <w:r>
        <w:t>分别记录实物交接、凭证登记、接口到达和服务更新时间，识别积压、迟到及断档；对已发布库存快照评估迟到事件是否需要后继修订。</w:t>
      </w:r>
    </w:p>
    <w:p>
      <w:pPr>
        <w:spacing w:line="400" w:lineRule="exact"/>
        <w:jc w:val="both"/>
      </w:pPr>
      <w:r>
        <w:t>统计单位为具有明确起算事件和业务时限的事件或对象。规则命中证据包括业务起算时间、规定截止时间、实际到达时间和时间来源。不通过对象形成候选问题，依据不足的对象保留待证实状态，并关联补证任务。</w:t>
      </w:r>
    </w:p>
    <w:p>
      <w:pPr>
        <w:spacing w:line="400" w:lineRule="exact"/>
        <w:jc w:val="both"/>
      </w:pPr>
      <w:r>
        <w:t>恢复同步、补齐凭证并通知受影响使用方，重算相应库存和计划结果，保留旧快照及修订关系。</w:t>
      </w:r>
    </w:p>
    <w:p>
      <w:pPr>
        <w:pStyle w:val="Heading3"/>
      </w:pPr>
      <w:r>
        <w:t>3.7.6 库存状态与计量关系有效规则</w:t>
      </w:r>
    </w:p>
    <w:p>
      <w:pPr>
        <w:spacing w:line="400" w:lineRule="exact"/>
        <w:jc w:val="both"/>
      </w:pPr>
      <w:r>
        <w:t>规则编号：DQ-R-WL-VA-0001。对应需求：DQ-N-WL-0006。判定维度：有效性。</w:t>
      </w:r>
    </w:p>
    <w:p>
      <w:pPr>
        <w:spacing w:line="400" w:lineRule="exact"/>
        <w:jc w:val="both"/>
      </w:pPr>
      <w:r>
        <w:t>检查代码有效期、库位适用、单位维度、换算精度和状态迁移；对违反允许库存规则或处于不允许使用状态的对象形成限制。</w:t>
      </w:r>
    </w:p>
    <w:p>
      <w:pPr>
        <w:spacing w:line="400" w:lineRule="exact"/>
        <w:jc w:val="both"/>
      </w:pPr>
      <w:r>
        <w:t>统计单位为满足适用前提的属性、状态迁移或参数组合。规则命中证据包括有效标准或代码集、适用对象、实际取值及违反条件。不通过对象形成候选问题，依据不足的对象保留待证实状态，并关联补证任务。</w:t>
      </w:r>
    </w:p>
    <w:p>
      <w:pPr>
        <w:spacing w:line="400" w:lineRule="exact"/>
        <w:jc w:val="both"/>
      </w:pPr>
      <w:r>
        <w:t>更正错误属性或换算配置，复核全部受影响余额与领用结果，完成必要业务处置后恢复供给。</w:t>
      </w:r>
    </w:p>
    <w:p>
      <w:pPr>
        <w:pStyle w:val="Heading2"/>
      </w:pPr>
      <w:r>
        <w:t>3.8 财务管理校验规则</w:t>
      </w:r>
    </w:p>
    <w:p>
      <w:pPr>
        <w:spacing w:line="400" w:lineRule="exact"/>
        <w:jc w:val="both"/>
      </w:pPr>
      <w:r>
        <w:t>本组规则由财务责任岗位会同相关业务部门及系统管理岗位承担业务确认和整改结果接收，技术岗位负责配置与运行，质量岗位承担独立复核。对象范围为业务凭据、会计凭证、结算金额、成本与期间报表。</w:t>
      </w:r>
    </w:p>
    <w:p>
      <w:pPr>
        <w:pStyle w:val="Heading3"/>
      </w:pPr>
      <w:r>
        <w:t>3.8.1 财务凭证与业务依据完整规则</w:t>
      </w:r>
    </w:p>
    <w:p>
      <w:pPr>
        <w:spacing w:line="400" w:lineRule="exact"/>
        <w:jc w:val="both"/>
      </w:pPr>
      <w:r>
        <w:t>规则编号：DQ-R-FI-CP-0001。对应需求：DQ-N-FI-0001。判定维度：完整性。</w:t>
      </w:r>
    </w:p>
    <w:p>
      <w:pPr>
        <w:spacing w:line="400" w:lineRule="exact"/>
        <w:jc w:val="both"/>
      </w:pPr>
      <w:r>
        <w:t>以应形成的凭证和结算事项核对必要字段、分录及来源关系，检查附件引用可取得性；涉及无须附件或汇总凭证的情形按批准制度判断。</w:t>
      </w:r>
    </w:p>
    <w:p>
      <w:pPr>
        <w:spacing w:line="400" w:lineRule="exact"/>
        <w:jc w:val="both"/>
      </w:pPr>
      <w:r>
        <w:t>统计单位为应具备相应信息的业务对象、必要属性或关联实例，三者分别计量。规则命中证据包括应有对象或字段清单、实际缺失位置及业务适用条件。不通过对象形成候选问题，依据不足的对象保留待证实状态，并关联补证任务。</w:t>
      </w:r>
    </w:p>
    <w:p>
      <w:pPr>
        <w:spacing w:line="400" w:lineRule="exact"/>
        <w:jc w:val="both"/>
      </w:pPr>
      <w:r>
        <w:t>由有权财务岗位补齐合法依据或纠正关联，不通过技术补值伪造凭证和审批过程。</w:t>
      </w:r>
    </w:p>
    <w:p>
      <w:pPr>
        <w:pStyle w:val="Heading3"/>
      </w:pPr>
      <w:r>
        <w:t>3.8.2 金额税额与成本计算准确规则</w:t>
      </w:r>
    </w:p>
    <w:p>
      <w:pPr>
        <w:spacing w:line="400" w:lineRule="exact"/>
        <w:jc w:val="both"/>
      </w:pPr>
      <w:r>
        <w:t>规则编号：DQ-R-FI-AC-0001。对应需求：DQ-N-FI-0002。判定维度：准确性。</w:t>
      </w:r>
    </w:p>
    <w:p>
      <w:pPr>
        <w:spacing w:line="400" w:lineRule="exact"/>
        <w:jc w:val="both"/>
      </w:pPr>
      <w:r>
        <w:t>对关键计算重算并核查输入依据，比较含税不含税口径、汇率日期和分配基础；输出差异到凭证行和计算步骤，不以整体平衡证明明细准确。</w:t>
      </w:r>
    </w:p>
    <w:p>
      <w:pPr>
        <w:spacing w:line="400" w:lineRule="exact"/>
        <w:jc w:val="both"/>
      </w:pPr>
      <w:r>
        <w:t>统计单位为具有可取得核验依据的业务对象；人工抽查另列抽查总体、抽取量及可判定量。规则命中证据包括原始凭据或受控引用、实际值、核验方法及差异位置。不通过对象形成候选问题，依据不足的对象保留待证实状态，并关联补证任务。</w:t>
      </w:r>
    </w:p>
    <w:p>
      <w:pPr>
        <w:spacing w:line="400" w:lineRule="exact"/>
        <w:jc w:val="both"/>
      </w:pPr>
      <w:r>
        <w:t>由财务岗位确认修正方式，涉及已记账凭证按正式更正流程执行，技术平台保留原始及后继计算结果。</w:t>
      </w:r>
    </w:p>
    <w:p>
      <w:pPr>
        <w:pStyle w:val="Heading3"/>
      </w:pPr>
      <w:r>
        <w:t>3.8.3 财务与业务记录口径一致规则</w:t>
      </w:r>
    </w:p>
    <w:p>
      <w:pPr>
        <w:spacing w:line="400" w:lineRule="exact"/>
        <w:jc w:val="both"/>
      </w:pPr>
      <w:r>
        <w:t>规则编号：DQ-R-FI-CS-0001。对应需求：DQ-N-FI-0003。判定维度：一致性。</w:t>
      </w:r>
    </w:p>
    <w:p>
      <w:pPr>
        <w:spacing w:line="400" w:lineRule="exact"/>
        <w:jc w:val="both"/>
      </w:pPr>
      <w:r>
        <w:t>按合同或业务凭据建立对应，分层核对数量、金额与状态；差异按时点、确认政策、映射及错误分类，先完成口径对齐再判断数据一致性。</w:t>
      </w:r>
    </w:p>
    <w:p>
      <w:pPr>
        <w:spacing w:line="400" w:lineRule="exact"/>
        <w:jc w:val="both"/>
      </w:pPr>
      <w:r>
        <w:t>统计单位为在同一时间、状态和口径下应形成对应的关联实例。规则命中证据包括参与比较的各来源版本、对齐条件、映射及差异对象。不通过对象形成候选问题，依据不足的对象保留待证实状态，并关联补证任务。</w:t>
      </w:r>
    </w:p>
    <w:p>
      <w:pPr>
        <w:spacing w:line="400" w:lineRule="exact"/>
        <w:jc w:val="both"/>
      </w:pPr>
      <w:r>
        <w:t>纠正映射或业务记录错误，更新受影响成本和分析指标，对合法差异保留清晰解释及后续结清关系。</w:t>
      </w:r>
    </w:p>
    <w:p>
      <w:pPr>
        <w:pStyle w:val="Heading3"/>
      </w:pPr>
      <w:r>
        <w:t>3.8.4 凭证与结算记录唯一规则</w:t>
      </w:r>
    </w:p>
    <w:p>
      <w:pPr>
        <w:spacing w:line="400" w:lineRule="exact"/>
        <w:jc w:val="both"/>
      </w:pPr>
      <w:r>
        <w:t>规则编号：DQ-R-FI-UQ-0001。对应需求：DQ-N-FI-0004。判定维度：唯一性。</w:t>
      </w:r>
    </w:p>
    <w:p>
      <w:pPr>
        <w:spacing w:line="400" w:lineRule="exact"/>
        <w:jc w:val="both"/>
      </w:pPr>
      <w:r>
        <w:t>检查凭证复合键、源事件标识和导入批次幂等，识别重复导入与相互冲突版本；结算记录按实际单据粒度核查。</w:t>
      </w:r>
    </w:p>
    <w:p>
      <w:pPr>
        <w:spacing w:line="400" w:lineRule="exact"/>
        <w:jc w:val="both"/>
      </w:pPr>
      <w:r>
        <w:t>统计单位为经业务确认的复合键组及组内冗余记录，分别统计。规则命中证据包括重复键、组内全部对象、业务身份确认及引用关系。不通过对象形成候选问题，依据不足的对象保留待证实状态，并关联补证任务。</w:t>
      </w:r>
    </w:p>
    <w:p>
      <w:pPr>
        <w:spacing w:line="400" w:lineRule="exact"/>
        <w:jc w:val="both"/>
      </w:pPr>
      <w:r>
        <w:t>修复导入或同步机制，按有权流程处理财务影响，复核下游汇总与报表并保留追溯关系。</w:t>
      </w:r>
    </w:p>
    <w:p>
      <w:pPr>
        <w:pStyle w:val="Heading3"/>
      </w:pPr>
      <w:r>
        <w:t>3.8.5 财务期间数据及时形成规则</w:t>
      </w:r>
    </w:p>
    <w:p>
      <w:pPr>
        <w:spacing w:line="400" w:lineRule="exact"/>
        <w:jc w:val="both"/>
      </w:pPr>
      <w:r>
        <w:t>规则编号：DQ-R-FI-TM-0001。对应需求：DQ-N-FI-0005。判定维度：及时性。</w:t>
      </w:r>
    </w:p>
    <w:p>
      <w:pPr>
        <w:spacing w:line="400" w:lineRule="exact"/>
        <w:jc w:val="both"/>
      </w:pPr>
      <w:r>
        <w:t>比较规定完成节点、实际登记和下游可用时间，区分业务处理延迟与接口同步延迟；按期间检查必要数据是否齐备。</w:t>
      </w:r>
    </w:p>
    <w:p>
      <w:pPr>
        <w:spacing w:line="400" w:lineRule="exact"/>
        <w:jc w:val="both"/>
      </w:pPr>
      <w:r>
        <w:t>统计单位为具有明确起算事件和业务时限的事件或对象。规则命中证据包括业务起算时间、规定截止时间、实际到达时间和时间来源。不通过对象形成候选问题，依据不足的对象保留待证实状态，并关联补证任务。</w:t>
      </w:r>
    </w:p>
    <w:p>
      <w:pPr>
        <w:spacing w:line="400" w:lineRule="exact"/>
        <w:jc w:val="both"/>
      </w:pPr>
      <w:r>
        <w:t>协调补齐业务处理与传输，评价对已形成报表及决策数据的影响，发布后继更正结果并保留原版。</w:t>
      </w:r>
    </w:p>
    <w:p>
      <w:pPr>
        <w:pStyle w:val="Heading3"/>
      </w:pPr>
      <w:r>
        <w:t>3.8.6 科目期间与凭证状态有效规则</w:t>
      </w:r>
    </w:p>
    <w:p>
      <w:pPr>
        <w:spacing w:line="400" w:lineRule="exact"/>
        <w:jc w:val="both"/>
      </w:pPr>
      <w:r>
        <w:t>规则编号：DQ-R-FI-VA-0001。对应需求：DQ-N-FI-0006。判定维度：有效性。</w:t>
      </w:r>
    </w:p>
    <w:p>
      <w:pPr>
        <w:spacing w:line="400" w:lineRule="exact"/>
        <w:jc w:val="both"/>
      </w:pPr>
      <w:r>
        <w:t>核对代码集有效期、期间开放条件、状态迁移和计算约束，对无效科目、失效组织及越权状态引用分别输出。</w:t>
      </w:r>
    </w:p>
    <w:p>
      <w:pPr>
        <w:spacing w:line="400" w:lineRule="exact"/>
        <w:jc w:val="both"/>
      </w:pPr>
      <w:r>
        <w:t>统计单位为满足适用前提的属性、状态迁移或参数组合。规则命中证据包括有效标准或代码集、适用对象、实际取值及违反条件。不通过对象形成候选问题，依据不足的对象保留待证实状态，并关联补证任务。</w:t>
      </w:r>
    </w:p>
    <w:p>
      <w:pPr>
        <w:spacing w:line="400" w:lineRule="exact"/>
        <w:jc w:val="both"/>
      </w:pPr>
      <w:r>
        <w:t>更正配置或有权业务记录，复核权限与审批链，确认财务事实及下游分析均恢复后关闭。</w:t>
      </w:r>
    </w:p>
    <w:p>
      <w:pPr>
        <w:pStyle w:val="Heading2"/>
      </w:pPr>
      <w:r>
        <w:t>3.9 设备管理校验规则</w:t>
      </w:r>
    </w:p>
    <w:p>
      <w:pPr>
        <w:spacing w:line="400" w:lineRule="exact"/>
        <w:jc w:val="both"/>
      </w:pPr>
      <w:r>
        <w:t>本组规则由设备管理岗位会同维护、生产和状态采集岗位承担业务确认和整改结果接收，技术岗位负责配置与运行，质量岗位承担独立复核。对象范围为设备与部件台账、测点、故障、维修及运行状态。</w:t>
      </w:r>
    </w:p>
    <w:p>
      <w:pPr>
        <w:pStyle w:val="Heading3"/>
      </w:pPr>
      <w:r>
        <w:t>3.9.1 设备层级与维修记录完整规则</w:t>
      </w:r>
    </w:p>
    <w:p>
      <w:pPr>
        <w:spacing w:line="400" w:lineRule="exact"/>
        <w:jc w:val="both"/>
      </w:pPr>
      <w:r>
        <w:t>规则编号：DQ-R-EQ-CP-0001。对应需求：DQ-N-EQ-0001。判定维度：完整性。</w:t>
      </w:r>
    </w:p>
    <w:p>
      <w:pPr>
        <w:spacing w:line="400" w:lineRule="exact"/>
        <w:jc w:val="both"/>
      </w:pPr>
      <w:r>
        <w:t>以纳入管理的设备和维修事件为总体，核对必需属性及部件、测点、故障和维修关系；按设备类型区分所需记录，不只检查台账字段是否非空。</w:t>
      </w:r>
    </w:p>
    <w:p>
      <w:pPr>
        <w:spacing w:line="400" w:lineRule="exact"/>
        <w:jc w:val="both"/>
      </w:pPr>
      <w:r>
        <w:t>统计单位为应具备相应信息的业务对象、必要属性或关联实例，三者分别计量。规则命中证据包括应有对象或字段清单、实际缺失位置及业务适用条件。不通过对象形成候选问题，依据不足的对象保留待证实状态，并关联补证任务。</w:t>
      </w:r>
    </w:p>
    <w:p>
      <w:pPr>
        <w:spacing w:line="400" w:lineRule="exact"/>
        <w:jc w:val="both"/>
      </w:pPr>
      <w:r>
        <w:t>核对设备铭牌、维修工单和专业记录补齐信息，无法确认的故障原因保留未知，不编造确定性结论。</w:t>
      </w:r>
    </w:p>
    <w:p>
      <w:pPr>
        <w:pStyle w:val="Heading3"/>
      </w:pPr>
      <w:r>
        <w:t>3.9.2 测点及故障判定准确规则</w:t>
      </w:r>
    </w:p>
    <w:p>
      <w:pPr>
        <w:spacing w:line="400" w:lineRule="exact"/>
        <w:jc w:val="both"/>
      </w:pPr>
      <w:r>
        <w:t>规则编号：DQ-R-EQ-AC-0001。对应需求：DQ-N-EQ-0002。判定维度：准确性。</w:t>
      </w:r>
    </w:p>
    <w:p>
      <w:pPr>
        <w:spacing w:line="400" w:lineRule="exact"/>
        <w:jc w:val="both"/>
      </w:pPr>
      <w:r>
        <w:t>核验测点配置、安装位置、校准及转换规则，对重要故障结合维修发现和专业意见复核；区分原始观测、推断原因和最终确认。</w:t>
      </w:r>
    </w:p>
    <w:p>
      <w:pPr>
        <w:spacing w:line="400" w:lineRule="exact"/>
        <w:jc w:val="both"/>
      </w:pPr>
      <w:r>
        <w:t>统计单位为具有可取得核验依据的业务对象；人工抽查另列抽查总体、抽取量及可判定量。规则命中证据包括原始凭据或受控引用、实际值、核验方法及差异位置。不通过对象形成候选问题，依据不足的对象保留待证实状态，并关联补证任务。</w:t>
      </w:r>
    </w:p>
    <w:p>
      <w:pPr>
        <w:spacing w:line="400" w:lineRule="exact"/>
        <w:jc w:val="both"/>
      </w:pPr>
      <w:r>
        <w:t>更正测点映射或标签，回查同类设备状态分析和刮板输送机健康评估数据，重新验证受影响结论。</w:t>
      </w:r>
    </w:p>
    <w:p>
      <w:pPr>
        <w:pStyle w:val="Heading3"/>
      </w:pPr>
      <w:r>
        <w:t>3.9.3 设备状态与维修事件一致规则</w:t>
      </w:r>
    </w:p>
    <w:p>
      <w:pPr>
        <w:spacing w:line="400" w:lineRule="exact"/>
        <w:jc w:val="both"/>
      </w:pPr>
      <w:r>
        <w:t>规则编号：DQ-R-EQ-CS-0001。对应需求：DQ-N-EQ-0003。判定维度：一致性。</w:t>
      </w:r>
    </w:p>
    <w:p>
      <w:pPr>
        <w:spacing w:line="400" w:lineRule="exact"/>
        <w:jc w:val="both"/>
      </w:pPr>
      <w:r>
        <w:t>对齐设备身份、部件和事件窗口，核查状态变更与维修活动、运行信号的关系；对矛盾状态和时间重叠进行专业确认。</w:t>
      </w:r>
    </w:p>
    <w:p>
      <w:pPr>
        <w:spacing w:line="400" w:lineRule="exact"/>
        <w:jc w:val="both"/>
      </w:pPr>
      <w:r>
        <w:t>统计单位为在同一时间、状态和口径下应形成对应的关联实例。规则命中证据包括参与比较的各来源版本、对齐条件、映射及差异对象。不通过对象形成候选问题，依据不足的对象保留待证实状态，并关联补证任务。</w:t>
      </w:r>
    </w:p>
    <w:p>
      <w:pPr>
        <w:spacing w:line="400" w:lineRule="exact"/>
        <w:jc w:val="both"/>
      </w:pPr>
      <w:r>
        <w:t>修正状态映射及事件关联，保留设备替换历史，复核故障持续时间、可用率和下游标签。</w:t>
      </w:r>
    </w:p>
    <w:p>
      <w:pPr>
        <w:pStyle w:val="Heading3"/>
      </w:pPr>
      <w:r>
        <w:t>3.9.4 设备身份与事件记录唯一规则</w:t>
      </w:r>
    </w:p>
    <w:p>
      <w:pPr>
        <w:spacing w:line="400" w:lineRule="exact"/>
        <w:jc w:val="both"/>
      </w:pPr>
      <w:r>
        <w:t>规则编号：DQ-R-EQ-UQ-0001。对应需求：DQ-N-EQ-0004。判定维度：唯一性。</w:t>
      </w:r>
    </w:p>
    <w:p>
      <w:pPr>
        <w:spacing w:line="400" w:lineRule="exact"/>
        <w:jc w:val="both"/>
      </w:pPr>
      <w:r>
        <w:t>检查设备身份冲突、序列号复用和事件重复，结合设备层级及安装期间核查；告警聚合保留原告警明细和关联依据。</w:t>
      </w:r>
    </w:p>
    <w:p>
      <w:pPr>
        <w:spacing w:line="400" w:lineRule="exact"/>
        <w:jc w:val="both"/>
      </w:pPr>
      <w:r>
        <w:t>统计单位为经业务确认的复合键组及组内冗余记录，分别统计。规则命中证据包括重复键、组内全部对象、业务身份确认及引用关系。不通过对象形成候选问题，依据不足的对象保留待证实状态，并关联补证任务。</w:t>
      </w:r>
    </w:p>
    <w:p>
      <w:pPr>
        <w:spacing w:line="400" w:lineRule="exact"/>
        <w:jc w:val="both"/>
      </w:pPr>
      <w:r>
        <w:t>确认实物身份并修复引用，重新分配误归属的测点和维修记录，复核健康画像及统计。</w:t>
      </w:r>
    </w:p>
    <w:p>
      <w:pPr>
        <w:pStyle w:val="Heading3"/>
      </w:pPr>
      <w:r>
        <w:t>3.9.5 设备状态与维护反馈及时规则</w:t>
      </w:r>
    </w:p>
    <w:p>
      <w:pPr>
        <w:spacing w:line="400" w:lineRule="exact"/>
        <w:jc w:val="both"/>
      </w:pPr>
      <w:r>
        <w:t>规则编号：DQ-R-EQ-TM-0001。对应需求：DQ-N-EQ-0005。判定维度：及时性。</w:t>
      </w:r>
    </w:p>
    <w:p>
      <w:pPr>
        <w:spacing w:line="400" w:lineRule="exact"/>
        <w:jc w:val="both"/>
      </w:pPr>
      <w:r>
        <w:t>以实际事件和批准记录的时间核查登记及同步延迟，监测采集心跳和设备身份配置更新；区分无变化与数据断流。</w:t>
      </w:r>
    </w:p>
    <w:p>
      <w:pPr>
        <w:spacing w:line="400" w:lineRule="exact"/>
        <w:jc w:val="both"/>
      </w:pPr>
      <w:r>
        <w:t>统计单位为具有明确起算事件和业务时限的事件或对象。规则命中证据包括业务起算时间、规定截止时间、实际到达时间和时间来源。不通过对象形成候选问题，依据不足的对象保留待证实状态，并关联补证任务。</w:t>
      </w:r>
    </w:p>
    <w:p>
      <w:pPr>
        <w:spacing w:line="400" w:lineRule="exact"/>
        <w:jc w:val="both"/>
      </w:pPr>
      <w:r>
        <w:t>恢复采集和状态反馈，核查中断期间分析结果，必要时撤回不可靠的健康结论并发布修订。</w:t>
      </w:r>
    </w:p>
    <w:p>
      <w:pPr>
        <w:pStyle w:val="Heading3"/>
      </w:pPr>
      <w:r>
        <w:t>3.9.6 设备参数与维护状态有效规则</w:t>
      </w:r>
    </w:p>
    <w:p>
      <w:pPr>
        <w:spacing w:line="400" w:lineRule="exact"/>
        <w:jc w:val="both"/>
      </w:pPr>
      <w:r>
        <w:t>规则编号：DQ-R-EQ-VA-0001。对应需求：DQ-N-EQ-0006。判定维度：有效性。</w:t>
      </w:r>
    </w:p>
    <w:p>
      <w:pPr>
        <w:spacing w:line="400" w:lineRule="exact"/>
        <w:jc w:val="both"/>
      </w:pPr>
      <w:r>
        <w:t>校验测点物理量、量程、时间顺序及维护状态迁移，按设备类型和运行阶段检查可接受条件；传感器越量程与实际设备异常分别分类。</w:t>
      </w:r>
    </w:p>
    <w:p>
      <w:pPr>
        <w:spacing w:line="400" w:lineRule="exact"/>
        <w:jc w:val="both"/>
      </w:pPr>
      <w:r>
        <w:t>统计单位为满足适用前提的属性、状态迁移或参数组合。规则命中证据包括有效标准或代码集、适用对象、实际取值及违反条件。不通过对象形成候选问题，依据不足的对象保留待证实状态，并关联补证任务。</w:t>
      </w:r>
    </w:p>
    <w:p>
      <w:pPr>
        <w:spacing w:line="400" w:lineRule="exact"/>
        <w:jc w:val="both"/>
      </w:pPr>
      <w:r>
        <w:t>修复错误配置并重新验证测量链，专业岗位确认设备使用限制，数据用途恢复与实物设备恢复分别批准。</w:t>
      </w:r>
    </w:p>
    <w:p>
      <w:pPr>
        <w:pStyle w:val="Heading2"/>
      </w:pPr>
      <w:r>
        <w:t>3.10 采购管理校验规则</w:t>
      </w:r>
    </w:p>
    <w:p>
      <w:pPr>
        <w:spacing w:line="400" w:lineRule="exact"/>
        <w:jc w:val="both"/>
      </w:pPr>
      <w:r>
        <w:t>本组规则由采购责任岗位会同收货、质量和财务岗位承担业务确认和整改结果接收，技术岗位负责配置与运行，质量岗位承担独立复核。对象范围为供应商、合同、采购订单、到货及质量证明。</w:t>
      </w:r>
    </w:p>
    <w:p>
      <w:pPr>
        <w:pStyle w:val="Heading3"/>
      </w:pPr>
      <w:r>
        <w:t>3.10.1 采购履约与到货资料完整规则</w:t>
      </w:r>
    </w:p>
    <w:p>
      <w:pPr>
        <w:spacing w:line="400" w:lineRule="exact"/>
        <w:jc w:val="both"/>
      </w:pPr>
      <w:r>
        <w:t>规则编号：DQ-R-PC-CP-0001。对应需求：DQ-N-PC-0001。判定维度：完整性。</w:t>
      </w:r>
    </w:p>
    <w:p>
      <w:pPr>
        <w:spacing w:line="400" w:lineRule="exact"/>
        <w:jc w:val="both"/>
      </w:pPr>
      <w:r>
        <w:t>从有效采购订单和实际到货出发核查关键属性、批次及证明引用，检查部分到货、分批检验和退货关系是否可追踪。</w:t>
      </w:r>
    </w:p>
    <w:p>
      <w:pPr>
        <w:spacing w:line="400" w:lineRule="exact"/>
        <w:jc w:val="both"/>
      </w:pPr>
      <w:r>
        <w:t>统计单位为应具备相应信息的业务对象、必要属性或关联实例，三者分别计量。规则命中证据包括应有对象或字段清单、实际缺失位置及业务适用条件。不通过对象形成候选问题，依据不足的对象保留待证实状态，并关联补证任务。</w:t>
      </w:r>
    </w:p>
    <w:p>
      <w:pPr>
        <w:spacing w:line="400" w:lineRule="exact"/>
        <w:jc w:val="both"/>
      </w:pPr>
      <w:r>
        <w:t>补齐可核验的合同或供应资料，缺少必要质量证明的物料按业务制度保持受限，不伪造合格证明。</w:t>
      </w:r>
    </w:p>
    <w:p>
      <w:pPr>
        <w:pStyle w:val="Heading3"/>
      </w:pPr>
      <w:r>
        <w:t>3.10.2 采购条件与收货信息准确规则</w:t>
      </w:r>
    </w:p>
    <w:p>
      <w:pPr>
        <w:spacing w:line="400" w:lineRule="exact"/>
        <w:jc w:val="both"/>
      </w:pPr>
      <w:r>
        <w:t>规则编号：DQ-R-PC-AC-0001。对应需求：DQ-N-PC-0002。判定维度：准确性。</w:t>
      </w:r>
    </w:p>
    <w:p>
      <w:pPr>
        <w:spacing w:line="400" w:lineRule="exact"/>
        <w:jc w:val="both"/>
      </w:pPr>
      <w:r>
        <w:t>核对关键合同条款与结构化字段，按实际单位及含税口径检查金额和数量；到货与承运、收货和检验记录有条件交叉核验。</w:t>
      </w:r>
    </w:p>
    <w:p>
      <w:pPr>
        <w:spacing w:line="400" w:lineRule="exact"/>
        <w:jc w:val="both"/>
      </w:pPr>
      <w:r>
        <w:t>统计单位为具有可取得核验依据的业务对象；人工抽查另列抽查总体、抽取量及可判定量。规则命中证据包括原始凭据或受控引用、实际值、核验方法及差异位置。不通过对象形成候选问题，依据不足的对象保留待证实状态，并关联补证任务。</w:t>
      </w:r>
    </w:p>
    <w:p>
      <w:pPr>
        <w:spacing w:line="400" w:lineRule="exact"/>
        <w:jc w:val="both"/>
      </w:pPr>
      <w:r>
        <w:t>由业务岗位确认并纠正字段或关联，复核计划、付款和质量追溯影响，保留合同变更证据。</w:t>
      </w:r>
    </w:p>
    <w:p>
      <w:pPr>
        <w:pStyle w:val="Heading3"/>
      </w:pPr>
      <w:r>
        <w:t>3.10.3 采购收货检验结算一致规则</w:t>
      </w:r>
    </w:p>
    <w:p>
      <w:pPr>
        <w:spacing w:line="400" w:lineRule="exact"/>
        <w:jc w:val="both"/>
      </w:pPr>
      <w:r>
        <w:t>规则编号：DQ-R-PC-CS-0001。对应需求：DQ-N-PC-0003。判定维度：一致性。</w:t>
      </w:r>
    </w:p>
    <w:p>
      <w:pPr>
        <w:spacing w:line="400" w:lineRule="exact"/>
        <w:jc w:val="both"/>
      </w:pPr>
      <w:r>
        <w:t>按采购单行和到货批次建立关系，核查累计到货、退货、检验放行及结算引用；差异区分时间差、合法分批和实际错误。</w:t>
      </w:r>
    </w:p>
    <w:p>
      <w:pPr>
        <w:spacing w:line="400" w:lineRule="exact"/>
        <w:jc w:val="both"/>
      </w:pPr>
      <w:r>
        <w:t>统计单位为在同一时间、状态和口径下应形成对应的关联实例。规则命中证据包括参与比较的各来源版本、对齐条件、映射及差异对象。不通过对象形成候选问题，依据不足的对象保留待证实状态，并关联补证任务。</w:t>
      </w:r>
    </w:p>
    <w:p>
      <w:pPr>
        <w:spacing w:line="400" w:lineRule="exact"/>
        <w:jc w:val="both"/>
      </w:pPr>
      <w:r>
        <w:t>修复订单行与批次映射，纠正错误业务记录，重新核对剩余履约和可使用数量。</w:t>
      </w:r>
    </w:p>
    <w:p>
      <w:pPr>
        <w:pStyle w:val="Heading3"/>
      </w:pPr>
      <w:r>
        <w:t>3.10.4 供应商身份与采购事件唯一规则</w:t>
      </w:r>
    </w:p>
    <w:p>
      <w:pPr>
        <w:spacing w:line="400" w:lineRule="exact"/>
        <w:jc w:val="both"/>
      </w:pPr>
      <w:r>
        <w:t>规则编号：DQ-R-PC-UQ-0001。对应需求：DQ-N-PC-0004。判定维度：唯一性。</w:t>
      </w:r>
    </w:p>
    <w:p>
      <w:pPr>
        <w:spacing w:line="400" w:lineRule="exact"/>
        <w:jc w:val="both"/>
      </w:pPr>
      <w:r>
        <w:t>按经确认的主体识别键核查供应商重复，再按单据行及事件版本检查幂等；名称相似或联系方式相同仅作为疑似重复线索。</w:t>
      </w:r>
    </w:p>
    <w:p>
      <w:pPr>
        <w:spacing w:line="400" w:lineRule="exact"/>
        <w:jc w:val="both"/>
      </w:pPr>
      <w:r>
        <w:t>统计单位为经业务确认的复合键组及组内冗余记录，分别统计。规则命中证据包括重复键、组内全部对象、业务身份确认及引用关系。不通过对象形成候选问题，依据不足的对象保留待证实状态，并关联补证任务。</w:t>
      </w:r>
    </w:p>
    <w:p>
      <w:pPr>
        <w:spacing w:line="400" w:lineRule="exact"/>
        <w:jc w:val="both"/>
      </w:pPr>
      <w:r>
        <w:t>核实主体身份并整理主记录引用，修复重复事件造成的数量金额影响，保留旧标识与合同历史。</w:t>
      </w:r>
    </w:p>
    <w:p>
      <w:pPr>
        <w:pStyle w:val="Heading3"/>
      </w:pPr>
      <w:r>
        <w:t>3.10.5 履约变化与到货异常及时反馈规则</w:t>
      </w:r>
    </w:p>
    <w:p>
      <w:pPr>
        <w:spacing w:line="400" w:lineRule="exact"/>
        <w:jc w:val="both"/>
      </w:pPr>
      <w:r>
        <w:t>规则编号：DQ-R-PC-TM-0001。对应需求：DQ-N-PC-0005。判定维度：及时性。</w:t>
      </w:r>
    </w:p>
    <w:p>
      <w:pPr>
        <w:spacing w:line="400" w:lineRule="exact"/>
        <w:jc w:val="both"/>
      </w:pPr>
      <w:r>
        <w:t>比较实际发生、业务确认及各使用方接收时间，分解源端处理和传递延迟；延期承诺保留原约定和后续修订，不覆盖原到期记录。</w:t>
      </w:r>
    </w:p>
    <w:p>
      <w:pPr>
        <w:spacing w:line="400" w:lineRule="exact"/>
        <w:jc w:val="both"/>
      </w:pPr>
      <w:r>
        <w:t>统计单位为具有明确起算事件和业务时限的事件或对象。规则命中证据包括业务起算时间、规定截止时间、实际到达时间和时间来源。不通过对象形成候选问题，依据不足的对象保留待证实状态，并关联补证任务。</w:t>
      </w:r>
    </w:p>
    <w:p>
      <w:pPr>
        <w:spacing w:line="400" w:lineRule="exact"/>
        <w:jc w:val="both"/>
      </w:pPr>
      <w:r>
        <w:t>恢复信息传递并核对计划与库存使用的版本，保留受影响决策数据和重新评估记录。</w:t>
      </w:r>
    </w:p>
    <w:p>
      <w:pPr>
        <w:pStyle w:val="Heading3"/>
      </w:pPr>
      <w:r>
        <w:t>3.10.6 供应商及采购状态有效规则</w:t>
      </w:r>
    </w:p>
    <w:p>
      <w:pPr>
        <w:spacing w:line="400" w:lineRule="exact"/>
        <w:jc w:val="both"/>
      </w:pPr>
      <w:r>
        <w:t>规则编号：DQ-R-PC-VA-0001。对应需求：DQ-N-PC-0006。判定维度：有效性。</w:t>
      </w:r>
    </w:p>
    <w:p>
      <w:pPr>
        <w:spacing w:line="400" w:lineRule="exact"/>
        <w:jc w:val="both"/>
      </w:pPr>
      <w:r>
        <w:t>校验主体、资质有效期、品类范围、物料代码、单位及订单状态，识别失效资质、无效引用和不允许的状态跳转。</w:t>
      </w:r>
    </w:p>
    <w:p>
      <w:pPr>
        <w:spacing w:line="400" w:lineRule="exact"/>
        <w:jc w:val="both"/>
      </w:pPr>
      <w:r>
        <w:t>统计单位为满足适用前提的属性、状态迁移或参数组合。规则命中证据包括有效标准或代码集、适用对象、实际取值及违反条件。不通过对象形成候选问题，依据不足的对象保留待证实状态，并关联补证任务。</w:t>
      </w:r>
    </w:p>
    <w:p>
      <w:pPr>
        <w:spacing w:line="400" w:lineRule="exact"/>
        <w:jc w:val="both"/>
      </w:pPr>
      <w:r>
        <w:t>纠正错误引用或限制条件，业务岗位处理不符合要求的采购事项，复核受影响对象及后续使用。</w:t>
      </w:r>
    </w:p>
    <w:p>
      <w:pPr>
        <w:pStyle w:val="Heading2"/>
      </w:pPr>
      <w:r>
        <w:t>3.11 营销管理校验规则</w:t>
      </w:r>
    </w:p>
    <w:p>
      <w:pPr>
        <w:spacing w:line="400" w:lineRule="exact"/>
        <w:jc w:val="both"/>
      </w:pPr>
      <w:r>
        <w:t>本组规则由营销责任岗位会同产品、交付和售后服务岗位承担业务确认和整改结果接收，技术岗位负责配置与运行，质量岗位承担独立复核。对象范围为客户、产品配置、销售合同、交付与服务反馈。</w:t>
      </w:r>
    </w:p>
    <w:p>
      <w:pPr>
        <w:pStyle w:val="Heading3"/>
      </w:pPr>
      <w:r>
        <w:t>3.11.1 客户合同与交付要求完整规则</w:t>
      </w:r>
    </w:p>
    <w:p>
      <w:pPr>
        <w:spacing w:line="400" w:lineRule="exact"/>
        <w:jc w:val="both"/>
      </w:pPr>
      <w:r>
        <w:t>规则编号：DQ-R-MK-CP-0001。对应需求：DQ-N-MK-0001。判定维度：完整性。</w:t>
      </w:r>
    </w:p>
    <w:p>
      <w:pPr>
        <w:spacing w:line="400" w:lineRule="exact"/>
        <w:jc w:val="both"/>
      </w:pPr>
      <w:r>
        <w:t>按合同和交付对象核对必要属性、技术附件及配置关系，检查售后问题的产品、时间和服务对象关联，区分业务资料缺失与接口未传。</w:t>
      </w:r>
    </w:p>
    <w:p>
      <w:pPr>
        <w:spacing w:line="400" w:lineRule="exact"/>
        <w:jc w:val="both"/>
      </w:pPr>
      <w:r>
        <w:t>统计单位为应具备相应信息的业务对象、必要属性或关联实例，三者分别计量。规则命中证据包括应有对象或字段清单、实际缺失位置及业务适用条件。不通过对象形成候选问题，依据不足的对象保留待证实状态，并关联补证任务。</w:t>
      </w:r>
    </w:p>
    <w:p>
      <w:pPr>
        <w:spacing w:line="400" w:lineRule="exact"/>
        <w:jc w:val="both"/>
      </w:pPr>
      <w:r>
        <w:t>补齐合法业务资料及关联，关键配置不明时限制进入正式选型和制造需求，避免默认值替代客户要求。</w:t>
      </w:r>
    </w:p>
    <w:p>
      <w:pPr>
        <w:pStyle w:val="Heading3"/>
      </w:pPr>
      <w:r>
        <w:t>3.11.2 客户需求与产品配置准确规则</w:t>
      </w:r>
    </w:p>
    <w:p>
      <w:pPr>
        <w:spacing w:line="400" w:lineRule="exact"/>
        <w:jc w:val="both"/>
      </w:pPr>
      <w:r>
        <w:t>规则编号：DQ-R-MK-AC-0001。对应需求：DQ-N-MK-0002。判定维度：准确性。</w:t>
      </w:r>
    </w:p>
    <w:p>
      <w:pPr>
        <w:spacing w:line="400" w:lineRule="exact"/>
        <w:jc w:val="both"/>
      </w:pPr>
      <w:r>
        <w:t>对关键环境、能力、接口和配置参数核对原始协议与确认记录，由专业岗位检查解析和转换结果；销售金额按币种及合同口径校验。</w:t>
      </w:r>
    </w:p>
    <w:p>
      <w:pPr>
        <w:spacing w:line="400" w:lineRule="exact"/>
        <w:jc w:val="both"/>
      </w:pPr>
      <w:r>
        <w:t>统计单位为具有可取得核验依据的业务对象；人工抽查另列抽查总体、抽取量及可判定量。规则命中证据包括原始凭据或受控引用、实际值、核验方法及差异位置。不通过对象形成候选问题，依据不足的对象保留待证实状态，并关联补证任务。</w:t>
      </w:r>
    </w:p>
    <w:p>
      <w:pPr>
        <w:spacing w:line="400" w:lineRule="exact"/>
        <w:jc w:val="both"/>
      </w:pPr>
      <w:r>
        <w:t>更正需求或配置并评估设计、采购和交付影响，保留客户确认及内部批准关系。</w:t>
      </w:r>
    </w:p>
    <w:p>
      <w:pPr>
        <w:pStyle w:val="Heading3"/>
      </w:pPr>
      <w:r>
        <w:t>3.11.3 合同配置与交付反馈一致规则</w:t>
      </w:r>
    </w:p>
    <w:p>
      <w:pPr>
        <w:spacing w:line="400" w:lineRule="exact"/>
        <w:jc w:val="both"/>
      </w:pPr>
      <w:r>
        <w:t>规则编号：DQ-R-MK-CS-0001。对应需求：DQ-N-MK-0003。判定维度：一致性。</w:t>
      </w:r>
    </w:p>
    <w:p>
      <w:pPr>
        <w:spacing w:line="400" w:lineRule="exact"/>
        <w:jc w:val="both"/>
      </w:pPr>
      <w:r>
        <w:t>以合同、订单、产品实例及配置基线贯通记录，核查交付配置和服务对象；对差异区分合法变更、替代供货和错误关联。</w:t>
      </w:r>
    </w:p>
    <w:p>
      <w:pPr>
        <w:spacing w:line="400" w:lineRule="exact"/>
        <w:jc w:val="both"/>
      </w:pPr>
      <w:r>
        <w:t>统计单位为在同一时间、状态和口径下应形成对应的关联实例。规则命中证据包括参与比较的各来源版本、对齐条件、映射及差异对象。不通过对象形成候选问题，依据不足的对象保留待证实状态，并关联补证任务。</w:t>
      </w:r>
    </w:p>
    <w:p>
      <w:pPr>
        <w:spacing w:line="400" w:lineRule="exact"/>
        <w:jc w:val="both"/>
      </w:pPr>
      <w:r>
        <w:t>修复配置及产品身份关联，复核售后知识和质量反馈中的适用对象，必要时重新确认交付数据。</w:t>
      </w:r>
    </w:p>
    <w:p>
      <w:pPr>
        <w:pStyle w:val="Heading3"/>
      </w:pPr>
      <w:r>
        <w:t>3.11.4 客户与销售业务记录唯一规则</w:t>
      </w:r>
    </w:p>
    <w:p>
      <w:pPr>
        <w:spacing w:line="400" w:lineRule="exact"/>
        <w:jc w:val="both"/>
      </w:pPr>
      <w:r>
        <w:t>规则编号：DQ-R-MK-UQ-0001。对应需求：DQ-N-MK-0004。判定维度：唯一性。</w:t>
      </w:r>
    </w:p>
    <w:p>
      <w:pPr>
        <w:spacing w:line="400" w:lineRule="exact"/>
        <w:jc w:val="both"/>
      </w:pPr>
      <w:r>
        <w:t>核验客户主体识别键与层级，检查合同订单复合键及接口幂等；对同名、简称和多渠道引入客户进行人工识别。</w:t>
      </w:r>
    </w:p>
    <w:p>
      <w:pPr>
        <w:spacing w:line="400" w:lineRule="exact"/>
        <w:jc w:val="both"/>
      </w:pPr>
      <w:r>
        <w:t>统计单位为经业务确认的复合键组及组内冗余记录，分别统计。规则命中证据包括重复键、组内全部对象、业务身份确认及引用关系。不通过对象形成候选问题，依据不足的对象保留待证实状态，并关联补证任务。</w:t>
      </w:r>
    </w:p>
    <w:p>
      <w:pPr>
        <w:spacing w:line="400" w:lineRule="exact"/>
        <w:jc w:val="both"/>
      </w:pPr>
      <w:r>
        <w:t>确认主体和业务主记录，修复重复引用与数量金额统计，保留历史服务和履约关系。</w:t>
      </w:r>
    </w:p>
    <w:p>
      <w:pPr>
        <w:pStyle w:val="Heading3"/>
      </w:pPr>
      <w:r>
        <w:t>3.11.5 合同变化与客户反馈及时传递规则</w:t>
      </w:r>
    </w:p>
    <w:p>
      <w:pPr>
        <w:spacing w:line="400" w:lineRule="exact"/>
        <w:jc w:val="both"/>
      </w:pPr>
      <w:r>
        <w:t>规则编号：DQ-R-MK-TM-0001。对应需求：DQ-N-MK-0005。判定维度：及时性。</w:t>
      </w:r>
    </w:p>
    <w:p>
      <w:pPr>
        <w:spacing w:line="400" w:lineRule="exact"/>
        <w:jc w:val="both"/>
      </w:pPr>
      <w:r>
        <w:t>记录反馈接收、业务确认、分派和目标系统到达时间，检查关键变更在执行前是否被接收；逾期事项按原期限及调整期限分别统计。</w:t>
      </w:r>
    </w:p>
    <w:p>
      <w:pPr>
        <w:spacing w:line="400" w:lineRule="exact"/>
        <w:jc w:val="both"/>
      </w:pPr>
      <w:r>
        <w:t>统计单位为具有明确起算事件和业务时限的事件或对象。规则命中证据包括业务起算时间、规定截止时间、实际到达时间和时间来源。不通过对象形成候选问题，依据不足的对象保留待证实状态，并关联补证任务。</w:t>
      </w:r>
    </w:p>
    <w:p>
      <w:pPr>
        <w:spacing w:line="400" w:lineRule="exact"/>
        <w:jc w:val="both"/>
      </w:pPr>
      <w:r>
        <w:t>恢复传递与责任分派，核查期间形成的计划和分析结论，补充必要的业务重新确认。</w:t>
      </w:r>
    </w:p>
    <w:p>
      <w:pPr>
        <w:pStyle w:val="Heading3"/>
      </w:pPr>
      <w:r>
        <w:t>3.11.6 产品选型与合同状态有效规则</w:t>
      </w:r>
    </w:p>
    <w:p>
      <w:pPr>
        <w:spacing w:line="400" w:lineRule="exact"/>
        <w:jc w:val="both"/>
      </w:pPr>
      <w:r>
        <w:t>规则编号：DQ-R-MK-VA-0001。对应需求：DQ-N-MK-0006。判定维度：有效性。</w:t>
      </w:r>
    </w:p>
    <w:p>
      <w:pPr>
        <w:spacing w:line="400" w:lineRule="exact"/>
        <w:jc w:val="both"/>
      </w:pPr>
      <w:r>
        <w:t>校验配置组合、关键性能约束、代码集与状态迁移，将超出已确认能力或适用条件的组合提交专业核验并限制自动推荐。</w:t>
      </w:r>
    </w:p>
    <w:p>
      <w:pPr>
        <w:spacing w:line="400" w:lineRule="exact"/>
        <w:jc w:val="both"/>
      </w:pPr>
      <w:r>
        <w:t>统计单位为满足适用前提的属性、状态迁移或参数组合。规则命中证据包括有效标准或代码集、适用对象、实际取值及违反条件。不通过对象形成候选问题，依据不足的对象保留待证实状态，并关联补证任务。</w:t>
      </w:r>
    </w:p>
    <w:p>
      <w:pPr>
        <w:spacing w:line="400" w:lineRule="exact"/>
        <w:jc w:val="both"/>
      </w:pPr>
      <w:r>
        <w:t>更正配置规则或业务信息，专业岗位复核影响，重新验证产品选型及合同知识使用范围。</w:t>
      </w:r>
    </w:p>
    <w:p>
      <w:pPr>
        <w:pStyle w:val="Heading2"/>
      </w:pPr>
      <w:r>
        <w:t>3.12 质量管理校验规则</w:t>
      </w:r>
    </w:p>
    <w:p>
      <w:pPr>
        <w:spacing w:line="400" w:lineRule="exact"/>
        <w:jc w:val="both"/>
      </w:pPr>
      <w:r>
        <w:t>本组规则由质量管理岗位会同检验、试验、工艺和生产岗位承担业务确认和整改结果接收，技术岗位负责配置与运行，质量岗位承担独立复核。对象范围为检验任务、检测结果、判定标准及不合格处置。</w:t>
      </w:r>
    </w:p>
    <w:p>
      <w:pPr>
        <w:pStyle w:val="Heading3"/>
      </w:pPr>
      <w:r>
        <w:t>3.12.1 检验过程与处置记录完整规则</w:t>
      </w:r>
    </w:p>
    <w:p>
      <w:pPr>
        <w:spacing w:line="400" w:lineRule="exact"/>
        <w:jc w:val="both"/>
      </w:pPr>
      <w:r>
        <w:t>规则编号：DQ-R-QA-CP-0001。对应需求：DQ-N-QA-0001。判定维度：完整性。</w:t>
      </w:r>
    </w:p>
    <w:p>
      <w:pPr>
        <w:spacing w:line="400" w:lineRule="exact"/>
        <w:jc w:val="both"/>
      </w:pPr>
      <w:r>
        <w:t>根据适用检验计划生成应检项目集合，核对实际记录及附件，区分漏检、漏记、缺失依据和处置未闭环；抽检按批准方案确定应检对象。</w:t>
      </w:r>
    </w:p>
    <w:p>
      <w:pPr>
        <w:spacing w:line="400" w:lineRule="exact"/>
        <w:jc w:val="both"/>
      </w:pPr>
      <w:r>
        <w:t>统计单位为应具备相应信息的业务对象、必要属性或关联实例，三者分别计量。规则命中证据包括应有对象或字段清单、实际缺失位置及业务适用条件。不通过对象形成候选问题，依据不足的对象保留待证实状态，并关联补证任务。</w:t>
      </w:r>
    </w:p>
    <w:p>
      <w:pPr>
        <w:spacing w:line="400" w:lineRule="exact"/>
        <w:jc w:val="both"/>
      </w:pPr>
      <w:r>
        <w:t>补齐合法记录并核查是否需要补检或复检，不能通过事后填写合格结论替代实际检验活动。</w:t>
      </w:r>
    </w:p>
    <w:p>
      <w:pPr>
        <w:pStyle w:val="Heading3"/>
      </w:pPr>
      <w:r>
        <w:t>3.12.2 实测结果与质量判定准确规则</w:t>
      </w:r>
    </w:p>
    <w:p>
      <w:pPr>
        <w:spacing w:line="400" w:lineRule="exact"/>
        <w:jc w:val="both"/>
      </w:pPr>
      <w:r>
        <w:t>规则编号：DQ-R-QA-AC-0001。对应需求：DQ-N-QA-0002。判定维度：准确性。</w:t>
      </w:r>
    </w:p>
    <w:p>
      <w:pPr>
        <w:spacing w:line="400" w:lineRule="exact"/>
        <w:jc w:val="both"/>
      </w:pPr>
      <w:r>
        <w:t>核对原始测量记录、仪器信息及标准限值，重算关键判定并专业复核边界结果；识别单位误转、符号误读及结论与数值不符。</w:t>
      </w:r>
    </w:p>
    <w:p>
      <w:pPr>
        <w:spacing w:line="400" w:lineRule="exact"/>
        <w:jc w:val="both"/>
      </w:pPr>
      <w:r>
        <w:t>统计单位为具有可取得核验依据的业务对象；人工抽查另列抽查总体、抽取量及可判定量。规则命中证据包括原始凭据或受控引用、实际值、核验方法及差异位置。不通过对象形成候选问题，依据不足的对象保留待证实状态，并关联补证任务。</w:t>
      </w:r>
    </w:p>
    <w:p>
      <w:pPr>
        <w:spacing w:line="400" w:lineRule="exact"/>
        <w:jc w:val="both"/>
      </w:pPr>
      <w:r>
        <w:t>纠正记录或判定，业务岗位组织必要复检及实物处置，追踪错误结论已影响的放行和质量数据集。</w:t>
      </w:r>
    </w:p>
    <w:p>
      <w:pPr>
        <w:pStyle w:val="Heading3"/>
      </w:pPr>
      <w:r>
        <w:t>3.12.3 检验依据与实物版本一致规则</w:t>
      </w:r>
    </w:p>
    <w:p>
      <w:pPr>
        <w:spacing w:line="400" w:lineRule="exact"/>
        <w:jc w:val="both"/>
      </w:pPr>
      <w:r>
        <w:t>规则编号：DQ-R-QA-CS-0001。对应需求：DQ-N-QA-0003。判定维度：一致性。</w:t>
      </w:r>
    </w:p>
    <w:p>
      <w:pPr>
        <w:spacing w:line="400" w:lineRule="exact"/>
        <w:jc w:val="both"/>
      </w:pPr>
      <w:r>
        <w:t>按产品或批次定位适用图纸、标准和检验计划，核对实测项目及判定规则；检查不合格未处置却显示可放行等矛盾状态。</w:t>
      </w:r>
    </w:p>
    <w:p>
      <w:pPr>
        <w:spacing w:line="400" w:lineRule="exact"/>
        <w:jc w:val="both"/>
      </w:pPr>
      <w:r>
        <w:t>统计单位为在同一时间、状态和口径下应形成对应的关联实例。规则命中证据包括参与比较的各来源版本、对齐条件、映射及差异对象。不通过对象形成候选问题，依据不足的对象保留待证实状态，并关联补证任务。</w:t>
      </w:r>
    </w:p>
    <w:p>
      <w:pPr>
        <w:spacing w:line="400" w:lineRule="exact"/>
        <w:jc w:val="both"/>
      </w:pPr>
      <w:r>
        <w:t>修复依据引用及状态关系，按业务要求重新判断受影响对象，复核下游出库和交付范围。</w:t>
      </w:r>
    </w:p>
    <w:p>
      <w:pPr>
        <w:pStyle w:val="Heading3"/>
      </w:pPr>
      <w:r>
        <w:t>3.12.4 检验记录与不合格事件唯一规则</w:t>
      </w:r>
    </w:p>
    <w:p>
      <w:pPr>
        <w:spacing w:line="400" w:lineRule="exact"/>
        <w:jc w:val="both"/>
      </w:pPr>
      <w:r>
        <w:t>规则编号：DQ-R-QA-UQ-0001。对应需求：DQ-N-QA-0004。判定维度：唯一性。</w:t>
      </w:r>
    </w:p>
    <w:p>
      <w:pPr>
        <w:spacing w:line="400" w:lineRule="exact"/>
        <w:jc w:val="both"/>
      </w:pPr>
      <w:r>
        <w:t>按检验复合键和源记录标识检查重复与冲突版本，识别一个不合格事件被多次登记但未关联的情况，保留其多来源证据。</w:t>
      </w:r>
    </w:p>
    <w:p>
      <w:pPr>
        <w:spacing w:line="400" w:lineRule="exact"/>
        <w:jc w:val="both"/>
      </w:pPr>
      <w:r>
        <w:t>统计单位为经业务确认的复合键组及组内冗余记录，分别统计。规则命中证据包括重复键、组内全部对象、业务身份确认及引用关系。不通过对象形成候选问题，依据不足的对象保留待证实状态，并关联补证任务。</w:t>
      </w:r>
    </w:p>
    <w:p>
      <w:pPr>
        <w:spacing w:line="400" w:lineRule="exact"/>
        <w:jc w:val="both"/>
      </w:pPr>
      <w:r>
        <w:t>整理重复记录及事件关联，重算合格率和缺陷分布，复核原始测量与质量追溯不丢失。</w:t>
      </w:r>
    </w:p>
    <w:p>
      <w:pPr>
        <w:pStyle w:val="Heading3"/>
      </w:pPr>
      <w:r>
        <w:t>3.12.5 检验结果与质量限制及时生效规则</w:t>
      </w:r>
    </w:p>
    <w:p>
      <w:pPr>
        <w:spacing w:line="400" w:lineRule="exact"/>
        <w:jc w:val="both"/>
      </w:pPr>
      <w:r>
        <w:t>规则编号：DQ-R-QA-TM-0001。对应需求：DQ-N-QA-0005。判定维度：及时性。</w:t>
      </w:r>
    </w:p>
    <w:p>
      <w:pPr>
        <w:spacing w:line="400" w:lineRule="exact"/>
        <w:jc w:val="both"/>
      </w:pPr>
      <w:r>
        <w:t>对比检验完成、结论确认、限制生效及使用方接收时间，核查放行事件与有效结论顺序；同步失败时保持相应限制并登记原因。</w:t>
      </w:r>
    </w:p>
    <w:p>
      <w:pPr>
        <w:spacing w:line="400" w:lineRule="exact"/>
        <w:jc w:val="both"/>
      </w:pPr>
      <w:r>
        <w:t>统计单位为具有明确起算事件和业务时限的事件或对象。规则命中证据包括业务起算时间、规定截止时间、实际到达时间和时间来源。不通过对象形成候选问题，依据不足的对象保留待证实状态，并关联补证任务。</w:t>
      </w:r>
    </w:p>
    <w:p>
      <w:pPr>
        <w:spacing w:line="400" w:lineRule="exact"/>
        <w:jc w:val="both"/>
      </w:pPr>
      <w:r>
        <w:t>恢复传递并核查期间已放行对象，必要时启动业务追溯和处置，保留实际事件及纠正记录。</w:t>
      </w:r>
    </w:p>
    <w:p>
      <w:pPr>
        <w:pStyle w:val="Heading3"/>
      </w:pPr>
      <w:r>
        <w:t>3.12.6 检验项目标准与结论有效规则</w:t>
      </w:r>
    </w:p>
    <w:p>
      <w:pPr>
        <w:spacing w:line="400" w:lineRule="exact"/>
        <w:jc w:val="both"/>
      </w:pPr>
      <w:r>
        <w:t>规则编号：DQ-R-QA-VA-0001。对应需求：DQ-N-QA-0006。判定维度：有效性。</w:t>
      </w:r>
    </w:p>
    <w:p>
      <w:pPr>
        <w:spacing w:line="400" w:lineRule="exact"/>
        <w:jc w:val="both"/>
      </w:pPr>
      <w:r>
        <w:t>校验标准有效期、项目适用性、单位维度、仪器状态及判定代码，检查不允许的空结论、无依据放行和状态跳转。</w:t>
      </w:r>
    </w:p>
    <w:p>
      <w:pPr>
        <w:spacing w:line="400" w:lineRule="exact"/>
        <w:jc w:val="both"/>
      </w:pPr>
      <w:r>
        <w:t>统计单位为满足适用前提的属性、状态迁移或参数组合。规则命中证据包括有效标准或代码集、适用对象、实际取值及违反条件。不通过对象形成候选问题，依据不足的对象保留待证实状态，并关联补证任务。</w:t>
      </w:r>
    </w:p>
    <w:p>
      <w:pPr>
        <w:spacing w:line="400" w:lineRule="exact"/>
        <w:jc w:val="both"/>
      </w:pPr>
      <w:r>
        <w:t>更正标准或配置引用，专业岗位确认复检和影响范围，完成数据与业务处置后恢复相关用途。</w:t>
      </w:r>
    </w:p>
    <w:p>
      <w:pPr>
        <w:pStyle w:val="Heading2"/>
      </w:pPr>
      <w:r>
        <w:t>3.13 共同控制规则</w:t>
      </w:r>
    </w:p>
    <w:p>
      <w:pPr>
        <w:pStyle w:val="Heading3"/>
      </w:pPr>
      <w:r>
        <w:t>3.13.1 来源和接入链完整性规则</w:t>
      </w:r>
    </w:p>
    <w:p>
      <w:pPr>
        <w:spacing w:line="400" w:lineRule="exact"/>
        <w:jc w:val="both"/>
      </w:pPr>
      <w:r>
        <w:t>规则编号DQ-R-CM-CP-0001，对应需求DQ-N-CM-0001。对每个接入批次检查来源标识、授权依据、范围、业务时间、提取条件、原始对象摘要和实际接收数量，验证批次清单与载荷对应。文件接入检查文件可读取、清单完整和摘要一致，接口接入检查应到事件、实际事件和重试关系，数据库快照检查提取范围与实际行数，流式接入检查窗口及检查点。</w:t>
      </w:r>
    </w:p>
    <w:p>
      <w:pPr>
        <w:spacing w:line="400" w:lineRule="exact"/>
        <w:jc w:val="both"/>
      </w:pPr>
      <w:r>
        <w:t>检查前生成接入登记，即使载荷不完整、对账失败或权限不足仍保留批次身份和失败记录。来源关系从原始对象指向转换结果和后继版本，检查引用存在、方向正确和版本固定。禁止通过回写已冻结父节点产生循环血缘。缺少必要来源或权利依据的对象限制使用，补齐依据或替换为合法来源后重新检查。</w:t>
      </w:r>
    </w:p>
    <w:p>
      <w:pPr>
        <w:spacing w:line="400" w:lineRule="exact"/>
        <w:jc w:val="both"/>
      </w:pPr>
      <w:r>
        <w:t>证据包括来源与授权引用、提取条件、批次清单、接收日志、摘要和差异清单。统计分别使用应到对象、实际接收对象和可追溯对象，不能用接收量替代应到量计算完整性。重试按原批次与子尝试记录，不把多次传输计为多份独立数据。</w:t>
      </w:r>
    </w:p>
    <w:p>
      <w:pPr>
        <w:pStyle w:val="Heading3"/>
      </w:pPr>
      <w:r>
        <w:t>3.13.2 跨系统标识一致性规则</w:t>
      </w:r>
    </w:p>
    <w:p>
      <w:pPr>
        <w:spacing w:line="400" w:lineRule="exact"/>
        <w:jc w:val="both"/>
      </w:pPr>
      <w:r>
        <w:t>规则编号DQ-R-CM-CS-0001，对应需求DQ-N-CM-0002。对跨系统物料、设备、人员、组织、合同及产品实例，检查本地标识到权威标识的映射是否存在、有效且符合实际对象粒度。映射记录应包含来源、目标、关系类型、生效时间和确认依据，多对一归并及一对多拆分分别说明业务含义。</w:t>
      </w:r>
    </w:p>
    <w:p>
      <w:pPr>
        <w:spacing w:line="400" w:lineRule="exact"/>
        <w:jc w:val="both"/>
      </w:pPr>
      <w:r>
        <w:t>按实际业务时间选择有效映射，检测无映射、映射到不存在对象、有效期交叉冲突和被错误合并的对象。模糊匹配形成候选，不直接作为关键追溯关系。关联后检查对象数量、数量金额汇总及关键属性变化，识别错误多对多连接。历史标识失效后保留合法查询映射，不让现行主记录删除破坏历史追溯。</w:t>
      </w:r>
    </w:p>
    <w:p>
      <w:pPr>
        <w:spacing w:line="400" w:lineRule="exact"/>
        <w:jc w:val="both"/>
      </w:pPr>
      <w:r>
        <w:t>异常整改先由业务确认对象身份，再修正映射和下游引用，不能单纯修改接口字段让检查通过。复核覆盖直接关联、派生指标、知识关系和已经供给的数据集记录，确认修复没有把不同实物、不同主体或不同版本混合。</w:t>
      </w:r>
    </w:p>
    <w:p>
      <w:pPr>
        <w:pStyle w:val="Heading3"/>
      </w:pPr>
      <w:r>
        <w:t>3.13.3 标准与规则适用有效性规则</w:t>
      </w:r>
    </w:p>
    <w:p>
      <w:pPr>
        <w:spacing w:line="400" w:lineRule="exact"/>
        <w:jc w:val="both"/>
      </w:pPr>
      <w:r>
        <w:t>规则编号DQ-R-CM-VA-0001，对应需求DQ-N-CM-0003。检查每次任务实际使用的标准、代码集、参数和规则版本是否在其对象范围及时间条件内有效。运行配置、文档条目和批准记录相互对应，存在版本但缺少有效批准或适用关系的，列为待证实并限制关键判定。</w:t>
      </w:r>
    </w:p>
    <w:p>
      <w:pPr>
        <w:spacing w:line="400" w:lineRule="exact"/>
        <w:jc w:val="both"/>
      </w:pPr>
      <w:r>
        <w:t>检查标准停用、规则替代和参数换版是否同步反映到调度与下游服务。对长期没有运行结果的有效规则检查其对象是否确实没有变化，还是触发条件失效、依赖缺失或任务静默失败。规则命中率突然变为零、检查量异常下降或输入字段全部默认值，触发运行健康复核。</w:t>
      </w:r>
    </w:p>
    <w:p>
      <w:pPr>
        <w:spacing w:line="400" w:lineRule="exact"/>
        <w:jc w:val="both"/>
      </w:pPr>
      <w:r>
        <w:t>修复后使用原规则条件和新配置分别开展回归，明确哪些历史结果受影响。判断含义改变时建立新规则标识或经确认的替代关系，历史报告注明当时口径，不直接重写原结果。统计以应运行的规则任务和适用对象分别核对，不能以规则库条目数代替有效运行数量。</w:t>
      </w:r>
    </w:p>
    <w:p>
      <w:pPr>
        <w:pStyle w:val="Heading3"/>
      </w:pPr>
      <w:r>
        <w:t>3.13.4 多模态对象与时序对齐规则</w:t>
      </w:r>
    </w:p>
    <w:p>
      <w:pPr>
        <w:spacing w:line="400" w:lineRule="exact"/>
        <w:jc w:val="both"/>
      </w:pPr>
      <w:r>
        <w:t>规则编号DQ-R-CM-CS-0002，对应需求DQ-N-CM-0004。对被认定为多模态的记录检查各模态实际内容、对象关联、有效时间和任务价值。文本说明、图纸图像、过程时序和视频片段应对应同一业务对象或明确可解释的任务关系，至少有两种有效模态共同构成完整记录。</w:t>
      </w:r>
    </w:p>
    <w:p>
      <w:pPr>
        <w:spacing w:line="400" w:lineRule="exact"/>
        <w:jc w:val="both"/>
      </w:pPr>
      <w:r>
        <w:t>图像检查可解码、必要区域可辨识及对象标签对应；视频检查可播放、时间片段和关键事件对应；时序检查测点、单位、采样策略及业务窗口；文本检查可读取、语义单元完整及必要上下文。不同载体中重复呈现同一文本而无独立模态信息的，不通过文件格式数量扩大有效模态统计。</w:t>
      </w:r>
    </w:p>
    <w:p>
      <w:pPr>
        <w:spacing w:line="400" w:lineRule="exact"/>
        <w:jc w:val="both"/>
      </w:pPr>
      <w:r>
        <w:t>时间对齐采用经确认的事件基准和允许偏差，记录设备时钟与修正依据。缺失关键模态、错配对象或无法证实时序关系的记录不能计入有效多模态分子；是否仍可用于某一单模态用途另行按其完整性和授权条件判断。整改重建真实关联，重新核对受影响的比例和任务可用性。</w:t>
      </w:r>
    </w:p>
    <w:p>
      <w:pPr>
        <w:pStyle w:val="Heading3"/>
      </w:pPr>
      <w:r>
        <w:t>3.13.5 业务形成时间与近三年统计规则</w:t>
      </w:r>
    </w:p>
    <w:p>
      <w:pPr>
        <w:spacing w:line="400" w:lineRule="exact"/>
        <w:jc w:val="both"/>
      </w:pPr>
      <w:r>
        <w:t>规则编号DQ-R-CM-TM-0001，对应需求DQ-N-CM-0005。以实际发布日期为统计锚点向前倒推36个自然月，按照各用途确定的完整记录粒度识别业务或资料形成时间。预训练采用有效语义记录，指令采用完整任务，偏好采用完整组，基准采用完整题目，形成时间依据及跨时间内容的认定条件在统计前固定。</w:t>
      </w:r>
    </w:p>
    <w:p>
      <w:pPr>
        <w:spacing w:line="400" w:lineRule="exact"/>
        <w:jc w:val="both"/>
      </w:pPr>
      <w:r>
        <w:t>检查形成时间来源、精度、时区、有效性和与原始凭据的关系，分别识别未知、推断、冲突和超出合理范围的时间。未知时间不进入近三年分子，但仍保留在有效记录分母；导入、修改、增强、切片和重新封装时间不替代原业务时间。跨窗口组合内容依据真实业务范围判断，不能只取最晚片段时间把旧内容整体变新。</w:t>
      </w:r>
    </w:p>
    <w:p>
      <w:pPr>
        <w:spacing w:line="400" w:lineRule="exact"/>
        <w:jc w:val="both"/>
      </w:pPr>
      <w:r>
        <w:t>每次发布日期变化重新核算时间窗口，保留先前版本结果。比例使用满足条件的完整有效记录数除以全部有效记录数，逐领域逐用途核查，并核对汇总层级。不能用全项目较高占比抵消局部不达标，统计使用经确认的业务时区，下界为发布日期向前36个自然月的对应日期，上界为实际发布日期，两个边界日期均计入；对应月份不存在同一日时取该月最后一日。精确到时刻的记录保留原时间并按同一时区转换，未来形成时间不计入近三年分子且启动有效性核查。筛选条件与日期转换配置共同保存。</w:t>
      </w:r>
    </w:p>
    <w:p>
      <w:pPr>
        <w:pStyle w:val="Heading3"/>
      </w:pPr>
      <w:r>
        <w:t>3.13.6 安全分级与权利适用规则</w:t>
      </w:r>
    </w:p>
    <w:p>
      <w:pPr>
        <w:spacing w:line="400" w:lineRule="exact"/>
        <w:jc w:val="both"/>
      </w:pPr>
      <w:r>
        <w:t>规则编号DQ-R-CM-VA-0002，对应需求DQ-N-CM-0006。对拟检查、供给和发布对象核验安全等级、敏感字段、许可范围、期限、来源证明及目标用途。派生数据关联其来源限制，多个来源组合时满足全部适用限制，不因摘要、转换、脱敏或模型加工自动取得新的使用权利。</w:t>
      </w:r>
    </w:p>
    <w:p>
      <w:pPr>
        <w:spacing w:line="400" w:lineRule="exact"/>
        <w:jc w:val="both"/>
      </w:pPr>
      <w:r>
        <w:t>规则检查权限配置与对象等级是否一致，证据链接是否受到访问控制，脱敏内容是否仍存在可识别敏感信息。自动命中结果结合人工专业复核，高危命中100%人工复核。发现授权不明、禁止目标用途、必要脱敏未完成或高风险信息残留时，限制对象进入受影响用途并启动对应问题办理。</w:t>
      </w:r>
    </w:p>
    <w:p>
      <w:pPr>
        <w:spacing w:line="400" w:lineRule="exact"/>
        <w:jc w:val="both"/>
      </w:pPr>
      <w:r>
        <w:t>统计保留被检查对象、自动命中、人工复核及处理数量，避免只报告自动未命中比例。整改复核既检查数据内容，也检查副本、缓存、导出和下游派生结果的必要处理。按合法权限向有权岗位提供证据，普通报告不展示不必要的敏感明文。</w:t>
      </w:r>
    </w:p>
    <w:p>
      <w:pPr>
        <w:pStyle w:val="Heading3"/>
      </w:pPr>
      <w:r>
        <w:t>3.13.7 四领域十六项净量校验规则</w:t>
      </w:r>
    </w:p>
    <w:p>
      <w:pPr>
        <w:spacing w:line="400" w:lineRule="exact"/>
        <w:jc w:val="both"/>
      </w:pPr>
      <w:r>
        <w:t>规则编号DQ-R-CM-CP-0002，对应需求DQ-N-CM-0007。按领域、用途和固定交付版本计算有效净量，核验供需计划、产品工艺设计、制造过程、产品质量各自的预训练、指令微调、偏好对齐和基准评测数量。来源不足、去重、权利限制、质检不合格及训练验证淘汰造成的损耗分别登记，未经验证内容不提前计入净量。</w:t>
      </w:r>
    </w:p>
    <w:p>
      <w:pPr>
        <w:pStyle w:val="Caption"/>
        <w:keepNext/>
      </w:pPr>
      <w:r>
        <w:t>表3-2 四领域十六项净量校验规则</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0" w:type="dxa"/>
          <w:bottom w:w="6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00" w:lineRule="exact" w:after="0" w:before="0"/>
              <w:ind w:firstLine="0"/>
              <w:jc w:val="center"/>
            </w:pPr>
            <w:r>
              <w:rPr>
                <w:b/>
                <w:sz w:val="21"/>
              </w:rPr>
              <w:t>领域</w:t>
            </w:r>
          </w:p>
        </w:tc>
        <w:tc>
          <w:tcPr>
            <w:tcW w:type="dxa" w:w="2120"/>
            <w:vAlign w:val="center"/>
            <w:shd w:fill="EDF1F3"/>
          </w:tcPr>
          <w:p>
            <w:pPr>
              <w:keepNext/>
              <w:spacing w:line="300" w:lineRule="exact" w:after="0" w:before="0"/>
              <w:ind w:firstLine="0"/>
              <w:jc w:val="center"/>
            </w:pPr>
            <w:r>
              <w:rPr>
                <w:b/>
                <w:sz w:val="21"/>
              </w:rPr>
              <w:t>预训练</w:t>
            </w:r>
          </w:p>
        </w:tc>
        <w:tc>
          <w:tcPr>
            <w:tcW w:type="dxa" w:w="1928"/>
            <w:vAlign w:val="center"/>
            <w:shd w:fill="EDF1F3"/>
          </w:tcPr>
          <w:p>
            <w:pPr>
              <w:keepNext/>
              <w:spacing w:line="300" w:lineRule="exact" w:after="0" w:before="0"/>
              <w:ind w:firstLine="0"/>
              <w:jc w:val="center"/>
            </w:pPr>
            <w:r>
              <w:rPr>
                <w:b/>
                <w:sz w:val="21"/>
              </w:rPr>
              <w:t>指令微调</w:t>
            </w:r>
          </w:p>
        </w:tc>
        <w:tc>
          <w:tcPr>
            <w:tcW w:type="dxa" w:w="1928"/>
            <w:vAlign w:val="center"/>
            <w:shd w:fill="EDF1F3"/>
          </w:tcPr>
          <w:p>
            <w:pPr>
              <w:keepNext/>
              <w:spacing w:line="300" w:lineRule="exact" w:after="0" w:before="0"/>
              <w:ind w:firstLine="0"/>
              <w:jc w:val="center"/>
            </w:pPr>
            <w:r>
              <w:rPr>
                <w:b/>
                <w:sz w:val="21"/>
              </w:rPr>
              <w:t>偏好对齐</w:t>
            </w:r>
          </w:p>
        </w:tc>
        <w:tc>
          <w:tcPr>
            <w:tcW w:type="dxa" w:w="1928"/>
            <w:vAlign w:val="center"/>
            <w:shd w:fill="EDF1F3"/>
          </w:tcPr>
          <w:p>
            <w:pPr>
              <w:keepNext/>
              <w:spacing w:line="300" w:lineRule="exact" w:after="0" w:before="0"/>
              <w:ind w:firstLine="0"/>
              <w:jc w:val="center"/>
            </w:pPr>
            <w:r>
              <w:rPr>
                <w:b/>
                <w:sz w:val="21"/>
              </w:rPr>
              <w:t>基准评测</w:t>
            </w:r>
          </w:p>
        </w:tc>
      </w:tr>
      <w:tr>
        <w:trPr>
          <w:cantSplit/>
        </w:trPr>
        <w:tc>
          <w:tcPr>
            <w:tcW w:type="dxa" w:w="1735"/>
            <w:vAlign w:val="center"/>
          </w:tcPr>
          <w:p>
            <w:pPr>
              <w:keepNext w:val="0"/>
              <w:spacing w:line="300" w:lineRule="exact" w:after="0" w:before="0"/>
              <w:ind w:firstLine="0"/>
              <w:jc w:val="left"/>
            </w:pPr>
            <w:r>
              <w:rPr>
                <w:b w:val="0"/>
                <w:sz w:val="21"/>
              </w:rPr>
              <w:t>供需计划</w:t>
            </w:r>
          </w:p>
        </w:tc>
        <w:tc>
          <w:tcPr>
            <w:tcW w:type="dxa" w:w="2120"/>
            <w:vAlign w:val="center"/>
          </w:tcPr>
          <w:p>
            <w:pPr>
              <w:keepNext w:val="0"/>
              <w:spacing w:line="300" w:lineRule="exact" w:after="0" w:before="0"/>
              <w:ind w:firstLine="0"/>
              <w:jc w:val="left"/>
            </w:pPr>
            <w:r>
              <w:rPr>
                <w:b w:val="0"/>
                <w:sz w:val="21"/>
              </w:rPr>
              <w:t>276亿Tokens</w:t>
            </w:r>
          </w:p>
        </w:tc>
        <w:tc>
          <w:tcPr>
            <w:tcW w:type="dxa" w:w="1928"/>
            <w:vAlign w:val="center"/>
          </w:tcPr>
          <w:p>
            <w:pPr>
              <w:keepNext w:val="0"/>
              <w:spacing w:line="300" w:lineRule="exact" w:after="0" w:before="0"/>
              <w:ind w:firstLine="0"/>
              <w:jc w:val="left"/>
            </w:pPr>
            <w:r>
              <w:rPr>
                <w:b w:val="0"/>
                <w:sz w:val="21"/>
              </w:rPr>
              <w:t>40万条</w:t>
            </w:r>
          </w:p>
        </w:tc>
        <w:tc>
          <w:tcPr>
            <w:tcW w:type="dxa" w:w="1928"/>
            <w:vAlign w:val="center"/>
          </w:tcPr>
          <w:p>
            <w:pPr>
              <w:keepNext w:val="0"/>
              <w:spacing w:line="300" w:lineRule="exact" w:after="0" w:before="0"/>
              <w:ind w:firstLine="0"/>
              <w:jc w:val="left"/>
            </w:pPr>
            <w:r>
              <w:rPr>
                <w:b w:val="0"/>
                <w:sz w:val="21"/>
              </w:rPr>
              <w:t>3.2万组</w:t>
            </w:r>
          </w:p>
        </w:tc>
        <w:tc>
          <w:tcPr>
            <w:tcW w:type="dxa" w:w="1928"/>
            <w:vAlign w:val="center"/>
          </w:tcPr>
          <w:p>
            <w:pPr>
              <w:keepNext w:val="0"/>
              <w:spacing w:line="300" w:lineRule="exact" w:after="0" w:before="0"/>
              <w:ind w:firstLine="0"/>
              <w:jc w:val="left"/>
            </w:pPr>
            <w:r>
              <w:rPr>
                <w:b w:val="0"/>
                <w:sz w:val="21"/>
              </w:rPr>
              <w:t>0.4万条</w:t>
            </w:r>
          </w:p>
        </w:tc>
      </w:tr>
      <w:tr>
        <w:trPr>
          <w:cantSplit/>
        </w:trPr>
        <w:tc>
          <w:tcPr>
            <w:tcW w:type="dxa" w:w="1735"/>
            <w:vAlign w:val="center"/>
          </w:tcPr>
          <w:p>
            <w:pPr>
              <w:keepNext w:val="0"/>
              <w:spacing w:line="300" w:lineRule="exact" w:after="0" w:before="0"/>
              <w:ind w:firstLine="0"/>
              <w:jc w:val="left"/>
            </w:pPr>
            <w:r>
              <w:rPr>
                <w:b w:val="0"/>
                <w:sz w:val="21"/>
              </w:rPr>
              <w:t>产品工艺设计</w:t>
            </w:r>
          </w:p>
        </w:tc>
        <w:tc>
          <w:tcPr>
            <w:tcW w:type="dxa" w:w="2120"/>
            <w:vAlign w:val="center"/>
          </w:tcPr>
          <w:p>
            <w:pPr>
              <w:keepNext w:val="0"/>
              <w:spacing w:line="300" w:lineRule="exact" w:after="0" w:before="0"/>
              <w:ind w:firstLine="0"/>
              <w:jc w:val="left"/>
            </w:pPr>
            <w:r>
              <w:rPr>
                <w:b w:val="0"/>
                <w:sz w:val="21"/>
              </w:rPr>
              <w:t>70亿Tokens</w:t>
            </w:r>
          </w:p>
        </w:tc>
        <w:tc>
          <w:tcPr>
            <w:tcW w:type="dxa" w:w="1928"/>
            <w:vAlign w:val="center"/>
          </w:tcPr>
          <w:p>
            <w:pPr>
              <w:keepNext w:val="0"/>
              <w:spacing w:line="300" w:lineRule="exact" w:after="0" w:before="0"/>
              <w:ind w:firstLine="0"/>
              <w:jc w:val="left"/>
            </w:pPr>
            <w:r>
              <w:rPr>
                <w:b w:val="0"/>
                <w:sz w:val="21"/>
              </w:rPr>
              <w:t>10万条</w:t>
            </w:r>
          </w:p>
        </w:tc>
        <w:tc>
          <w:tcPr>
            <w:tcW w:type="dxa" w:w="1928"/>
            <w:vAlign w:val="center"/>
          </w:tcPr>
          <w:p>
            <w:pPr>
              <w:keepNext w:val="0"/>
              <w:spacing w:line="300" w:lineRule="exact" w:after="0" w:before="0"/>
              <w:ind w:firstLine="0"/>
              <w:jc w:val="left"/>
            </w:pPr>
            <w:r>
              <w:rPr>
                <w:b w:val="0"/>
                <w:sz w:val="21"/>
              </w:rPr>
              <w:t>0.8万组</w:t>
            </w:r>
          </w:p>
        </w:tc>
        <w:tc>
          <w:tcPr>
            <w:tcW w:type="dxa" w:w="1928"/>
            <w:vAlign w:val="center"/>
          </w:tcPr>
          <w:p>
            <w:pPr>
              <w:keepNext w:val="0"/>
              <w:spacing w:line="300" w:lineRule="exact" w:after="0" w:before="0"/>
              <w:ind w:firstLine="0"/>
              <w:jc w:val="left"/>
            </w:pPr>
            <w:r>
              <w:rPr>
                <w:b w:val="0"/>
                <w:sz w:val="21"/>
              </w:rPr>
              <w:t>0.1万条</w:t>
            </w:r>
          </w:p>
        </w:tc>
      </w:tr>
      <w:tr>
        <w:trPr>
          <w:cantSplit/>
        </w:trPr>
        <w:tc>
          <w:tcPr>
            <w:tcW w:type="dxa" w:w="1735"/>
            <w:vAlign w:val="center"/>
          </w:tcPr>
          <w:p>
            <w:pPr>
              <w:keepNext w:val="0"/>
              <w:spacing w:line="300" w:lineRule="exact" w:after="0" w:before="0"/>
              <w:ind w:firstLine="0"/>
              <w:jc w:val="left"/>
            </w:pPr>
            <w:r>
              <w:rPr>
                <w:b w:val="0"/>
                <w:sz w:val="21"/>
              </w:rPr>
              <w:t>制造过程</w:t>
            </w:r>
          </w:p>
        </w:tc>
        <w:tc>
          <w:tcPr>
            <w:tcW w:type="dxa" w:w="2120"/>
            <w:vAlign w:val="center"/>
          </w:tcPr>
          <w:p>
            <w:pPr>
              <w:keepNext w:val="0"/>
              <w:spacing w:line="300" w:lineRule="exact" w:after="0" w:before="0"/>
              <w:ind w:firstLine="0"/>
              <w:jc w:val="left"/>
            </w:pPr>
            <w:r>
              <w:rPr>
                <w:b w:val="0"/>
                <w:sz w:val="21"/>
              </w:rPr>
              <w:t>105亿Tokens</w:t>
            </w:r>
          </w:p>
        </w:tc>
        <w:tc>
          <w:tcPr>
            <w:tcW w:type="dxa" w:w="1928"/>
            <w:vAlign w:val="center"/>
          </w:tcPr>
          <w:p>
            <w:pPr>
              <w:keepNext w:val="0"/>
              <w:spacing w:line="300" w:lineRule="exact" w:after="0" w:before="0"/>
              <w:ind w:firstLine="0"/>
              <w:jc w:val="left"/>
            </w:pPr>
            <w:r>
              <w:rPr>
                <w:b w:val="0"/>
                <w:sz w:val="21"/>
              </w:rPr>
              <w:t>15万条</w:t>
            </w:r>
          </w:p>
        </w:tc>
        <w:tc>
          <w:tcPr>
            <w:tcW w:type="dxa" w:w="1928"/>
            <w:vAlign w:val="center"/>
          </w:tcPr>
          <w:p>
            <w:pPr>
              <w:keepNext w:val="0"/>
              <w:spacing w:line="300" w:lineRule="exact" w:after="0" w:before="0"/>
              <w:ind w:firstLine="0"/>
              <w:jc w:val="left"/>
            </w:pPr>
            <w:r>
              <w:rPr>
                <w:b w:val="0"/>
                <w:sz w:val="21"/>
              </w:rPr>
              <w:t>1万组</w:t>
            </w:r>
          </w:p>
        </w:tc>
        <w:tc>
          <w:tcPr>
            <w:tcW w:type="dxa" w:w="1928"/>
            <w:vAlign w:val="center"/>
          </w:tcPr>
          <w:p>
            <w:pPr>
              <w:keepNext w:val="0"/>
              <w:spacing w:line="300" w:lineRule="exact" w:after="0" w:before="0"/>
              <w:ind w:firstLine="0"/>
              <w:jc w:val="left"/>
            </w:pPr>
            <w:r>
              <w:rPr>
                <w:b w:val="0"/>
                <w:sz w:val="21"/>
              </w:rPr>
              <w:t>0.2万条</w:t>
            </w:r>
          </w:p>
        </w:tc>
      </w:tr>
      <w:tr>
        <w:trPr>
          <w:cantSplit/>
        </w:trPr>
        <w:tc>
          <w:tcPr>
            <w:tcW w:type="dxa" w:w="1735"/>
            <w:vAlign w:val="center"/>
          </w:tcPr>
          <w:p>
            <w:pPr>
              <w:keepNext w:val="0"/>
              <w:spacing w:line="300" w:lineRule="exact" w:after="0" w:before="0"/>
              <w:ind w:firstLine="0"/>
              <w:jc w:val="left"/>
            </w:pPr>
            <w:r>
              <w:rPr>
                <w:b w:val="0"/>
                <w:sz w:val="21"/>
              </w:rPr>
              <w:t>产品质量</w:t>
            </w:r>
          </w:p>
        </w:tc>
        <w:tc>
          <w:tcPr>
            <w:tcW w:type="dxa" w:w="2120"/>
            <w:vAlign w:val="center"/>
          </w:tcPr>
          <w:p>
            <w:pPr>
              <w:keepNext w:val="0"/>
              <w:spacing w:line="300" w:lineRule="exact" w:after="0" w:before="0"/>
              <w:ind w:firstLine="0"/>
              <w:jc w:val="left"/>
            </w:pPr>
            <w:r>
              <w:rPr>
                <w:b w:val="0"/>
                <w:sz w:val="21"/>
              </w:rPr>
              <w:t>164亿Tokens</w:t>
            </w:r>
          </w:p>
        </w:tc>
        <w:tc>
          <w:tcPr>
            <w:tcW w:type="dxa" w:w="1928"/>
            <w:vAlign w:val="center"/>
          </w:tcPr>
          <w:p>
            <w:pPr>
              <w:keepNext w:val="0"/>
              <w:spacing w:line="300" w:lineRule="exact" w:after="0" w:before="0"/>
              <w:ind w:firstLine="0"/>
              <w:jc w:val="left"/>
            </w:pPr>
            <w:r>
              <w:rPr>
                <w:b w:val="0"/>
                <w:sz w:val="21"/>
              </w:rPr>
              <w:t>24万条</w:t>
            </w:r>
          </w:p>
        </w:tc>
        <w:tc>
          <w:tcPr>
            <w:tcW w:type="dxa" w:w="1928"/>
            <w:vAlign w:val="center"/>
          </w:tcPr>
          <w:p>
            <w:pPr>
              <w:keepNext w:val="0"/>
              <w:spacing w:line="300" w:lineRule="exact" w:after="0" w:before="0"/>
              <w:ind w:firstLine="0"/>
              <w:jc w:val="left"/>
            </w:pPr>
            <w:r>
              <w:rPr>
                <w:b w:val="0"/>
                <w:sz w:val="21"/>
              </w:rPr>
              <w:t>1.6万组</w:t>
            </w:r>
          </w:p>
        </w:tc>
        <w:tc>
          <w:tcPr>
            <w:tcW w:type="dxa" w:w="1928"/>
            <w:vAlign w:val="center"/>
          </w:tcPr>
          <w:p>
            <w:pPr>
              <w:keepNext w:val="0"/>
              <w:spacing w:line="300" w:lineRule="exact" w:after="0" w:before="0"/>
              <w:ind w:firstLine="0"/>
              <w:jc w:val="left"/>
            </w:pPr>
            <w:r>
              <w:rPr>
                <w:b w:val="0"/>
                <w:sz w:val="21"/>
              </w:rPr>
              <w:t>0.25万条</w:t>
            </w:r>
          </w:p>
        </w:tc>
      </w:tr>
    </w:tbl>
    <w:p>
      <w:pPr>
        <w:spacing w:after="40" w:line="240" w:lineRule="auto"/>
        <w:ind w:firstLine="0"/>
      </w:pPr>
      <w:r>
        <w:rPr>
          <w:sz w:val="4"/>
        </w:rPr>
      </w:r>
    </w:p>
    <w:p>
      <w:pPr>
        <w:spacing w:line="400" w:lineRule="exact"/>
        <w:jc w:val="both"/>
      </w:pPr>
      <w:r>
        <w:t>Token计量固定分词器、版本、归一化方式和计入字段，重复内容及无效载荷按统一规则处理。指令以满足格式和质量要求的完整任务计数，偏好以完整比较组计数，基准以有效完整题目计数。跨用途引用相同来源时保留用途关系，交付规模按各用途实际有效内容核验，不能将一个空壳任务或不完整回答组计为一条合格记录。</w:t>
      </w:r>
    </w:p>
    <w:p>
      <w:pPr>
        <w:spacing w:line="400" w:lineRule="exact"/>
        <w:jc w:val="both"/>
      </w:pPr>
      <w:r>
        <w:t>对每项净量输出目标、候选、损耗、实际有效量及差额，十六项逐一判定。总量615亿Tokens、89万条指令、6.6万组偏好和0.95万条基准仅用于汇总复核，不替代分项判定。不足时补充符合条件的真实来源或按允许方式加工，并重新完成质量和比例检查。</w:t>
      </w:r>
    </w:p>
    <w:p>
      <w:pPr>
        <w:pStyle w:val="Heading3"/>
      </w:pPr>
      <w:r>
        <w:t>3.13.8 模态覆盖与条数比例规则</w:t>
      </w:r>
    </w:p>
    <w:p>
      <w:pPr>
        <w:spacing w:line="400" w:lineRule="exact"/>
        <w:jc w:val="both"/>
      </w:pPr>
      <w:r>
        <w:t>规则编号DQ-R-CM-CP-0003，对应需求DQ-N-CM-0008。核验项目文本、图像、时序和视频四种模态的实际有效内容，每个领域不少于三种有效模态。有效模态需具备可读取载荷、业务含义和符合用途的关联，不以文件扩展名、空附件或重复转换格式证明覆盖。</w:t>
      </w:r>
    </w:p>
    <w:p>
      <w:pPr>
        <w:spacing w:line="400" w:lineRule="exact"/>
        <w:jc w:val="both"/>
      </w:pPr>
      <w:r>
        <w:t>对每个领域和用途的完整有效记录登记互斥模态组合，同时按模态出现情况统计覆盖。模态出现次数可以重叠，互斥组合数量之和应等于有效记录总数。多模态占比以具有两种及以上有效模态的完整记录数除以有效记录总数，达到不低于40%的要求；近三年占比按时间规则另行核查，二者不相互替代。</w:t>
      </w:r>
    </w:p>
    <w:p>
      <w:pPr>
        <w:spacing w:line="400" w:lineRule="exact"/>
        <w:jc w:val="both"/>
      </w:pPr>
      <w:r>
        <w:t>检查分母与净量统计的对象范围一致，预训练条数与Tokens分别保存，不能以Token占比代替多模态条数比例。整改剔除或替换记录后重新计算全部受影响比例，防止某项质量提升导致另一项硬性条件跌破要求而未被发现。</w:t>
      </w:r>
    </w:p>
    <w:p>
      <w:pPr>
        <w:pStyle w:val="Heading3"/>
      </w:pPr>
      <w:r>
        <w:t>3.13.9 合成来源与增强比例规则</w:t>
      </w:r>
    </w:p>
    <w:p>
      <w:pPr>
        <w:spacing w:line="400" w:lineRule="exact"/>
        <w:jc w:val="both"/>
      </w:pPr>
      <w:r>
        <w:t>规则编号DQ-R-CM-VA-0003，对应需求DQ-N-CM-0009。记录来源性质和加工方式两个独立属性，形成真实未增强、真实增强、合成未增强、合成增强四个互斥类别。来源混合记录按所含内容及用途规定判断合成属性，不能通过改名、重写或多次派生消除合成来源关系。</w:t>
      </w:r>
    </w:p>
    <w:p>
      <w:pPr>
        <w:spacing w:line="400" w:lineRule="exact"/>
        <w:jc w:val="both"/>
      </w:pPr>
      <w:r>
        <w:t>预训练以有效Tokens统计合成来源与增强来源的并集，二者交集不重复计量，并集占比不超过20%。指令微调按完整任务统计，整体合成来源占比不超过45%；真实数据充足任务不超过30%，推理和长尾任务不超过60%，任务级分类在生产前确认，汇总仍服从整体上限。不能将普通任务事后改称长尾以放宽上限。</w:t>
      </w:r>
    </w:p>
    <w:p>
      <w:pPr>
        <w:spacing w:line="400" w:lineRule="exact"/>
        <w:jc w:val="both"/>
      </w:pPr>
      <w:r>
        <w:t>偏好对齐按完整组判断，只要组内包含合成回答或其派生内容，即计入合成来源组，不超过50%；纯真实来源经过允许增强的组不自动计为合成组，但仍记录增强属性并接受质量检查。基准评测合成占比为零，不以人为增强扩充题量。检查结果逐用途输出来源分类、分子分母、交集处理和异常追溯链，超限时调整实际内容并重新验证，不只修改标签。</w:t>
      </w:r>
    </w:p>
    <w:p>
      <w:pPr>
        <w:pStyle w:val="Heading3"/>
      </w:pPr>
      <w:r>
        <w:t>3.13.10 来源家族隔离与泄漏检查规则</w:t>
      </w:r>
    </w:p>
    <w:p>
      <w:pPr>
        <w:spacing w:line="400" w:lineRule="exact"/>
        <w:jc w:val="both"/>
      </w:pPr>
      <w:r>
        <w:t>规则编号DQ-R-CM-UQ-0001，对应需求DQ-N-CM-0010。按原始文档、产品实例、设备事件、时间邻近关系和派生链建立来源家族，基准评测来源在加工前隔离。使用精确摘要、文本与结构相似度、图像关系和业务身份等方法检测跨用途潜在重复，候选结果由专业岗位确认其实际泄漏风险。</w:t>
      </w:r>
    </w:p>
    <w:p>
      <w:pPr>
        <w:spacing w:line="400" w:lineRule="exact"/>
        <w:jc w:val="both"/>
      </w:pPr>
      <w:r>
        <w:t>同一文档的章节、翻译、摘要和问答，同一故障的多测点片段，同一视频的相邻帧及其标注等应检查家族关系，不能仅因文件名和内容长度不同而视为独立。不同实物产生的真实相似现象也不能一律去重，保留业务身份和独立形成依据。</w:t>
      </w:r>
    </w:p>
    <w:p>
      <w:pPr>
        <w:spacing w:line="400" w:lineRule="exact"/>
        <w:jc w:val="both"/>
      </w:pPr>
      <w:r>
        <w:t>检测算法、阈值、模型和人工裁决版本固定，报告检测覆盖和未能检查的载荷。整改调整实际划分或替换来源家族，重跑泄漏检查及净量、模态、时效和来源比例检查。已知事实错误的内容从有效基准中移出并补足合格题目，不通过“困难”标签予以保留。</w:t>
      </w:r>
    </w:p>
    <w:p>
      <w:pPr>
        <w:pStyle w:val="Heading3"/>
      </w:pPr>
      <w:r>
        <w:t>3.13.11 版本一致与发布条件规则</w:t>
      </w:r>
    </w:p>
    <w:p>
      <w:pPr>
        <w:spacing w:line="400" w:lineRule="exact"/>
        <w:jc w:val="both"/>
      </w:pPr>
      <w:r>
        <w:t>规则编号DQ-R-CM-VA-0004，对应需求DQ-N-CM-0011。核验数据文件、必要元数据、字典、数据卡、质检、训练验证、正式评测及权利资料共同对应同一发布版本。先形成绑定数据及必要元数据的内容根摘要，再形成绑定数据卡和报告等配套文件的封装清单，避免摘要之间循环引用。</w:t>
      </w:r>
    </w:p>
    <w:p>
      <w:pPr>
        <w:spacing w:line="400" w:lineRule="exact"/>
        <w:jc w:val="both"/>
      </w:pPr>
      <w:r>
        <w:t>发布检查逐项读取固定证据，确认十六项净量、模态、双40%、来源比例和安全权利符合要求，正式评测三个维度各达到90分且综合不低于85分，81项指标有对应记录，高风险清零、中低风险100%整改。至少4次集中完整复测及第三方正式盖章报告按评测安排核查，不把日常作业记录替代正式报告。</w:t>
      </w:r>
    </w:p>
    <w:p>
      <w:pPr>
        <w:spacing w:line="400" w:lineRule="exact"/>
        <w:jc w:val="both"/>
      </w:pPr>
      <w:r>
        <w:t>版本变化后重新识别需要失效或补充的证据。仅修改不影响数据内容的文字也应检查元数据与报告一致性；数据、标签、来源或划分变化则按实际影响开展重新质检、验证及必要复测。发布判定由有权岗位执行，规则输出及批准记录保留，技术执行成功不自动产生业务放行。</w:t>
      </w:r>
    </w:p>
    <w:p>
      <w:pPr>
        <w:pStyle w:val="Heading3"/>
      </w:pPr>
      <w:r>
        <w:t>3.13.12 整改传播与反馈闭环规则</w:t>
      </w:r>
    </w:p>
    <w:p>
      <w:pPr>
        <w:spacing w:line="400" w:lineRule="exact"/>
        <w:jc w:val="both"/>
      </w:pPr>
      <w:r>
        <w:t>规则编号DQ-R-CM-CS-0003，对应需求DQ-N-CM-0012。对每项确认问题沿来源、转换、关联、样本家族、用途子集和使用记录查找影响对象，核对主问题与子任务、修复版本和下游处理是否完整。无法自动定位的传播链登记人工排查范围、方法和结果，不以血缘缺失认定不存在影响。</w:t>
      </w:r>
    </w:p>
    <w:p>
      <w:pPr>
        <w:spacing w:line="400" w:lineRule="exact"/>
        <w:jc w:val="both"/>
      </w:pPr>
      <w:r>
        <w:t>检查关闭条件包括原缺陷纠正、必要下游修复完成、限制调整有依据、业务确认与独立复核齐备。影响正式数据集的，进一步核查重新验证和正式发布条件。多个部门分别完成动作后仍需检查整体结果，不能以每个子任务均“已处理”直接判主问题合格。</w:t>
      </w:r>
    </w:p>
    <w:p>
      <w:pPr>
        <w:spacing w:line="400" w:lineRule="exact"/>
        <w:jc w:val="both"/>
      </w:pPr>
      <w:r>
        <w:t>归档后根据实际业务发生机会观察复发，发现同根因问题时保留前次措施与新问题关系。统计已知缺口、外部依赖和长期改造问题时均保留其未关闭状态，延期记录同时保留原期限和修订期限，不通过排除分母改善整改关闭率或按期完成率。</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9" name="Picture 9"/>
            <wp:cNvGraphicFramePr>
              <a:graphicFrameLocks noChangeAspect="1"/>
            </wp:cNvGraphicFramePr>
            <a:graphic>
              <a:graphicData uri="http://schemas.openxmlformats.org/drawingml/2006/picture">
                <pic:pic>
                  <pic:nvPicPr>
                    <pic:cNvPr id="0" name="图9_规则验证.png"/>
                    <pic:cNvPicPr/>
                  </pic:nvPicPr>
                  <pic:blipFill>
                    <a:blip r:embed="rId19"/>
                    <a:stretch>
                      <a:fillRect/>
                    </a:stretch>
                  </pic:blipFill>
                  <pic:spPr>
                    <a:xfrm>
                      <a:off x="0" y="0"/>
                      <a:ext cx="6048000" cy="1942338"/>
                    </a:xfrm>
                    <a:prstGeom prst="rect"/>
                  </pic:spPr>
                </pic:pic>
              </a:graphicData>
            </a:graphic>
          </wp:inline>
        </w:drawing>
      </w:r>
    </w:p>
    <w:p>
      <w:pPr>
        <w:pStyle w:val="Caption"/>
        <w:jc w:val="center"/>
      </w:pPr>
      <w:r>
        <w:t>图3-3 规则验证与受控运行</w:t>
      </w:r>
    </w:p>
    <w:p>
      <w:pPr>
        <w:pStyle w:val="Heading2"/>
      </w:pPr>
      <w:r>
        <w:t>3.14 规则验证、调度与运行维护</w:t>
      </w:r>
    </w:p>
    <w:p>
      <w:pPr>
        <w:pStyle w:val="Heading3"/>
      </w:pPr>
      <w:r>
        <w:t>3.14.1 验证用例与预期结果</w:t>
      </w:r>
    </w:p>
    <w:p>
      <w:pPr>
        <w:spacing w:line="400" w:lineRule="exact"/>
        <w:jc w:val="both"/>
      </w:pPr>
      <w:r>
        <w:t>规则验证覆盖业务正常、明确异常、边界、不适用、依据缺失和运行失败六类输入。正常输入应通过，明确异常应被定位，边界按有效标准判断，不适用有条件依据，依据缺失保持待证实，运行失败保持未执行。验证材料区分技术测试数据与正式业务证据，测试构造内容不得流入正式基准评测数据。</w:t>
      </w:r>
    </w:p>
    <w:p>
      <w:pPr>
        <w:pStyle w:val="Caption"/>
        <w:keepNext/>
      </w:pPr>
      <w:r>
        <w:t>表3-3 验证用例与预期结果</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0" w:type="dxa"/>
          <w:bottom w:w="6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00" w:lineRule="exact" w:after="0" w:before="0"/>
              <w:ind w:firstLine="0"/>
              <w:jc w:val="center"/>
            </w:pPr>
            <w:r>
              <w:rPr>
                <w:b/>
                <w:sz w:val="21"/>
              </w:rPr>
              <w:t>验证类别</w:t>
            </w:r>
          </w:p>
        </w:tc>
        <w:tc>
          <w:tcPr>
            <w:tcW w:type="dxa" w:w="3855"/>
            <w:vAlign w:val="center"/>
            <w:shd w:fill="EDF1F3"/>
          </w:tcPr>
          <w:p>
            <w:pPr>
              <w:keepNext/>
              <w:spacing w:line="300" w:lineRule="exact" w:after="0" w:before="0"/>
              <w:ind w:firstLine="0"/>
              <w:jc w:val="center"/>
            </w:pPr>
            <w:r>
              <w:rPr>
                <w:b/>
                <w:sz w:val="21"/>
              </w:rPr>
              <w:t>必检内容</w:t>
            </w:r>
          </w:p>
        </w:tc>
        <w:tc>
          <w:tcPr>
            <w:tcW w:type="dxa" w:w="3277"/>
            <w:vAlign w:val="center"/>
            <w:shd w:fill="EDF1F3"/>
          </w:tcPr>
          <w:p>
            <w:pPr>
              <w:keepNext/>
              <w:spacing w:line="300" w:lineRule="exact" w:after="0" w:before="0"/>
              <w:ind w:firstLine="0"/>
              <w:jc w:val="center"/>
            </w:pPr>
            <w:r>
              <w:rPr>
                <w:b/>
                <w:sz w:val="21"/>
              </w:rPr>
              <w:t>合格条件</w:t>
            </w:r>
          </w:p>
        </w:tc>
      </w:tr>
      <w:tr>
        <w:trPr>
          <w:cantSplit/>
        </w:trPr>
        <w:tc>
          <w:tcPr>
            <w:tcW w:type="dxa" w:w="2506"/>
            <w:vAlign w:val="center"/>
          </w:tcPr>
          <w:p>
            <w:pPr>
              <w:keepNext w:val="0"/>
              <w:spacing w:line="300" w:lineRule="exact" w:after="0" w:before="0"/>
              <w:ind w:firstLine="0"/>
              <w:jc w:val="left"/>
            </w:pPr>
            <w:r>
              <w:rPr>
                <w:b w:val="0"/>
                <w:sz w:val="21"/>
              </w:rPr>
              <w:t>正常业务</w:t>
            </w:r>
          </w:p>
        </w:tc>
        <w:tc>
          <w:tcPr>
            <w:tcW w:type="dxa" w:w="3855"/>
            <w:vAlign w:val="center"/>
          </w:tcPr>
          <w:p>
            <w:pPr>
              <w:keepNext w:val="0"/>
              <w:spacing w:line="300" w:lineRule="exact" w:after="0" w:before="0"/>
              <w:ind w:firstLine="0"/>
              <w:jc w:val="left"/>
            </w:pPr>
            <w:r>
              <w:rPr>
                <w:b w:val="0"/>
                <w:sz w:val="21"/>
              </w:rPr>
              <w:t>有效对象、合法多值、正常版本及状态</w:t>
            </w:r>
          </w:p>
        </w:tc>
        <w:tc>
          <w:tcPr>
            <w:tcW w:type="dxa" w:w="3277"/>
            <w:vAlign w:val="center"/>
          </w:tcPr>
          <w:p>
            <w:pPr>
              <w:keepNext w:val="0"/>
              <w:spacing w:line="300" w:lineRule="exact" w:after="0" w:before="0"/>
              <w:ind w:firstLine="0"/>
              <w:jc w:val="left"/>
            </w:pPr>
            <w:r>
              <w:rPr>
                <w:b w:val="0"/>
                <w:sz w:val="21"/>
              </w:rPr>
              <w:t>正常对象通过，合法差异不被误报</w:t>
            </w:r>
          </w:p>
        </w:tc>
      </w:tr>
      <w:tr>
        <w:trPr>
          <w:cantSplit/>
        </w:trPr>
        <w:tc>
          <w:tcPr>
            <w:tcW w:type="dxa" w:w="2506"/>
            <w:vAlign w:val="center"/>
          </w:tcPr>
          <w:p>
            <w:pPr>
              <w:keepNext w:val="0"/>
              <w:spacing w:line="300" w:lineRule="exact" w:after="0" w:before="0"/>
              <w:ind w:firstLine="0"/>
              <w:jc w:val="left"/>
            </w:pPr>
            <w:r>
              <w:rPr>
                <w:b w:val="0"/>
                <w:sz w:val="21"/>
              </w:rPr>
              <w:t>明确缺陷</w:t>
            </w:r>
          </w:p>
        </w:tc>
        <w:tc>
          <w:tcPr>
            <w:tcW w:type="dxa" w:w="3855"/>
            <w:vAlign w:val="center"/>
          </w:tcPr>
          <w:p>
            <w:pPr>
              <w:keepNext w:val="0"/>
              <w:spacing w:line="300" w:lineRule="exact" w:after="0" w:before="0"/>
              <w:ind w:firstLine="0"/>
              <w:jc w:val="left"/>
            </w:pPr>
            <w:r>
              <w:rPr>
                <w:b w:val="0"/>
                <w:sz w:val="21"/>
              </w:rPr>
              <w:t>缺字段、错单位、错关联、重复及超时</w:t>
            </w:r>
          </w:p>
        </w:tc>
        <w:tc>
          <w:tcPr>
            <w:tcW w:type="dxa" w:w="3277"/>
            <w:vAlign w:val="center"/>
          </w:tcPr>
          <w:p>
            <w:pPr>
              <w:keepNext w:val="0"/>
              <w:spacing w:line="300" w:lineRule="exact" w:after="0" w:before="0"/>
              <w:ind w:firstLine="0"/>
              <w:jc w:val="left"/>
            </w:pPr>
            <w:r>
              <w:rPr>
                <w:b w:val="0"/>
                <w:sz w:val="21"/>
              </w:rPr>
              <w:t>准确命中对象并给出可解释差异</w:t>
            </w:r>
          </w:p>
        </w:tc>
      </w:tr>
      <w:tr>
        <w:trPr>
          <w:cantSplit/>
        </w:trPr>
        <w:tc>
          <w:tcPr>
            <w:tcW w:type="dxa" w:w="2506"/>
            <w:vAlign w:val="center"/>
          </w:tcPr>
          <w:p>
            <w:pPr>
              <w:keepNext w:val="0"/>
              <w:spacing w:line="300" w:lineRule="exact" w:after="0" w:before="0"/>
              <w:ind w:firstLine="0"/>
              <w:jc w:val="left"/>
            </w:pPr>
            <w:r>
              <w:rPr>
                <w:b w:val="0"/>
                <w:sz w:val="21"/>
              </w:rPr>
              <w:t>边界条件</w:t>
            </w:r>
          </w:p>
        </w:tc>
        <w:tc>
          <w:tcPr>
            <w:tcW w:type="dxa" w:w="3855"/>
            <w:vAlign w:val="center"/>
          </w:tcPr>
          <w:p>
            <w:pPr>
              <w:keepNext w:val="0"/>
              <w:spacing w:line="300" w:lineRule="exact" w:after="0" w:before="0"/>
              <w:ind w:firstLine="0"/>
              <w:jc w:val="left"/>
            </w:pPr>
            <w:r>
              <w:rPr>
                <w:b w:val="0"/>
                <w:sz w:val="21"/>
              </w:rPr>
              <w:t>阈值相等、版本切换、期末及时间窗口边界</w:t>
            </w:r>
          </w:p>
        </w:tc>
        <w:tc>
          <w:tcPr>
            <w:tcW w:type="dxa" w:w="3277"/>
            <w:vAlign w:val="center"/>
          </w:tcPr>
          <w:p>
            <w:pPr>
              <w:keepNext w:val="0"/>
              <w:spacing w:line="300" w:lineRule="exact" w:after="0" w:before="0"/>
              <w:ind w:firstLine="0"/>
              <w:jc w:val="left"/>
            </w:pPr>
            <w:r>
              <w:rPr>
                <w:b w:val="0"/>
                <w:sz w:val="21"/>
              </w:rPr>
              <w:t>与批准规则一致，边界处理可复现</w:t>
            </w:r>
          </w:p>
        </w:tc>
      </w:tr>
      <w:tr>
        <w:trPr>
          <w:cantSplit/>
        </w:trPr>
        <w:tc>
          <w:tcPr>
            <w:tcW w:type="dxa" w:w="2506"/>
            <w:vAlign w:val="center"/>
          </w:tcPr>
          <w:p>
            <w:pPr>
              <w:keepNext w:val="0"/>
              <w:spacing w:line="300" w:lineRule="exact" w:after="0" w:before="0"/>
              <w:ind w:firstLine="0"/>
              <w:jc w:val="left"/>
            </w:pPr>
            <w:r>
              <w:rPr>
                <w:b w:val="0"/>
                <w:sz w:val="21"/>
              </w:rPr>
              <w:t>不适用条件</w:t>
            </w:r>
          </w:p>
        </w:tc>
        <w:tc>
          <w:tcPr>
            <w:tcW w:type="dxa" w:w="3855"/>
            <w:vAlign w:val="center"/>
          </w:tcPr>
          <w:p>
            <w:pPr>
              <w:keepNext w:val="0"/>
              <w:spacing w:line="300" w:lineRule="exact" w:after="0" w:before="0"/>
              <w:ind w:firstLine="0"/>
              <w:jc w:val="left"/>
            </w:pPr>
            <w:r>
              <w:rPr>
                <w:b w:val="0"/>
                <w:sz w:val="21"/>
              </w:rPr>
              <w:t>合法免检、未到业务阶段及对象类型不适用</w:t>
            </w:r>
          </w:p>
        </w:tc>
        <w:tc>
          <w:tcPr>
            <w:tcW w:type="dxa" w:w="3277"/>
            <w:vAlign w:val="center"/>
          </w:tcPr>
          <w:p>
            <w:pPr>
              <w:keepNext w:val="0"/>
              <w:spacing w:line="300" w:lineRule="exact" w:after="0" w:before="0"/>
              <w:ind w:firstLine="0"/>
              <w:jc w:val="left"/>
            </w:pPr>
            <w:r>
              <w:rPr>
                <w:b w:val="0"/>
                <w:sz w:val="21"/>
              </w:rPr>
              <w:t>依据完整，不被算作通过或缺陷</w:t>
            </w:r>
          </w:p>
        </w:tc>
      </w:tr>
      <w:tr>
        <w:trPr>
          <w:cantSplit/>
        </w:trPr>
        <w:tc>
          <w:tcPr>
            <w:tcW w:type="dxa" w:w="2506"/>
            <w:vAlign w:val="center"/>
          </w:tcPr>
          <w:p>
            <w:pPr>
              <w:keepNext w:val="0"/>
              <w:spacing w:line="300" w:lineRule="exact" w:after="0" w:before="0"/>
              <w:ind w:firstLine="0"/>
              <w:jc w:val="left"/>
            </w:pPr>
            <w:r>
              <w:rPr>
                <w:b w:val="0"/>
                <w:sz w:val="21"/>
              </w:rPr>
              <w:t>依据不足</w:t>
            </w:r>
          </w:p>
        </w:tc>
        <w:tc>
          <w:tcPr>
            <w:tcW w:type="dxa" w:w="3855"/>
            <w:vAlign w:val="center"/>
          </w:tcPr>
          <w:p>
            <w:pPr>
              <w:keepNext w:val="0"/>
              <w:spacing w:line="300" w:lineRule="exact" w:after="0" w:before="0"/>
              <w:ind w:firstLine="0"/>
              <w:jc w:val="left"/>
            </w:pPr>
            <w:r>
              <w:rPr>
                <w:b w:val="0"/>
                <w:sz w:val="21"/>
              </w:rPr>
              <w:t>缺标准、时间未知、资料不可取得</w:t>
            </w:r>
          </w:p>
        </w:tc>
        <w:tc>
          <w:tcPr>
            <w:tcW w:type="dxa" w:w="3277"/>
            <w:vAlign w:val="center"/>
          </w:tcPr>
          <w:p>
            <w:pPr>
              <w:keepNext w:val="0"/>
              <w:spacing w:line="300" w:lineRule="exact" w:after="0" w:before="0"/>
              <w:ind w:firstLine="0"/>
              <w:jc w:val="left"/>
            </w:pPr>
            <w:r>
              <w:rPr>
                <w:b w:val="0"/>
                <w:sz w:val="21"/>
              </w:rPr>
              <w:t>待证实并有补证任务，关键用途受限</w:t>
            </w:r>
          </w:p>
        </w:tc>
      </w:tr>
      <w:tr>
        <w:trPr>
          <w:cantSplit/>
        </w:trPr>
        <w:tc>
          <w:tcPr>
            <w:tcW w:type="dxa" w:w="2506"/>
            <w:vAlign w:val="center"/>
          </w:tcPr>
          <w:p>
            <w:pPr>
              <w:keepNext w:val="0"/>
              <w:spacing w:line="300" w:lineRule="exact" w:after="0" w:before="0"/>
              <w:ind w:firstLine="0"/>
              <w:jc w:val="left"/>
            </w:pPr>
            <w:r>
              <w:rPr>
                <w:b w:val="0"/>
                <w:sz w:val="21"/>
              </w:rPr>
              <w:t>运行异常</w:t>
            </w:r>
          </w:p>
        </w:tc>
        <w:tc>
          <w:tcPr>
            <w:tcW w:type="dxa" w:w="3855"/>
            <w:vAlign w:val="center"/>
          </w:tcPr>
          <w:p>
            <w:pPr>
              <w:keepNext w:val="0"/>
              <w:spacing w:line="300" w:lineRule="exact" w:after="0" w:before="0"/>
              <w:ind w:firstLine="0"/>
              <w:jc w:val="left"/>
            </w:pPr>
            <w:r>
              <w:rPr>
                <w:b w:val="0"/>
                <w:sz w:val="21"/>
              </w:rPr>
              <w:t>接口断开、权限不足、超时及字段变更</w:t>
            </w:r>
          </w:p>
        </w:tc>
        <w:tc>
          <w:tcPr>
            <w:tcW w:type="dxa" w:w="3277"/>
            <w:vAlign w:val="center"/>
          </w:tcPr>
          <w:p>
            <w:pPr>
              <w:keepNext w:val="0"/>
              <w:spacing w:line="300" w:lineRule="exact" w:after="0" w:before="0"/>
              <w:ind w:firstLine="0"/>
              <w:jc w:val="left"/>
            </w:pPr>
            <w:r>
              <w:rPr>
                <w:b w:val="0"/>
                <w:sz w:val="21"/>
              </w:rPr>
              <w:t>未执行状态明确，恢复后可重跑且不重复统计</w:t>
            </w:r>
          </w:p>
        </w:tc>
      </w:tr>
    </w:tbl>
    <w:p>
      <w:pPr>
        <w:spacing w:after="40" w:line="240" w:lineRule="auto"/>
        <w:ind w:firstLine="0"/>
      </w:pPr>
      <w:r>
        <w:rPr>
          <w:sz w:val="4"/>
        </w:rPr>
      </w:r>
    </w:p>
    <w:p>
      <w:pPr>
        <w:spacing w:line="400" w:lineRule="exact"/>
        <w:jc w:val="both"/>
      </w:pPr>
      <w:r>
        <w:t>涉及批量关联和汇总计算的，增加连接基数、溢出、精度损失及重复重放验证。时序规则增加乱序、迟到、断流、时区差异及设备时钟偏移验证。文本图像解析增加符号、小数点、上下标和表格跨页等关键误读验证。验证缺陷修复后重新运行受影响用例，同时检查相邻规则，防止共享转换逻辑修复引入新的错误。</w:t>
      </w:r>
    </w:p>
    <w:p>
      <w:pPr>
        <w:pStyle w:val="Heading3"/>
      </w:pPr>
      <w:r>
        <w:t>3.14.2 调度、资源与恢复</w:t>
      </w:r>
    </w:p>
    <w:p>
      <w:pPr>
        <w:spacing w:line="400" w:lineRule="exact"/>
        <w:jc w:val="both"/>
      </w:pPr>
      <w:r>
        <w:t>调度配置依据业务变化频率、输入到达情况和结果用途安排，关键任务设置依赖检查与失败告警。大规模历史检查采用分区、批次和检查点控制，保留每个分区的完成状态和结果摘要。增量检查不能永久替代全量核查，按业务风险和变化情况安排周期性全量或覆盖性复查，发现历史传播问题时扩大范围。</w:t>
      </w:r>
    </w:p>
    <w:p>
      <w:pPr>
        <w:spacing w:line="400" w:lineRule="exact"/>
        <w:jc w:val="both"/>
      </w:pPr>
      <w:r>
        <w:t>运行记录包括计划开始、实际开始、结束、等待依赖、扫描量、命中量、资源使用及异常。任务失败后先判断是否已产生部分结果，使用任务身份和对象键实现幂等重跑，禁止将部分成功结果与全量预期混合报告。恢复后核对检查范围与结果完整性，必要时撤回受影响的未完成报告并形成后继版本。</w:t>
      </w:r>
    </w:p>
    <w:p>
      <w:pPr>
        <w:pStyle w:val="Heading3"/>
      </w:pPr>
      <w:r>
        <w:t>3.14.3 有效性复查与退出</w:t>
      </w:r>
    </w:p>
    <w:p>
      <w:pPr>
        <w:spacing w:line="400" w:lineRule="exact"/>
        <w:jc w:val="both"/>
      </w:pPr>
      <w:r>
        <w:t>规则有效性定期结合实际问题、误报、漏报、检查覆盖和业务反馈评价。长期零命中不直接证明数据优良，应检查适用对象、输入字段和触发机制。误报高的规则分析业务条件、映射与实现原因，修复后重新验证；发现漏报时回查历史范围并评估下游影响。规则性能优化不能改变业务判断含义，变更前后使用相同固定对象对比。</w:t>
      </w:r>
    </w:p>
    <w:p>
      <w:pPr>
        <w:spacing w:line="400" w:lineRule="exact"/>
        <w:jc w:val="both"/>
      </w:pPr>
      <w:r>
        <w:t>规则退出须确认对应需求已失效或有新的控制完整承接，检查仍未关闭的问题与历史报告能否继续解释。退出版本保留文档、配置、代码和必要依赖引用，禁止删除历史规则导致问题证据失去意义。平台中失效任务及时停止，历史档案与现行运行清单明确区分。</w:t>
      </w:r>
    </w:p>
    <w:p>
      <w:pPr>
        <w:pStyle w:val="Heading3"/>
        <w:pageBreakBefore/>
      </w:pPr>
      <w:r>
        <w:t>3.14.4 任务接口、结果对账与运行观测</w:t>
      </w:r>
    </w:p>
    <w:p>
      <w:pPr>
        <w:spacing w:line="400" w:lineRule="exact"/>
        <w:jc w:val="both"/>
      </w:pPr>
      <w:r>
        <w:t>规则任务调用应传入规则版本、对象范围、输入版本、业务窗口、执行身份和结果位置，平台返回任务标识及受理状态。受理成功只表示请求被登记，实际完成通过独立运行状态确认。任务提交重试使用稳定的请求标识，重复请求关联原任务；确需按新配置重跑时生成后继任务，保留与原任务的替代或比较关系。执行身份仅取得所需对象和字段权限，不能为了规则运行便利授予无关的全量访问。</w:t>
      </w:r>
    </w:p>
    <w:p>
      <w:pPr>
        <w:spacing w:line="400" w:lineRule="exact"/>
        <w:jc w:val="both"/>
      </w:pPr>
      <w:r>
        <w:t>结果输出先写入受控中间区，完成对象数量、状态分布、关键字段和摘要核对后标记任务完成。分区任务保存每个分区的输入、检查点、结果及失败状态，全部必要分区完成前不发布全量通过结论。取消和超时任务保留已处理范围及中间结果性质，后继重跑明确从检查点恢复还是重新检查，避免同一对象遗漏或重复计量。</w:t>
      </w:r>
    </w:p>
    <w:p>
      <w:pPr>
        <w:spacing w:line="400" w:lineRule="exact"/>
        <w:jc w:val="both"/>
      </w:pPr>
      <w:r>
        <w:t>运行观测同时检查任务健康和数据分布。任务健康包括依赖等待、失败、重试、超时及积压，数据分布包括检查量、空值、取值集中、关联数量和异常命中变化。发现字段突然全部为默认值、关联结果成倍增加或扫描量骤减时，先核实输入和实现，不直接解释为业务改善。观测告警关联责任岗位、影响任务和处置结果，恢复后检查此前结果是否需要撤销或重算。</w:t>
      </w:r>
    </w:p>
    <w:p>
      <w:pPr>
        <w:spacing w:line="400" w:lineRule="exact"/>
        <w:jc w:val="both"/>
      </w:pPr>
      <w:r>
        <w:t>大批量检查在受控环境验证处理能力、分区边界、内存与存储使用、失败恢复及结果一致性。性能优化前后使用同一固定对象和规则对比，确认分区聚合、精度、排序、去重和跨窗口关联不改变判定含义。资源不足时调整并发、批次或调度窗口，保留未完成范围；不能通过缩小实际检查对象而继续按全量范围出具结果。</w:t>
      </w:r>
    </w:p>
    <w:p>
      <w:pPr>
        <w:pStyle w:val="Heading1"/>
        <w:pageBreakBefore/>
      </w:pPr>
      <w:r>
        <w:t>4 质量分析报告</w:t>
      </w:r>
    </w:p>
    <w:p>
      <w:pPr>
        <w:pStyle w:val="Heading2"/>
      </w:pPr>
      <w:r>
        <w:t>4.1 报告标识、分析对象与结论范围</w:t>
      </w:r>
    </w:p>
    <w:p>
      <w:pPr>
        <w:jc w:val="both"/>
      </w:pPr>
      <w:r>
        <w:t>本报告文件编号为GHY26691-GV-06-0004-V1.0，分析对象为本项目数据质量需求、校验规则、检查运行及问题整改体系。报告分为质量控制覆盖分析、业务运行质量分析和整改成效分析三个层次。覆盖分析评价质量控制设计是否完整且可落实；运行分析依据实际检查任务和业务证据形成；成效分析依据修复前后可比结果和下游使用情况形成。三个层次分别注明对象、时点和证据，设计覆盖结论不替代实际业务数据质量结论。</w:t>
      </w:r>
    </w:p>
    <w:p>
      <w:pPr>
        <w:jc w:val="both"/>
      </w:pPr>
      <w:r>
        <w:t>本次质量控制体系覆盖九个业务域、六个业务质量维度，设置54项业务质量需求与54项对应主规则，并设置12项共同控制需求与12项对应主规则，共计66项需求和66项主规则。规则细分执行步骤、调度实例和检查任务不重复计入主规则数量。业务域与六维组合形成54个基础控制单元，每个单元均有明确需求和规则对应。</w:t>
      </w:r>
    </w:p>
    <w:p>
      <w:pPr>
        <w:jc w:val="both"/>
      </w:pPr>
      <w:r>
        <w:t>实际运行报告以固定统计周期和截止时点为边界，纳入已完成检查、未完成检查、待证实对象、确认问题及整改变化。尚未实际执行的检查不形成通过率，尚未取得业务依据的对象不形成准确性合格结论。质量成熟度和实际运行成效以已发生、可复核的执行证据评价，不以文件已经形成推定控制已经有效运行。</w:t>
      </w:r>
    </w:p>
    <w:p>
      <w:pPr>
        <w:pStyle w:val="Heading2"/>
      </w:pPr>
      <w:r>
        <w:t>4.2 控制覆盖与结构分析</w:t>
      </w:r>
    </w:p>
    <w:p>
      <w:pPr>
        <w:pStyle w:val="Heading3"/>
      </w:pPr>
      <w:r>
        <w:t>4.2.1 九业务域六维覆盖</w:t>
      </w:r>
    </w:p>
    <w:p>
      <w:pPr>
        <w:pStyle w:val="Caption"/>
        <w:keepNext/>
      </w:pPr>
      <w:r>
        <w:t>表4-1 九业务域六维覆盖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业务域</w:t>
            </w:r>
          </w:p>
        </w:tc>
        <w:tc>
          <w:tcPr>
            <w:tcW w:type="dxa" w:w="2699"/>
            <w:vAlign w:val="center"/>
            <w:shd w:fill="EDF1F3"/>
          </w:tcPr>
          <w:p>
            <w:pPr>
              <w:keepNext/>
              <w:spacing w:line="320" w:lineRule="exact" w:after="0" w:before="0"/>
              <w:ind w:firstLine="0"/>
              <w:jc w:val="center"/>
            </w:pPr>
            <w:r>
              <w:rPr>
                <w:b/>
                <w:sz w:val="21"/>
              </w:rPr>
              <w:t>需求编号范围</w:t>
            </w:r>
          </w:p>
        </w:tc>
        <w:tc>
          <w:tcPr>
            <w:tcW w:type="dxa" w:w="2409"/>
            <w:vAlign w:val="center"/>
            <w:shd w:fill="EDF1F3"/>
          </w:tcPr>
          <w:p>
            <w:pPr>
              <w:keepNext/>
              <w:spacing w:line="320" w:lineRule="exact" w:after="0" w:before="0"/>
              <w:ind w:firstLine="0"/>
              <w:jc w:val="center"/>
            </w:pPr>
            <w:r>
              <w:rPr>
                <w:b/>
                <w:sz w:val="21"/>
              </w:rPr>
              <w:t>主规则数</w:t>
            </w:r>
          </w:p>
        </w:tc>
        <w:tc>
          <w:tcPr>
            <w:tcW w:type="dxa" w:w="2891"/>
            <w:vAlign w:val="center"/>
            <w:shd w:fill="EDF1F3"/>
          </w:tcPr>
          <w:p>
            <w:pPr>
              <w:keepNext/>
              <w:spacing w:line="320" w:lineRule="exact" w:after="0" w:before="0"/>
              <w:ind w:firstLine="0"/>
              <w:jc w:val="center"/>
            </w:pPr>
            <w:r>
              <w:rPr>
                <w:b/>
                <w:sz w:val="21"/>
              </w:rPr>
              <w:t>六维覆盖</w:t>
            </w:r>
          </w:p>
        </w:tc>
      </w:tr>
      <w:tr>
        <w:trPr>
          <w:cantSplit/>
        </w:trPr>
        <w:tc>
          <w:tcPr>
            <w:tcW w:type="dxa" w:w="1638"/>
            <w:vAlign w:val="center"/>
          </w:tcPr>
          <w:p>
            <w:pPr>
              <w:keepNext w:val="0"/>
              <w:spacing w:line="320" w:lineRule="exact" w:after="0" w:before="0"/>
              <w:ind w:firstLine="0"/>
              <w:jc w:val="left"/>
            </w:pPr>
            <w:r>
              <w:rPr>
                <w:b w:val="0"/>
                <w:sz w:val="21"/>
              </w:rPr>
              <w:t>人力资源</w:t>
            </w:r>
          </w:p>
        </w:tc>
        <w:tc>
          <w:tcPr>
            <w:tcW w:type="dxa" w:w="2699"/>
            <w:vAlign w:val="center"/>
          </w:tcPr>
          <w:p>
            <w:pPr>
              <w:keepNext w:val="0"/>
              <w:spacing w:line="320" w:lineRule="exact" w:after="0" w:before="0"/>
              <w:ind w:firstLine="0"/>
              <w:jc w:val="left"/>
            </w:pPr>
            <w:r>
              <w:rPr>
                <w:b w:val="0"/>
                <w:sz w:val="21"/>
              </w:rPr>
              <w:t>DQ-N-HR-0001至0006</w:t>
            </w:r>
          </w:p>
        </w:tc>
        <w:tc>
          <w:tcPr>
            <w:tcW w:type="dxa" w:w="2409"/>
            <w:vAlign w:val="center"/>
          </w:tcPr>
          <w:p>
            <w:pPr>
              <w:keepNext w:val="0"/>
              <w:spacing w:line="320" w:lineRule="exact" w:after="0" w:before="0"/>
              <w:ind w:firstLine="0"/>
              <w:jc w:val="center"/>
            </w:pPr>
            <w:r>
              <w:rPr>
                <w:b w:val="0"/>
                <w:sz w:val="21"/>
              </w:rPr>
              <w:t>6</w:t>
            </w:r>
          </w:p>
        </w:tc>
        <w:tc>
          <w:tcPr>
            <w:tcW w:type="dxa" w:w="2891"/>
            <w:vAlign w:val="center"/>
          </w:tcPr>
          <w:p>
            <w:pPr>
              <w:keepNext w:val="0"/>
              <w:spacing w:line="320" w:lineRule="exact" w:after="0" w:before="0"/>
              <w:ind w:firstLine="0"/>
              <w:jc w:val="left"/>
            </w:pPr>
            <w:r>
              <w:rPr>
                <w:b w:val="0"/>
                <w:sz w:val="21"/>
              </w:rPr>
              <w:t>完整、准确、一致、唯一、及时、有效</w:t>
            </w:r>
          </w:p>
        </w:tc>
      </w:tr>
      <w:tr>
        <w:trPr>
          <w:cantSplit/>
        </w:trPr>
        <w:tc>
          <w:tcPr>
            <w:tcW w:type="dxa" w:w="1638"/>
            <w:vAlign w:val="center"/>
          </w:tcPr>
          <w:p>
            <w:pPr>
              <w:keepNext w:val="0"/>
              <w:spacing w:line="320" w:lineRule="exact" w:after="0" w:before="0"/>
              <w:ind w:firstLine="0"/>
              <w:jc w:val="left"/>
            </w:pPr>
            <w:r>
              <w:rPr>
                <w:b w:val="0"/>
                <w:sz w:val="21"/>
              </w:rPr>
              <w:t>研发设计</w:t>
            </w:r>
          </w:p>
        </w:tc>
        <w:tc>
          <w:tcPr>
            <w:tcW w:type="dxa" w:w="2699"/>
            <w:vAlign w:val="center"/>
          </w:tcPr>
          <w:p>
            <w:pPr>
              <w:keepNext w:val="0"/>
              <w:spacing w:line="320" w:lineRule="exact" w:after="0" w:before="0"/>
              <w:ind w:firstLine="0"/>
              <w:jc w:val="left"/>
            </w:pPr>
            <w:r>
              <w:rPr>
                <w:b w:val="0"/>
                <w:sz w:val="21"/>
              </w:rPr>
              <w:t>DQ-N-RD-0001至0006</w:t>
            </w:r>
          </w:p>
        </w:tc>
        <w:tc>
          <w:tcPr>
            <w:tcW w:type="dxa" w:w="2409"/>
            <w:vAlign w:val="center"/>
          </w:tcPr>
          <w:p>
            <w:pPr>
              <w:keepNext w:val="0"/>
              <w:spacing w:line="320" w:lineRule="exact" w:after="0" w:before="0"/>
              <w:ind w:firstLine="0"/>
              <w:jc w:val="center"/>
            </w:pPr>
            <w:r>
              <w:rPr>
                <w:b w:val="0"/>
                <w:sz w:val="21"/>
              </w:rPr>
              <w:t>6</w:t>
            </w:r>
          </w:p>
        </w:tc>
        <w:tc>
          <w:tcPr>
            <w:tcW w:type="dxa" w:w="2891"/>
            <w:vAlign w:val="center"/>
          </w:tcPr>
          <w:p>
            <w:pPr>
              <w:keepNext w:val="0"/>
              <w:spacing w:line="320" w:lineRule="exact" w:after="0" w:before="0"/>
              <w:ind w:firstLine="0"/>
              <w:jc w:val="left"/>
            </w:pPr>
            <w:r>
              <w:rPr>
                <w:b w:val="0"/>
                <w:sz w:val="21"/>
              </w:rPr>
              <w:t>完整、准确、一致、唯一、及时、有效</w:t>
            </w:r>
          </w:p>
        </w:tc>
      </w:tr>
      <w:tr>
        <w:trPr>
          <w:cantSplit/>
        </w:trPr>
        <w:tc>
          <w:tcPr>
            <w:tcW w:type="dxa" w:w="1638"/>
            <w:vAlign w:val="center"/>
          </w:tcPr>
          <w:p>
            <w:pPr>
              <w:keepNext w:val="0"/>
              <w:spacing w:line="320" w:lineRule="exact" w:after="0" w:before="0"/>
              <w:ind w:firstLine="0"/>
              <w:jc w:val="left"/>
            </w:pPr>
            <w:r>
              <w:rPr>
                <w:b w:val="0"/>
                <w:sz w:val="21"/>
              </w:rPr>
              <w:t>生产制造</w:t>
            </w:r>
          </w:p>
        </w:tc>
        <w:tc>
          <w:tcPr>
            <w:tcW w:type="dxa" w:w="2699"/>
            <w:vAlign w:val="center"/>
          </w:tcPr>
          <w:p>
            <w:pPr>
              <w:keepNext w:val="0"/>
              <w:spacing w:line="320" w:lineRule="exact" w:after="0" w:before="0"/>
              <w:ind w:firstLine="0"/>
              <w:jc w:val="left"/>
            </w:pPr>
            <w:r>
              <w:rPr>
                <w:b w:val="0"/>
                <w:sz w:val="21"/>
              </w:rPr>
              <w:t>DQ-N-MF-0001至0006</w:t>
            </w:r>
          </w:p>
        </w:tc>
        <w:tc>
          <w:tcPr>
            <w:tcW w:type="dxa" w:w="2409"/>
            <w:vAlign w:val="center"/>
          </w:tcPr>
          <w:p>
            <w:pPr>
              <w:keepNext w:val="0"/>
              <w:spacing w:line="320" w:lineRule="exact" w:after="0" w:before="0"/>
              <w:ind w:firstLine="0"/>
              <w:jc w:val="center"/>
            </w:pPr>
            <w:r>
              <w:rPr>
                <w:b w:val="0"/>
                <w:sz w:val="21"/>
              </w:rPr>
              <w:t>6</w:t>
            </w:r>
          </w:p>
        </w:tc>
        <w:tc>
          <w:tcPr>
            <w:tcW w:type="dxa" w:w="2891"/>
            <w:vAlign w:val="center"/>
          </w:tcPr>
          <w:p>
            <w:pPr>
              <w:keepNext w:val="0"/>
              <w:spacing w:line="320" w:lineRule="exact" w:after="0" w:before="0"/>
              <w:ind w:firstLine="0"/>
              <w:jc w:val="left"/>
            </w:pPr>
            <w:r>
              <w:rPr>
                <w:b w:val="0"/>
                <w:sz w:val="21"/>
              </w:rPr>
              <w:t>完整、准确、一致、唯一、及时、有效</w:t>
            </w:r>
          </w:p>
        </w:tc>
      </w:tr>
      <w:tr>
        <w:trPr>
          <w:cantSplit/>
        </w:trPr>
        <w:tc>
          <w:tcPr>
            <w:tcW w:type="dxa" w:w="1638"/>
            <w:vAlign w:val="center"/>
          </w:tcPr>
          <w:p>
            <w:pPr>
              <w:keepNext w:val="0"/>
              <w:spacing w:line="320" w:lineRule="exact" w:after="0" w:before="0"/>
              <w:ind w:firstLine="0"/>
              <w:jc w:val="left"/>
            </w:pPr>
            <w:r>
              <w:rPr>
                <w:b w:val="0"/>
                <w:sz w:val="21"/>
              </w:rPr>
              <w:t>仓储物流</w:t>
            </w:r>
          </w:p>
        </w:tc>
        <w:tc>
          <w:tcPr>
            <w:tcW w:type="dxa" w:w="2699"/>
            <w:vAlign w:val="center"/>
          </w:tcPr>
          <w:p>
            <w:pPr>
              <w:keepNext w:val="0"/>
              <w:spacing w:line="320" w:lineRule="exact" w:after="0" w:before="0"/>
              <w:ind w:firstLine="0"/>
              <w:jc w:val="left"/>
            </w:pPr>
            <w:r>
              <w:rPr>
                <w:b w:val="0"/>
                <w:sz w:val="21"/>
              </w:rPr>
              <w:t>DQ-N-WL-0001至0006</w:t>
            </w:r>
          </w:p>
        </w:tc>
        <w:tc>
          <w:tcPr>
            <w:tcW w:type="dxa" w:w="2409"/>
            <w:vAlign w:val="center"/>
          </w:tcPr>
          <w:p>
            <w:pPr>
              <w:keepNext w:val="0"/>
              <w:spacing w:line="320" w:lineRule="exact" w:after="0" w:before="0"/>
              <w:ind w:firstLine="0"/>
              <w:jc w:val="center"/>
            </w:pPr>
            <w:r>
              <w:rPr>
                <w:b w:val="0"/>
                <w:sz w:val="21"/>
              </w:rPr>
              <w:t>6</w:t>
            </w:r>
          </w:p>
        </w:tc>
        <w:tc>
          <w:tcPr>
            <w:tcW w:type="dxa" w:w="2891"/>
            <w:vAlign w:val="center"/>
          </w:tcPr>
          <w:p>
            <w:pPr>
              <w:keepNext w:val="0"/>
              <w:spacing w:line="320" w:lineRule="exact" w:after="0" w:before="0"/>
              <w:ind w:firstLine="0"/>
              <w:jc w:val="left"/>
            </w:pPr>
            <w:r>
              <w:rPr>
                <w:b w:val="0"/>
                <w:sz w:val="21"/>
              </w:rPr>
              <w:t>完整、准确、一致、唯一、及时、有效</w:t>
            </w:r>
          </w:p>
        </w:tc>
      </w:tr>
      <w:tr>
        <w:trPr>
          <w:cantSplit/>
        </w:trPr>
        <w:tc>
          <w:tcPr>
            <w:tcW w:type="dxa" w:w="1638"/>
            <w:vAlign w:val="center"/>
          </w:tcPr>
          <w:p>
            <w:pPr>
              <w:keepNext w:val="0"/>
              <w:spacing w:line="320" w:lineRule="exact" w:after="0" w:before="0"/>
              <w:ind w:firstLine="0"/>
              <w:jc w:val="left"/>
            </w:pPr>
            <w:r>
              <w:rPr>
                <w:b w:val="0"/>
                <w:sz w:val="21"/>
              </w:rPr>
              <w:t>财务管理</w:t>
            </w:r>
          </w:p>
        </w:tc>
        <w:tc>
          <w:tcPr>
            <w:tcW w:type="dxa" w:w="2699"/>
            <w:vAlign w:val="center"/>
          </w:tcPr>
          <w:p>
            <w:pPr>
              <w:keepNext w:val="0"/>
              <w:spacing w:line="320" w:lineRule="exact" w:after="0" w:before="0"/>
              <w:ind w:firstLine="0"/>
              <w:jc w:val="left"/>
            </w:pPr>
            <w:r>
              <w:rPr>
                <w:b w:val="0"/>
                <w:sz w:val="21"/>
              </w:rPr>
              <w:t>DQ-N-FI-0001至0006</w:t>
            </w:r>
          </w:p>
        </w:tc>
        <w:tc>
          <w:tcPr>
            <w:tcW w:type="dxa" w:w="2409"/>
            <w:vAlign w:val="center"/>
          </w:tcPr>
          <w:p>
            <w:pPr>
              <w:keepNext w:val="0"/>
              <w:spacing w:line="320" w:lineRule="exact" w:after="0" w:before="0"/>
              <w:ind w:firstLine="0"/>
              <w:jc w:val="center"/>
            </w:pPr>
            <w:r>
              <w:rPr>
                <w:b w:val="0"/>
                <w:sz w:val="21"/>
              </w:rPr>
              <w:t>6</w:t>
            </w:r>
          </w:p>
        </w:tc>
        <w:tc>
          <w:tcPr>
            <w:tcW w:type="dxa" w:w="2891"/>
            <w:vAlign w:val="center"/>
          </w:tcPr>
          <w:p>
            <w:pPr>
              <w:keepNext w:val="0"/>
              <w:spacing w:line="320" w:lineRule="exact" w:after="0" w:before="0"/>
              <w:ind w:firstLine="0"/>
              <w:jc w:val="left"/>
            </w:pPr>
            <w:r>
              <w:rPr>
                <w:b w:val="0"/>
                <w:sz w:val="21"/>
              </w:rPr>
              <w:t>完整、准确、一致、唯一、及时、有效</w:t>
            </w:r>
          </w:p>
        </w:tc>
      </w:tr>
      <w:tr>
        <w:trPr>
          <w:cantSplit/>
        </w:trPr>
        <w:tc>
          <w:tcPr>
            <w:tcW w:type="dxa" w:w="1638"/>
            <w:vAlign w:val="center"/>
          </w:tcPr>
          <w:p>
            <w:pPr>
              <w:keepNext w:val="0"/>
              <w:spacing w:line="320" w:lineRule="exact" w:after="0" w:before="0"/>
              <w:ind w:firstLine="0"/>
              <w:jc w:val="left"/>
            </w:pPr>
            <w:r>
              <w:rPr>
                <w:b w:val="0"/>
                <w:sz w:val="21"/>
              </w:rPr>
              <w:t>设备管理</w:t>
            </w:r>
          </w:p>
        </w:tc>
        <w:tc>
          <w:tcPr>
            <w:tcW w:type="dxa" w:w="2699"/>
            <w:vAlign w:val="center"/>
          </w:tcPr>
          <w:p>
            <w:pPr>
              <w:keepNext w:val="0"/>
              <w:spacing w:line="320" w:lineRule="exact" w:after="0" w:before="0"/>
              <w:ind w:firstLine="0"/>
              <w:jc w:val="left"/>
            </w:pPr>
            <w:r>
              <w:rPr>
                <w:b w:val="0"/>
                <w:sz w:val="21"/>
              </w:rPr>
              <w:t>DQ-N-EQ-0001至0006</w:t>
            </w:r>
          </w:p>
        </w:tc>
        <w:tc>
          <w:tcPr>
            <w:tcW w:type="dxa" w:w="2409"/>
            <w:vAlign w:val="center"/>
          </w:tcPr>
          <w:p>
            <w:pPr>
              <w:keepNext w:val="0"/>
              <w:spacing w:line="320" w:lineRule="exact" w:after="0" w:before="0"/>
              <w:ind w:firstLine="0"/>
              <w:jc w:val="center"/>
            </w:pPr>
            <w:r>
              <w:rPr>
                <w:b w:val="0"/>
                <w:sz w:val="21"/>
              </w:rPr>
              <w:t>6</w:t>
            </w:r>
          </w:p>
        </w:tc>
        <w:tc>
          <w:tcPr>
            <w:tcW w:type="dxa" w:w="2891"/>
            <w:vAlign w:val="center"/>
          </w:tcPr>
          <w:p>
            <w:pPr>
              <w:keepNext w:val="0"/>
              <w:spacing w:line="320" w:lineRule="exact" w:after="0" w:before="0"/>
              <w:ind w:firstLine="0"/>
              <w:jc w:val="left"/>
            </w:pPr>
            <w:r>
              <w:rPr>
                <w:b w:val="0"/>
                <w:sz w:val="21"/>
              </w:rPr>
              <w:t>完整、准确、一致、唯一、及时、有效</w:t>
            </w:r>
          </w:p>
        </w:tc>
      </w:tr>
      <w:tr>
        <w:trPr>
          <w:cantSplit/>
        </w:trPr>
        <w:tc>
          <w:tcPr>
            <w:tcW w:type="dxa" w:w="1638"/>
            <w:vAlign w:val="center"/>
          </w:tcPr>
          <w:p>
            <w:pPr>
              <w:keepNext w:val="0"/>
              <w:spacing w:line="320" w:lineRule="exact" w:after="0" w:before="0"/>
              <w:ind w:firstLine="0"/>
              <w:jc w:val="left"/>
            </w:pPr>
            <w:r>
              <w:rPr>
                <w:b w:val="0"/>
                <w:sz w:val="21"/>
              </w:rPr>
              <w:t>采购管理</w:t>
            </w:r>
          </w:p>
        </w:tc>
        <w:tc>
          <w:tcPr>
            <w:tcW w:type="dxa" w:w="2699"/>
            <w:vAlign w:val="center"/>
          </w:tcPr>
          <w:p>
            <w:pPr>
              <w:keepNext w:val="0"/>
              <w:spacing w:line="320" w:lineRule="exact" w:after="0" w:before="0"/>
              <w:ind w:firstLine="0"/>
              <w:jc w:val="left"/>
            </w:pPr>
            <w:r>
              <w:rPr>
                <w:b w:val="0"/>
                <w:sz w:val="21"/>
              </w:rPr>
              <w:t>DQ-N-PC-0001至0006</w:t>
            </w:r>
          </w:p>
        </w:tc>
        <w:tc>
          <w:tcPr>
            <w:tcW w:type="dxa" w:w="2409"/>
            <w:vAlign w:val="center"/>
          </w:tcPr>
          <w:p>
            <w:pPr>
              <w:keepNext w:val="0"/>
              <w:spacing w:line="320" w:lineRule="exact" w:after="0" w:before="0"/>
              <w:ind w:firstLine="0"/>
              <w:jc w:val="center"/>
            </w:pPr>
            <w:r>
              <w:rPr>
                <w:b w:val="0"/>
                <w:sz w:val="21"/>
              </w:rPr>
              <w:t>6</w:t>
            </w:r>
          </w:p>
        </w:tc>
        <w:tc>
          <w:tcPr>
            <w:tcW w:type="dxa" w:w="2891"/>
            <w:vAlign w:val="center"/>
          </w:tcPr>
          <w:p>
            <w:pPr>
              <w:keepNext w:val="0"/>
              <w:spacing w:line="320" w:lineRule="exact" w:after="0" w:before="0"/>
              <w:ind w:firstLine="0"/>
              <w:jc w:val="left"/>
            </w:pPr>
            <w:r>
              <w:rPr>
                <w:b w:val="0"/>
                <w:sz w:val="21"/>
              </w:rPr>
              <w:t>完整、准确、一致、唯一、及时、有效</w:t>
            </w:r>
          </w:p>
        </w:tc>
      </w:tr>
      <w:tr>
        <w:trPr>
          <w:cantSplit/>
        </w:trPr>
        <w:tc>
          <w:tcPr>
            <w:tcW w:type="dxa" w:w="1638"/>
            <w:vAlign w:val="center"/>
          </w:tcPr>
          <w:p>
            <w:pPr>
              <w:keepNext w:val="0"/>
              <w:spacing w:line="320" w:lineRule="exact" w:after="0" w:before="0"/>
              <w:ind w:firstLine="0"/>
              <w:jc w:val="left"/>
            </w:pPr>
            <w:r>
              <w:rPr>
                <w:b w:val="0"/>
                <w:sz w:val="21"/>
              </w:rPr>
              <w:t>营销管理</w:t>
            </w:r>
          </w:p>
        </w:tc>
        <w:tc>
          <w:tcPr>
            <w:tcW w:type="dxa" w:w="2699"/>
            <w:vAlign w:val="center"/>
          </w:tcPr>
          <w:p>
            <w:pPr>
              <w:keepNext w:val="0"/>
              <w:spacing w:line="320" w:lineRule="exact" w:after="0" w:before="0"/>
              <w:ind w:firstLine="0"/>
              <w:jc w:val="left"/>
            </w:pPr>
            <w:r>
              <w:rPr>
                <w:b w:val="0"/>
                <w:sz w:val="21"/>
              </w:rPr>
              <w:t>DQ-N-MK-0001至0006</w:t>
            </w:r>
          </w:p>
        </w:tc>
        <w:tc>
          <w:tcPr>
            <w:tcW w:type="dxa" w:w="2409"/>
            <w:vAlign w:val="center"/>
          </w:tcPr>
          <w:p>
            <w:pPr>
              <w:keepNext w:val="0"/>
              <w:spacing w:line="320" w:lineRule="exact" w:after="0" w:before="0"/>
              <w:ind w:firstLine="0"/>
              <w:jc w:val="center"/>
            </w:pPr>
            <w:r>
              <w:rPr>
                <w:b w:val="0"/>
                <w:sz w:val="21"/>
              </w:rPr>
              <w:t>6</w:t>
            </w:r>
          </w:p>
        </w:tc>
        <w:tc>
          <w:tcPr>
            <w:tcW w:type="dxa" w:w="2891"/>
            <w:vAlign w:val="center"/>
          </w:tcPr>
          <w:p>
            <w:pPr>
              <w:keepNext w:val="0"/>
              <w:spacing w:line="320" w:lineRule="exact" w:after="0" w:before="0"/>
              <w:ind w:firstLine="0"/>
              <w:jc w:val="left"/>
            </w:pPr>
            <w:r>
              <w:rPr>
                <w:b w:val="0"/>
                <w:sz w:val="21"/>
              </w:rPr>
              <w:t>完整、准确、一致、唯一、及时、有效</w:t>
            </w:r>
          </w:p>
        </w:tc>
      </w:tr>
      <w:tr>
        <w:trPr>
          <w:cantSplit/>
        </w:trPr>
        <w:tc>
          <w:tcPr>
            <w:tcW w:type="dxa" w:w="1638"/>
            <w:vAlign w:val="center"/>
          </w:tcPr>
          <w:p>
            <w:pPr>
              <w:keepNext w:val="0"/>
              <w:spacing w:line="320" w:lineRule="exact" w:after="0" w:before="0"/>
              <w:ind w:firstLine="0"/>
              <w:jc w:val="left"/>
            </w:pPr>
            <w:r>
              <w:rPr>
                <w:b w:val="0"/>
                <w:sz w:val="21"/>
              </w:rPr>
              <w:t>质量管理</w:t>
            </w:r>
          </w:p>
        </w:tc>
        <w:tc>
          <w:tcPr>
            <w:tcW w:type="dxa" w:w="2699"/>
            <w:vAlign w:val="center"/>
          </w:tcPr>
          <w:p>
            <w:pPr>
              <w:keepNext w:val="0"/>
              <w:spacing w:line="320" w:lineRule="exact" w:after="0" w:before="0"/>
              <w:ind w:firstLine="0"/>
              <w:jc w:val="left"/>
            </w:pPr>
            <w:r>
              <w:rPr>
                <w:b w:val="0"/>
                <w:sz w:val="21"/>
              </w:rPr>
              <w:t>DQ-N-QA-0001至0006</w:t>
            </w:r>
          </w:p>
        </w:tc>
        <w:tc>
          <w:tcPr>
            <w:tcW w:type="dxa" w:w="2409"/>
            <w:vAlign w:val="center"/>
          </w:tcPr>
          <w:p>
            <w:pPr>
              <w:keepNext w:val="0"/>
              <w:spacing w:line="320" w:lineRule="exact" w:after="0" w:before="0"/>
              <w:ind w:firstLine="0"/>
              <w:jc w:val="center"/>
            </w:pPr>
            <w:r>
              <w:rPr>
                <w:b w:val="0"/>
                <w:sz w:val="21"/>
              </w:rPr>
              <w:t>6</w:t>
            </w:r>
          </w:p>
        </w:tc>
        <w:tc>
          <w:tcPr>
            <w:tcW w:type="dxa" w:w="2891"/>
            <w:vAlign w:val="center"/>
          </w:tcPr>
          <w:p>
            <w:pPr>
              <w:keepNext w:val="0"/>
              <w:spacing w:line="320" w:lineRule="exact" w:after="0" w:before="0"/>
              <w:ind w:firstLine="0"/>
              <w:jc w:val="left"/>
            </w:pPr>
            <w:r>
              <w:rPr>
                <w:b w:val="0"/>
                <w:sz w:val="21"/>
              </w:rPr>
              <w:t>完整、准确、一致、唯一、及时、有效</w:t>
            </w:r>
          </w:p>
        </w:tc>
      </w:tr>
      <w:tr>
        <w:trPr>
          <w:cantSplit/>
        </w:trPr>
        <w:tc>
          <w:tcPr>
            <w:tcW w:type="dxa" w:w="1638"/>
            <w:vAlign w:val="center"/>
          </w:tcPr>
          <w:p>
            <w:pPr>
              <w:keepNext w:val="0"/>
              <w:spacing w:line="320" w:lineRule="exact" w:after="0" w:before="0"/>
              <w:ind w:firstLine="0"/>
              <w:jc w:val="left"/>
            </w:pPr>
            <w:r>
              <w:rPr>
                <w:b w:val="0"/>
                <w:sz w:val="21"/>
              </w:rPr>
              <w:t>共同控制</w:t>
            </w:r>
          </w:p>
        </w:tc>
        <w:tc>
          <w:tcPr>
            <w:tcW w:type="dxa" w:w="2699"/>
            <w:vAlign w:val="center"/>
          </w:tcPr>
          <w:p>
            <w:pPr>
              <w:keepNext w:val="0"/>
              <w:spacing w:line="320" w:lineRule="exact" w:after="0" w:before="0"/>
              <w:ind w:firstLine="0"/>
              <w:jc w:val="left"/>
            </w:pPr>
            <w:r>
              <w:rPr>
                <w:b w:val="0"/>
                <w:sz w:val="21"/>
              </w:rPr>
              <w:t>DQ-N-CM-0001至0012</w:t>
            </w:r>
          </w:p>
        </w:tc>
        <w:tc>
          <w:tcPr>
            <w:tcW w:type="dxa" w:w="2409"/>
            <w:vAlign w:val="center"/>
          </w:tcPr>
          <w:p>
            <w:pPr>
              <w:keepNext w:val="0"/>
              <w:spacing w:line="320" w:lineRule="exact" w:after="0" w:before="0"/>
              <w:ind w:firstLine="0"/>
              <w:jc w:val="center"/>
            </w:pPr>
            <w:r>
              <w:rPr>
                <w:b w:val="0"/>
                <w:sz w:val="21"/>
              </w:rPr>
              <w:t>12</w:t>
            </w:r>
          </w:p>
        </w:tc>
        <w:tc>
          <w:tcPr>
            <w:tcW w:type="dxa" w:w="2891"/>
            <w:vAlign w:val="center"/>
          </w:tcPr>
          <w:p>
            <w:pPr>
              <w:keepNext w:val="0"/>
              <w:spacing w:line="320" w:lineRule="exact" w:after="0" w:before="0"/>
              <w:ind w:firstLine="0"/>
              <w:jc w:val="left"/>
            </w:pPr>
            <w:r>
              <w:rPr>
                <w:b w:val="0"/>
                <w:sz w:val="21"/>
              </w:rPr>
              <w:t>来源、关联、版本、供给与发布控制</w:t>
            </w:r>
          </w:p>
        </w:tc>
      </w:tr>
    </w:tbl>
    <w:p>
      <w:pPr>
        <w:spacing w:after="40" w:line="240" w:lineRule="auto"/>
        <w:ind w:firstLine="0"/>
      </w:pPr>
      <w:r>
        <w:rPr>
          <w:sz w:val="4"/>
        </w:rPr>
      </w:r>
    </w:p>
    <w:p>
      <w:pPr>
        <w:jc w:val="both"/>
      </w:pPr>
      <w:r>
        <w:t>基础业务控制从人员与组织开始，贯通设计、采购、制造、库存、质量、交付、服务和财务。研发、制造、质量之间以产品配置、版次、工序和实物批次关联；采购、仓储与财务之间以订单、到货、检验、出入库和结算关系关联；设备与制造之间以设备、部件、测点和事件窗口关联。跨域控制重点是相同业务事实的身份、时间、状态和口径，避免各域单独通过而整体关联失真。</w:t>
      </w:r>
    </w:p>
    <w:p>
      <w:pPr>
        <w:jc w:val="both"/>
      </w:pPr>
      <w:r>
        <w:t>共同控制补充了业务域内规则不能独立保证的条件，包括来源授权、跨系统映射、标准版本、多模态对齐、近三年时间、敏感信息、四领域净量、比例、合成增强、家族隔离、发布条件和整改传播。这些条件贯通全部数据流转过程，应在接入、加工和发布等相应阶段执行，不集中到交付前一次性补查。</w:t>
      </w:r>
    </w:p>
    <w:p>
      <w:pPr>
        <w:pStyle w:val="Heading3"/>
      </w:pPr>
      <w:r>
        <w:t>4.2.2 规则维度分布</w:t>
      </w:r>
    </w:p>
    <w:p>
      <w:pPr>
        <w:pStyle w:val="Caption"/>
        <w:keepNext/>
      </w:pPr>
      <w:r>
        <w:t>表4-2 规则维度分布</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维度</w:t>
            </w:r>
          </w:p>
        </w:tc>
        <w:tc>
          <w:tcPr>
            <w:tcW w:type="dxa" w:w="2699"/>
            <w:vAlign w:val="center"/>
            <w:shd w:fill="EDF1F3"/>
          </w:tcPr>
          <w:p>
            <w:pPr>
              <w:keepNext/>
              <w:spacing w:line="320" w:lineRule="exact" w:after="0" w:before="0"/>
              <w:ind w:firstLine="0"/>
              <w:jc w:val="center"/>
            </w:pPr>
            <w:r>
              <w:rPr>
                <w:b/>
                <w:sz w:val="21"/>
              </w:rPr>
              <w:t>业务域主规则数</w:t>
            </w:r>
          </w:p>
        </w:tc>
        <w:tc>
          <w:tcPr>
            <w:tcW w:type="dxa" w:w="2409"/>
            <w:vAlign w:val="center"/>
            <w:shd w:fill="EDF1F3"/>
          </w:tcPr>
          <w:p>
            <w:pPr>
              <w:keepNext/>
              <w:spacing w:line="320" w:lineRule="exact" w:after="0" w:before="0"/>
              <w:ind w:firstLine="0"/>
              <w:jc w:val="center"/>
            </w:pPr>
            <w:r>
              <w:rPr>
                <w:b/>
                <w:sz w:val="21"/>
              </w:rPr>
              <w:t>共同主规则数</w:t>
            </w:r>
          </w:p>
        </w:tc>
        <w:tc>
          <w:tcPr>
            <w:tcW w:type="dxa" w:w="2891"/>
            <w:vAlign w:val="center"/>
            <w:shd w:fill="EDF1F3"/>
          </w:tcPr>
          <w:p>
            <w:pPr>
              <w:keepNext/>
              <w:spacing w:line="320" w:lineRule="exact" w:after="0" w:before="0"/>
              <w:ind w:firstLine="0"/>
              <w:jc w:val="center"/>
            </w:pPr>
            <w:r>
              <w:rPr>
                <w:b/>
                <w:sz w:val="21"/>
              </w:rPr>
              <w:t>合计</w:t>
            </w:r>
          </w:p>
        </w:tc>
      </w:tr>
      <w:tr>
        <w:trPr>
          <w:cantSplit/>
        </w:trPr>
        <w:tc>
          <w:tcPr>
            <w:tcW w:type="dxa" w:w="1638"/>
            <w:vAlign w:val="center"/>
          </w:tcPr>
          <w:p>
            <w:pPr>
              <w:keepNext w:val="0"/>
              <w:spacing w:line="320" w:lineRule="exact" w:after="0" w:before="0"/>
              <w:ind w:firstLine="0"/>
              <w:jc w:val="left"/>
            </w:pPr>
            <w:r>
              <w:rPr>
                <w:b w:val="0"/>
                <w:sz w:val="21"/>
              </w:rPr>
              <w:t>完整性</w:t>
            </w:r>
          </w:p>
        </w:tc>
        <w:tc>
          <w:tcPr>
            <w:tcW w:type="dxa" w:w="2699"/>
            <w:vAlign w:val="center"/>
          </w:tcPr>
          <w:p>
            <w:pPr>
              <w:keepNext w:val="0"/>
              <w:spacing w:line="320" w:lineRule="exact" w:after="0" w:before="0"/>
              <w:ind w:firstLine="0"/>
              <w:jc w:val="center"/>
            </w:pPr>
            <w:r>
              <w:rPr>
                <w:b w:val="0"/>
                <w:sz w:val="21"/>
              </w:rPr>
              <w:t>9</w:t>
            </w:r>
          </w:p>
        </w:tc>
        <w:tc>
          <w:tcPr>
            <w:tcW w:type="dxa" w:w="2409"/>
            <w:vAlign w:val="center"/>
          </w:tcPr>
          <w:p>
            <w:pPr>
              <w:keepNext w:val="0"/>
              <w:spacing w:line="320" w:lineRule="exact" w:after="0" w:before="0"/>
              <w:ind w:firstLine="0"/>
              <w:jc w:val="center"/>
            </w:pPr>
            <w:r>
              <w:rPr>
                <w:b w:val="0"/>
                <w:sz w:val="21"/>
              </w:rPr>
              <w:t>3</w:t>
            </w:r>
          </w:p>
        </w:tc>
        <w:tc>
          <w:tcPr>
            <w:tcW w:type="dxa" w:w="2891"/>
            <w:vAlign w:val="center"/>
          </w:tcPr>
          <w:p>
            <w:pPr>
              <w:keepNext w:val="0"/>
              <w:spacing w:line="320" w:lineRule="exact" w:after="0" w:before="0"/>
              <w:ind w:firstLine="0"/>
              <w:jc w:val="center"/>
            </w:pPr>
            <w:r>
              <w:rPr>
                <w:b w:val="0"/>
                <w:sz w:val="21"/>
              </w:rPr>
              <w:t>12</w:t>
            </w:r>
          </w:p>
        </w:tc>
      </w:tr>
      <w:tr>
        <w:trPr>
          <w:cantSplit/>
        </w:trPr>
        <w:tc>
          <w:tcPr>
            <w:tcW w:type="dxa" w:w="1638"/>
            <w:vAlign w:val="center"/>
          </w:tcPr>
          <w:p>
            <w:pPr>
              <w:keepNext w:val="0"/>
              <w:spacing w:line="320" w:lineRule="exact" w:after="0" w:before="0"/>
              <w:ind w:firstLine="0"/>
              <w:jc w:val="left"/>
            </w:pPr>
            <w:r>
              <w:rPr>
                <w:b w:val="0"/>
                <w:sz w:val="21"/>
              </w:rPr>
              <w:t>准确性</w:t>
            </w:r>
          </w:p>
        </w:tc>
        <w:tc>
          <w:tcPr>
            <w:tcW w:type="dxa" w:w="2699"/>
            <w:vAlign w:val="center"/>
          </w:tcPr>
          <w:p>
            <w:pPr>
              <w:keepNext w:val="0"/>
              <w:spacing w:line="320" w:lineRule="exact" w:after="0" w:before="0"/>
              <w:ind w:firstLine="0"/>
              <w:jc w:val="center"/>
            </w:pPr>
            <w:r>
              <w:rPr>
                <w:b w:val="0"/>
                <w:sz w:val="21"/>
              </w:rPr>
              <w:t>9</w:t>
            </w:r>
          </w:p>
        </w:tc>
        <w:tc>
          <w:tcPr>
            <w:tcW w:type="dxa" w:w="2409"/>
            <w:vAlign w:val="center"/>
          </w:tcPr>
          <w:p>
            <w:pPr>
              <w:keepNext w:val="0"/>
              <w:spacing w:line="320" w:lineRule="exact" w:after="0" w:before="0"/>
              <w:ind w:firstLine="0"/>
              <w:jc w:val="center"/>
            </w:pPr>
            <w:r>
              <w:rPr>
                <w:b w:val="0"/>
                <w:sz w:val="21"/>
              </w:rPr>
              <w:t>0</w:t>
            </w:r>
          </w:p>
        </w:tc>
        <w:tc>
          <w:tcPr>
            <w:tcW w:type="dxa" w:w="2891"/>
            <w:vAlign w:val="center"/>
          </w:tcPr>
          <w:p>
            <w:pPr>
              <w:keepNext w:val="0"/>
              <w:spacing w:line="320" w:lineRule="exact" w:after="0" w:before="0"/>
              <w:ind w:firstLine="0"/>
              <w:jc w:val="center"/>
            </w:pPr>
            <w:r>
              <w:rPr>
                <w:b w:val="0"/>
                <w:sz w:val="21"/>
              </w:rPr>
              <w:t>9</w:t>
            </w:r>
          </w:p>
        </w:tc>
      </w:tr>
      <w:tr>
        <w:trPr>
          <w:cantSplit/>
        </w:trPr>
        <w:tc>
          <w:tcPr>
            <w:tcW w:type="dxa" w:w="1638"/>
            <w:vAlign w:val="center"/>
          </w:tcPr>
          <w:p>
            <w:pPr>
              <w:keepNext w:val="0"/>
              <w:spacing w:line="320" w:lineRule="exact" w:after="0" w:before="0"/>
              <w:ind w:firstLine="0"/>
              <w:jc w:val="left"/>
            </w:pPr>
            <w:r>
              <w:rPr>
                <w:b w:val="0"/>
                <w:sz w:val="21"/>
              </w:rPr>
              <w:t>一致性</w:t>
            </w:r>
          </w:p>
        </w:tc>
        <w:tc>
          <w:tcPr>
            <w:tcW w:type="dxa" w:w="2699"/>
            <w:vAlign w:val="center"/>
          </w:tcPr>
          <w:p>
            <w:pPr>
              <w:keepNext w:val="0"/>
              <w:spacing w:line="320" w:lineRule="exact" w:after="0" w:before="0"/>
              <w:ind w:firstLine="0"/>
              <w:jc w:val="center"/>
            </w:pPr>
            <w:r>
              <w:rPr>
                <w:b w:val="0"/>
                <w:sz w:val="21"/>
              </w:rPr>
              <w:t>9</w:t>
            </w:r>
          </w:p>
        </w:tc>
        <w:tc>
          <w:tcPr>
            <w:tcW w:type="dxa" w:w="2409"/>
            <w:vAlign w:val="center"/>
          </w:tcPr>
          <w:p>
            <w:pPr>
              <w:keepNext w:val="0"/>
              <w:spacing w:line="320" w:lineRule="exact" w:after="0" w:before="0"/>
              <w:ind w:firstLine="0"/>
              <w:jc w:val="center"/>
            </w:pPr>
            <w:r>
              <w:rPr>
                <w:b w:val="0"/>
                <w:sz w:val="21"/>
              </w:rPr>
              <w:t>3</w:t>
            </w:r>
          </w:p>
        </w:tc>
        <w:tc>
          <w:tcPr>
            <w:tcW w:type="dxa" w:w="2891"/>
            <w:vAlign w:val="center"/>
          </w:tcPr>
          <w:p>
            <w:pPr>
              <w:keepNext w:val="0"/>
              <w:spacing w:line="320" w:lineRule="exact" w:after="0" w:before="0"/>
              <w:ind w:firstLine="0"/>
              <w:jc w:val="center"/>
            </w:pPr>
            <w:r>
              <w:rPr>
                <w:b w:val="0"/>
                <w:sz w:val="21"/>
              </w:rPr>
              <w:t>12</w:t>
            </w:r>
          </w:p>
        </w:tc>
      </w:tr>
      <w:tr>
        <w:trPr>
          <w:cantSplit/>
        </w:trPr>
        <w:tc>
          <w:tcPr>
            <w:tcW w:type="dxa" w:w="1638"/>
            <w:vAlign w:val="center"/>
          </w:tcPr>
          <w:p>
            <w:pPr>
              <w:keepNext w:val="0"/>
              <w:spacing w:line="320" w:lineRule="exact" w:after="0" w:before="0"/>
              <w:ind w:firstLine="0"/>
              <w:jc w:val="left"/>
            </w:pPr>
            <w:r>
              <w:rPr>
                <w:b w:val="0"/>
                <w:sz w:val="21"/>
              </w:rPr>
              <w:t>唯一性</w:t>
            </w:r>
          </w:p>
        </w:tc>
        <w:tc>
          <w:tcPr>
            <w:tcW w:type="dxa" w:w="2699"/>
            <w:vAlign w:val="center"/>
          </w:tcPr>
          <w:p>
            <w:pPr>
              <w:keepNext w:val="0"/>
              <w:spacing w:line="320" w:lineRule="exact" w:after="0" w:before="0"/>
              <w:ind w:firstLine="0"/>
              <w:jc w:val="center"/>
            </w:pPr>
            <w:r>
              <w:rPr>
                <w:b w:val="0"/>
                <w:sz w:val="21"/>
              </w:rPr>
              <w:t>9</w:t>
            </w:r>
          </w:p>
        </w:tc>
        <w:tc>
          <w:tcPr>
            <w:tcW w:type="dxa" w:w="2409"/>
            <w:vAlign w:val="center"/>
          </w:tcPr>
          <w:p>
            <w:pPr>
              <w:keepNext w:val="0"/>
              <w:spacing w:line="320" w:lineRule="exact" w:after="0" w:before="0"/>
              <w:ind w:firstLine="0"/>
              <w:jc w:val="center"/>
            </w:pPr>
            <w:r>
              <w:rPr>
                <w:b w:val="0"/>
                <w:sz w:val="21"/>
              </w:rPr>
              <w:t>1</w:t>
            </w:r>
          </w:p>
        </w:tc>
        <w:tc>
          <w:tcPr>
            <w:tcW w:type="dxa" w:w="2891"/>
            <w:vAlign w:val="center"/>
          </w:tcPr>
          <w:p>
            <w:pPr>
              <w:keepNext w:val="0"/>
              <w:spacing w:line="320" w:lineRule="exact" w:after="0" w:before="0"/>
              <w:ind w:firstLine="0"/>
              <w:jc w:val="center"/>
            </w:pPr>
            <w:r>
              <w:rPr>
                <w:b w:val="0"/>
                <w:sz w:val="21"/>
              </w:rPr>
              <w:t>10</w:t>
            </w:r>
          </w:p>
        </w:tc>
      </w:tr>
      <w:tr>
        <w:trPr>
          <w:cantSplit/>
        </w:trPr>
        <w:tc>
          <w:tcPr>
            <w:tcW w:type="dxa" w:w="1638"/>
            <w:vAlign w:val="center"/>
          </w:tcPr>
          <w:p>
            <w:pPr>
              <w:keepNext w:val="0"/>
              <w:spacing w:line="320" w:lineRule="exact" w:after="0" w:before="0"/>
              <w:ind w:firstLine="0"/>
              <w:jc w:val="left"/>
            </w:pPr>
            <w:r>
              <w:rPr>
                <w:b w:val="0"/>
                <w:sz w:val="21"/>
              </w:rPr>
              <w:t>及时性</w:t>
            </w:r>
          </w:p>
        </w:tc>
        <w:tc>
          <w:tcPr>
            <w:tcW w:type="dxa" w:w="2699"/>
            <w:vAlign w:val="center"/>
          </w:tcPr>
          <w:p>
            <w:pPr>
              <w:keepNext w:val="0"/>
              <w:spacing w:line="320" w:lineRule="exact" w:after="0" w:before="0"/>
              <w:ind w:firstLine="0"/>
              <w:jc w:val="center"/>
            </w:pPr>
            <w:r>
              <w:rPr>
                <w:b w:val="0"/>
                <w:sz w:val="21"/>
              </w:rPr>
              <w:t>9</w:t>
            </w:r>
          </w:p>
        </w:tc>
        <w:tc>
          <w:tcPr>
            <w:tcW w:type="dxa" w:w="2409"/>
            <w:vAlign w:val="center"/>
          </w:tcPr>
          <w:p>
            <w:pPr>
              <w:keepNext w:val="0"/>
              <w:spacing w:line="320" w:lineRule="exact" w:after="0" w:before="0"/>
              <w:ind w:firstLine="0"/>
              <w:jc w:val="center"/>
            </w:pPr>
            <w:r>
              <w:rPr>
                <w:b w:val="0"/>
                <w:sz w:val="21"/>
              </w:rPr>
              <w:t>1</w:t>
            </w:r>
          </w:p>
        </w:tc>
        <w:tc>
          <w:tcPr>
            <w:tcW w:type="dxa" w:w="2891"/>
            <w:vAlign w:val="center"/>
          </w:tcPr>
          <w:p>
            <w:pPr>
              <w:keepNext w:val="0"/>
              <w:spacing w:line="320" w:lineRule="exact" w:after="0" w:before="0"/>
              <w:ind w:firstLine="0"/>
              <w:jc w:val="center"/>
            </w:pPr>
            <w:r>
              <w:rPr>
                <w:b w:val="0"/>
                <w:sz w:val="21"/>
              </w:rPr>
              <w:t>10</w:t>
            </w:r>
          </w:p>
        </w:tc>
      </w:tr>
      <w:tr>
        <w:trPr>
          <w:cantSplit/>
        </w:trPr>
        <w:tc>
          <w:tcPr>
            <w:tcW w:type="dxa" w:w="1638"/>
            <w:vAlign w:val="center"/>
          </w:tcPr>
          <w:p>
            <w:pPr>
              <w:keepNext w:val="0"/>
              <w:spacing w:line="320" w:lineRule="exact" w:after="0" w:before="0"/>
              <w:ind w:firstLine="0"/>
              <w:jc w:val="left"/>
            </w:pPr>
            <w:r>
              <w:rPr>
                <w:b w:val="0"/>
                <w:sz w:val="21"/>
              </w:rPr>
              <w:t>有效性</w:t>
            </w:r>
          </w:p>
        </w:tc>
        <w:tc>
          <w:tcPr>
            <w:tcW w:type="dxa" w:w="2699"/>
            <w:vAlign w:val="center"/>
          </w:tcPr>
          <w:p>
            <w:pPr>
              <w:keepNext w:val="0"/>
              <w:spacing w:line="320" w:lineRule="exact" w:after="0" w:before="0"/>
              <w:ind w:firstLine="0"/>
              <w:jc w:val="center"/>
            </w:pPr>
            <w:r>
              <w:rPr>
                <w:b w:val="0"/>
                <w:sz w:val="21"/>
              </w:rPr>
              <w:t>9</w:t>
            </w:r>
          </w:p>
        </w:tc>
        <w:tc>
          <w:tcPr>
            <w:tcW w:type="dxa" w:w="2409"/>
            <w:vAlign w:val="center"/>
          </w:tcPr>
          <w:p>
            <w:pPr>
              <w:keepNext w:val="0"/>
              <w:spacing w:line="320" w:lineRule="exact" w:after="0" w:before="0"/>
              <w:ind w:firstLine="0"/>
              <w:jc w:val="center"/>
            </w:pPr>
            <w:r>
              <w:rPr>
                <w:b w:val="0"/>
                <w:sz w:val="21"/>
              </w:rPr>
              <w:t>4</w:t>
            </w:r>
          </w:p>
        </w:tc>
        <w:tc>
          <w:tcPr>
            <w:tcW w:type="dxa" w:w="2891"/>
            <w:vAlign w:val="center"/>
          </w:tcPr>
          <w:p>
            <w:pPr>
              <w:keepNext w:val="0"/>
              <w:spacing w:line="320" w:lineRule="exact" w:after="0" w:before="0"/>
              <w:ind w:firstLine="0"/>
              <w:jc w:val="center"/>
            </w:pPr>
            <w:r>
              <w:rPr>
                <w:b w:val="0"/>
                <w:sz w:val="21"/>
              </w:rPr>
              <w:t>13</w:t>
            </w:r>
          </w:p>
        </w:tc>
      </w:tr>
      <w:tr>
        <w:trPr>
          <w:cantSplit/>
        </w:trPr>
        <w:tc>
          <w:tcPr>
            <w:tcW w:type="dxa" w:w="1638"/>
            <w:vAlign w:val="center"/>
          </w:tcPr>
          <w:p>
            <w:pPr>
              <w:keepNext w:val="0"/>
              <w:spacing w:line="320" w:lineRule="exact" w:after="0" w:before="0"/>
              <w:ind w:firstLine="0"/>
              <w:jc w:val="left"/>
            </w:pPr>
            <w:r>
              <w:rPr>
                <w:b w:val="0"/>
                <w:sz w:val="21"/>
              </w:rPr>
              <w:t>合计</w:t>
            </w:r>
          </w:p>
        </w:tc>
        <w:tc>
          <w:tcPr>
            <w:tcW w:type="dxa" w:w="2699"/>
            <w:vAlign w:val="center"/>
          </w:tcPr>
          <w:p>
            <w:pPr>
              <w:keepNext w:val="0"/>
              <w:spacing w:line="320" w:lineRule="exact" w:after="0" w:before="0"/>
              <w:ind w:firstLine="0"/>
              <w:jc w:val="center"/>
            </w:pPr>
            <w:r>
              <w:rPr>
                <w:b w:val="0"/>
                <w:sz w:val="21"/>
              </w:rPr>
              <w:t>54</w:t>
            </w:r>
          </w:p>
        </w:tc>
        <w:tc>
          <w:tcPr>
            <w:tcW w:type="dxa" w:w="2409"/>
            <w:vAlign w:val="center"/>
          </w:tcPr>
          <w:p>
            <w:pPr>
              <w:keepNext w:val="0"/>
              <w:spacing w:line="320" w:lineRule="exact" w:after="0" w:before="0"/>
              <w:ind w:firstLine="0"/>
              <w:jc w:val="center"/>
            </w:pPr>
            <w:r>
              <w:rPr>
                <w:b w:val="0"/>
                <w:sz w:val="21"/>
              </w:rPr>
              <w:t>12</w:t>
            </w:r>
          </w:p>
        </w:tc>
        <w:tc>
          <w:tcPr>
            <w:tcW w:type="dxa" w:w="2891"/>
            <w:vAlign w:val="center"/>
          </w:tcPr>
          <w:p>
            <w:pPr>
              <w:keepNext w:val="0"/>
              <w:spacing w:line="320" w:lineRule="exact" w:after="0" w:before="0"/>
              <w:ind w:firstLine="0"/>
              <w:jc w:val="center"/>
            </w:pPr>
            <w:r>
              <w:rPr>
                <w:b w:val="0"/>
                <w:sz w:val="21"/>
              </w:rPr>
              <w:t>66</w:t>
            </w:r>
          </w:p>
        </w:tc>
      </w:tr>
    </w:tbl>
    <w:p>
      <w:pPr>
        <w:spacing w:after="40" w:line="240" w:lineRule="auto"/>
        <w:ind w:firstLine="0"/>
      </w:pPr>
      <w:r>
        <w:rPr>
          <w:sz w:val="4"/>
        </w:rPr>
      </w:r>
    </w:p>
    <w:p>
      <w:pPr>
        <w:jc w:val="both"/>
      </w:pPr>
      <w:r>
        <w:t>规则维度归类用于管理，不表示一条规则只对一个业务后果产生影响。多模态错配可能同时影响准确性和有效性，但其主规则按一致性登记，相关影响在问题记录中保留。主规则唯一计数，不能将同一规则在多个维度重复累加夸大覆盖。实际检查按对象、字段和关系展开后，执行实例数量另行统计。</w:t>
      </w:r>
    </w:p>
    <w:p>
      <w:pPr>
        <w:jc w:val="both"/>
      </w:pPr>
      <w:r>
        <w:t>准确性规则较多依赖业务凭据和专业判断，需保证凭据可取得、审核岗位有能力以及复核范围合理。及时性规则依赖可靠的业务时间和日历，唯一性规则依赖正确粒度，完整性规则依赖应有对象集合。一致性和有效性规则依赖版本、单位和状态定义。实施优先解决这些共同前提，再扩大检查范围，避免在基础定义不清时大量运行无效规则。</w:t>
      </w:r>
    </w:p>
    <w:p>
      <w:pPr>
        <w:pStyle w:val="Heading3"/>
      </w:pPr>
      <w:r>
        <w:t>4.2.3 关键控制覆盖结论</w:t>
      </w:r>
    </w:p>
    <w:p>
      <w:pPr>
        <w:jc w:val="both"/>
      </w:pPr>
      <w:r>
        <w:t>现有质量控制设计已形成从需求到规则、从结果到问题、从整改到复核的对应关系，九业务域六维基础单元及12项共同控制均有明确主规则。设计中对合法差异、未知状态和执行失败进行了区分，设置关键用途限制和独立发布条件。规则执行需进一步落实实际字段、标准、参数、权限和调度，运行成效以对应任务记录确认。</w:t>
      </w:r>
    </w:p>
    <w:p>
      <w:pPr>
        <w:jc w:val="both"/>
      </w:pPr>
      <w:r>
        <w:t>质量需求的业务条件由具体责任岗位确认，规则实现与专业判定相互衔接。对依赖源端改造、外部证明或低频业务的事项，建立实施依赖和检查机会记录，不能在设计覆盖统计中直接推导为实际检查覆盖100%。后续报告同时保留设计覆盖、配置覆盖、运行覆盖和可判定覆盖四类结果，清楚反映控制落实阶段。</w:t>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10" name="Picture 10"/>
            <wp:cNvGraphicFramePr>
              <a:graphicFrameLocks noChangeAspect="1"/>
            </wp:cNvGraphicFramePr>
            <a:graphic>
              <a:graphicData uri="http://schemas.openxmlformats.org/drawingml/2006/picture">
                <pic:pic>
                  <pic:nvPicPr>
                    <pic:cNvPr id="0" name="图10_报告证据.png"/>
                    <pic:cNvPicPr/>
                  </pic:nvPicPr>
                  <pic:blipFill>
                    <a:blip r:embed="rId20"/>
                    <a:stretch>
                      <a:fillRect/>
                    </a:stretch>
                  </pic:blipFill>
                  <pic:spPr>
                    <a:xfrm>
                      <a:off x="0" y="0"/>
                      <a:ext cx="6048000" cy="3004615"/>
                    </a:xfrm>
                    <a:prstGeom prst="rect"/>
                  </pic:spPr>
                </pic:pic>
              </a:graphicData>
            </a:graphic>
          </wp:inline>
        </w:drawing>
      </w:r>
    </w:p>
    <w:p>
      <w:pPr>
        <w:pStyle w:val="Caption"/>
        <w:jc w:val="center"/>
      </w:pPr>
      <w:r>
        <w:t>图4-1 质量报告与证据关系</w:t>
      </w:r>
    </w:p>
    <w:p>
      <w:pPr>
        <w:pStyle w:val="Heading2"/>
      </w:pPr>
      <w:r>
        <w:t>4.3 运行数据取证与统计准备</w:t>
      </w:r>
    </w:p>
    <w:p>
      <w:pPr>
        <w:pStyle w:val="Heading3"/>
      </w:pPr>
      <w:r>
        <w:t>4.3.1 报告周期与数据快照</w:t>
      </w:r>
    </w:p>
    <w:p>
      <w:pPr>
        <w:jc w:val="both"/>
      </w:pPr>
      <w:r>
        <w:t>运行报告明确起止时间、截止时点、业务日历和对象范围，区分按业务发生时间统计与按检查完成时间统计的口径。业务质量趋势优先按稳定业务时间组织，运行效率按任务时间组织，问题办理按受理、承诺和复核时间组织。不同时间口径之间建立关联，不能把本期补查历史对象全部归因于本期业务质量下降。</w:t>
      </w:r>
    </w:p>
    <w:p>
      <w:pPr>
        <w:jc w:val="both"/>
      </w:pPr>
      <w:r>
        <w:t>报告取数固定输入清单和版本，保存实际提取条件、任务集合及摘要。迟到数据在截止后到达时，判断是否形成后继报告版本；后继版本注明变化对象及原因，原报告保持归档。统计范围新增系统、对象或规则时，对比表中单列新增范围，原可比范围继续计算，避免范围变化掩盖真实趋势。</w:t>
      </w:r>
    </w:p>
    <w:p>
      <w:pPr>
        <w:pStyle w:val="Heading3"/>
      </w:pPr>
      <w:r>
        <w:t>4.3.2 数据完整性核对</w:t>
      </w:r>
    </w:p>
    <w:p>
      <w:pPr>
        <w:jc w:val="both"/>
      </w:pPr>
      <w:r>
        <w:t>先核对计划检查任务与实际任务，再核对每个任务的适用对象、读取对象、检查对象和结果对象。检查失败、部分完成和等待依赖的任务分别计数，不能从报告总体中删除。结果数量满足状态守恒关系，同一对象在同一规则任务中的最终状态唯一，重试与后继结果按固定选择规则纳入。</w:t>
      </w:r>
    </w:p>
    <w:p>
      <w:pPr>
        <w:jc w:val="both"/>
      </w:pPr>
      <w:r>
        <w:t>对规则通过、不通过、待证实和未执行的对象核查统计单位一致。不适用对象单独报告及说明依据。存在同一对象命中多条规则时，既提供规则命中数量，也提供去重受影响对象数量，二者含义清晰。跨域问题按主问题计数并保留各域影响范围，避免合计时重复计入。</w:t>
      </w:r>
    </w:p>
    <w:p>
      <w:pPr>
        <w:pStyle w:val="Heading3"/>
      </w:pPr>
      <w:r>
        <w:t>4.3.3 证据可信性检查</w:t>
      </w:r>
    </w:p>
    <w:p>
      <w:pPr>
        <w:jc w:val="both"/>
      </w:pPr>
      <w:r>
        <w:t>质量岗位抽查报告中的关键结论是否能回到规则、任务、对象和原始依据。检查对象标识能否解析、版本是否固定、证据是否可访问以及复核记录是否具备实际内容。截图只作为辅助，核心判定应有结构化结果或可取得的原始凭据。不能复现的结论暂不用于正式合格判断，补证后重新审核。</w:t>
      </w:r>
    </w:p>
    <w:p>
      <w:pPr>
        <w:jc w:val="both"/>
      </w:pPr>
      <w:r>
        <w:t>需要抽样核验的准确性分析，说明抽样总体、抽样单位、分层因素、抽取方式和样本量，记录未能核验对象及原因。高影响异常按风险要求执行必要的全量或人工复核，不以普通抽样替代。抽样结果用于估计时报告适用范围和不确定性，不把估计数写成已经确认的实际缺陷总数。</w:t>
      </w:r>
    </w:p>
    <w:p>
      <w:pPr>
        <w:pStyle w:val="Heading2"/>
      </w:pPr>
      <w:r>
        <w:t>4.4 六个质量维度的分析方法</w:t>
      </w:r>
    </w:p>
    <w:p>
      <w:pPr>
        <w:pStyle w:val="Heading3"/>
      </w:pPr>
      <w:r>
        <w:t>4.4.1 完整性分析</w:t>
      </w:r>
    </w:p>
    <w:p>
      <w:pPr>
        <w:jc w:val="both"/>
      </w:pPr>
      <w:r>
        <w:t>完整性先明确“应有”的依据。工艺路线决定应有工序，检验计划决定应检项目，业务凭证决定必要字段和附件，采样策略与实际运行区间决定应有时序范围。没有应有集合时只能报告现有数据分布，不能计算有意义的完整率。应有集合及其版本与检查结果共同保存。</w:t>
      </w:r>
    </w:p>
    <w:p>
      <w:pPr>
        <w:jc w:val="both"/>
      </w:pPr>
      <w:r>
        <w:t>分析分别识别对象缺失、字段缺失、关系缺失和区间缺口，按业务域、系统、对象类型和发生阶段分布。缺失原因区分业务未发生、业务未登记、接口未传、转换丢失、读取失败和依法不能取得。业务未发生的合法不适用有明确依据；无法证明不适用的缺口保持待证实或缺陷状态。</w:t>
      </w:r>
    </w:p>
    <w:p>
      <w:pPr>
        <w:jc w:val="both"/>
      </w:pPr>
      <w:r>
        <w:t>对热处理和焊接过程曲线，报告缺口发生的工艺阶段、持续时间、关键参数和涉及批次，不能只给出总体采样点完整率。对设计和质量文档，检查关键技术条件和判定依据是否缺失，避免大量非关键附件齐全掩盖关键文件缺口。整改建议针对缺口来源，分别安排补采、接口修复、记录规范和历史受限对象处理。</w:t>
      </w:r>
    </w:p>
    <w:p>
      <w:pPr>
        <w:pStyle w:val="Heading3"/>
      </w:pPr>
      <w:r>
        <w:t>4.4.2 准确性分析</w:t>
      </w:r>
    </w:p>
    <w:p>
      <w:pPr>
        <w:jc w:val="both"/>
      </w:pPr>
      <w:r>
        <w:t>准确性分析说明事实依据和核验责任。结构化字段与业务凭据比较，工程参数与批准图纸或工艺标准比较，测量结果与原始仪器记录和测量条件比较，故障标签与实际维护发现和专业意见比较。不同证据强度分开表达，疑似结论不提升为已确认事实。</w:t>
      </w:r>
    </w:p>
    <w:p>
      <w:pPr>
        <w:jc w:val="both"/>
      </w:pPr>
      <w:r>
        <w:t>错误类型至少区分录入错误、解析识别错误、单位或精度错误、计算错误、专业标注错误和凭据关联错误。对小数点、正负号、上下限、直径半径和含税口径等容易造成重大影响的错误，追踪共用转换程序和批量传播范围。不能仅统计错误条数而忽略单个错误可能影响大量派生结果。</w:t>
      </w:r>
    </w:p>
    <w:p>
      <w:pPr>
        <w:jc w:val="both"/>
      </w:pPr>
      <w:r>
        <w:t>整改效果比较使用同一业务对象及有效依据，区分修正数据、修正规则和补齐证据带来的结果变化。发现原始业务凭据本身存在争议时，提交有权业务岗位裁决，在裁决前维持必要限制，不由技术人员自行选择更有利于通过检查的数值。</w:t>
      </w:r>
    </w:p>
    <w:p>
      <w:pPr>
        <w:pStyle w:val="Heading3"/>
      </w:pPr>
      <w:r>
        <w:t>4.4.3 一致性分析</w:t>
      </w:r>
    </w:p>
    <w:p>
      <w:pPr>
        <w:jc w:val="both"/>
      </w:pPr>
      <w:r>
        <w:t>一致性分析先核对比较条件，列明对象身份、组织、时点、状态、单位和版本。库存账、业务单据和财务结果的差异先分解时间差、政策口径、合法状态差及实际缺陷。仅在比较条件一致时计算一致率，条件不齐对象进入待证实并反映可判定覆盖。</w:t>
      </w:r>
    </w:p>
    <w:p>
      <w:pPr>
        <w:jc w:val="both"/>
      </w:pPr>
      <w:r>
        <w:t>跨系统关联重点分析未映射、多重映射、失效映射和错配对象。对于设计变更、工艺变更和标准更新，报告生效范围内的错误引用及范围外的合法历史使用。对于多模态记录，检查对象和事件是否一致，不能以各模态分别通过基本质量检查推导关联正确。</w:t>
      </w:r>
    </w:p>
    <w:p>
      <w:pPr>
        <w:jc w:val="both"/>
      </w:pPr>
      <w:r>
        <w:t>问题定位沿主数据、映射、接口和加工关系逐步展开，优先修复共同根因。一个主数据错误造成多个下游系统差异时，报告主问题和受影响范围，不把每个系统的现象当作互不相关的小问题。修复后重新检查整体关联和派生指标，确认没有因一处替换产生新的冲突。</w:t>
      </w:r>
    </w:p>
    <w:p>
      <w:pPr>
        <w:pStyle w:val="Heading3"/>
      </w:pPr>
      <w:r>
        <w:t>4.4.4 唯一性分析</w:t>
      </w:r>
    </w:p>
    <w:p>
      <w:pPr>
        <w:jc w:val="both"/>
      </w:pPr>
      <w:r>
        <w:t>唯一性分析明确对象粒度和复合键，区分重复主记录、重复事件、重复导入和合法重复出现。相同产品型号、相同测量值和相同文本句子不当然意味着同一业务对象。合法的历史版本、复检轮次、拆分批次和多位置结构实例应保留其身份。</w:t>
      </w:r>
    </w:p>
    <w:p>
      <w:pPr>
        <w:jc w:val="both"/>
      </w:pPr>
      <w:r>
        <w:t>报告提供重复组数、涉及记录数、确认冗余记录数及受影响的数量金额，不把重复组数与冗余记录数混用。相似度检测结果先作为候选，确认依据、自动处理比例和人工处理结果分别记录。重复识别对来源家族隔离和数据集划分的影响单独分析，避免只处理精确重复而遗漏派生泄漏。</w:t>
      </w:r>
    </w:p>
    <w:p>
      <w:pPr>
        <w:jc w:val="both"/>
      </w:pPr>
      <w:r>
        <w:t>整改后检查主记录选择是否有权威依据、旧标识是否可追溯、下游引用是否完整迁移。历史审计所需的事件不因业务去重被物理删除，保留原始层和规范层的对应。净量统计以实际有效独立对象为准，去重损耗不通过复制或无意义切分补回。</w:t>
      </w:r>
    </w:p>
    <w:p>
      <w:pPr>
        <w:pStyle w:val="Heading3"/>
      </w:pPr>
      <w:r>
        <w:t>4.4.5 及时性分析</w:t>
      </w:r>
    </w:p>
    <w:p>
      <w:pPr>
        <w:jc w:val="both"/>
      </w:pPr>
      <w:r>
        <w:t>及时性按业务起算、源端登记、采集到达、治理可用和使用方接收分段分析，分别识别业务处理延迟、接口延迟和平台处理延迟。各用途的时限依据业务需要确认，实时状态、工序追溯、财务期间和历史归档不能使用同一阈值直接排名。</w:t>
      </w:r>
    </w:p>
    <w:p>
      <w:pPr>
        <w:jc w:val="both"/>
      </w:pPr>
      <w:r>
        <w:t>报告同时提供按期对象比例、迟到对象量、延迟分布及关键最迟情况。平均延迟不能掩盖少量高影响长尾，关键业务事件单独列出。对未到达对象，按应到事件和水位检查，不能只对已经到达的对象计算延迟而忽略长期缺失。</w:t>
      </w:r>
    </w:p>
    <w:p>
      <w:pPr>
        <w:jc w:val="both"/>
      </w:pPr>
      <w:r>
        <w:t>离线补传和迟到数据按真实事件时间进入业务分析，按实际到达时间进入运行分析。时钟偏差造成的负延迟先调查时间来源，不直接截断为零。整改评价观察后续实际业务机会，同时核查历史迟到对象是否已经影响报表、计划、样本划分和近三年统计。</w:t>
      </w:r>
    </w:p>
    <w:p>
      <w:pPr>
        <w:pStyle w:val="Heading3"/>
      </w:pPr>
      <w:r>
        <w:t>4.4.6 有效性分析</w:t>
      </w:r>
    </w:p>
    <w:p>
      <w:pPr>
        <w:jc w:val="both"/>
      </w:pPr>
      <w:r>
        <w:t>有效性检查代码集、状态迁移、值域、参数组合、单位维度、标准和权利适用。合法值是否适用当前对象与合法值是否存在分别判断，某个材料牌号在代码集中有效并不代表适合当前产品；设备参数位于量程内也不等同于符合当前工艺。</w:t>
      </w:r>
    </w:p>
    <w:p>
      <w:pPr>
        <w:jc w:val="both"/>
      </w:pPr>
      <w:r>
        <w:t>报告按无效代码、失效引用、非法状态、超限参数、不合规组合和使用限制分布。专业阈值关联有效依据和对象范围，未经确认的经验规则只用于疑似异常筛查，不用于正式放行。对当前失效而历史合法的对象保留时间条件，避免标准换版产生大批虚假历史问题。</w:t>
      </w:r>
    </w:p>
    <w:p>
      <w:pPr>
        <w:jc w:val="both"/>
      </w:pPr>
      <w:r>
        <w:t>整改包括数据纠正、标准引用修复、流程控制和用途限制调整。授权不足或无法证明专业适用性的对象不能通过简单替换为通用代码取得合格状态。结果复核确认实际业务条件和限制均满足，不能只检查字段已经落在允许值列表内。</w:t>
      </w:r>
    </w:p>
    <w:p>
      <w:pPr>
        <w:pStyle w:val="Heading2"/>
      </w:pPr>
      <w:r>
        <w:t>4.5 制造业务链专项分析</w:t>
      </w:r>
    </w:p>
    <w:p>
      <w:pPr>
        <w:pStyle w:val="Heading3"/>
      </w:pPr>
      <w:r>
        <w:t>4.5.1 设计、工艺与制造关联</w:t>
      </w:r>
    </w:p>
    <w:p>
      <w:pPr>
        <w:jc w:val="both"/>
      </w:pPr>
      <w:r>
        <w:t>以产品配置和实物批次为主线分析设计、工艺、制造和检验之间的版本关系。分别检查设计基线是否明确、工艺是否适用、工单是否引用正确、检验是否依据有效标准。一个环节使用合法旧版并不自动构成问题，关键在于其产品、批次和生效范围是否得到有效批准。</w:t>
      </w:r>
    </w:p>
    <w:p>
      <w:pPr>
        <w:jc w:val="both"/>
      </w:pPr>
      <w:r>
        <w:t>设计更改造成的差异按发放前、在制中、已完工和已交付对象分类，数据检查结论与实际业务处置衔接。已加工零件是否需要返工或让步接收由有权业务流程确定，质量报告保留数据事实和处置关系，不越权作实物合格承诺。用于知识库和数据集的内容同步区分适用版本，防止旧条件被当作现行通用知识。</w:t>
      </w:r>
    </w:p>
    <w:p>
      <w:pPr>
        <w:pStyle w:val="Heading3"/>
      </w:pPr>
      <w:r>
        <w:t>4.5.2 热处理与焊接过程分析</w:t>
      </w:r>
    </w:p>
    <w:p>
      <w:pPr>
        <w:jc w:val="both"/>
      </w:pPr>
      <w:r>
        <w:t>热处理分析将材料、规格、装炉关系、设备、工艺版本和曲线区间共同核对，检查关键阶段记录、测点单位和时间对齐。温度判断以有效工艺及设备测量条件为依据，不使用“不得低于环境温度”等脱离业务阶段的通用断言。保温、升降温、停机和异常中断分别识别，曲线缺口对可判定性的影响单独报告。</w:t>
      </w:r>
    </w:p>
    <w:p>
      <w:pPr>
        <w:jc w:val="both"/>
      </w:pPr>
      <w:r>
        <w:t>焊接分析将产品、焊缝、接头、材料、焊接方法、设备参数、人员资质和检验结果关联。图像和视频用于质量判断时，确认其对应焊缝和工序阶段，不能将不同位置或不同批次的影像拼成一条完整证据。参数异常与缺陷之间的相关关系需有数据和专业依据，不把同时出现写成已证实因果。</w:t>
      </w:r>
    </w:p>
    <w:p>
      <w:pPr>
        <w:jc w:val="both"/>
      </w:pPr>
      <w:r>
        <w:t>过程数据中的异常值可能来自真实工艺、传感器或采集链路，报告分别识别并安排专业复核。实际高风险工艺异常按企业生产安全和质量流程处置，数据问题整改与实物处理相互关联。数据集生产只使用已经满足相应用途的内容，未知原因和未确认标签不得冒充确定性训练答案。</w:t>
      </w:r>
    </w:p>
    <w:p>
      <w:pPr>
        <w:pStyle w:val="Heading3"/>
      </w:pPr>
      <w:r>
        <w:t>4.5.3 库存、采购与供需计划分析</w:t>
      </w:r>
    </w:p>
    <w:p>
      <w:pPr>
        <w:jc w:val="both"/>
      </w:pPr>
      <w:r>
        <w:t>库存分析按组织、物料、库位、批次、状态、单位和截止时点建立可比口径，核对期初、收发、调整和期末。采购合同量、预计到货量、实际收货量、待检量和可用量分别表达。供需计划使用的数据需能解释各状态和时间，避免将全部在途或待检物料直接视为可用库存。</w:t>
      </w:r>
    </w:p>
    <w:p>
      <w:pPr>
        <w:jc w:val="both"/>
      </w:pPr>
      <w:r>
        <w:t>差异分析回到具体单据和事件，区分业务未完成、时间差、状态映射、单位换算及重复同步。盘点结果与系统数量不一致时，核查盘点时点、现场范围和未过账事件，再判断登记或实物问题。整改后重算受影响的库存和计划输入，保留原快照与修订版本，使后续决策结果能够解释变化来源。</w:t>
      </w:r>
    </w:p>
    <w:p>
      <w:pPr>
        <w:pStyle w:val="Heading3"/>
      </w:pPr>
      <w:r>
        <w:t>4.5.4 设备健康与质量追溯分析</w:t>
      </w:r>
    </w:p>
    <w:p>
      <w:pPr>
        <w:jc w:val="both"/>
      </w:pPr>
      <w:r>
        <w:t>设备健康相关数据以设备实物身份、部件安装期间、测点及事件窗口关联，分析预警、确认故障、维修措施和恢复运行之间的关系。没有实际故障确认的预警保留其原性质，不人为补配故障；没有足够观测的区间不判断设备无故障。刮板输送机不同工况和部件状态分别建模，避免以型号相同代替设备状态可比。</w:t>
      </w:r>
    </w:p>
    <w:p>
      <w:pPr>
        <w:jc w:val="both"/>
      </w:pPr>
      <w:r>
        <w:t>质量追溯将检验标准、实测结果、判定、处置、复检及放行关系贯通到原材料、工艺和实物。分析不仅关注单条检验记录是否合格，还关注结论是否传递到仓储和交付。错误放行状态的整改需核查已经发生的使用与交付，不能只更新一条状态字段后结束。</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1" name="Picture 11"/>
            <wp:cNvGraphicFramePr>
              <a:graphicFrameLocks noChangeAspect="1"/>
            </wp:cNvGraphicFramePr>
            <a:graphic>
              <a:graphicData uri="http://schemas.openxmlformats.org/drawingml/2006/picture">
                <pic:pic>
                  <pic:nvPicPr>
                    <pic:cNvPr id="0" name="图11_原因分析.png"/>
                    <pic:cNvPicPr/>
                  </pic:nvPicPr>
                  <pic:blipFill>
                    <a:blip r:embed="rId21"/>
                    <a:stretch>
                      <a:fillRect/>
                    </a:stretch>
                  </pic:blipFill>
                  <pic:spPr>
                    <a:xfrm>
                      <a:off x="0" y="0"/>
                      <a:ext cx="6048000" cy="1942338"/>
                    </a:xfrm>
                    <a:prstGeom prst="rect"/>
                  </pic:spPr>
                </pic:pic>
              </a:graphicData>
            </a:graphic>
          </wp:inline>
        </w:drawing>
      </w:r>
    </w:p>
    <w:p>
      <w:pPr>
        <w:pStyle w:val="Caption"/>
        <w:jc w:val="center"/>
      </w:pPr>
      <w:r>
        <w:t>图4-2 原因与传播影响分析</w:t>
      </w:r>
    </w:p>
    <w:p>
      <w:pPr>
        <w:pStyle w:val="Heading2"/>
      </w:pPr>
      <w:r>
        <w:t>4.6 原因分析与影响范围评估</w:t>
      </w:r>
    </w:p>
    <w:p>
      <w:pPr>
        <w:pStyle w:val="Heading3"/>
      </w:pPr>
      <w:r>
        <w:t>4.6.1 根因分类与证据要求</w:t>
      </w:r>
    </w:p>
    <w:p>
      <w:pPr>
        <w:jc w:val="both"/>
      </w:pPr>
      <w:r>
        <w:t>根因分为业务定义不清、源端登记缺陷、标准或主数据缺陷、接口与同步缺陷、转换计算缺陷、规则实现缺陷、专业标注缺陷、权限与证据缺陷以及组织流程缺陷。问题可以具有多个原因，指定主因并保留促成因素。仅描述“数据错误”“人工原因”不足以支撑改进，应说明发生环节、触发条件和控制失效点。</w:t>
      </w:r>
    </w:p>
    <w:p>
      <w:pPr>
        <w:jc w:val="both"/>
      </w:pPr>
      <w:r>
        <w:t>原因分析采用业务回放、版本对比、凭据核验、日志追踪和受控重现等方法。发现同一缺陷在多个来源或对象出现时，检查共同程序、映射、标准和操作流程；发现只有某一时间段出现时，检查当时的变更、设备状态和任务条件。没有证据的原因保留为待核实假设，不在正式结论中写成确定事实。</w:t>
      </w:r>
    </w:p>
    <w:p>
      <w:pPr>
        <w:jc w:val="both"/>
      </w:pPr>
      <w:r>
        <w:t>根因确认需要业务、技术和质量岗位共同核对。技术故障能够解释字段异常，但仍需确认业务影响；业务流程变化能够解释状态差异，也需检查系统是否正确实现。对于依赖外部供应商的原因，保留往来技术记录和实际验证，不仅引用供应商口头判断。</w:t>
      </w:r>
    </w:p>
    <w:p>
      <w:pPr>
        <w:pStyle w:val="Heading3"/>
      </w:pPr>
      <w:r>
        <w:t>4.6.2 传播分析与受影响用途</w:t>
      </w:r>
    </w:p>
    <w:p>
      <w:pPr>
        <w:jc w:val="both"/>
      </w:pPr>
      <w:r>
        <w:t>影响评估从原始对象向标准化结果、关联模型、指标、知识、数据集和使用记录展开，记录直接和间接影响。对已发布数据集识别领域、用途、版本、来源家族和记录集合；对已形成报告或场景验证结论识别输入范围与版本。没有完整血缘时采用受控检索和人工排查补充，明确已检查与尚未证实的范围。</w:t>
      </w:r>
    </w:p>
    <w:p>
      <w:pPr>
        <w:jc w:val="both"/>
      </w:pPr>
      <w:r>
        <w:t>问题严重程度综合错误性质和用途判断。相同的单位错误在一般展示和关键工艺参数中可能具有不同影响，报告应说明实际使用条件。涉及安全、权利和正式交付硬性要求的独立限制不因影响数量较少而取消。影响范围调整有新证据支持，不能为缩小整改工作量只保留最初发现的一条记录。</w:t>
      </w:r>
    </w:p>
    <w:p>
      <w:pPr>
        <w:pStyle w:val="Caption"/>
        <w:keepNext/>
      </w:pPr>
      <w:r>
        <w:t>表4-3 传播分析与受影响用途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原因层次</w:t>
            </w:r>
          </w:p>
        </w:tc>
        <w:tc>
          <w:tcPr>
            <w:tcW w:type="dxa" w:w="3855"/>
            <w:vAlign w:val="center"/>
            <w:shd w:fill="EDF1F3"/>
          </w:tcPr>
          <w:p>
            <w:pPr>
              <w:keepNext/>
              <w:spacing w:line="320" w:lineRule="exact" w:after="0" w:before="0"/>
              <w:ind w:firstLine="0"/>
              <w:jc w:val="center"/>
            </w:pPr>
            <w:r>
              <w:rPr>
                <w:b/>
                <w:sz w:val="21"/>
              </w:rPr>
              <w:t>分析重点</w:t>
            </w:r>
          </w:p>
        </w:tc>
        <w:tc>
          <w:tcPr>
            <w:tcW w:type="dxa" w:w="3277"/>
            <w:vAlign w:val="center"/>
            <w:shd w:fill="EDF1F3"/>
          </w:tcPr>
          <w:p>
            <w:pPr>
              <w:keepNext/>
              <w:spacing w:line="320" w:lineRule="exact" w:after="0" w:before="0"/>
              <w:ind w:firstLine="0"/>
              <w:jc w:val="center"/>
            </w:pPr>
            <w:r>
              <w:rPr>
                <w:b/>
                <w:sz w:val="21"/>
              </w:rPr>
              <w:t>主要纠正方向</w:t>
            </w:r>
          </w:p>
        </w:tc>
      </w:tr>
      <w:tr>
        <w:trPr>
          <w:cantSplit/>
        </w:trPr>
        <w:tc>
          <w:tcPr>
            <w:tcW w:type="dxa" w:w="2506"/>
            <w:vAlign w:val="center"/>
          </w:tcPr>
          <w:p>
            <w:pPr>
              <w:keepNext w:val="0"/>
              <w:spacing w:line="320" w:lineRule="exact" w:after="0" w:before="0"/>
              <w:ind w:firstLine="0"/>
              <w:jc w:val="left"/>
            </w:pPr>
            <w:r>
              <w:rPr>
                <w:b w:val="0"/>
                <w:sz w:val="21"/>
              </w:rPr>
              <w:t>业务与标准</w:t>
            </w:r>
          </w:p>
        </w:tc>
        <w:tc>
          <w:tcPr>
            <w:tcW w:type="dxa" w:w="3855"/>
            <w:vAlign w:val="center"/>
          </w:tcPr>
          <w:p>
            <w:pPr>
              <w:keepNext w:val="0"/>
              <w:spacing w:line="320" w:lineRule="exact" w:after="0" w:before="0"/>
              <w:ind w:firstLine="0"/>
              <w:jc w:val="left"/>
            </w:pPr>
            <w:r>
              <w:rPr>
                <w:b w:val="0"/>
                <w:sz w:val="21"/>
              </w:rPr>
              <w:t>定义、粒度、权威来源、有效版本及审批</w:t>
            </w:r>
          </w:p>
        </w:tc>
        <w:tc>
          <w:tcPr>
            <w:tcW w:type="dxa" w:w="3277"/>
            <w:vAlign w:val="center"/>
          </w:tcPr>
          <w:p>
            <w:pPr>
              <w:keepNext w:val="0"/>
              <w:spacing w:line="320" w:lineRule="exact" w:after="0" w:before="0"/>
              <w:ind w:firstLine="0"/>
              <w:jc w:val="left"/>
            </w:pPr>
            <w:r>
              <w:rPr>
                <w:b w:val="0"/>
                <w:sz w:val="21"/>
              </w:rPr>
              <w:t>明确业务口径、修订标准和责任流程</w:t>
            </w:r>
          </w:p>
        </w:tc>
      </w:tr>
      <w:tr>
        <w:trPr>
          <w:cantSplit/>
        </w:trPr>
        <w:tc>
          <w:tcPr>
            <w:tcW w:type="dxa" w:w="2506"/>
            <w:vAlign w:val="center"/>
          </w:tcPr>
          <w:p>
            <w:pPr>
              <w:keepNext w:val="0"/>
              <w:spacing w:line="320" w:lineRule="exact" w:after="0" w:before="0"/>
              <w:ind w:firstLine="0"/>
              <w:jc w:val="left"/>
            </w:pPr>
            <w:r>
              <w:rPr>
                <w:b w:val="0"/>
                <w:sz w:val="21"/>
              </w:rPr>
              <w:t>源端与接口</w:t>
            </w:r>
          </w:p>
        </w:tc>
        <w:tc>
          <w:tcPr>
            <w:tcW w:type="dxa" w:w="3855"/>
            <w:vAlign w:val="center"/>
          </w:tcPr>
          <w:p>
            <w:pPr>
              <w:keepNext w:val="0"/>
              <w:spacing w:line="320" w:lineRule="exact" w:after="0" w:before="0"/>
              <w:ind w:firstLine="0"/>
              <w:jc w:val="left"/>
            </w:pPr>
            <w:r>
              <w:rPr>
                <w:b w:val="0"/>
                <w:sz w:val="21"/>
              </w:rPr>
              <w:t>登记、事件、单位、时钟、重试及变更</w:t>
            </w:r>
          </w:p>
        </w:tc>
        <w:tc>
          <w:tcPr>
            <w:tcW w:type="dxa" w:w="3277"/>
            <w:vAlign w:val="center"/>
          </w:tcPr>
          <w:p>
            <w:pPr>
              <w:keepNext w:val="0"/>
              <w:spacing w:line="320" w:lineRule="exact" w:after="0" w:before="0"/>
              <w:ind w:firstLine="0"/>
              <w:jc w:val="left"/>
            </w:pPr>
            <w:r>
              <w:rPr>
                <w:b w:val="0"/>
                <w:sz w:val="21"/>
              </w:rPr>
              <w:t>修正源记录、完善接口与采集控制</w:t>
            </w:r>
          </w:p>
        </w:tc>
      </w:tr>
      <w:tr>
        <w:trPr>
          <w:cantSplit/>
        </w:trPr>
        <w:tc>
          <w:tcPr>
            <w:tcW w:type="dxa" w:w="2506"/>
            <w:vAlign w:val="center"/>
          </w:tcPr>
          <w:p>
            <w:pPr>
              <w:keepNext w:val="0"/>
              <w:spacing w:line="320" w:lineRule="exact" w:after="0" w:before="0"/>
              <w:ind w:firstLine="0"/>
              <w:jc w:val="left"/>
            </w:pPr>
            <w:r>
              <w:rPr>
                <w:b w:val="0"/>
                <w:sz w:val="21"/>
              </w:rPr>
              <w:t>平台与加工</w:t>
            </w:r>
          </w:p>
        </w:tc>
        <w:tc>
          <w:tcPr>
            <w:tcW w:type="dxa" w:w="3855"/>
            <w:vAlign w:val="center"/>
          </w:tcPr>
          <w:p>
            <w:pPr>
              <w:keepNext w:val="0"/>
              <w:spacing w:line="320" w:lineRule="exact" w:after="0" w:before="0"/>
              <w:ind w:firstLine="0"/>
              <w:jc w:val="left"/>
            </w:pPr>
            <w:r>
              <w:rPr>
                <w:b w:val="0"/>
                <w:sz w:val="21"/>
              </w:rPr>
              <w:t>映射、关联、计算、分区及派生关系</w:t>
            </w:r>
          </w:p>
        </w:tc>
        <w:tc>
          <w:tcPr>
            <w:tcW w:type="dxa" w:w="3277"/>
            <w:vAlign w:val="center"/>
          </w:tcPr>
          <w:p>
            <w:pPr>
              <w:keepNext w:val="0"/>
              <w:spacing w:line="320" w:lineRule="exact" w:after="0" w:before="0"/>
              <w:ind w:firstLine="0"/>
              <w:jc w:val="left"/>
            </w:pPr>
            <w:r>
              <w:rPr>
                <w:b w:val="0"/>
                <w:sz w:val="21"/>
              </w:rPr>
              <w:t>修复实现、重跑受影响范围并回归</w:t>
            </w:r>
          </w:p>
        </w:tc>
      </w:tr>
      <w:tr>
        <w:trPr>
          <w:cantSplit/>
        </w:trPr>
        <w:tc>
          <w:tcPr>
            <w:tcW w:type="dxa" w:w="2506"/>
            <w:vAlign w:val="center"/>
          </w:tcPr>
          <w:p>
            <w:pPr>
              <w:keepNext w:val="0"/>
              <w:spacing w:line="320" w:lineRule="exact" w:after="0" w:before="0"/>
              <w:ind w:firstLine="0"/>
              <w:jc w:val="left"/>
            </w:pPr>
            <w:r>
              <w:rPr>
                <w:b w:val="0"/>
                <w:sz w:val="21"/>
              </w:rPr>
              <w:t>专业与标注</w:t>
            </w:r>
          </w:p>
        </w:tc>
        <w:tc>
          <w:tcPr>
            <w:tcW w:type="dxa" w:w="3855"/>
            <w:vAlign w:val="center"/>
          </w:tcPr>
          <w:p>
            <w:pPr>
              <w:keepNext w:val="0"/>
              <w:spacing w:line="320" w:lineRule="exact" w:after="0" w:before="0"/>
              <w:ind w:firstLine="0"/>
              <w:jc w:val="left"/>
            </w:pPr>
            <w:r>
              <w:rPr>
                <w:b w:val="0"/>
                <w:sz w:val="21"/>
              </w:rPr>
              <w:t>判断依据、人员能力、标签及复核</w:t>
            </w:r>
          </w:p>
        </w:tc>
        <w:tc>
          <w:tcPr>
            <w:tcW w:type="dxa" w:w="3277"/>
            <w:vAlign w:val="center"/>
          </w:tcPr>
          <w:p>
            <w:pPr>
              <w:keepNext w:val="0"/>
              <w:spacing w:line="320" w:lineRule="exact" w:after="0" w:before="0"/>
              <w:ind w:firstLine="0"/>
              <w:jc w:val="left"/>
            </w:pPr>
            <w:r>
              <w:rPr>
                <w:b w:val="0"/>
                <w:sz w:val="21"/>
              </w:rPr>
              <w:t>专业复核、修订标注和同类追查</w:t>
            </w:r>
          </w:p>
        </w:tc>
      </w:tr>
      <w:tr>
        <w:trPr>
          <w:cantSplit/>
        </w:trPr>
        <w:tc>
          <w:tcPr>
            <w:tcW w:type="dxa" w:w="2506"/>
            <w:vAlign w:val="center"/>
          </w:tcPr>
          <w:p>
            <w:pPr>
              <w:keepNext w:val="0"/>
              <w:spacing w:line="320" w:lineRule="exact" w:after="0" w:before="0"/>
              <w:ind w:firstLine="0"/>
              <w:jc w:val="left"/>
            </w:pPr>
            <w:r>
              <w:rPr>
                <w:b w:val="0"/>
                <w:sz w:val="21"/>
              </w:rPr>
              <w:t>使用与发布</w:t>
            </w:r>
          </w:p>
        </w:tc>
        <w:tc>
          <w:tcPr>
            <w:tcW w:type="dxa" w:w="3855"/>
            <w:vAlign w:val="center"/>
          </w:tcPr>
          <w:p>
            <w:pPr>
              <w:keepNext w:val="0"/>
              <w:spacing w:line="320" w:lineRule="exact" w:after="0" w:before="0"/>
              <w:ind w:firstLine="0"/>
              <w:jc w:val="left"/>
            </w:pPr>
            <w:r>
              <w:rPr>
                <w:b w:val="0"/>
                <w:sz w:val="21"/>
              </w:rPr>
              <w:t>版本、权限、用途、报告与传播</w:t>
            </w:r>
          </w:p>
        </w:tc>
        <w:tc>
          <w:tcPr>
            <w:tcW w:type="dxa" w:w="3277"/>
            <w:vAlign w:val="center"/>
          </w:tcPr>
          <w:p>
            <w:pPr>
              <w:keepNext w:val="0"/>
              <w:spacing w:line="320" w:lineRule="exact" w:after="0" w:before="0"/>
              <w:ind w:firstLine="0"/>
              <w:jc w:val="left"/>
            </w:pPr>
            <w:r>
              <w:rPr>
                <w:b w:val="0"/>
                <w:sz w:val="21"/>
              </w:rPr>
              <w:t>限制使用、重新验证及受控更正</w:t>
            </w:r>
          </w:p>
        </w:tc>
      </w:tr>
    </w:tbl>
    <w:p>
      <w:pPr>
        <w:spacing w:after="40" w:line="240" w:lineRule="auto"/>
        <w:ind w:firstLine="0"/>
      </w:pPr>
      <w:r>
        <w:rPr>
          <w:sz w:val="4"/>
        </w:rPr>
      </w:r>
    </w:p>
    <w:p>
      <w:pPr>
        <w:pStyle w:val="Heading2"/>
      </w:pPr>
      <w:r>
        <w:t>4.7 整改成效与复发分析</w:t>
      </w:r>
    </w:p>
    <w:p>
      <w:pPr>
        <w:jc w:val="both"/>
      </w:pPr>
      <w:r>
        <w:t>整改前后比较固定对象、规则、统计方法和可比范围。原问题对象的纠正率、同类扩展检查的新增缺陷、下游恢复情况和后续复发情况分别报告。因规则纠错消除误报、因补证从待证实转为可判定、因真实数据修复变为通过，属于不同变化，不合并描述为同一种质量提升。</w:t>
      </w:r>
    </w:p>
    <w:p>
      <w:pPr>
        <w:jc w:val="both"/>
      </w:pPr>
      <w:r>
        <w:t>关闭率统计包含纳入管理的全部确认问题，已知历史缺口、外部依赖、改造中和批准延期问题仍保留在相应分母中。需要限定本期或特定范围时明确总体，并同时披露全量未关闭问题。误报撤销与重复并单按有依据的状态处理，不计为整改完成。重开问题在截止时点按实际未关闭状态反映，历史关闭事实保留。</w:t>
      </w:r>
    </w:p>
    <w:p>
      <w:pPr>
        <w:jc w:val="both"/>
      </w:pPr>
      <w:r>
        <w:t>按期完成率保留原承诺期限口径，同时提供调整后期限履约情况。延期有批准不代表原计划已经按期完成，技术改造和外部依赖也不从逾期统计中自动排除。对逾期原因区分前期估计不足、资源不足、依赖阻塞、方案无效和新增影响，提出具体改进措施。</w:t>
      </w:r>
    </w:p>
    <w:p>
      <w:pPr>
        <w:jc w:val="both"/>
      </w:pPr>
      <w:r>
        <w:t>复发分析按根因、规则、对象类型和业务机会关联。低频业务没有再次发生时，不能直接报告已验证无复发；应记录观察尚未覆盖实际机会。再次命中可能来自新增对象、旧修复不完整或新版本回归缺陷，分别调查。评价预防措施时关注是否改变了导致问题的条件，而不仅是本批数据已修正。</w:t>
      </w:r>
    </w:p>
    <w:p>
      <w:pPr>
        <w:pStyle w:val="Heading2"/>
      </w:pPr>
      <w:r>
        <w:t>4.8 数据集质量与业务治理结果衔接</w:t>
      </w:r>
    </w:p>
    <w:p>
      <w:pPr>
        <w:jc w:val="both"/>
      </w:pPr>
      <w:r>
        <w:t>业务治理结果向四大数据集供给时，携带对象质量状态、来源、版本、限制条件和问题关联。治理检查通过的对象仍需完成适用的生产质检、训练验证及正式评测；治理待证实或有已知缺陷的对象不能绕过后续检查直接发布。正式评测发现的内容错误、关联错误或来源问题应回传治理台账，源端责任与加工责任按证据分别确定。</w:t>
      </w:r>
    </w:p>
    <w:p>
      <w:pPr>
        <w:jc w:val="both"/>
      </w:pPr>
      <w:r>
        <w:t>数据集报告分别展示有效净量、模态覆盖、多模态占比、近三年占比、合成与增强比例、来源隔离、正式评测及整改情况。每个比例说明完整记录单位和固定版本；Token计量与条数比例不混用。各领域各用途逐项判定，汇总结果不能掩盖局部不符合要求。整改引起数量、比例或来源范围变化时，重新核验所有受影响条件。</w:t>
      </w:r>
    </w:p>
    <w:p>
      <w:pPr>
        <w:jc w:val="both"/>
      </w:pPr>
      <w:r>
        <w:t>正式质量评测的说明文档、数据质量、模型应用三个维度及81项指标保持独立记录，各维90分和综合不低于85分的要求逐项核实。高危命中100%人工复核、高风险清零、中低风险100%整改及不少于4次集中完整复测落实到实际证据。治理报告引用正式盖章报告的标识、版本和适用数据，不自行替代第三方正式结论。</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2" name="Picture 12"/>
            <wp:cNvGraphicFramePr>
              <a:graphicFrameLocks noChangeAspect="1"/>
            </wp:cNvGraphicFramePr>
            <a:graphic>
              <a:graphicData uri="http://schemas.openxmlformats.org/drawingml/2006/picture">
                <pic:pic>
                  <pic:nvPicPr>
                    <pic:cNvPr id="0" name="图12_报告发布.png"/>
                    <pic:cNvPicPr/>
                  </pic:nvPicPr>
                  <pic:blipFill>
                    <a:blip r:embed="rId22"/>
                    <a:stretch>
                      <a:fillRect/>
                    </a:stretch>
                  </pic:blipFill>
                  <pic:spPr>
                    <a:xfrm>
                      <a:off x="0" y="0"/>
                      <a:ext cx="6048000" cy="1942338"/>
                    </a:xfrm>
                    <a:prstGeom prst="rect"/>
                  </pic:spPr>
                </pic:pic>
              </a:graphicData>
            </a:graphic>
          </wp:inline>
        </w:drawing>
      </w:r>
    </w:p>
    <w:p>
      <w:pPr>
        <w:pStyle w:val="Caption"/>
        <w:jc w:val="center"/>
      </w:pPr>
      <w:r>
        <w:t>图4-3 报告审核与持续维护</w:t>
      </w:r>
    </w:p>
    <w:p>
      <w:pPr>
        <w:pStyle w:val="Heading2"/>
      </w:pPr>
      <w:r>
        <w:t>4.9 报告成果结构与审签发布</w:t>
      </w:r>
    </w:p>
    <w:p>
      <w:pPr>
        <w:jc w:val="both"/>
      </w:pPr>
      <w:r>
        <w:t>周期报告依次呈现范围和口径、运行覆盖、六维结果、重要问题、原因影响、整改进展、数据集衔接和后续措施。管理层摘要应明确实际发生的关键事实及需要决策的事项，不用泛化表述代替重要差异。明细附表保留对象级证据索引，普通报告只展示必要信息，敏感内容通过受控附件供有权岗位核查。</w:t>
      </w:r>
    </w:p>
    <w:p>
      <w:pPr>
        <w:pStyle w:val="Caption"/>
        <w:keepNext/>
      </w:pPr>
      <w:r>
        <w:t>表4-4 报告成果结构与审签发布</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报告组成</w:t>
            </w:r>
          </w:p>
        </w:tc>
        <w:tc>
          <w:tcPr>
            <w:tcW w:type="dxa" w:w="3855"/>
            <w:vAlign w:val="center"/>
            <w:shd w:fill="EDF1F3"/>
          </w:tcPr>
          <w:p>
            <w:pPr>
              <w:keepNext/>
              <w:spacing w:line="320" w:lineRule="exact" w:after="0" w:before="0"/>
              <w:ind w:firstLine="0"/>
              <w:jc w:val="center"/>
            </w:pPr>
            <w:r>
              <w:rPr>
                <w:b/>
                <w:sz w:val="21"/>
              </w:rPr>
              <w:t>必须反映的内容</w:t>
            </w:r>
          </w:p>
        </w:tc>
        <w:tc>
          <w:tcPr>
            <w:tcW w:type="dxa" w:w="3277"/>
            <w:vAlign w:val="center"/>
            <w:shd w:fill="EDF1F3"/>
          </w:tcPr>
          <w:p>
            <w:pPr>
              <w:keepNext/>
              <w:spacing w:line="320" w:lineRule="exact" w:after="0" w:before="0"/>
              <w:ind w:firstLine="0"/>
              <w:jc w:val="center"/>
            </w:pPr>
            <w:r>
              <w:rPr>
                <w:b/>
                <w:sz w:val="21"/>
              </w:rPr>
              <w:t>审核责任重点</w:t>
            </w:r>
          </w:p>
        </w:tc>
      </w:tr>
      <w:tr>
        <w:trPr>
          <w:cantSplit/>
        </w:trPr>
        <w:tc>
          <w:tcPr>
            <w:tcW w:type="dxa" w:w="2506"/>
            <w:vAlign w:val="center"/>
          </w:tcPr>
          <w:p>
            <w:pPr>
              <w:keepNext w:val="0"/>
              <w:spacing w:line="320" w:lineRule="exact" w:after="0" w:before="0"/>
              <w:ind w:firstLine="0"/>
              <w:jc w:val="left"/>
            </w:pPr>
            <w:r>
              <w:rPr>
                <w:b w:val="0"/>
                <w:sz w:val="21"/>
              </w:rPr>
              <w:t>范围与口径</w:t>
            </w:r>
          </w:p>
        </w:tc>
        <w:tc>
          <w:tcPr>
            <w:tcW w:type="dxa" w:w="3855"/>
            <w:vAlign w:val="center"/>
          </w:tcPr>
          <w:p>
            <w:pPr>
              <w:keepNext w:val="0"/>
              <w:spacing w:line="320" w:lineRule="exact" w:after="0" w:before="0"/>
              <w:ind w:firstLine="0"/>
              <w:jc w:val="left"/>
            </w:pPr>
            <w:r>
              <w:rPr>
                <w:b w:val="0"/>
                <w:sz w:val="21"/>
              </w:rPr>
              <w:t>周期、截止时点、对象、规则及变化</w:t>
            </w:r>
          </w:p>
        </w:tc>
        <w:tc>
          <w:tcPr>
            <w:tcW w:type="dxa" w:w="3277"/>
            <w:vAlign w:val="center"/>
          </w:tcPr>
          <w:p>
            <w:pPr>
              <w:keepNext w:val="0"/>
              <w:spacing w:line="320" w:lineRule="exact" w:after="0" w:before="0"/>
              <w:ind w:firstLine="0"/>
              <w:jc w:val="left"/>
            </w:pPr>
            <w:r>
              <w:rPr>
                <w:b w:val="0"/>
                <w:sz w:val="21"/>
              </w:rPr>
              <w:t>业务与质量确认范围和可比性</w:t>
            </w:r>
          </w:p>
        </w:tc>
      </w:tr>
      <w:tr>
        <w:trPr>
          <w:cantSplit/>
        </w:trPr>
        <w:tc>
          <w:tcPr>
            <w:tcW w:type="dxa" w:w="2506"/>
            <w:vAlign w:val="center"/>
          </w:tcPr>
          <w:p>
            <w:pPr>
              <w:keepNext w:val="0"/>
              <w:spacing w:line="320" w:lineRule="exact" w:after="0" w:before="0"/>
              <w:ind w:firstLine="0"/>
              <w:jc w:val="left"/>
            </w:pPr>
            <w:r>
              <w:rPr>
                <w:b w:val="0"/>
                <w:sz w:val="21"/>
              </w:rPr>
              <w:t>检查运行</w:t>
            </w:r>
          </w:p>
        </w:tc>
        <w:tc>
          <w:tcPr>
            <w:tcW w:type="dxa" w:w="3855"/>
            <w:vAlign w:val="center"/>
          </w:tcPr>
          <w:p>
            <w:pPr>
              <w:keepNext w:val="0"/>
              <w:spacing w:line="320" w:lineRule="exact" w:after="0" w:before="0"/>
              <w:ind w:firstLine="0"/>
              <w:jc w:val="left"/>
            </w:pPr>
            <w:r>
              <w:rPr>
                <w:b w:val="0"/>
                <w:sz w:val="21"/>
              </w:rPr>
              <w:t>计划、实际、失败、覆盖及待证实</w:t>
            </w:r>
          </w:p>
        </w:tc>
        <w:tc>
          <w:tcPr>
            <w:tcW w:type="dxa" w:w="3277"/>
            <w:vAlign w:val="center"/>
          </w:tcPr>
          <w:p>
            <w:pPr>
              <w:keepNext w:val="0"/>
              <w:spacing w:line="320" w:lineRule="exact" w:after="0" w:before="0"/>
              <w:ind w:firstLine="0"/>
              <w:jc w:val="left"/>
            </w:pPr>
            <w:r>
              <w:rPr>
                <w:b w:val="0"/>
                <w:sz w:val="21"/>
              </w:rPr>
              <w:t>技术确认任务完整与运行真实性</w:t>
            </w:r>
          </w:p>
        </w:tc>
      </w:tr>
      <w:tr>
        <w:trPr>
          <w:cantSplit/>
        </w:trPr>
        <w:tc>
          <w:tcPr>
            <w:tcW w:type="dxa" w:w="2506"/>
            <w:vAlign w:val="center"/>
          </w:tcPr>
          <w:p>
            <w:pPr>
              <w:keepNext w:val="0"/>
              <w:spacing w:line="320" w:lineRule="exact" w:after="0" w:before="0"/>
              <w:ind w:firstLine="0"/>
              <w:jc w:val="left"/>
            </w:pPr>
            <w:r>
              <w:rPr>
                <w:b w:val="0"/>
                <w:sz w:val="21"/>
              </w:rPr>
              <w:t>六维结果</w:t>
            </w:r>
          </w:p>
        </w:tc>
        <w:tc>
          <w:tcPr>
            <w:tcW w:type="dxa" w:w="3855"/>
            <w:vAlign w:val="center"/>
          </w:tcPr>
          <w:p>
            <w:pPr>
              <w:keepNext w:val="0"/>
              <w:spacing w:line="320" w:lineRule="exact" w:after="0" w:before="0"/>
              <w:ind w:firstLine="0"/>
              <w:jc w:val="left"/>
            </w:pPr>
            <w:r>
              <w:rPr>
                <w:b w:val="0"/>
                <w:sz w:val="21"/>
              </w:rPr>
              <w:t>各维分母、通过、异常及关键限制</w:t>
            </w:r>
          </w:p>
        </w:tc>
        <w:tc>
          <w:tcPr>
            <w:tcW w:type="dxa" w:w="3277"/>
            <w:vAlign w:val="center"/>
          </w:tcPr>
          <w:p>
            <w:pPr>
              <w:keepNext w:val="0"/>
              <w:spacing w:line="320" w:lineRule="exact" w:after="0" w:before="0"/>
              <w:ind w:firstLine="0"/>
              <w:jc w:val="left"/>
            </w:pPr>
            <w:r>
              <w:rPr>
                <w:b w:val="0"/>
                <w:sz w:val="21"/>
              </w:rPr>
              <w:t>业务确认判定，质量复核统计</w:t>
            </w:r>
          </w:p>
        </w:tc>
      </w:tr>
      <w:tr>
        <w:trPr>
          <w:cantSplit/>
        </w:trPr>
        <w:tc>
          <w:tcPr>
            <w:tcW w:type="dxa" w:w="2506"/>
            <w:vAlign w:val="center"/>
          </w:tcPr>
          <w:p>
            <w:pPr>
              <w:keepNext w:val="0"/>
              <w:spacing w:line="320" w:lineRule="exact" w:after="0" w:before="0"/>
              <w:ind w:firstLine="0"/>
              <w:jc w:val="left"/>
            </w:pPr>
            <w:r>
              <w:rPr>
                <w:b w:val="0"/>
                <w:sz w:val="21"/>
              </w:rPr>
              <w:t>重点问题</w:t>
            </w:r>
          </w:p>
        </w:tc>
        <w:tc>
          <w:tcPr>
            <w:tcW w:type="dxa" w:w="3855"/>
            <w:vAlign w:val="center"/>
          </w:tcPr>
          <w:p>
            <w:pPr>
              <w:keepNext w:val="0"/>
              <w:spacing w:line="320" w:lineRule="exact" w:after="0" w:before="0"/>
              <w:ind w:firstLine="0"/>
              <w:jc w:val="left"/>
            </w:pPr>
            <w:r>
              <w:rPr>
                <w:b w:val="0"/>
                <w:sz w:val="21"/>
              </w:rPr>
              <w:t>事实、风险、对象和传播范围</w:t>
            </w:r>
          </w:p>
        </w:tc>
        <w:tc>
          <w:tcPr>
            <w:tcW w:type="dxa" w:w="3277"/>
            <w:vAlign w:val="center"/>
          </w:tcPr>
          <w:p>
            <w:pPr>
              <w:keepNext w:val="0"/>
              <w:spacing w:line="320" w:lineRule="exact" w:after="0" w:before="0"/>
              <w:ind w:firstLine="0"/>
              <w:jc w:val="left"/>
            </w:pPr>
            <w:r>
              <w:rPr>
                <w:b w:val="0"/>
                <w:sz w:val="21"/>
              </w:rPr>
              <w:t>专业岗位核查影响及限制措施</w:t>
            </w:r>
          </w:p>
        </w:tc>
      </w:tr>
      <w:tr>
        <w:trPr>
          <w:cantSplit/>
        </w:trPr>
        <w:tc>
          <w:tcPr>
            <w:tcW w:type="dxa" w:w="2506"/>
            <w:vAlign w:val="center"/>
          </w:tcPr>
          <w:p>
            <w:pPr>
              <w:keepNext w:val="0"/>
              <w:spacing w:line="320" w:lineRule="exact" w:after="0" w:before="0"/>
              <w:ind w:firstLine="0"/>
              <w:jc w:val="left"/>
            </w:pPr>
            <w:r>
              <w:rPr>
                <w:b w:val="0"/>
                <w:sz w:val="21"/>
              </w:rPr>
              <w:t>原因与整改</w:t>
            </w:r>
          </w:p>
        </w:tc>
        <w:tc>
          <w:tcPr>
            <w:tcW w:type="dxa" w:w="3855"/>
            <w:vAlign w:val="center"/>
          </w:tcPr>
          <w:p>
            <w:pPr>
              <w:keepNext w:val="0"/>
              <w:spacing w:line="320" w:lineRule="exact" w:after="0" w:before="0"/>
              <w:ind w:firstLine="0"/>
              <w:jc w:val="left"/>
            </w:pPr>
            <w:r>
              <w:rPr>
                <w:b w:val="0"/>
                <w:sz w:val="21"/>
              </w:rPr>
              <w:t>根因、措施、期限、复核及复发</w:t>
            </w:r>
          </w:p>
        </w:tc>
        <w:tc>
          <w:tcPr>
            <w:tcW w:type="dxa" w:w="3277"/>
            <w:vAlign w:val="center"/>
          </w:tcPr>
          <w:p>
            <w:pPr>
              <w:keepNext w:val="0"/>
              <w:spacing w:line="320" w:lineRule="exact" w:after="0" w:before="0"/>
              <w:ind w:firstLine="0"/>
              <w:jc w:val="left"/>
            </w:pPr>
            <w:r>
              <w:rPr>
                <w:b w:val="0"/>
                <w:sz w:val="21"/>
              </w:rPr>
              <w:t>责任岗位确认计划与实际证据</w:t>
            </w:r>
          </w:p>
        </w:tc>
      </w:tr>
      <w:tr>
        <w:trPr>
          <w:cantSplit/>
        </w:trPr>
        <w:tc>
          <w:tcPr>
            <w:tcW w:type="dxa" w:w="2506"/>
            <w:vAlign w:val="center"/>
          </w:tcPr>
          <w:p>
            <w:pPr>
              <w:keepNext w:val="0"/>
              <w:spacing w:line="320" w:lineRule="exact" w:after="0" w:before="0"/>
              <w:ind w:firstLine="0"/>
              <w:jc w:val="left"/>
            </w:pPr>
            <w:r>
              <w:rPr>
                <w:b w:val="0"/>
                <w:sz w:val="21"/>
              </w:rPr>
              <w:t>数据集关联</w:t>
            </w:r>
          </w:p>
        </w:tc>
        <w:tc>
          <w:tcPr>
            <w:tcW w:type="dxa" w:w="3855"/>
            <w:vAlign w:val="center"/>
          </w:tcPr>
          <w:p>
            <w:pPr>
              <w:keepNext w:val="0"/>
              <w:spacing w:line="320" w:lineRule="exact" w:after="0" w:before="0"/>
              <w:ind w:firstLine="0"/>
              <w:jc w:val="left"/>
            </w:pPr>
            <w:r>
              <w:rPr>
                <w:b w:val="0"/>
                <w:sz w:val="21"/>
              </w:rPr>
              <w:t>版本、净量、比例和正式评测</w:t>
            </w:r>
          </w:p>
        </w:tc>
        <w:tc>
          <w:tcPr>
            <w:tcW w:type="dxa" w:w="3277"/>
            <w:vAlign w:val="center"/>
          </w:tcPr>
          <w:p>
            <w:pPr>
              <w:keepNext w:val="0"/>
              <w:spacing w:line="320" w:lineRule="exact" w:after="0" w:before="0"/>
              <w:ind w:firstLine="0"/>
              <w:jc w:val="left"/>
            </w:pPr>
            <w:r>
              <w:rPr>
                <w:b w:val="0"/>
                <w:sz w:val="21"/>
              </w:rPr>
              <w:t>加工与评测岗位核查衔接</w:t>
            </w:r>
          </w:p>
        </w:tc>
      </w:tr>
      <w:tr>
        <w:trPr>
          <w:cantSplit/>
        </w:trPr>
        <w:tc>
          <w:tcPr>
            <w:tcW w:type="dxa" w:w="2506"/>
            <w:vAlign w:val="center"/>
          </w:tcPr>
          <w:p>
            <w:pPr>
              <w:keepNext w:val="0"/>
              <w:spacing w:line="320" w:lineRule="exact" w:after="0" w:before="0"/>
              <w:ind w:firstLine="0"/>
              <w:jc w:val="left"/>
            </w:pPr>
            <w:r>
              <w:rPr>
                <w:b w:val="0"/>
                <w:sz w:val="21"/>
              </w:rPr>
              <w:t>行动与跟踪</w:t>
            </w:r>
          </w:p>
        </w:tc>
        <w:tc>
          <w:tcPr>
            <w:tcW w:type="dxa" w:w="3855"/>
            <w:vAlign w:val="center"/>
          </w:tcPr>
          <w:p>
            <w:pPr>
              <w:keepNext w:val="0"/>
              <w:spacing w:line="320" w:lineRule="exact" w:after="0" w:before="0"/>
              <w:ind w:firstLine="0"/>
              <w:jc w:val="left"/>
            </w:pPr>
            <w:r>
              <w:rPr>
                <w:b w:val="0"/>
                <w:sz w:val="21"/>
              </w:rPr>
              <w:t>具体动作、责任、完成条件及资源</w:t>
            </w:r>
          </w:p>
        </w:tc>
        <w:tc>
          <w:tcPr>
            <w:tcW w:type="dxa" w:w="3277"/>
            <w:vAlign w:val="center"/>
          </w:tcPr>
          <w:p>
            <w:pPr>
              <w:keepNext w:val="0"/>
              <w:spacing w:line="320" w:lineRule="exact" w:after="0" w:before="0"/>
              <w:ind w:firstLine="0"/>
              <w:jc w:val="left"/>
            </w:pPr>
            <w:r>
              <w:rPr>
                <w:b w:val="0"/>
                <w:sz w:val="21"/>
              </w:rPr>
              <w:t>数据管理办公室组织落实</w:t>
            </w:r>
          </w:p>
        </w:tc>
      </w:tr>
    </w:tbl>
    <w:p>
      <w:pPr>
        <w:spacing w:after="40" w:line="240" w:lineRule="auto"/>
        <w:ind w:firstLine="0"/>
      </w:pPr>
      <w:r>
        <w:rPr>
          <w:sz w:val="4"/>
        </w:rPr>
      </w:r>
    </w:p>
    <w:p>
      <w:pPr>
        <w:jc w:val="both"/>
      </w:pPr>
      <w:r>
        <w:t>报告由编制岗位完成取证与分析，业务岗位审核专业结论，技术岗位审核运行及实现事实，质量岗位复核统计与证据，数据管理办公室按权限审定发布。涉及重大跨域争议或资源决策的事项提交数据治理委员会。各方意见保留处理结果，未解决争议在对应结论范围内如实反映，不能在审签过程中删除必要风险事实。</w:t>
      </w:r>
    </w:p>
    <w:p>
      <w:pPr>
        <w:jc w:val="both"/>
      </w:pPr>
      <w:r>
        <w:t>发布后发现计算错误、范围错误或新证据影响结论时，形成更正版本并明确替代关系，通知有权接收岗位按新版本使用。原报告及其证据保持归档，禁止直接覆盖已发布文件使历史决策失去依据。报告访问权限、下载和引用按安全级别控制，跨部门使用保留必要的用途和版本信息。</w:t>
      </w:r>
    </w:p>
    <w:p>
      <w:pPr>
        <w:pStyle w:val="Heading2"/>
      </w:pPr>
      <w:r>
        <w:t>4.10 持续改进与质量控制评审</w:t>
      </w:r>
    </w:p>
    <w:p>
      <w:pPr>
        <w:jc w:val="both"/>
      </w:pPr>
      <w:r>
        <w:t>持续改进按问题重要性、传播范围和根因共性安排，优先补齐关键业务定义、身份映射、时间来源和专业依据。之后完善自动检查、业务审核和跨系统反馈。每项改进明确预期改变的对象和验证方法，如减少重复事件、修复设计版本误引用、改善关键过程采集覆盖或缩短异常反馈时间，避免仅以培训次数和规则条目增加作为成效。</w:t>
      </w:r>
    </w:p>
    <w:p>
      <w:pPr>
        <w:jc w:val="both"/>
      </w:pPr>
      <w:r>
        <w:t>质量控制评审分别核对需求是否仍适用、规则是否正确、任务是否实际运行、证据是否充分和整改是否有效。新增需求与退役需求保持历史关系，平台配置和文档同步维护。长期误报、长期待证实和长期未执行的规则列为重点改进事项，其存在说明控制尚未充分发挥作用，不应在质量评分中被隐藏。</w:t>
      </w:r>
    </w:p>
    <w:p>
      <w:pPr>
        <w:jc w:val="both"/>
      </w:pPr>
      <w:r>
        <w:t>报告与数据战略评估、治理监督和能力培养衔接。频繁发生的操作误差形成针对性培训与实践验证，标准争议推动制度和口径完善，技术共性问题推动接口及平台改进。改进后通过真实业务运行与专业复核评价效果，形成可持续的质量管理记录。</w:t>
      </w:r>
    </w:p>
    <w:p>
      <w:pPr>
        <w:pStyle w:val="Heading1"/>
        <w:pageBreakBefore/>
      </w:pPr>
      <w:r>
        <w:t>5 质量问题整改台账</w:t>
      </w:r>
    </w:p>
    <w:p>
      <w:pPr>
        <w:pStyle w:val="Heading2"/>
      </w:pPr>
      <w:r>
        <w:t>5.1 文件标识与管理对象</w:t>
      </w:r>
    </w:p>
    <w:p>
      <w:pPr>
        <w:jc w:val="both"/>
      </w:pPr>
      <w:r>
        <w:t>本台账文件编号为GHY26691-GV-06-0005-V1.0，登记业务数据治理、平台加工、数据集生产、质量评测和场景验证中发现并需要协调处理的质量问题。台账以问题事实和受影响对象为中心，贯通上报、分派、整改、复核、归档全过程。候选异常、确认问题、误报、重复关联和已关闭事项均保留可追溯关系，不把告警删除当作问题消除。</w:t>
      </w:r>
    </w:p>
    <w:p>
      <w:pPr>
        <w:jc w:val="both"/>
      </w:pPr>
      <w:r>
        <w:t>问题编号采用DQ-I-业务域码-年份-流水号，流水号在实际受理时生成且不重复使用。跨域问题由牵头域管理主编号，相关域和受影响系统作为属性登记；无法立即确定责任域时由数据管理办公室先行受理，责任确认后保持原编号并更新责任关系，不重新编号导致前期证据断开。</w:t>
      </w:r>
    </w:p>
    <w:p>
      <w:pPr>
        <w:jc w:val="both"/>
      </w:pPr>
      <w:r>
        <w:t>每个问题建立主记录，按需要关联对象明细、原因分析、整改动作、子任务、复核记录和状态事件。大量同根因对象可以由一个主问题统筹，但各对象的处理结果独立保留。不同根因不能因表面现象相近而强行合并，不同风险等级和处理路径的对象必要时分组办理。</w:t>
      </w:r>
    </w:p>
    <w:p>
      <w:pPr>
        <w:pStyle w:val="Heading2"/>
      </w:pPr>
      <w:r>
        <w:t>5.2 台账字段与证据结构</w:t>
      </w:r>
    </w:p>
    <w:p>
      <w:pPr>
        <w:pStyle w:val="Heading3"/>
      </w:pPr>
      <w:r>
        <w:t>5.2.1 问题身份与发现信息</w:t>
      </w:r>
    </w:p>
    <w:p>
      <w:pPr>
        <w:pStyle w:val="Caption"/>
        <w:keepNext/>
      </w:pPr>
      <w:r>
        <w:t>表5-1 问题身份与发现信息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字段</w:t>
            </w:r>
          </w:p>
        </w:tc>
        <w:tc>
          <w:tcPr>
            <w:tcW w:type="dxa" w:w="3855"/>
            <w:vAlign w:val="center"/>
            <w:shd w:fill="EDF1F3"/>
          </w:tcPr>
          <w:p>
            <w:pPr>
              <w:keepNext/>
              <w:spacing w:line="320" w:lineRule="exact" w:after="0" w:before="0"/>
              <w:ind w:firstLine="0"/>
              <w:jc w:val="center"/>
            </w:pPr>
            <w:r>
              <w:rPr>
                <w:b/>
                <w:sz w:val="21"/>
              </w:rPr>
              <w:t>内容要求</w:t>
            </w:r>
          </w:p>
        </w:tc>
        <w:tc>
          <w:tcPr>
            <w:tcW w:type="dxa" w:w="3277"/>
            <w:vAlign w:val="center"/>
            <w:shd w:fill="EDF1F3"/>
          </w:tcPr>
          <w:p>
            <w:pPr>
              <w:keepNext/>
              <w:spacing w:line="320" w:lineRule="exact" w:after="0" w:before="0"/>
              <w:ind w:firstLine="0"/>
              <w:jc w:val="center"/>
            </w:pPr>
            <w:r>
              <w:rPr>
                <w:b/>
                <w:sz w:val="21"/>
              </w:rPr>
              <w:t>核验要求</w:t>
            </w:r>
          </w:p>
        </w:tc>
      </w:tr>
      <w:tr>
        <w:trPr>
          <w:cantSplit/>
        </w:trPr>
        <w:tc>
          <w:tcPr>
            <w:tcW w:type="dxa" w:w="2506"/>
            <w:vAlign w:val="center"/>
          </w:tcPr>
          <w:p>
            <w:pPr>
              <w:keepNext w:val="0"/>
              <w:spacing w:line="320" w:lineRule="exact" w:after="0" w:before="0"/>
              <w:ind w:firstLine="0"/>
              <w:jc w:val="left"/>
            </w:pPr>
            <w:r>
              <w:rPr>
                <w:b w:val="0"/>
                <w:sz w:val="21"/>
              </w:rPr>
              <w:t>问题编号与标题</w:t>
            </w:r>
          </w:p>
        </w:tc>
        <w:tc>
          <w:tcPr>
            <w:tcW w:type="dxa" w:w="3855"/>
            <w:vAlign w:val="center"/>
          </w:tcPr>
          <w:p>
            <w:pPr>
              <w:keepNext w:val="0"/>
              <w:spacing w:line="320" w:lineRule="exact" w:after="0" w:before="0"/>
              <w:ind w:firstLine="0"/>
              <w:jc w:val="left"/>
            </w:pPr>
            <w:r>
              <w:rPr>
                <w:b w:val="0"/>
                <w:sz w:val="21"/>
              </w:rPr>
              <w:t>稳定编号及具体对象缺陷</w:t>
            </w:r>
          </w:p>
        </w:tc>
        <w:tc>
          <w:tcPr>
            <w:tcW w:type="dxa" w:w="3277"/>
            <w:vAlign w:val="center"/>
          </w:tcPr>
          <w:p>
            <w:pPr>
              <w:keepNext w:val="0"/>
              <w:spacing w:line="320" w:lineRule="exact" w:after="0" w:before="0"/>
              <w:ind w:firstLine="0"/>
              <w:jc w:val="left"/>
            </w:pPr>
            <w:r>
              <w:rPr>
                <w:b w:val="0"/>
                <w:sz w:val="21"/>
              </w:rPr>
              <w:t>标题能说明对象和异常，不只写“数据问题”</w:t>
            </w:r>
          </w:p>
        </w:tc>
      </w:tr>
      <w:tr>
        <w:trPr>
          <w:cantSplit/>
        </w:trPr>
        <w:tc>
          <w:tcPr>
            <w:tcW w:type="dxa" w:w="2506"/>
            <w:vAlign w:val="center"/>
          </w:tcPr>
          <w:p>
            <w:pPr>
              <w:keepNext w:val="0"/>
              <w:spacing w:line="320" w:lineRule="exact" w:after="0" w:before="0"/>
              <w:ind w:firstLine="0"/>
              <w:jc w:val="left"/>
            </w:pPr>
            <w:r>
              <w:rPr>
                <w:b w:val="0"/>
                <w:sz w:val="21"/>
              </w:rPr>
              <w:t>发现渠道</w:t>
            </w:r>
          </w:p>
        </w:tc>
        <w:tc>
          <w:tcPr>
            <w:tcW w:type="dxa" w:w="3855"/>
            <w:vAlign w:val="center"/>
          </w:tcPr>
          <w:p>
            <w:pPr>
              <w:keepNext w:val="0"/>
              <w:spacing w:line="320" w:lineRule="exact" w:after="0" w:before="0"/>
              <w:ind w:firstLine="0"/>
              <w:jc w:val="left"/>
            </w:pPr>
            <w:r>
              <w:rPr>
                <w:b w:val="0"/>
                <w:sz w:val="21"/>
              </w:rPr>
              <w:t>规则、人工审核、业务反馈、评测或使用反馈</w:t>
            </w:r>
          </w:p>
        </w:tc>
        <w:tc>
          <w:tcPr>
            <w:tcW w:type="dxa" w:w="3277"/>
            <w:vAlign w:val="center"/>
          </w:tcPr>
          <w:p>
            <w:pPr>
              <w:keepNext w:val="0"/>
              <w:spacing w:line="320" w:lineRule="exact" w:after="0" w:before="0"/>
              <w:ind w:firstLine="0"/>
              <w:jc w:val="left"/>
            </w:pPr>
            <w:r>
              <w:rPr>
                <w:b w:val="0"/>
                <w:sz w:val="21"/>
              </w:rPr>
              <w:t>关联实际来源和提出记录</w:t>
            </w:r>
          </w:p>
        </w:tc>
      </w:tr>
      <w:tr>
        <w:trPr>
          <w:cantSplit/>
        </w:trPr>
        <w:tc>
          <w:tcPr>
            <w:tcW w:type="dxa" w:w="2506"/>
            <w:vAlign w:val="center"/>
          </w:tcPr>
          <w:p>
            <w:pPr>
              <w:keepNext w:val="0"/>
              <w:spacing w:line="320" w:lineRule="exact" w:after="0" w:before="0"/>
              <w:ind w:firstLine="0"/>
              <w:jc w:val="left"/>
            </w:pPr>
            <w:r>
              <w:rPr>
                <w:b w:val="0"/>
                <w:sz w:val="21"/>
              </w:rPr>
              <w:t>发现及受理时间</w:t>
            </w:r>
          </w:p>
        </w:tc>
        <w:tc>
          <w:tcPr>
            <w:tcW w:type="dxa" w:w="3855"/>
            <w:vAlign w:val="center"/>
          </w:tcPr>
          <w:p>
            <w:pPr>
              <w:keepNext w:val="0"/>
              <w:spacing w:line="320" w:lineRule="exact" w:after="0" w:before="0"/>
              <w:ind w:firstLine="0"/>
              <w:jc w:val="left"/>
            </w:pPr>
            <w:r>
              <w:rPr>
                <w:b w:val="0"/>
                <w:sz w:val="21"/>
              </w:rPr>
              <w:t>实际发现时间与登记时间</w:t>
            </w:r>
          </w:p>
        </w:tc>
        <w:tc>
          <w:tcPr>
            <w:tcW w:type="dxa" w:w="3277"/>
            <w:vAlign w:val="center"/>
          </w:tcPr>
          <w:p>
            <w:pPr>
              <w:keepNext w:val="0"/>
              <w:spacing w:line="320" w:lineRule="exact" w:after="0" w:before="0"/>
              <w:ind w:firstLine="0"/>
              <w:jc w:val="left"/>
            </w:pPr>
            <w:r>
              <w:rPr>
                <w:b w:val="0"/>
                <w:sz w:val="21"/>
              </w:rPr>
              <w:t>两个时间分别保留，不回填掩盖迟报</w:t>
            </w:r>
          </w:p>
        </w:tc>
      </w:tr>
      <w:tr>
        <w:trPr>
          <w:cantSplit/>
        </w:trPr>
        <w:tc>
          <w:tcPr>
            <w:tcW w:type="dxa" w:w="2506"/>
            <w:vAlign w:val="center"/>
          </w:tcPr>
          <w:p>
            <w:pPr>
              <w:keepNext w:val="0"/>
              <w:spacing w:line="320" w:lineRule="exact" w:after="0" w:before="0"/>
              <w:ind w:firstLine="0"/>
              <w:jc w:val="left"/>
            </w:pPr>
            <w:r>
              <w:rPr>
                <w:b w:val="0"/>
                <w:sz w:val="21"/>
              </w:rPr>
              <w:t>业务域与系统</w:t>
            </w:r>
          </w:p>
        </w:tc>
        <w:tc>
          <w:tcPr>
            <w:tcW w:type="dxa" w:w="3855"/>
            <w:vAlign w:val="center"/>
          </w:tcPr>
          <w:p>
            <w:pPr>
              <w:keepNext w:val="0"/>
              <w:spacing w:line="320" w:lineRule="exact" w:after="0" w:before="0"/>
              <w:ind w:firstLine="0"/>
              <w:jc w:val="left"/>
            </w:pPr>
            <w:r>
              <w:rPr>
                <w:b w:val="0"/>
                <w:sz w:val="21"/>
              </w:rPr>
              <w:t>牵头域、受影响域及来源系统</w:t>
            </w:r>
          </w:p>
        </w:tc>
        <w:tc>
          <w:tcPr>
            <w:tcW w:type="dxa" w:w="3277"/>
            <w:vAlign w:val="center"/>
          </w:tcPr>
          <w:p>
            <w:pPr>
              <w:keepNext w:val="0"/>
              <w:spacing w:line="320" w:lineRule="exact" w:after="0" w:before="0"/>
              <w:ind w:firstLine="0"/>
              <w:jc w:val="left"/>
            </w:pPr>
            <w:r>
              <w:rPr>
                <w:b w:val="0"/>
                <w:sz w:val="21"/>
              </w:rPr>
              <w:t>跨域范围完整，不仅记录最初系统</w:t>
            </w:r>
          </w:p>
        </w:tc>
      </w:tr>
      <w:tr>
        <w:trPr>
          <w:cantSplit/>
        </w:trPr>
        <w:tc>
          <w:tcPr>
            <w:tcW w:type="dxa" w:w="2506"/>
            <w:vAlign w:val="center"/>
          </w:tcPr>
          <w:p>
            <w:pPr>
              <w:keepNext w:val="0"/>
              <w:spacing w:line="320" w:lineRule="exact" w:after="0" w:before="0"/>
              <w:ind w:firstLine="0"/>
              <w:jc w:val="left"/>
            </w:pPr>
            <w:r>
              <w:rPr>
                <w:b w:val="0"/>
                <w:sz w:val="21"/>
              </w:rPr>
              <w:t>关联规则与需求</w:t>
            </w:r>
          </w:p>
        </w:tc>
        <w:tc>
          <w:tcPr>
            <w:tcW w:type="dxa" w:w="3855"/>
            <w:vAlign w:val="center"/>
          </w:tcPr>
          <w:p>
            <w:pPr>
              <w:keepNext w:val="0"/>
              <w:spacing w:line="320" w:lineRule="exact" w:after="0" w:before="0"/>
              <w:ind w:firstLine="0"/>
              <w:jc w:val="left"/>
            </w:pPr>
            <w:r>
              <w:rPr>
                <w:b w:val="0"/>
                <w:sz w:val="21"/>
              </w:rPr>
              <w:t>规则编号、版本、任务及需求</w:t>
            </w:r>
          </w:p>
        </w:tc>
        <w:tc>
          <w:tcPr>
            <w:tcW w:type="dxa" w:w="3277"/>
            <w:vAlign w:val="center"/>
          </w:tcPr>
          <w:p>
            <w:pPr>
              <w:keepNext w:val="0"/>
              <w:spacing w:line="320" w:lineRule="exact" w:after="0" w:before="0"/>
              <w:ind w:firstLine="0"/>
              <w:jc w:val="left"/>
            </w:pPr>
            <w:r>
              <w:rPr>
                <w:b w:val="0"/>
                <w:sz w:val="21"/>
              </w:rPr>
              <w:t>可回到实际判定条件和输入</w:t>
            </w:r>
          </w:p>
        </w:tc>
      </w:tr>
      <w:tr>
        <w:trPr>
          <w:cantSplit/>
        </w:trPr>
        <w:tc>
          <w:tcPr>
            <w:tcW w:type="dxa" w:w="2506"/>
            <w:vAlign w:val="center"/>
          </w:tcPr>
          <w:p>
            <w:pPr>
              <w:keepNext w:val="0"/>
              <w:spacing w:line="320" w:lineRule="exact" w:after="0" w:before="0"/>
              <w:ind w:firstLine="0"/>
              <w:jc w:val="left"/>
            </w:pPr>
            <w:r>
              <w:rPr>
                <w:b w:val="0"/>
                <w:sz w:val="21"/>
              </w:rPr>
              <w:t>问题事实</w:t>
            </w:r>
          </w:p>
        </w:tc>
        <w:tc>
          <w:tcPr>
            <w:tcW w:type="dxa" w:w="3855"/>
            <w:vAlign w:val="center"/>
          </w:tcPr>
          <w:p>
            <w:pPr>
              <w:keepNext w:val="0"/>
              <w:spacing w:line="320" w:lineRule="exact" w:after="0" w:before="0"/>
              <w:ind w:firstLine="0"/>
              <w:jc w:val="left"/>
            </w:pPr>
            <w:r>
              <w:rPr>
                <w:b w:val="0"/>
                <w:sz w:val="21"/>
              </w:rPr>
              <w:t>对象、实际情况、预期条件和差异</w:t>
            </w:r>
          </w:p>
        </w:tc>
        <w:tc>
          <w:tcPr>
            <w:tcW w:type="dxa" w:w="3277"/>
            <w:vAlign w:val="center"/>
          </w:tcPr>
          <w:p>
            <w:pPr>
              <w:keepNext w:val="0"/>
              <w:spacing w:line="320" w:lineRule="exact" w:after="0" w:before="0"/>
              <w:ind w:firstLine="0"/>
              <w:jc w:val="left"/>
            </w:pPr>
            <w:r>
              <w:rPr>
                <w:b w:val="0"/>
                <w:sz w:val="21"/>
              </w:rPr>
              <w:t>事实与原因推断分开，证据可回查</w:t>
            </w:r>
          </w:p>
        </w:tc>
      </w:tr>
      <w:tr>
        <w:trPr>
          <w:cantSplit/>
        </w:trPr>
        <w:tc>
          <w:tcPr>
            <w:tcW w:type="dxa" w:w="2506"/>
            <w:vAlign w:val="center"/>
          </w:tcPr>
          <w:p>
            <w:pPr>
              <w:keepNext w:val="0"/>
              <w:spacing w:line="320" w:lineRule="exact" w:after="0" w:before="0"/>
              <w:ind w:firstLine="0"/>
              <w:jc w:val="left"/>
            </w:pPr>
            <w:r>
              <w:rPr>
                <w:b w:val="0"/>
                <w:sz w:val="21"/>
              </w:rPr>
              <w:t>风险与限制</w:t>
            </w:r>
          </w:p>
        </w:tc>
        <w:tc>
          <w:tcPr>
            <w:tcW w:type="dxa" w:w="3855"/>
            <w:vAlign w:val="center"/>
          </w:tcPr>
          <w:p>
            <w:pPr>
              <w:keepNext w:val="0"/>
              <w:spacing w:line="320" w:lineRule="exact" w:after="0" w:before="0"/>
              <w:ind w:firstLine="0"/>
              <w:jc w:val="left"/>
            </w:pPr>
            <w:r>
              <w:rPr>
                <w:b w:val="0"/>
                <w:sz w:val="21"/>
              </w:rPr>
              <w:t>影响等级、受影响用途及临时措施</w:t>
            </w:r>
          </w:p>
        </w:tc>
        <w:tc>
          <w:tcPr>
            <w:tcW w:type="dxa" w:w="3277"/>
            <w:vAlign w:val="center"/>
          </w:tcPr>
          <w:p>
            <w:pPr>
              <w:keepNext w:val="0"/>
              <w:spacing w:line="320" w:lineRule="exact" w:after="0" w:before="0"/>
              <w:ind w:firstLine="0"/>
              <w:jc w:val="left"/>
            </w:pPr>
            <w:r>
              <w:rPr>
                <w:b w:val="0"/>
                <w:sz w:val="21"/>
              </w:rPr>
              <w:t>限制与风险匹配，有执行及解除依据</w:t>
            </w:r>
          </w:p>
        </w:tc>
      </w:tr>
    </w:tbl>
    <w:p>
      <w:pPr>
        <w:spacing w:after="40" w:line="240" w:lineRule="auto"/>
        <w:ind w:firstLine="0"/>
      </w:pPr>
      <w:r>
        <w:rPr>
          <w:sz w:val="4"/>
        </w:rPr>
      </w:r>
    </w:p>
    <w:p>
      <w:pPr>
        <w:pStyle w:val="Heading3"/>
      </w:pPr>
      <w:r>
        <w:t>5.2.2 对象、范围与来源字段</w:t>
      </w:r>
    </w:p>
    <w:p>
      <w:pPr>
        <w:jc w:val="both"/>
      </w:pPr>
      <w:r>
        <w:t>对象明细登记业务实体、稳定键、源系统键、数据版本、业务时间、来源批次、字段或关系、实际值、预期条件和证据引用。敏感实际值通过受控引用保存，普通台账不展开不必要的个人信息、客户信息或工艺秘密。批量对象使用明细文件或受控查询条件保存，附数量和摘要，确保整改前后对应相同范围。</w:t>
      </w:r>
    </w:p>
    <w:p>
      <w:pPr>
        <w:jc w:val="both"/>
      </w:pPr>
      <w:r>
        <w:t>范围字段区分已确认受影响、疑似受影响、已排除及尚未检查对象，记录每种分类依据。传播明细包含上游来源、治理模型、指标、知识、数据集领域、用途、版本和场景验证记录。范围扩展或缩小时保留原范围及变更依据，不能无记录删除困难对象。</w:t>
      </w:r>
    </w:p>
    <w:p>
      <w:pPr>
        <w:pStyle w:val="Heading3"/>
      </w:pPr>
      <w:r>
        <w:t>5.2.3 责任、计划与实施字段</w:t>
      </w:r>
    </w:p>
    <w:p>
      <w:pPr>
        <w:pStyle w:val="Caption"/>
        <w:keepNext/>
      </w:pPr>
      <w:r>
        <w:t>表5-2 责任、计划与实施字段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字段组</w:t>
            </w:r>
          </w:p>
        </w:tc>
        <w:tc>
          <w:tcPr>
            <w:tcW w:type="dxa" w:w="3855"/>
            <w:vAlign w:val="center"/>
            <w:shd w:fill="EDF1F3"/>
          </w:tcPr>
          <w:p>
            <w:pPr>
              <w:keepNext/>
              <w:spacing w:line="320" w:lineRule="exact" w:after="0" w:before="0"/>
              <w:ind w:firstLine="0"/>
              <w:jc w:val="center"/>
            </w:pPr>
            <w:r>
              <w:rPr>
                <w:b/>
                <w:sz w:val="21"/>
              </w:rPr>
              <w:t>具体内容</w:t>
            </w:r>
          </w:p>
        </w:tc>
        <w:tc>
          <w:tcPr>
            <w:tcW w:type="dxa" w:w="3277"/>
            <w:vAlign w:val="center"/>
            <w:shd w:fill="EDF1F3"/>
          </w:tcPr>
          <w:p>
            <w:pPr>
              <w:keepNext/>
              <w:spacing w:line="320" w:lineRule="exact" w:after="0" w:before="0"/>
              <w:ind w:firstLine="0"/>
              <w:jc w:val="center"/>
            </w:pPr>
            <w:r>
              <w:rPr>
                <w:b/>
                <w:sz w:val="21"/>
              </w:rPr>
              <w:t>管理要求</w:t>
            </w:r>
          </w:p>
        </w:tc>
      </w:tr>
      <w:tr>
        <w:trPr>
          <w:cantSplit/>
        </w:trPr>
        <w:tc>
          <w:tcPr>
            <w:tcW w:type="dxa" w:w="2506"/>
            <w:vAlign w:val="center"/>
          </w:tcPr>
          <w:p>
            <w:pPr>
              <w:keepNext w:val="0"/>
              <w:spacing w:line="320" w:lineRule="exact" w:after="0" w:before="0"/>
              <w:ind w:firstLine="0"/>
              <w:jc w:val="left"/>
            </w:pPr>
            <w:r>
              <w:rPr>
                <w:b w:val="0"/>
                <w:sz w:val="21"/>
              </w:rPr>
              <w:t>责任分派</w:t>
            </w:r>
          </w:p>
        </w:tc>
        <w:tc>
          <w:tcPr>
            <w:tcW w:type="dxa" w:w="3855"/>
            <w:vAlign w:val="center"/>
          </w:tcPr>
          <w:p>
            <w:pPr>
              <w:keepNext w:val="0"/>
              <w:spacing w:line="320" w:lineRule="exact" w:after="0" w:before="0"/>
              <w:ind w:firstLine="0"/>
              <w:jc w:val="left"/>
            </w:pPr>
            <w:r>
              <w:rPr>
                <w:b w:val="0"/>
                <w:sz w:val="21"/>
              </w:rPr>
              <w:t>牵头岗位、执行岗位、参与岗位及复核岗位</w:t>
            </w:r>
          </w:p>
        </w:tc>
        <w:tc>
          <w:tcPr>
            <w:tcW w:type="dxa" w:w="3277"/>
            <w:vAlign w:val="center"/>
          </w:tcPr>
          <w:p>
            <w:pPr>
              <w:keepNext w:val="0"/>
              <w:spacing w:line="320" w:lineRule="exact" w:after="0" w:before="0"/>
              <w:ind w:firstLine="0"/>
              <w:jc w:val="left"/>
            </w:pPr>
            <w:r>
              <w:rPr>
                <w:b w:val="0"/>
                <w:sz w:val="21"/>
              </w:rPr>
              <w:t>主责明确，关键复核与执行分离</w:t>
            </w:r>
          </w:p>
        </w:tc>
      </w:tr>
      <w:tr>
        <w:trPr>
          <w:cantSplit/>
        </w:trPr>
        <w:tc>
          <w:tcPr>
            <w:tcW w:type="dxa" w:w="2506"/>
            <w:vAlign w:val="center"/>
          </w:tcPr>
          <w:p>
            <w:pPr>
              <w:keepNext w:val="0"/>
              <w:spacing w:line="320" w:lineRule="exact" w:after="0" w:before="0"/>
              <w:ind w:firstLine="0"/>
              <w:jc w:val="left"/>
            </w:pPr>
            <w:r>
              <w:rPr>
                <w:b w:val="0"/>
                <w:sz w:val="21"/>
              </w:rPr>
              <w:t>原因分析</w:t>
            </w:r>
          </w:p>
        </w:tc>
        <w:tc>
          <w:tcPr>
            <w:tcW w:type="dxa" w:w="3855"/>
            <w:vAlign w:val="center"/>
          </w:tcPr>
          <w:p>
            <w:pPr>
              <w:keepNext w:val="0"/>
              <w:spacing w:line="320" w:lineRule="exact" w:after="0" w:before="0"/>
              <w:ind w:firstLine="0"/>
              <w:jc w:val="left"/>
            </w:pPr>
            <w:r>
              <w:rPr>
                <w:b w:val="0"/>
                <w:sz w:val="21"/>
              </w:rPr>
              <w:t>已证实原因、促成因素、待核实事项及证据</w:t>
            </w:r>
          </w:p>
        </w:tc>
        <w:tc>
          <w:tcPr>
            <w:tcW w:type="dxa" w:w="3277"/>
            <w:vAlign w:val="center"/>
          </w:tcPr>
          <w:p>
            <w:pPr>
              <w:keepNext w:val="0"/>
              <w:spacing w:line="320" w:lineRule="exact" w:after="0" w:before="0"/>
              <w:ind w:firstLine="0"/>
              <w:jc w:val="left"/>
            </w:pPr>
            <w:r>
              <w:rPr>
                <w:b w:val="0"/>
                <w:sz w:val="21"/>
              </w:rPr>
              <w:t>原因状态清楚，避免把推测当事实</w:t>
            </w:r>
          </w:p>
        </w:tc>
      </w:tr>
      <w:tr>
        <w:trPr>
          <w:cantSplit/>
        </w:trPr>
        <w:tc>
          <w:tcPr>
            <w:tcW w:type="dxa" w:w="2506"/>
            <w:vAlign w:val="center"/>
          </w:tcPr>
          <w:p>
            <w:pPr>
              <w:keepNext w:val="0"/>
              <w:spacing w:line="320" w:lineRule="exact" w:after="0" w:before="0"/>
              <w:ind w:firstLine="0"/>
              <w:jc w:val="left"/>
            </w:pPr>
            <w:r>
              <w:rPr>
                <w:b w:val="0"/>
                <w:sz w:val="21"/>
              </w:rPr>
              <w:t>整改计划</w:t>
            </w:r>
          </w:p>
        </w:tc>
        <w:tc>
          <w:tcPr>
            <w:tcW w:type="dxa" w:w="3855"/>
            <w:vAlign w:val="center"/>
          </w:tcPr>
          <w:p>
            <w:pPr>
              <w:keepNext w:val="0"/>
              <w:spacing w:line="320" w:lineRule="exact" w:after="0" w:before="0"/>
              <w:ind w:firstLine="0"/>
              <w:jc w:val="left"/>
            </w:pPr>
            <w:r>
              <w:rPr>
                <w:b w:val="0"/>
                <w:sz w:val="21"/>
              </w:rPr>
              <w:t>具体措施、范围、资源、依赖及验证方法</w:t>
            </w:r>
          </w:p>
        </w:tc>
        <w:tc>
          <w:tcPr>
            <w:tcW w:type="dxa" w:w="3277"/>
            <w:vAlign w:val="center"/>
          </w:tcPr>
          <w:p>
            <w:pPr>
              <w:keepNext w:val="0"/>
              <w:spacing w:line="320" w:lineRule="exact" w:after="0" w:before="0"/>
              <w:ind w:firstLine="0"/>
              <w:jc w:val="left"/>
            </w:pPr>
            <w:r>
              <w:rPr>
                <w:b w:val="0"/>
                <w:sz w:val="21"/>
              </w:rPr>
              <w:t>措施针对根因，不仅描述“优化完善”</w:t>
            </w:r>
          </w:p>
        </w:tc>
      </w:tr>
      <w:tr>
        <w:trPr>
          <w:cantSplit/>
        </w:trPr>
        <w:tc>
          <w:tcPr>
            <w:tcW w:type="dxa" w:w="2506"/>
            <w:vAlign w:val="center"/>
          </w:tcPr>
          <w:p>
            <w:pPr>
              <w:keepNext w:val="0"/>
              <w:spacing w:line="320" w:lineRule="exact" w:after="0" w:before="0"/>
              <w:ind w:firstLine="0"/>
              <w:jc w:val="left"/>
            </w:pPr>
            <w:r>
              <w:rPr>
                <w:b w:val="0"/>
                <w:sz w:val="21"/>
              </w:rPr>
              <w:t>时间控制</w:t>
            </w:r>
          </w:p>
        </w:tc>
        <w:tc>
          <w:tcPr>
            <w:tcW w:type="dxa" w:w="3855"/>
            <w:vAlign w:val="center"/>
          </w:tcPr>
          <w:p>
            <w:pPr>
              <w:keepNext w:val="0"/>
              <w:spacing w:line="320" w:lineRule="exact" w:after="0" w:before="0"/>
              <w:ind w:firstLine="0"/>
              <w:jc w:val="left"/>
            </w:pPr>
            <w:r>
              <w:rPr>
                <w:b w:val="0"/>
                <w:sz w:val="21"/>
              </w:rPr>
              <w:t>原承诺期限、调整期限、批准及实际时间</w:t>
            </w:r>
          </w:p>
        </w:tc>
        <w:tc>
          <w:tcPr>
            <w:tcW w:type="dxa" w:w="3277"/>
            <w:vAlign w:val="center"/>
          </w:tcPr>
          <w:p>
            <w:pPr>
              <w:keepNext w:val="0"/>
              <w:spacing w:line="320" w:lineRule="exact" w:after="0" w:before="0"/>
              <w:ind w:firstLine="0"/>
              <w:jc w:val="left"/>
            </w:pPr>
            <w:r>
              <w:rPr>
                <w:b w:val="0"/>
                <w:sz w:val="21"/>
              </w:rPr>
              <w:t>保留原期限，延期不自动消除逾期</w:t>
            </w:r>
          </w:p>
        </w:tc>
      </w:tr>
      <w:tr>
        <w:trPr>
          <w:cantSplit/>
        </w:trPr>
        <w:tc>
          <w:tcPr>
            <w:tcW w:type="dxa" w:w="2506"/>
            <w:vAlign w:val="center"/>
          </w:tcPr>
          <w:p>
            <w:pPr>
              <w:keepNext w:val="0"/>
              <w:spacing w:line="320" w:lineRule="exact" w:after="0" w:before="0"/>
              <w:ind w:firstLine="0"/>
              <w:jc w:val="left"/>
            </w:pPr>
            <w:r>
              <w:rPr>
                <w:b w:val="0"/>
                <w:sz w:val="21"/>
              </w:rPr>
              <w:t>实施记录</w:t>
            </w:r>
          </w:p>
        </w:tc>
        <w:tc>
          <w:tcPr>
            <w:tcW w:type="dxa" w:w="3855"/>
            <w:vAlign w:val="center"/>
          </w:tcPr>
          <w:p>
            <w:pPr>
              <w:keepNext w:val="0"/>
              <w:spacing w:line="320" w:lineRule="exact" w:after="0" w:before="0"/>
              <w:ind w:firstLine="0"/>
              <w:jc w:val="left"/>
            </w:pPr>
            <w:r>
              <w:rPr>
                <w:b w:val="0"/>
                <w:sz w:val="21"/>
              </w:rPr>
              <w:t>操作人、动作、版本、日志、结果和恢复点</w:t>
            </w:r>
          </w:p>
        </w:tc>
        <w:tc>
          <w:tcPr>
            <w:tcW w:type="dxa" w:w="3277"/>
            <w:vAlign w:val="center"/>
          </w:tcPr>
          <w:p>
            <w:pPr>
              <w:keepNext w:val="0"/>
              <w:spacing w:line="320" w:lineRule="exact" w:after="0" w:before="0"/>
              <w:ind w:firstLine="0"/>
              <w:jc w:val="left"/>
            </w:pPr>
            <w:r>
              <w:rPr>
                <w:b w:val="0"/>
                <w:sz w:val="21"/>
              </w:rPr>
              <w:t>可复现执行范围与前后变化</w:t>
            </w:r>
          </w:p>
        </w:tc>
      </w:tr>
      <w:tr>
        <w:trPr>
          <w:cantSplit/>
        </w:trPr>
        <w:tc>
          <w:tcPr>
            <w:tcW w:type="dxa" w:w="2506"/>
            <w:vAlign w:val="center"/>
          </w:tcPr>
          <w:p>
            <w:pPr>
              <w:keepNext w:val="0"/>
              <w:spacing w:line="320" w:lineRule="exact" w:after="0" w:before="0"/>
              <w:ind w:firstLine="0"/>
              <w:jc w:val="left"/>
            </w:pPr>
            <w:r>
              <w:rPr>
                <w:b w:val="0"/>
                <w:sz w:val="21"/>
              </w:rPr>
              <w:t>下游处置</w:t>
            </w:r>
          </w:p>
        </w:tc>
        <w:tc>
          <w:tcPr>
            <w:tcW w:type="dxa" w:w="3855"/>
            <w:vAlign w:val="center"/>
          </w:tcPr>
          <w:p>
            <w:pPr>
              <w:keepNext w:val="0"/>
              <w:spacing w:line="320" w:lineRule="exact" w:after="0" w:before="0"/>
              <w:ind w:firstLine="0"/>
              <w:jc w:val="left"/>
            </w:pPr>
            <w:r>
              <w:rPr>
                <w:b w:val="0"/>
                <w:sz w:val="21"/>
              </w:rPr>
              <w:t>重算、再加工、重新验证、限制及使用方处理</w:t>
            </w:r>
          </w:p>
        </w:tc>
        <w:tc>
          <w:tcPr>
            <w:tcW w:type="dxa" w:w="3277"/>
            <w:vAlign w:val="center"/>
          </w:tcPr>
          <w:p>
            <w:pPr>
              <w:keepNext w:val="0"/>
              <w:spacing w:line="320" w:lineRule="exact" w:after="0" w:before="0"/>
              <w:ind w:firstLine="0"/>
              <w:jc w:val="left"/>
            </w:pPr>
            <w:r>
              <w:rPr>
                <w:b w:val="0"/>
                <w:sz w:val="21"/>
              </w:rPr>
              <w:t>与实际传播范围逐一对应</w:t>
            </w:r>
          </w:p>
        </w:tc>
      </w:tr>
      <w:tr>
        <w:trPr>
          <w:cantSplit/>
        </w:trPr>
        <w:tc>
          <w:tcPr>
            <w:tcW w:type="dxa" w:w="2506"/>
            <w:vAlign w:val="center"/>
          </w:tcPr>
          <w:p>
            <w:pPr>
              <w:keepNext w:val="0"/>
              <w:spacing w:line="320" w:lineRule="exact" w:after="0" w:before="0"/>
              <w:ind w:firstLine="0"/>
              <w:jc w:val="left"/>
            </w:pPr>
            <w:r>
              <w:rPr>
                <w:b w:val="0"/>
                <w:sz w:val="21"/>
              </w:rPr>
              <w:t>资源依赖</w:t>
            </w:r>
          </w:p>
        </w:tc>
        <w:tc>
          <w:tcPr>
            <w:tcW w:type="dxa" w:w="3855"/>
            <w:vAlign w:val="center"/>
          </w:tcPr>
          <w:p>
            <w:pPr>
              <w:keepNext w:val="0"/>
              <w:spacing w:line="320" w:lineRule="exact" w:after="0" w:before="0"/>
              <w:ind w:firstLine="0"/>
              <w:jc w:val="left"/>
            </w:pPr>
            <w:r>
              <w:rPr>
                <w:b w:val="0"/>
                <w:sz w:val="21"/>
              </w:rPr>
              <w:t>源端改造、外部证明、专业审核及第三方配合</w:t>
            </w:r>
          </w:p>
        </w:tc>
        <w:tc>
          <w:tcPr>
            <w:tcW w:type="dxa" w:w="3277"/>
            <w:vAlign w:val="center"/>
          </w:tcPr>
          <w:p>
            <w:pPr>
              <w:keepNext w:val="0"/>
              <w:spacing w:line="320" w:lineRule="exact" w:after="0" w:before="0"/>
              <w:ind w:firstLine="0"/>
              <w:jc w:val="left"/>
            </w:pPr>
            <w:r>
              <w:rPr>
                <w:b w:val="0"/>
                <w:sz w:val="21"/>
              </w:rPr>
              <w:t>责任和接收条件明确，持续跟踪</w:t>
            </w:r>
          </w:p>
        </w:tc>
      </w:tr>
    </w:tbl>
    <w:p>
      <w:pPr>
        <w:spacing w:after="40" w:line="240" w:lineRule="auto"/>
        <w:ind w:firstLine="0"/>
      </w:pPr>
      <w:r>
        <w:rPr>
          <w:sz w:val="4"/>
        </w:rPr>
      </w:r>
    </w:p>
    <w:p>
      <w:pPr>
        <w:pStyle w:val="Heading3"/>
      </w:pPr>
      <w:r>
        <w:t>5.2.4 复核、关闭与归档字段</w:t>
      </w:r>
    </w:p>
    <w:p>
      <w:pPr>
        <w:jc w:val="both"/>
      </w:pPr>
      <w:r>
        <w:t>复核字段包括提交人、提交时间、检查对象、方法、规则版本、修复数据版本、业务依据、复核人、结论及退回原因。关闭字段包括关闭条件逐项结果、剩余限制、实际关闭时间和批准岗位。观察字段包括应覆盖业务机会、观察范围、再次命中及复发判断。归档字段包括档案清单、权限、保留期限、关联报告及后继问题。</w:t>
      </w:r>
    </w:p>
    <w:p>
      <w:pPr>
        <w:jc w:val="both"/>
      </w:pPr>
      <w:r>
        <w:t>状态变化采用追加事件记录，至少包含前状态、后状态、发生时间、操作者、原因及证据。系统展示当前状态，同时能够回查完整事件顺序。已经关闭的问题重开时保留原关闭事件，不能删除原证据后改成从未关闭；错误状态更正也保留更正依据。</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3" name="Picture 13"/>
            <wp:cNvGraphicFramePr>
              <a:graphicFrameLocks noChangeAspect="1"/>
            </wp:cNvGraphicFramePr>
            <a:graphic>
              <a:graphicData uri="http://schemas.openxmlformats.org/drawingml/2006/picture">
                <pic:pic>
                  <pic:nvPicPr>
                    <pic:cNvPr id="0" name="图13_问题办理.png"/>
                    <pic:cNvPicPr/>
                  </pic:nvPicPr>
                  <pic:blipFill>
                    <a:blip r:embed="rId23"/>
                    <a:stretch>
                      <a:fillRect/>
                    </a:stretch>
                  </pic:blipFill>
                  <pic:spPr>
                    <a:xfrm>
                      <a:off x="0" y="0"/>
                      <a:ext cx="6048000" cy="1942338"/>
                    </a:xfrm>
                    <a:prstGeom prst="rect"/>
                  </pic:spPr>
                </pic:pic>
              </a:graphicData>
            </a:graphic>
          </wp:inline>
        </w:drawing>
      </w:r>
    </w:p>
    <w:p>
      <w:pPr>
        <w:pStyle w:val="Caption"/>
        <w:jc w:val="center"/>
      </w:pPr>
      <w:r>
        <w:t>图5-1 质量问题办理流程</w:t>
      </w:r>
    </w:p>
    <w:p>
      <w:pPr>
        <w:pStyle w:val="Heading2"/>
      </w:pPr>
      <w:r>
        <w:t>5.3 问题状态与流转条件</w:t>
      </w:r>
    </w:p>
    <w:p>
      <w:pPr>
        <w:pStyle w:val="Heading3"/>
      </w:pPr>
      <w:r>
        <w:t>5.3.1 受理与确认</w:t>
      </w:r>
    </w:p>
    <w:p>
      <w:pPr>
        <w:jc w:val="both"/>
      </w:pPr>
      <w:r>
        <w:t>候选异常进入受理后，先检查事实、对象、规则和证据是否充分，再判断实际缺陷、误报、重复关联或待补证。受理阶段可采取必要临时限制，尤其涉及安全、敏感信息和关键交付要求时，不等待最终根因确定后才控制风险。发现渠道不能因为不是自动规则就被拒绝，业务反馈和专业审核同样形成正式记录。</w:t>
      </w:r>
    </w:p>
    <w:p>
      <w:pPr>
        <w:jc w:val="both"/>
      </w:pPr>
      <w:r>
        <w:t>实际缺陷确认后登记风险、范围和初步责任，进入分派。误报需由质量岗位会同业务确认原因，关联规则或输入解释的修正；重复候选并入已有主问题时保留原发现记录及其证据。待补证事项有明确补证责任和时限，不能无限期停留且不进入报告。</w:t>
      </w:r>
    </w:p>
    <w:p>
      <w:pPr>
        <w:pStyle w:val="Heading3"/>
      </w:pPr>
      <w:r>
        <w:t>5.3.2 分派与整改</w:t>
      </w:r>
    </w:p>
    <w:p>
      <w:pPr>
        <w:pStyle w:val="Caption"/>
        <w:keepNext/>
      </w:pPr>
      <w:r>
        <w:t>表5-3 分派与整改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状态</w:t>
            </w:r>
          </w:p>
        </w:tc>
        <w:tc>
          <w:tcPr>
            <w:tcW w:type="dxa" w:w="3855"/>
            <w:vAlign w:val="center"/>
            <w:shd w:fill="EDF1F3"/>
          </w:tcPr>
          <w:p>
            <w:pPr>
              <w:keepNext/>
              <w:spacing w:line="320" w:lineRule="exact" w:after="0" w:before="0"/>
              <w:ind w:firstLine="0"/>
              <w:jc w:val="center"/>
            </w:pPr>
            <w:r>
              <w:rPr>
                <w:b/>
                <w:sz w:val="21"/>
              </w:rPr>
              <w:t>进入条件</w:t>
            </w:r>
          </w:p>
        </w:tc>
        <w:tc>
          <w:tcPr>
            <w:tcW w:type="dxa" w:w="3277"/>
            <w:vAlign w:val="center"/>
            <w:shd w:fill="EDF1F3"/>
          </w:tcPr>
          <w:p>
            <w:pPr>
              <w:keepNext/>
              <w:spacing w:line="320" w:lineRule="exact" w:after="0" w:before="0"/>
              <w:ind w:firstLine="0"/>
              <w:jc w:val="center"/>
            </w:pPr>
            <w:r>
              <w:rPr>
                <w:b/>
                <w:sz w:val="21"/>
              </w:rPr>
              <w:t>转出条件</w:t>
            </w:r>
          </w:p>
        </w:tc>
      </w:tr>
      <w:tr>
        <w:trPr>
          <w:cantSplit/>
        </w:trPr>
        <w:tc>
          <w:tcPr>
            <w:tcW w:type="dxa" w:w="2506"/>
            <w:vAlign w:val="center"/>
          </w:tcPr>
          <w:p>
            <w:pPr>
              <w:keepNext w:val="0"/>
              <w:spacing w:line="320" w:lineRule="exact" w:after="0" w:before="0"/>
              <w:ind w:firstLine="0"/>
              <w:jc w:val="left"/>
            </w:pPr>
            <w:r>
              <w:rPr>
                <w:b w:val="0"/>
                <w:sz w:val="21"/>
              </w:rPr>
              <w:t>已受理</w:t>
            </w:r>
          </w:p>
        </w:tc>
        <w:tc>
          <w:tcPr>
            <w:tcW w:type="dxa" w:w="3855"/>
            <w:vAlign w:val="center"/>
          </w:tcPr>
          <w:p>
            <w:pPr>
              <w:keepNext w:val="0"/>
              <w:spacing w:line="320" w:lineRule="exact" w:after="0" w:before="0"/>
              <w:ind w:firstLine="0"/>
              <w:jc w:val="left"/>
            </w:pPr>
            <w:r>
              <w:rPr>
                <w:b w:val="0"/>
                <w:sz w:val="21"/>
              </w:rPr>
              <w:t>候选问题登记并保留发现证据</w:t>
            </w:r>
          </w:p>
        </w:tc>
        <w:tc>
          <w:tcPr>
            <w:tcW w:type="dxa" w:w="3277"/>
            <w:vAlign w:val="center"/>
          </w:tcPr>
          <w:p>
            <w:pPr>
              <w:keepNext w:val="0"/>
              <w:spacing w:line="320" w:lineRule="exact" w:after="0" w:before="0"/>
              <w:ind w:firstLine="0"/>
              <w:jc w:val="left"/>
            </w:pPr>
            <w:r>
              <w:rPr>
                <w:b w:val="0"/>
                <w:sz w:val="21"/>
              </w:rPr>
              <w:t>完成事实确认或明确补证任务</w:t>
            </w:r>
          </w:p>
        </w:tc>
      </w:tr>
      <w:tr>
        <w:trPr>
          <w:cantSplit/>
        </w:trPr>
        <w:tc>
          <w:tcPr>
            <w:tcW w:type="dxa" w:w="2506"/>
            <w:vAlign w:val="center"/>
          </w:tcPr>
          <w:p>
            <w:pPr>
              <w:keepNext w:val="0"/>
              <w:spacing w:line="320" w:lineRule="exact" w:after="0" w:before="0"/>
              <w:ind w:firstLine="0"/>
              <w:jc w:val="left"/>
            </w:pPr>
            <w:r>
              <w:rPr>
                <w:b w:val="0"/>
                <w:sz w:val="21"/>
              </w:rPr>
              <w:t>待分派</w:t>
            </w:r>
          </w:p>
        </w:tc>
        <w:tc>
          <w:tcPr>
            <w:tcW w:type="dxa" w:w="3855"/>
            <w:vAlign w:val="center"/>
          </w:tcPr>
          <w:p>
            <w:pPr>
              <w:keepNext w:val="0"/>
              <w:spacing w:line="320" w:lineRule="exact" w:after="0" w:before="0"/>
              <w:ind w:firstLine="0"/>
              <w:jc w:val="left"/>
            </w:pPr>
            <w:r>
              <w:rPr>
                <w:b w:val="0"/>
                <w:sz w:val="21"/>
              </w:rPr>
              <w:t>已确认缺陷、风险和初步范围</w:t>
            </w:r>
          </w:p>
        </w:tc>
        <w:tc>
          <w:tcPr>
            <w:tcW w:type="dxa" w:w="3277"/>
            <w:vAlign w:val="center"/>
          </w:tcPr>
          <w:p>
            <w:pPr>
              <w:keepNext w:val="0"/>
              <w:spacing w:line="320" w:lineRule="exact" w:after="0" w:before="0"/>
              <w:ind w:firstLine="0"/>
              <w:jc w:val="left"/>
            </w:pPr>
            <w:r>
              <w:rPr>
                <w:b w:val="0"/>
                <w:sz w:val="21"/>
              </w:rPr>
              <w:t>牵头与参与责任明确并接收任务</w:t>
            </w:r>
          </w:p>
        </w:tc>
      </w:tr>
      <w:tr>
        <w:trPr>
          <w:cantSplit/>
        </w:trPr>
        <w:tc>
          <w:tcPr>
            <w:tcW w:type="dxa" w:w="2506"/>
            <w:vAlign w:val="center"/>
          </w:tcPr>
          <w:p>
            <w:pPr>
              <w:keepNext w:val="0"/>
              <w:spacing w:line="320" w:lineRule="exact" w:after="0" w:before="0"/>
              <w:ind w:firstLine="0"/>
              <w:jc w:val="left"/>
            </w:pPr>
            <w:r>
              <w:rPr>
                <w:b w:val="0"/>
                <w:sz w:val="21"/>
              </w:rPr>
              <w:t>整改中</w:t>
            </w:r>
          </w:p>
        </w:tc>
        <w:tc>
          <w:tcPr>
            <w:tcW w:type="dxa" w:w="3855"/>
            <w:vAlign w:val="center"/>
          </w:tcPr>
          <w:p>
            <w:pPr>
              <w:keepNext w:val="0"/>
              <w:spacing w:line="320" w:lineRule="exact" w:after="0" w:before="0"/>
              <w:ind w:firstLine="0"/>
              <w:jc w:val="left"/>
            </w:pPr>
            <w:r>
              <w:rPr>
                <w:b w:val="0"/>
                <w:sz w:val="21"/>
              </w:rPr>
              <w:t>计划、期限和验证要求确定</w:t>
            </w:r>
          </w:p>
        </w:tc>
        <w:tc>
          <w:tcPr>
            <w:tcW w:type="dxa" w:w="3277"/>
            <w:vAlign w:val="center"/>
          </w:tcPr>
          <w:p>
            <w:pPr>
              <w:keepNext w:val="0"/>
              <w:spacing w:line="320" w:lineRule="exact" w:after="0" w:before="0"/>
              <w:ind w:firstLine="0"/>
              <w:jc w:val="left"/>
            </w:pPr>
            <w:r>
              <w:rPr>
                <w:b w:val="0"/>
                <w:sz w:val="21"/>
              </w:rPr>
              <w:t>措施完成且提交完整复核证据</w:t>
            </w:r>
          </w:p>
        </w:tc>
      </w:tr>
      <w:tr>
        <w:trPr>
          <w:cantSplit/>
        </w:trPr>
        <w:tc>
          <w:tcPr>
            <w:tcW w:type="dxa" w:w="2506"/>
            <w:vAlign w:val="center"/>
          </w:tcPr>
          <w:p>
            <w:pPr>
              <w:keepNext w:val="0"/>
              <w:spacing w:line="320" w:lineRule="exact" w:after="0" w:before="0"/>
              <w:ind w:firstLine="0"/>
              <w:jc w:val="left"/>
            </w:pPr>
            <w:r>
              <w:rPr>
                <w:b w:val="0"/>
                <w:sz w:val="21"/>
              </w:rPr>
              <w:t>待复核</w:t>
            </w:r>
          </w:p>
        </w:tc>
        <w:tc>
          <w:tcPr>
            <w:tcW w:type="dxa" w:w="3855"/>
            <w:vAlign w:val="center"/>
          </w:tcPr>
          <w:p>
            <w:pPr>
              <w:keepNext w:val="0"/>
              <w:spacing w:line="320" w:lineRule="exact" w:after="0" w:before="0"/>
              <w:ind w:firstLine="0"/>
              <w:jc w:val="left"/>
            </w:pPr>
            <w:r>
              <w:rPr>
                <w:b w:val="0"/>
                <w:sz w:val="21"/>
              </w:rPr>
              <w:t>修复对象、版本和证据齐备</w:t>
            </w:r>
          </w:p>
        </w:tc>
        <w:tc>
          <w:tcPr>
            <w:tcW w:type="dxa" w:w="3277"/>
            <w:vAlign w:val="center"/>
          </w:tcPr>
          <w:p>
            <w:pPr>
              <w:keepNext w:val="0"/>
              <w:spacing w:line="320" w:lineRule="exact" w:after="0" w:before="0"/>
              <w:ind w:firstLine="0"/>
              <w:jc w:val="left"/>
            </w:pPr>
            <w:r>
              <w:rPr>
                <w:b w:val="0"/>
                <w:sz w:val="21"/>
              </w:rPr>
              <w:t>独立复核通过或退回整改</w:t>
            </w:r>
          </w:p>
        </w:tc>
      </w:tr>
      <w:tr>
        <w:trPr>
          <w:cantSplit/>
        </w:trPr>
        <w:tc>
          <w:tcPr>
            <w:tcW w:type="dxa" w:w="2506"/>
            <w:vAlign w:val="center"/>
          </w:tcPr>
          <w:p>
            <w:pPr>
              <w:keepNext w:val="0"/>
              <w:spacing w:line="320" w:lineRule="exact" w:after="0" w:before="0"/>
              <w:ind w:firstLine="0"/>
              <w:jc w:val="left"/>
            </w:pPr>
            <w:r>
              <w:rPr>
                <w:b w:val="0"/>
                <w:sz w:val="21"/>
              </w:rPr>
              <w:t>已关闭</w:t>
            </w:r>
          </w:p>
        </w:tc>
        <w:tc>
          <w:tcPr>
            <w:tcW w:type="dxa" w:w="3855"/>
            <w:vAlign w:val="center"/>
          </w:tcPr>
          <w:p>
            <w:pPr>
              <w:keepNext w:val="0"/>
              <w:spacing w:line="320" w:lineRule="exact" w:after="0" w:before="0"/>
              <w:ind w:firstLine="0"/>
              <w:jc w:val="left"/>
            </w:pPr>
            <w:r>
              <w:rPr>
                <w:b w:val="0"/>
                <w:sz w:val="21"/>
              </w:rPr>
              <w:t>关闭条件全部满足并批准</w:t>
            </w:r>
          </w:p>
        </w:tc>
        <w:tc>
          <w:tcPr>
            <w:tcW w:type="dxa" w:w="3277"/>
            <w:vAlign w:val="center"/>
          </w:tcPr>
          <w:p>
            <w:pPr>
              <w:keepNext w:val="0"/>
              <w:spacing w:line="320" w:lineRule="exact" w:after="0" w:before="0"/>
              <w:ind w:firstLine="0"/>
              <w:jc w:val="left"/>
            </w:pPr>
            <w:r>
              <w:rPr>
                <w:b w:val="0"/>
                <w:sz w:val="21"/>
              </w:rPr>
              <w:t>转入观察归档，复发时重开</w:t>
            </w:r>
          </w:p>
        </w:tc>
      </w:tr>
      <w:tr>
        <w:trPr>
          <w:cantSplit/>
        </w:trPr>
        <w:tc>
          <w:tcPr>
            <w:tcW w:type="dxa" w:w="2506"/>
            <w:vAlign w:val="center"/>
          </w:tcPr>
          <w:p>
            <w:pPr>
              <w:keepNext w:val="0"/>
              <w:spacing w:line="320" w:lineRule="exact" w:after="0" w:before="0"/>
              <w:ind w:firstLine="0"/>
              <w:jc w:val="left"/>
            </w:pPr>
            <w:r>
              <w:rPr>
                <w:b w:val="0"/>
                <w:sz w:val="21"/>
              </w:rPr>
              <w:t>观察归档</w:t>
            </w:r>
          </w:p>
        </w:tc>
        <w:tc>
          <w:tcPr>
            <w:tcW w:type="dxa" w:w="3855"/>
            <w:vAlign w:val="center"/>
          </w:tcPr>
          <w:p>
            <w:pPr>
              <w:keepNext w:val="0"/>
              <w:spacing w:line="320" w:lineRule="exact" w:after="0" w:before="0"/>
              <w:ind w:firstLine="0"/>
              <w:jc w:val="left"/>
            </w:pPr>
            <w:r>
              <w:rPr>
                <w:b w:val="0"/>
                <w:sz w:val="21"/>
              </w:rPr>
              <w:t>关闭证据完整且观察安排明确</w:t>
            </w:r>
          </w:p>
        </w:tc>
        <w:tc>
          <w:tcPr>
            <w:tcW w:type="dxa" w:w="3277"/>
            <w:vAlign w:val="center"/>
          </w:tcPr>
          <w:p>
            <w:pPr>
              <w:keepNext w:val="0"/>
              <w:spacing w:line="320" w:lineRule="exact" w:after="0" w:before="0"/>
              <w:ind w:firstLine="0"/>
              <w:jc w:val="left"/>
            </w:pPr>
            <w:r>
              <w:rPr>
                <w:b w:val="0"/>
                <w:sz w:val="21"/>
              </w:rPr>
              <w:t>观察结果和档案按要求维护</w:t>
            </w:r>
          </w:p>
        </w:tc>
      </w:tr>
      <w:tr>
        <w:trPr>
          <w:cantSplit/>
        </w:trPr>
        <w:tc>
          <w:tcPr>
            <w:tcW w:type="dxa" w:w="2506"/>
            <w:vAlign w:val="center"/>
          </w:tcPr>
          <w:p>
            <w:pPr>
              <w:keepNext w:val="0"/>
              <w:spacing w:line="320" w:lineRule="exact" w:after="0" w:before="0"/>
              <w:ind w:firstLine="0"/>
              <w:jc w:val="left"/>
            </w:pPr>
            <w:r>
              <w:rPr>
                <w:b w:val="0"/>
                <w:sz w:val="21"/>
              </w:rPr>
              <w:t>已重开</w:t>
            </w:r>
          </w:p>
        </w:tc>
        <w:tc>
          <w:tcPr>
            <w:tcW w:type="dxa" w:w="3855"/>
            <w:vAlign w:val="center"/>
          </w:tcPr>
          <w:p>
            <w:pPr>
              <w:keepNext w:val="0"/>
              <w:spacing w:line="320" w:lineRule="exact" w:after="0" w:before="0"/>
              <w:ind w:firstLine="0"/>
              <w:jc w:val="left"/>
            </w:pPr>
            <w:r>
              <w:rPr>
                <w:b w:val="0"/>
                <w:sz w:val="21"/>
              </w:rPr>
              <w:t>新证据证明原问题仍存在或复发</w:t>
            </w:r>
          </w:p>
        </w:tc>
        <w:tc>
          <w:tcPr>
            <w:tcW w:type="dxa" w:w="3277"/>
            <w:vAlign w:val="center"/>
          </w:tcPr>
          <w:p>
            <w:pPr>
              <w:keepNext w:val="0"/>
              <w:spacing w:line="320" w:lineRule="exact" w:after="0" w:before="0"/>
              <w:ind w:firstLine="0"/>
              <w:jc w:val="left"/>
            </w:pPr>
            <w:r>
              <w:rPr>
                <w:b w:val="0"/>
                <w:sz w:val="21"/>
              </w:rPr>
              <w:t>重新整改并完成独立复核</w:t>
            </w:r>
          </w:p>
        </w:tc>
      </w:tr>
    </w:tbl>
    <w:p>
      <w:pPr>
        <w:spacing w:after="40" w:line="240" w:lineRule="auto"/>
        <w:ind w:firstLine="0"/>
      </w:pPr>
      <w:r>
        <w:rPr>
          <w:sz w:val="4"/>
        </w:rPr>
      </w:r>
    </w:p>
    <w:p>
      <w:pPr>
        <w:jc w:val="both"/>
      </w:pPr>
      <w:r>
        <w:t>暂停、等待外部依赖和延期作为办理属性登记，问题仍处于实际未完成状态。分派拒收或责任争议由数据管理办公室协调，必要时升级至有权决策层。原牵头岗位在调整批准前保持跟踪，不允许问题因转派在统计和责任链中消失。</w:t>
      </w:r>
    </w:p>
    <w:p>
      <w:pPr>
        <w:pStyle w:val="Heading3"/>
      </w:pPr>
      <w:r>
        <w:t>5.3.3 复核与关闭</w:t>
      </w:r>
    </w:p>
    <w:p>
      <w:pPr>
        <w:jc w:val="both"/>
      </w:pPr>
      <w:r>
        <w:t>复核不通过时明确未满足的条件、对象和证据，退回整改并保留本次复核结果。整改人针对退回原因补充措施，不重复提交相同材料要求形式关闭。复核通过时检查原缺陷、影响范围、下游处理、限制调整和文档更新是否全部完成，必要的业务签署齐备后关闭。</w:t>
      </w:r>
    </w:p>
    <w:p>
      <w:pPr>
        <w:jc w:val="both"/>
      </w:pPr>
      <w:r>
        <w:t>问题有多个独立子任务时，主问题关闭以全部必要动作通过复核为条件；其中非关键的长期改进可转为明确后继任务，但原问题的实际缺陷和必要影响不得留存。后继任务范围与主问题关闭依据由质量和业务岗位确认，不能把未完成整改改名为持续优化。</w:t>
      </w:r>
    </w:p>
    <w:p>
      <w:pPr>
        <w:pStyle w:val="Heading2"/>
      </w:pPr>
      <w:r>
        <w:t>5.4 上报、分派与风险控制操作</w:t>
      </w:r>
    </w:p>
    <w:p>
      <w:pPr>
        <w:pStyle w:val="Heading3"/>
      </w:pPr>
      <w:r>
        <w:t>5.4.1 上报材料</w:t>
      </w:r>
    </w:p>
    <w:p>
      <w:pPr>
        <w:jc w:val="both"/>
      </w:pPr>
      <w:r>
        <w:t>上报内容应说明发现位置、业务对象、实际情况、应满足的条件及可取得证据。自动检查同时提交规则和任务版本，人工发现提供业务凭据及判断理由，数据集评测提供相关领域、用途、样本和报告引用。上报人不必先证明根因，但应将已知事实与推测分开。</w:t>
      </w:r>
    </w:p>
    <w:p>
      <w:pPr>
        <w:jc w:val="both"/>
      </w:pPr>
      <w:r>
        <w:t>数据管理办公室或指定受理岗位检查材料可用性，缺少对象标识时协助定位，缺少专业依据时分派补证。紧急风险先控制后补充材料，普通缺陷按计划办理。上报途径与台账同步，线下发现的问题进入统一记录，不只停留在会议纪要或即时通讯中。</w:t>
      </w:r>
    </w:p>
    <w:p>
      <w:pPr>
        <w:pStyle w:val="Heading3"/>
      </w:pPr>
      <w:r>
        <w:t>5.4.2 范围和风险初判</w:t>
      </w:r>
    </w:p>
    <w:p>
      <w:pPr>
        <w:jc w:val="both"/>
      </w:pPr>
      <w:r>
        <w:t>初判至少核对是否涉及关键生产参数、检验放行、身份错配、敏感信息、权利限制、错误版本或正式交付指标。根据实际影响限制相应数据、接口或用途，保存已发布和已使用范围。限制措施记录实施人、时间、对象和执行结果，不能只在台账写“已隔离”而未验证实际权限或供给状态。</w:t>
      </w:r>
    </w:p>
    <w:p>
      <w:pPr>
        <w:jc w:val="both"/>
      </w:pPr>
      <w:r>
        <w:t>对可能仍在传播的问题，先暂停受影响的后续加工和分发，保留必要快照与日志。暂停范围以证据和风险为依据，后续调查明确后及时调整。对已经接收数据的有权使用岗位，通过既定业务流程落实核查和处置；通知内容遵循安全和授权边界。</w:t>
      </w:r>
    </w:p>
    <w:p>
      <w:pPr>
        <w:pStyle w:val="Heading3"/>
      </w:pPr>
      <w:r>
        <w:t>5.4.3 责任与期限确定</w:t>
      </w:r>
    </w:p>
    <w:p>
      <w:pPr>
        <w:jc w:val="both"/>
      </w:pPr>
      <w:r>
        <w:t>牵头责任依据缺陷产生环节及总体纠正需要确定，不单按发现系统或数据所在平台确定。源端错误可能需要业务修正，平台映射错误需要技术修复，专业标注错误需要专业复核；同一问题存在多类原因时设置并行子任务，由牵头岗位协调整体结果。</w:t>
      </w:r>
    </w:p>
    <w:p>
      <w:pPr>
        <w:jc w:val="both"/>
      </w:pPr>
      <w:r>
        <w:t>整改期限依据风险、影响、业务机会、技术依赖和资源确定，形成原承诺日期。高影响问题立即执行必要限制，修复方案的实际完成时间不能被统一短时限假定。对依赖设备停机、周期业务或外部资料的工作，明确前置条件、临时措施和分阶段成果，定期报告进展，不以客观依赖为由停止责任跟踪。</w:t>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14" name="Picture 14"/>
            <wp:cNvGraphicFramePr>
              <a:graphicFrameLocks noChangeAspect="1"/>
            </wp:cNvGraphicFramePr>
            <a:graphic>
              <a:graphicData uri="http://schemas.openxmlformats.org/drawingml/2006/picture">
                <pic:pic>
                  <pic:nvPicPr>
                    <pic:cNvPr id="0" name="图14_传播整改.png"/>
                    <pic:cNvPicPr/>
                  </pic:nvPicPr>
                  <pic:blipFill>
                    <a:blip r:embed="rId24"/>
                    <a:stretch>
                      <a:fillRect/>
                    </a:stretch>
                  </pic:blipFill>
                  <pic:spPr>
                    <a:xfrm>
                      <a:off x="0" y="0"/>
                      <a:ext cx="6048000" cy="3004615"/>
                    </a:xfrm>
                    <a:prstGeom prst="rect"/>
                  </pic:spPr>
                </pic:pic>
              </a:graphicData>
            </a:graphic>
          </wp:inline>
        </w:drawing>
      </w:r>
    </w:p>
    <w:p>
      <w:pPr>
        <w:pStyle w:val="Caption"/>
        <w:jc w:val="center"/>
      </w:pPr>
      <w:r>
        <w:t>图5-2 跨层整改与整体复核</w:t>
      </w:r>
    </w:p>
    <w:p>
      <w:pPr>
        <w:pStyle w:val="Heading2"/>
      </w:pPr>
      <w:r>
        <w:t>5.5 整改计划与执行控制</w:t>
      </w:r>
    </w:p>
    <w:p>
      <w:pPr>
        <w:pStyle w:val="Heading3"/>
      </w:pPr>
      <w:r>
        <w:t>5.5.1 源端纠正和合法补录</w:t>
      </w:r>
    </w:p>
    <w:p>
      <w:pPr>
        <w:jc w:val="both"/>
      </w:pPr>
      <w:r>
        <w:t>源端纠正由有权业务岗位实施，依据真实凭据修正字段、状态、关联或业务记录。已生效凭证、检验结论和受控设计文件按其正式变更流程处理，技术平台不直接绕过审批修改。补录保留实际业务发生时间、补录时间、原因及依据，不能伪造原始登记和审批时间。</w:t>
      </w:r>
    </w:p>
    <w:p>
      <w:pPr>
        <w:jc w:val="both"/>
      </w:pPr>
      <w:r>
        <w:t>缺少原始事实且无法恢复时，保持未知或受限状态，按用途决定重新采集、补充真实来源或退出有效供给。退出对象的原因和影响保持登记，正式交付规模通过其他合格内容补足。退出不等同于历史缺陷从管理总体中消失，台账记录其最终业务处置及数据用途结果。</w:t>
      </w:r>
    </w:p>
    <w:p>
      <w:pPr>
        <w:pStyle w:val="Heading3"/>
      </w:pPr>
      <w:r>
        <w:t>5.5.2 平台修复与批量重算</w:t>
      </w:r>
    </w:p>
    <w:p>
      <w:pPr>
        <w:jc w:val="both"/>
      </w:pPr>
      <w:r>
        <w:t>平台修复前固定受影响对象和版本，确认备份、恢复和权限。修改接口、映射、计算或关联逻辑后进行受控验证，检查同类规则及下游影响。批量重算区分原始层、规范层、指标层和数据集层，不在原始层覆盖真实采集事实以配合新的计算结果。</w:t>
      </w:r>
    </w:p>
    <w:p>
      <w:pPr>
        <w:jc w:val="both"/>
      </w:pPr>
      <w:r>
        <w:t>执行记录包含变更标识、程序或配置版本、输入范围、实际处理数量、失败对象和输出摘要。部分成功的任务继续处理失败范围，不能将整个批次标为完成。恢复或重试保持幂等，检查是否产生重复记录、关联丢失或权限变化。新结果形成后继版本，旧结果与替代关系保留。</w:t>
      </w:r>
    </w:p>
    <w:p>
      <w:pPr>
        <w:pStyle w:val="Heading3"/>
      </w:pPr>
      <w:r>
        <w:t>5.5.3 专业标签和知识内容修复</w:t>
      </w:r>
    </w:p>
    <w:p>
      <w:pPr>
        <w:jc w:val="both"/>
      </w:pPr>
      <w:r>
        <w:t>涉及材料、工艺、故障、检验和产品选型的标签或知识错误，由具备能力的专业岗位核查原始依据。修复不仅修改最终答案，还检查问题、上下文、图像关联、时序片段、解释和引用是否同步正确。专业依据变化时区分原内容当时错误与标准更新后不再适用两种情况。</w:t>
      </w:r>
    </w:p>
    <w:p>
      <w:pPr>
        <w:jc w:val="both"/>
      </w:pPr>
      <w:r>
        <w:t>对同一人员、程序或规范形成的相似内容开展扩展检查，确定批量影响范围。修复后的内容重新完成必要的交叉复核及用途验证，基准评测保持真实来源和独立性。不能为了增加题量把无法确定正确答案的对象保留为有效题目，也不能通过合成补充满足基准净量。</w:t>
      </w:r>
    </w:p>
    <w:p>
      <w:pPr>
        <w:pStyle w:val="Heading3"/>
      </w:pPr>
      <w:r>
        <w:t>5.5.4 下游传播处置</w:t>
      </w:r>
    </w:p>
    <w:p>
      <w:pPr>
        <w:jc w:val="both"/>
      </w:pPr>
      <w:r>
        <w:t>对已经进入指标、知识库、数据集或场景验证的对象，列出版本及使用范围，按影响分别实施重新计算、重新抽取、样本替换、验证重跑和报告更正。每项动作与主问题关联，完成后记录接收和复核证据。原数据受限时，其具有同样缺陷的派生内容不能因已换文件名而继续供给。</w:t>
      </w:r>
    </w:p>
    <w:p>
      <w:pPr>
        <w:jc w:val="both"/>
      </w:pPr>
      <w:r>
        <w:t>数据集修复后重新核验净量、模态、时间、来源比例、家族隔离和质量结果。正式评测证据是否仍有效依据实际改动判断，需要重新评测的按正式流程执行。业务治理问题关闭与数据集发布分别确认，避免源端已经修好但旧样本仍被错误放行。</w:t>
      </w:r>
    </w:p>
    <w:p>
      <w:pPr>
        <w:pStyle w:val="Heading2"/>
      </w:pPr>
      <w:r>
        <w:t>5.6 重点问题处置路径</w:t>
      </w:r>
    </w:p>
    <w:p>
      <w:pPr>
        <w:pStyle w:val="Heading3"/>
      </w:pPr>
      <w:r>
        <w:t>5.6.1 图纸版次与制造引用不符</w:t>
      </w:r>
    </w:p>
    <w:p>
      <w:pPr>
        <w:jc w:val="both"/>
      </w:pPr>
      <w:r>
        <w:t>当工单引用图纸与其适用配置基线不符时，首先固定工单、产品、批次、图号、版次和实际执行时间，核查设计更改单及生效范围。合法旧版继续使用的对象保留依据，无法证明适用性的对象限制继续使用。调查区分源端引用错误、映射错误、缓存未更新和业务接收未完成。</w:t>
      </w:r>
    </w:p>
    <w:p>
      <w:pPr>
        <w:jc w:val="both"/>
      </w:pPr>
      <w:r>
        <w:t>整改由设计、工艺和生产岗位分别确认应采用的版本与已执行影响，技术岗位修复传递或映射。对已经形成的工艺知识、检验依据和数据集内容重新关联正确版本。复核检查业务适用、系统引用、实物处置关系和下游内容，不仅比较版号是否相同。所有必要条件完成后解除相应限制。</w:t>
      </w:r>
    </w:p>
    <w:p>
      <w:pPr>
        <w:pStyle w:val="Heading3"/>
      </w:pPr>
      <w:r>
        <w:t>5.6.2 热处理曲线缺段或时间错位</w:t>
      </w:r>
    </w:p>
    <w:p>
      <w:pPr>
        <w:jc w:val="both"/>
      </w:pPr>
      <w:r>
        <w:t>当过程曲线存在缺段或与装炉批次时间不符时，保留原始曲线、测点、设备、工艺阶段和采集日志，核查停机、断网、时钟偏移及实际采样策略。合法停机区间与应采缺口分别判断，不能通过插值或平移把未知过程变为看似连续的合格曲线。</w:t>
      </w:r>
    </w:p>
    <w:p>
      <w:pPr>
        <w:jc w:val="both"/>
      </w:pPr>
      <w:r>
        <w:t>能够从合法缓存恢复的，按原事件时间补传并保留恢复来源；不能恢复的区间保持质量标识，由专业岗位判断相应用途是否仍可使用。采集链路或时钟配置修复后，用真实后续运行验证。数据集受影响记录按有效性处理并补足必要规模，复核曲线、批次、时间与工艺条件共同匹配。</w:t>
      </w:r>
    </w:p>
    <w:p>
      <w:pPr>
        <w:pStyle w:val="Heading3"/>
      </w:pPr>
      <w:r>
        <w:t>5.6.3 库存对账差异</w:t>
      </w:r>
    </w:p>
    <w:p>
      <w:pPr>
        <w:jc w:val="both"/>
      </w:pPr>
      <w:r>
        <w:t>当系统库存或盘点结果存在差异时，固定组织、物料、库位、批次、状态、单位和截止时间，核查在途、冻结、未过账及合法单位换算。先将可解释的业务时间差与实际错误区分，再确定问题范围，不能通过直接修改库存总数使两端表面相等。</w:t>
      </w:r>
    </w:p>
    <w:p>
      <w:pPr>
        <w:jc w:val="both"/>
      </w:pPr>
      <w:r>
        <w:t>重复收发、漏传凭证和映射错误分别修复，实际盘盈盘亏按批准业务流程处理。完成后核对明细、余额、成本和供需计划输入，检查累计变化与凭据相符。复核报告保留原差异、原因分类、纠正动作及剩余合法差异，使账实关系可解释。</w:t>
      </w:r>
    </w:p>
    <w:p>
      <w:pPr>
        <w:pStyle w:val="Heading3"/>
      </w:pPr>
      <w:r>
        <w:t>5.6.4 检验数值与判定结论冲突</w:t>
      </w:r>
    </w:p>
    <w:p>
      <w:pPr>
        <w:jc w:val="both"/>
      </w:pPr>
      <w:r>
        <w:t>当实测值、单位或标准限值与判定不一致时，固定原始检验记录、仪器信息、标准版本和判定过程，立即按业务风险限制相应放行。专业岗位核查测量条件、单位转换、边界规则及复检要求，不能单纯修改判定文字取得一致。</w:t>
      </w:r>
    </w:p>
    <w:p>
      <w:pPr>
        <w:jc w:val="both"/>
      </w:pPr>
      <w:r>
        <w:t>记录错误按凭据纠正，需要复检的实施真实复检；涉及实物不合格的按质量流程处置。技术岗位检查同一判定程序或参数影响的其他对象，追踪已出库和已交付范围。关闭前确认数据正确、实物处置、状态传播和数据集标签均已按要求完成。</w:t>
      </w:r>
    </w:p>
    <w:p>
      <w:pPr>
        <w:pStyle w:val="Heading3"/>
      </w:pPr>
      <w:r>
        <w:t>5.6.5 设备预警与故障标签不匹配</w:t>
      </w:r>
    </w:p>
    <w:p>
      <w:pPr>
        <w:jc w:val="both"/>
      </w:pPr>
      <w:r>
        <w:t>当预警被错误标为已确认故障，或维修记录关联到错误设备时，核查设备实物身份、部件安装期间、事件窗口、维修发现和专业意见。模型预测、操作人员描述和最终故障确认分别保存，不强制构造每条预警对应故障的关系。</w:t>
      </w:r>
    </w:p>
    <w:p>
      <w:pPr>
        <w:jc w:val="both"/>
      </w:pPr>
      <w:r>
        <w:t>修复标签与事件关联后，检查同设备、同部件及同类加工规则形成的其他样本，重新评估健康分析和模型验证结果。缺少故障确认的对象按其真实信息状态使用，不能作为确定性故障监督标签。复核重点是事实依据和时间对象关系，而非标签字段是否非空。</w:t>
      </w:r>
    </w:p>
    <w:p>
      <w:pPr>
        <w:pStyle w:val="Heading3"/>
      </w:pPr>
      <w:r>
        <w:t>5.6.6 近三年比例或来源比例不符合要求</w:t>
      </w:r>
    </w:p>
    <w:p>
      <w:pPr>
        <w:jc w:val="both"/>
      </w:pPr>
      <w:r>
        <w:t>发现近三年占比不满足要求时，核查发布日期、36个自然月窗口、业务形成时间及完整记录单位。时间未知对象留在分母，不以导入或修改时间替换。缺口通过补充满足条件的真实内容或调整实际有效供给解决，相关净量和模态比例同步重算。</w:t>
      </w:r>
    </w:p>
    <w:p>
      <w:pPr>
        <w:jc w:val="both"/>
      </w:pPr>
      <w:r>
        <w:t>发现合成或增强比例超限时，沿来源关系核对真实、合成及增强属性，纠正标签错误与实际内容超限两类问题。预训练并集按有效Tokens计量，指令按任务和整体双层上限核验，偏好按完整组核验，基准保持零合成且不人为增强扩题。整改不通过更改统计类别或删除来源链来降低比例，修复后重新完成质量与发布检查。</w:t>
      </w:r>
    </w:p>
    <w:p>
      <w:pPr>
        <w:pStyle w:val="Heading3"/>
      </w:pPr>
      <w:r>
        <w:t>5.6.7 敏感信息残留或许可范围不足</w:t>
      </w:r>
    </w:p>
    <w:p>
      <w:pPr>
        <w:jc w:val="both"/>
      </w:pPr>
      <w:r>
        <w:t>发现敏感信息或用途授权缺口时，固定必要证据并限制相关访问、加工和分发，核查原始与派生对象、缓存和已交付范围。安全与权利岗位判断具体限制及处置要求，普通问题记录采用受控引用，避免排查过程扩大暴露。</w:t>
      </w:r>
    </w:p>
    <w:p>
      <w:pPr>
        <w:jc w:val="both"/>
      </w:pPr>
      <w:r>
        <w:t>能够合法脱敏的按批准规则处理并复核再识别风险，需要取得授权的完成真实授权核验，不能取得合法使用条件的退出受影响用途。高危命中100%人工复核，已知高风险清零后才能满足正式发布条件。处置结果关联全部必要副本和下游处理，不仅删除最初发现的单个文件。</w:t>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15" name="Picture 15"/>
            <wp:cNvGraphicFramePr>
              <a:graphicFrameLocks noChangeAspect="1"/>
            </wp:cNvGraphicFramePr>
            <a:graphic>
              <a:graphicData uri="http://schemas.openxmlformats.org/drawingml/2006/picture">
                <pic:pic>
                  <pic:nvPicPr>
                    <pic:cNvPr id="0" name="图15_关闭条件.png"/>
                    <pic:cNvPicPr/>
                  </pic:nvPicPr>
                  <pic:blipFill>
                    <a:blip r:embed="rId25"/>
                    <a:stretch>
                      <a:fillRect/>
                    </a:stretch>
                  </pic:blipFill>
                  <pic:spPr>
                    <a:xfrm>
                      <a:off x="0" y="0"/>
                      <a:ext cx="6048000" cy="3004615"/>
                    </a:xfrm>
                    <a:prstGeom prst="rect"/>
                  </pic:spPr>
                </pic:pic>
              </a:graphicData>
            </a:graphic>
          </wp:inline>
        </w:drawing>
      </w:r>
    </w:p>
    <w:p>
      <w:pPr>
        <w:pStyle w:val="Caption"/>
        <w:jc w:val="center"/>
      </w:pPr>
      <w:r>
        <w:t>图5-3 问题关闭与观察条件</w:t>
      </w:r>
    </w:p>
    <w:p>
      <w:pPr>
        <w:pStyle w:val="Heading2"/>
      </w:pPr>
      <w:r>
        <w:t>5.7 复核方法与关闭条件</w:t>
      </w:r>
    </w:p>
    <w:p>
      <w:pPr>
        <w:pStyle w:val="Heading3"/>
      </w:pPr>
      <w:r>
        <w:t>5.7.1 对象级复核</w:t>
      </w:r>
    </w:p>
    <w:p>
      <w:pPr>
        <w:jc w:val="both"/>
      </w:pPr>
      <w:r>
        <w:t>对象级复核核对原缺陷位置、修复后的实际内容和有效依据。结构化错误检查字段、单位、精度、关联及状态，文档错误检查原文位置、版本与引用，时序错误检查区间、采样、单位和事件对齐，标签错误检查专业判断及相应证据。复核使用固定输入和规则版本，能重现从原结果到修复结果的变化。</w:t>
      </w:r>
    </w:p>
    <w:p>
      <w:pPr>
        <w:jc w:val="both"/>
      </w:pPr>
      <w:r>
        <w:t>批量修复除核查命中对象外，还检查受影响总体及必要的未命中对象，防止修复程序引入其他错误。抽样范围和方法根据风险确定，对必须全量或100%人工复核的事项不得改用普通抽样。复核失败的对象保持未完成状态，并分析是否需要扩大修复范围。</w:t>
      </w:r>
    </w:p>
    <w:p>
      <w:pPr>
        <w:pStyle w:val="Heading3"/>
      </w:pPr>
      <w:r>
        <w:t>5.7.2 业务与下游复核</w:t>
      </w:r>
    </w:p>
    <w:p>
      <w:pPr>
        <w:jc w:val="both"/>
      </w:pPr>
      <w:r>
        <w:t>业务复核确认修复符合实际业务事实和有权流程，不只是技术规则通过。跨系统问题由相关业务岗位确认其职责范围内的结果，主问题复核汇总整体关系。源端、治理平台、数据集和使用方存在不同完成节点时，分别记录状态，避免一个岗位确认代替全部环节完成。</w:t>
      </w:r>
    </w:p>
    <w:p>
      <w:pPr>
        <w:jc w:val="both"/>
      </w:pPr>
      <w:r>
        <w:t>下游复核检查指标重算、知识更新、样本替换、训练验证、正式评测及报告更正是否按实际影响完成。限制解除核对实际系统或供给状态，而非只修改台账字段。需要保留的历史结果标注替代关系，使用方能够识别当前有效版本及历史依据。</w:t>
      </w:r>
    </w:p>
    <w:p>
      <w:pPr>
        <w:pStyle w:val="Caption"/>
        <w:keepNext/>
      </w:pPr>
      <w:r>
        <w:t>表5-4 业务与下游复核</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关闭条件</w:t>
            </w:r>
          </w:p>
        </w:tc>
        <w:tc>
          <w:tcPr>
            <w:tcW w:type="dxa" w:w="3855"/>
            <w:vAlign w:val="center"/>
            <w:shd w:fill="EDF1F3"/>
          </w:tcPr>
          <w:p>
            <w:pPr>
              <w:keepNext/>
              <w:spacing w:line="320" w:lineRule="exact" w:after="0" w:before="0"/>
              <w:ind w:firstLine="0"/>
              <w:jc w:val="center"/>
            </w:pPr>
            <w:r>
              <w:rPr>
                <w:b/>
                <w:sz w:val="21"/>
              </w:rPr>
              <w:t>通过依据</w:t>
            </w:r>
          </w:p>
        </w:tc>
        <w:tc>
          <w:tcPr>
            <w:tcW w:type="dxa" w:w="3277"/>
            <w:vAlign w:val="center"/>
            <w:shd w:fill="EDF1F3"/>
          </w:tcPr>
          <w:p>
            <w:pPr>
              <w:keepNext/>
              <w:spacing w:line="320" w:lineRule="exact" w:after="0" w:before="0"/>
              <w:ind w:firstLine="0"/>
              <w:jc w:val="center"/>
            </w:pPr>
            <w:r>
              <w:rPr>
                <w:b/>
                <w:sz w:val="21"/>
              </w:rPr>
              <w:t>不满足时的处理</w:t>
            </w:r>
          </w:p>
        </w:tc>
      </w:tr>
      <w:tr>
        <w:trPr>
          <w:cantSplit/>
        </w:trPr>
        <w:tc>
          <w:tcPr>
            <w:tcW w:type="dxa" w:w="2506"/>
            <w:vAlign w:val="center"/>
          </w:tcPr>
          <w:p>
            <w:pPr>
              <w:keepNext w:val="0"/>
              <w:spacing w:line="320" w:lineRule="exact" w:after="0" w:before="0"/>
              <w:ind w:firstLine="0"/>
              <w:jc w:val="left"/>
            </w:pPr>
            <w:r>
              <w:rPr>
                <w:b w:val="0"/>
                <w:sz w:val="21"/>
              </w:rPr>
              <w:t>原缺陷已纠正</w:t>
            </w:r>
          </w:p>
        </w:tc>
        <w:tc>
          <w:tcPr>
            <w:tcW w:type="dxa" w:w="3855"/>
            <w:vAlign w:val="center"/>
          </w:tcPr>
          <w:p>
            <w:pPr>
              <w:keepNext w:val="0"/>
              <w:spacing w:line="320" w:lineRule="exact" w:after="0" w:before="0"/>
              <w:ind w:firstLine="0"/>
              <w:jc w:val="left"/>
            </w:pPr>
            <w:r>
              <w:rPr>
                <w:b w:val="0"/>
                <w:sz w:val="21"/>
              </w:rPr>
              <w:t>对象级结果和有效业务依据</w:t>
            </w:r>
          </w:p>
        </w:tc>
        <w:tc>
          <w:tcPr>
            <w:tcW w:type="dxa" w:w="3277"/>
            <w:vAlign w:val="center"/>
          </w:tcPr>
          <w:p>
            <w:pPr>
              <w:keepNext w:val="0"/>
              <w:spacing w:line="320" w:lineRule="exact" w:after="0" w:before="0"/>
              <w:ind w:firstLine="0"/>
              <w:jc w:val="left"/>
            </w:pPr>
            <w:r>
              <w:rPr>
                <w:b w:val="0"/>
                <w:sz w:val="21"/>
              </w:rPr>
              <w:t>退回整改，保留限制</w:t>
            </w:r>
          </w:p>
        </w:tc>
      </w:tr>
      <w:tr>
        <w:trPr>
          <w:cantSplit/>
        </w:trPr>
        <w:tc>
          <w:tcPr>
            <w:tcW w:type="dxa" w:w="2506"/>
            <w:vAlign w:val="center"/>
          </w:tcPr>
          <w:p>
            <w:pPr>
              <w:keepNext w:val="0"/>
              <w:spacing w:line="320" w:lineRule="exact" w:after="0" w:before="0"/>
              <w:ind w:firstLine="0"/>
              <w:jc w:val="left"/>
            </w:pPr>
            <w:r>
              <w:rPr>
                <w:b w:val="0"/>
                <w:sz w:val="21"/>
              </w:rPr>
              <w:t>影响范围已核实</w:t>
            </w:r>
          </w:p>
        </w:tc>
        <w:tc>
          <w:tcPr>
            <w:tcW w:type="dxa" w:w="3855"/>
            <w:vAlign w:val="center"/>
          </w:tcPr>
          <w:p>
            <w:pPr>
              <w:keepNext w:val="0"/>
              <w:spacing w:line="320" w:lineRule="exact" w:after="0" w:before="0"/>
              <w:ind w:firstLine="0"/>
              <w:jc w:val="left"/>
            </w:pPr>
            <w:r>
              <w:rPr>
                <w:b w:val="0"/>
                <w:sz w:val="21"/>
              </w:rPr>
              <w:t>已检查范围、排除依据及传播明细</w:t>
            </w:r>
          </w:p>
        </w:tc>
        <w:tc>
          <w:tcPr>
            <w:tcW w:type="dxa" w:w="3277"/>
            <w:vAlign w:val="center"/>
          </w:tcPr>
          <w:p>
            <w:pPr>
              <w:keepNext w:val="0"/>
              <w:spacing w:line="320" w:lineRule="exact" w:after="0" w:before="0"/>
              <w:ind w:firstLine="0"/>
              <w:jc w:val="left"/>
            </w:pPr>
            <w:r>
              <w:rPr>
                <w:b w:val="0"/>
                <w:sz w:val="21"/>
              </w:rPr>
              <w:t>扩大排查或补证</w:t>
            </w:r>
          </w:p>
        </w:tc>
      </w:tr>
      <w:tr>
        <w:trPr>
          <w:cantSplit/>
        </w:trPr>
        <w:tc>
          <w:tcPr>
            <w:tcW w:type="dxa" w:w="2506"/>
            <w:vAlign w:val="center"/>
          </w:tcPr>
          <w:p>
            <w:pPr>
              <w:keepNext w:val="0"/>
              <w:spacing w:line="320" w:lineRule="exact" w:after="0" w:before="0"/>
              <w:ind w:firstLine="0"/>
              <w:jc w:val="left"/>
            </w:pPr>
            <w:r>
              <w:rPr>
                <w:b w:val="0"/>
                <w:sz w:val="21"/>
              </w:rPr>
              <w:t>必要下游处理完成</w:t>
            </w:r>
          </w:p>
        </w:tc>
        <w:tc>
          <w:tcPr>
            <w:tcW w:type="dxa" w:w="3855"/>
            <w:vAlign w:val="center"/>
          </w:tcPr>
          <w:p>
            <w:pPr>
              <w:keepNext w:val="0"/>
              <w:spacing w:line="320" w:lineRule="exact" w:after="0" w:before="0"/>
              <w:ind w:firstLine="0"/>
              <w:jc w:val="left"/>
            </w:pPr>
            <w:r>
              <w:rPr>
                <w:b w:val="0"/>
                <w:sz w:val="21"/>
              </w:rPr>
              <w:t>重算、再加工、验证及接收记录</w:t>
            </w:r>
          </w:p>
        </w:tc>
        <w:tc>
          <w:tcPr>
            <w:tcW w:type="dxa" w:w="3277"/>
            <w:vAlign w:val="center"/>
          </w:tcPr>
          <w:p>
            <w:pPr>
              <w:keepNext w:val="0"/>
              <w:spacing w:line="320" w:lineRule="exact" w:after="0" w:before="0"/>
              <w:ind w:firstLine="0"/>
              <w:jc w:val="left"/>
            </w:pPr>
            <w:r>
              <w:rPr>
                <w:b w:val="0"/>
                <w:sz w:val="21"/>
              </w:rPr>
              <w:t>子任务继续办理，主问题不关闭</w:t>
            </w:r>
          </w:p>
        </w:tc>
      </w:tr>
      <w:tr>
        <w:trPr>
          <w:cantSplit/>
        </w:trPr>
        <w:tc>
          <w:tcPr>
            <w:tcW w:type="dxa" w:w="2506"/>
            <w:vAlign w:val="center"/>
          </w:tcPr>
          <w:p>
            <w:pPr>
              <w:keepNext w:val="0"/>
              <w:spacing w:line="320" w:lineRule="exact" w:after="0" w:before="0"/>
              <w:ind w:firstLine="0"/>
              <w:jc w:val="left"/>
            </w:pPr>
            <w:r>
              <w:rPr>
                <w:b w:val="0"/>
                <w:sz w:val="21"/>
              </w:rPr>
              <w:t>业务与独立复核齐备</w:t>
            </w:r>
          </w:p>
        </w:tc>
        <w:tc>
          <w:tcPr>
            <w:tcW w:type="dxa" w:w="3855"/>
            <w:vAlign w:val="center"/>
          </w:tcPr>
          <w:p>
            <w:pPr>
              <w:keepNext w:val="0"/>
              <w:spacing w:line="320" w:lineRule="exact" w:after="0" w:before="0"/>
              <w:ind w:firstLine="0"/>
              <w:jc w:val="left"/>
            </w:pPr>
            <w:r>
              <w:rPr>
                <w:b w:val="0"/>
                <w:sz w:val="21"/>
              </w:rPr>
              <w:t>有权业务确认及独立复核结论</w:t>
            </w:r>
          </w:p>
        </w:tc>
        <w:tc>
          <w:tcPr>
            <w:tcW w:type="dxa" w:w="3277"/>
            <w:vAlign w:val="center"/>
          </w:tcPr>
          <w:p>
            <w:pPr>
              <w:keepNext w:val="0"/>
              <w:spacing w:line="320" w:lineRule="exact" w:after="0" w:before="0"/>
              <w:ind w:firstLine="0"/>
              <w:jc w:val="left"/>
            </w:pPr>
            <w:r>
              <w:rPr>
                <w:b w:val="0"/>
                <w:sz w:val="21"/>
              </w:rPr>
              <w:t>补充相应核验</w:t>
            </w:r>
          </w:p>
        </w:tc>
      </w:tr>
      <w:tr>
        <w:trPr>
          <w:cantSplit/>
        </w:trPr>
        <w:tc>
          <w:tcPr>
            <w:tcW w:type="dxa" w:w="2506"/>
            <w:vAlign w:val="center"/>
          </w:tcPr>
          <w:p>
            <w:pPr>
              <w:keepNext w:val="0"/>
              <w:spacing w:line="320" w:lineRule="exact" w:after="0" w:before="0"/>
              <w:ind w:firstLine="0"/>
              <w:jc w:val="left"/>
            </w:pPr>
            <w:r>
              <w:rPr>
                <w:b w:val="0"/>
                <w:sz w:val="21"/>
              </w:rPr>
              <w:t>限制调整有依据</w:t>
            </w:r>
          </w:p>
        </w:tc>
        <w:tc>
          <w:tcPr>
            <w:tcW w:type="dxa" w:w="3855"/>
            <w:vAlign w:val="center"/>
          </w:tcPr>
          <w:p>
            <w:pPr>
              <w:keepNext w:val="0"/>
              <w:spacing w:line="320" w:lineRule="exact" w:after="0" w:before="0"/>
              <w:ind w:firstLine="0"/>
              <w:jc w:val="left"/>
            </w:pPr>
            <w:r>
              <w:rPr>
                <w:b w:val="0"/>
                <w:sz w:val="21"/>
              </w:rPr>
              <w:t>风险条件满足及实际执行验证</w:t>
            </w:r>
          </w:p>
        </w:tc>
        <w:tc>
          <w:tcPr>
            <w:tcW w:type="dxa" w:w="3277"/>
            <w:vAlign w:val="center"/>
          </w:tcPr>
          <w:p>
            <w:pPr>
              <w:keepNext w:val="0"/>
              <w:spacing w:line="320" w:lineRule="exact" w:after="0" w:before="0"/>
              <w:ind w:firstLine="0"/>
              <w:jc w:val="left"/>
            </w:pPr>
            <w:r>
              <w:rPr>
                <w:b w:val="0"/>
                <w:sz w:val="21"/>
              </w:rPr>
              <w:t>维持必要限制</w:t>
            </w:r>
          </w:p>
        </w:tc>
      </w:tr>
      <w:tr>
        <w:trPr>
          <w:cantSplit/>
        </w:trPr>
        <w:tc>
          <w:tcPr>
            <w:tcW w:type="dxa" w:w="2506"/>
            <w:vAlign w:val="center"/>
          </w:tcPr>
          <w:p>
            <w:pPr>
              <w:keepNext w:val="0"/>
              <w:spacing w:line="320" w:lineRule="exact" w:after="0" w:before="0"/>
              <w:ind w:firstLine="0"/>
              <w:jc w:val="left"/>
            </w:pPr>
            <w:r>
              <w:rPr>
                <w:b w:val="0"/>
                <w:sz w:val="21"/>
              </w:rPr>
              <w:t>文档与配置同步</w:t>
            </w:r>
          </w:p>
        </w:tc>
        <w:tc>
          <w:tcPr>
            <w:tcW w:type="dxa" w:w="3855"/>
            <w:vAlign w:val="center"/>
          </w:tcPr>
          <w:p>
            <w:pPr>
              <w:keepNext w:val="0"/>
              <w:spacing w:line="320" w:lineRule="exact" w:after="0" w:before="0"/>
              <w:ind w:firstLine="0"/>
              <w:jc w:val="left"/>
            </w:pPr>
            <w:r>
              <w:rPr>
                <w:b w:val="0"/>
                <w:sz w:val="21"/>
              </w:rPr>
              <w:t>有效规则、参数、说明和操作更新</w:t>
            </w:r>
          </w:p>
        </w:tc>
        <w:tc>
          <w:tcPr>
            <w:tcW w:type="dxa" w:w="3277"/>
            <w:vAlign w:val="center"/>
          </w:tcPr>
          <w:p>
            <w:pPr>
              <w:keepNext w:val="0"/>
              <w:spacing w:line="320" w:lineRule="exact" w:after="0" w:before="0"/>
              <w:ind w:firstLine="0"/>
              <w:jc w:val="left"/>
            </w:pPr>
            <w:r>
              <w:rPr>
                <w:b w:val="0"/>
                <w:sz w:val="21"/>
              </w:rPr>
              <w:t>完成同步及回归</w:t>
            </w:r>
          </w:p>
        </w:tc>
      </w:tr>
      <w:tr>
        <w:trPr>
          <w:cantSplit/>
        </w:trPr>
        <w:tc>
          <w:tcPr>
            <w:tcW w:type="dxa" w:w="2506"/>
            <w:vAlign w:val="center"/>
          </w:tcPr>
          <w:p>
            <w:pPr>
              <w:keepNext w:val="0"/>
              <w:spacing w:line="320" w:lineRule="exact" w:after="0" w:before="0"/>
              <w:ind w:firstLine="0"/>
              <w:jc w:val="left"/>
            </w:pPr>
            <w:r>
              <w:rPr>
                <w:b w:val="0"/>
                <w:sz w:val="21"/>
              </w:rPr>
              <w:t>观察和归档可执行</w:t>
            </w:r>
          </w:p>
        </w:tc>
        <w:tc>
          <w:tcPr>
            <w:tcW w:type="dxa" w:w="3855"/>
            <w:vAlign w:val="center"/>
          </w:tcPr>
          <w:p>
            <w:pPr>
              <w:keepNext w:val="0"/>
              <w:spacing w:line="320" w:lineRule="exact" w:after="0" w:before="0"/>
              <w:ind w:firstLine="0"/>
              <w:jc w:val="left"/>
            </w:pPr>
            <w:r>
              <w:rPr>
                <w:b w:val="0"/>
                <w:sz w:val="21"/>
              </w:rPr>
              <w:t>观察机会、责任及档案清单明确</w:t>
            </w:r>
          </w:p>
        </w:tc>
        <w:tc>
          <w:tcPr>
            <w:tcW w:type="dxa" w:w="3277"/>
            <w:vAlign w:val="center"/>
          </w:tcPr>
          <w:p>
            <w:pPr>
              <w:keepNext w:val="0"/>
              <w:spacing w:line="320" w:lineRule="exact" w:after="0" w:before="0"/>
              <w:ind w:firstLine="0"/>
              <w:jc w:val="left"/>
            </w:pPr>
            <w:r>
              <w:rPr>
                <w:b w:val="0"/>
                <w:sz w:val="21"/>
              </w:rPr>
              <w:t>补齐后续管理安排</w:t>
            </w:r>
          </w:p>
        </w:tc>
      </w:tr>
    </w:tbl>
    <w:p>
      <w:pPr>
        <w:spacing w:after="40" w:line="240" w:lineRule="auto"/>
        <w:ind w:firstLine="0"/>
      </w:pPr>
      <w:r>
        <w:rPr>
          <w:sz w:val="4"/>
        </w:rPr>
      </w:r>
    </w:p>
    <w:p>
      <w:pPr>
        <w:pStyle w:val="Heading3"/>
      </w:pPr>
      <w:r>
        <w:t>5.7.3 关闭后的观察</w:t>
      </w:r>
    </w:p>
    <w:p>
      <w:pPr>
        <w:jc w:val="both"/>
      </w:pPr>
      <w:r>
        <w:t>观察周期依据业务频率、故障模式和控制变化确定，覆盖足以检验整改效果的实际业务机会。对季度业务、低频采购和设备大修等事项，未经历相应机会时记录观察未完成，不提前宣称无复发。观察任务可以与日常规则联动，但应保留与原问题的对应和结论。</w:t>
      </w:r>
    </w:p>
    <w:p>
      <w:pPr>
        <w:jc w:val="both"/>
      </w:pPr>
      <w:r>
        <w:t>发生复发时，检查前次措施是否只修正数据未消除根因、修复范围是否不完整或新变更是否引入回归。必要时重开主问题并提高协调层级，重新评估影响和限制。复发记录用于持续改进，不因已纳入历史关闭率而压制重新上报。</w:t>
      </w:r>
    </w:p>
    <w:p>
      <w:pPr>
        <w:pStyle w:val="Heading2"/>
      </w:pPr>
      <w:r>
        <w:t>5.8 统计、督办与考核</w:t>
      </w:r>
    </w:p>
    <w:p>
      <w:pPr>
        <w:pStyle w:val="Heading3"/>
      </w:pPr>
      <w:r>
        <w:t>5.8.1 状态统计和数量守恒</w:t>
      </w:r>
    </w:p>
    <w:p>
      <w:pPr>
        <w:jc w:val="both"/>
      </w:pPr>
      <w:r>
        <w:t>台账按固定截止时点统计期初未关闭、本期新增确认、关闭、重开及期末未关闭，明确误报撤销和重复并单对总体的调整。每类变化均能回到状态事件，期初与期末之间数量关系可以核对。候选异常与确认问题分别统计，规则命中数与主问题数分别报告，避免将技术告警数量误作实际业务问题数量。</w:t>
      </w:r>
    </w:p>
    <w:p>
      <w:pPr>
        <w:jc w:val="both"/>
      </w:pPr>
      <w:r>
        <w:t>同一问题涉及多域时在主问题总量中计一次，域级统计同时标明牵头与受影响，跨域汇总去重。对象受影响量按各自粒度分别提供，记录数、批次数、设备数和金额不混合相加。高影响问题无论数量大小均单列进展和限制状态。</w:t>
      </w:r>
    </w:p>
    <w:p>
      <w:pPr>
        <w:pStyle w:val="Heading3"/>
      </w:pPr>
      <w:r>
        <w:t>5.8.2 时限和逾期管理</w:t>
      </w:r>
    </w:p>
    <w:p>
      <w:pPr>
        <w:jc w:val="both"/>
      </w:pPr>
      <w:r>
        <w:t>原承诺期限作为计划履约的重要基准，批准调整期限另列，二者同时保留。按原期限计算的逾期不因延期审批而消失，按调整期限的履约用于反映后续承诺执行。暂停等待、外部依赖和系统改造均报告实际状态、已等待时间及下一步动作，不从统计总体自动剔除。</w:t>
      </w:r>
    </w:p>
    <w:p>
      <w:pPr>
        <w:jc w:val="both"/>
      </w:pPr>
      <w:r>
        <w:t>督办针对实质障碍采取协调措施。业务依据不清组织裁决，技术依赖不明组织接口确认，资源不足提交配置请求，整改方案无效组织专业复审。督办记录包括具体事项、责任、决定和落实结果，不仅记录召开会议或发送提醒。</w:t>
      </w:r>
    </w:p>
    <w:p>
      <w:pPr>
        <w:pStyle w:val="Heading3"/>
      </w:pPr>
      <w:r>
        <w:t>5.8.3 绩效评价</w:t>
      </w:r>
    </w:p>
    <w:p>
      <w:pPr>
        <w:jc w:val="both"/>
      </w:pPr>
      <w:r>
        <w:t>质量绩效结合问题产生、主动发现、风险控制、整改时效、复核质量和复发情况综合评价。主动上报高影响缺陷与导致缺陷的责任分别识别，避免形成少报问题得分更高的激励。对多次误报、长期未执行和形式关闭同样开展检查，保证质量数量反映真实工作。</w:t>
      </w:r>
    </w:p>
    <w:p>
      <w:pPr>
        <w:jc w:val="both"/>
      </w:pPr>
      <w:r>
        <w:t>整改关闭率以实际通过复核的问题为分子，已知缺口和未解决历史问题保留在相应分母。正式数据集的中低风险100%整改要求独立执行，不能用业务台账总体比例替代。关键高风险未清零时相应交付保持受限，不因其他问题处理较快而抵消。</w:t>
      </w:r>
    </w:p>
    <w:p>
      <w:pPr>
        <w:pStyle w:val="Heading2"/>
      </w:pPr>
      <w:r>
        <w:t>5.9 变更、权限与档案管理</w:t>
      </w:r>
    </w:p>
    <w:p>
      <w:pPr>
        <w:jc w:val="both"/>
      </w:pPr>
      <w:r>
        <w:t>台账建立角色权限，提出人可补充发现材料，执行人更新其整改动作，复核人形成独立结论，管理岗位按权限调整责任和状态。关键字段变更留痕，问题编号、原始事实、原承诺期限和历史状态不得无记录覆盖。批量导入检查重复、字段完整和关联有效性，失败行保留可纠正的错误信息。</w:t>
      </w:r>
    </w:p>
    <w:p>
      <w:pPr>
        <w:jc w:val="both"/>
      </w:pPr>
      <w:r>
        <w:t>附件和明细证据按安全级别控制，敏感内容使用必要权限访问。导出文件包含版本、截止时点和适用范围，禁止脱离上下文传播后将旧状态当作现状。档案保存范围包括规则与任务、输入快照或受控引用、问题事实、整改计划、操作、复核、关闭、观察和相关报告。</w:t>
      </w:r>
    </w:p>
    <w:p>
      <w:pPr>
        <w:jc w:val="both"/>
      </w:pPr>
      <w:r>
        <w:t>归档保留期限依据适用法律法规、合同和企业制度确定，涉及未解决争议和必要追溯的记录按有权要求保留。需要删除敏感明细时，保留合法必要的记录索引、处置依据和删除日志，避免不必要保存与无法追溯两个极端。档案迁移检查文件可读取、摘要一致、权限有效及引用关系完整。</w:t>
      </w:r>
    </w:p>
    <w:p>
      <w:pPr>
        <w:pStyle w:val="Heading2"/>
      </w:pPr>
      <w:r>
        <w:t>5.10 交付检查与持续运行</w:t>
      </w:r>
    </w:p>
    <w:p>
      <w:pPr>
        <w:jc w:val="both"/>
      </w:pPr>
      <w:r>
        <w:t>交付核对五份数据质量文件的标识、版本和内容关系，检查66项需求与66项主规则对应、实际配置与规则库一致、调度与责任有效、报告与台账能够相互追溯。九个业务域和十七套系统的实际覆盖依据调查、配置和运行证据确认，不能以文件中列出名称替代实际实施。</w:t>
      </w:r>
    </w:p>
    <w:p>
      <w:pPr>
        <w:jc w:val="both"/>
      </w:pPr>
      <w:r>
        <w:t>运行验证至少贯通一次需求提出、规则配置、检查执行、问题确认、分派整改、独立复核和归档的完整办理过程，并覆盖关键异常路径。验证使用真实具备条件的业务事项及受控技术测试，二者分别登记，不把技术演练伪装成历史业务运行证据。尚未具备实际业务机会的控制保留后续验证安排及责任。</w:t>
      </w:r>
    </w:p>
    <w:p>
      <w:pPr>
        <w:jc w:val="both"/>
      </w:pPr>
      <w:r>
        <w:t>移交时由接收岗位核对文档、规则、参数、作业、权限和档案，实际操作验证查询、处理、复核和版本追踪能力。对关键岗位安排有针对性的培训与独立实践，确保人员能够判断合法差异、未知状态和真实缺陷，并能按权限完成办理。移交后的持续问题由约定服务机制处理，历史版本、主记录和既有证据保持完整。</w:t>
      </w:r>
    </w:p>
    <w:p>
      <w:pPr>
        <w:jc w:val="both"/>
      </w:pPr>
      <w:r>
        <w:t>我方将质量管理要求落实到可执行规则、平台作业和业务责任，持续检查真实数据、实际流程及下游使用结果。质量需求变化、源系统调整、专业标准更新和数据集迭代均通过受控版本和问题办理衔接，形成能够长期运行、可复核且可持续改进的数据质量管理体系。</w:t>
      </w:r>
    </w:p>
    <w:sectPr w:rsidR="00FC693F" w:rsidRPr="0006063C" w:rsidSect="00034616">
      <w:headerReference w:type="default" r:id="rId9"/>
      <w:footerReference w:type="default" r:id="rId10"/>
      <w:pgSz w:w="11906" w:h="16838"/>
      <w:pgMar w:top="1247"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t xml:space="preserve">数据质量管理文件　｜　第 </w:t>
    </w:r>
    <w:r/>
    <w:fldSimple w:instr="PAGE"/>
    <w:r>
      <w:t xml:space="preserve"> 页　共 </w:t>
    </w:r>
    <w:r/>
    <w:fldSimple w:instr="NUMPAGES"/>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t>矿山装备制造领域高质量数据集建设及场景应用项目配套设施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10" w:lineRule="exact" w:after="40"/>
      <w:ind w:firstLine="480"/>
    </w:pPr>
    <w:rPr>
      <w:rFonts w:ascii="Times New Roman" w:hAnsi="Times New Roman" w:eastAsia="Songti SC"/>
      <w:b w:val="0"/>
      <w:color w:val="000000"/>
      <w:sz w:val="24"/>
      <w:lang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460" w:lineRule="exact"/>
      <w:ind w:firstLine="0"/>
      <w:outlineLvl w:val="0"/>
    </w:pPr>
    <w:rPr>
      <w:rFonts w:ascii="Times New Roman" w:hAnsi="Times New Roman" w:eastAsia="Songti SC"/>
      <w:b/>
      <w:bCs/>
      <w:color w:val="000000"/>
      <w:sz w:val="32"/>
      <w:szCs w:val="28"/>
      <w:lang w:eastAsia="zh-CN"/>
    </w:rPr>
  </w:style>
  <w:style w:type="paragraph" w:styleId="Heading2">
    <w:name w:val="heading 2"/>
    <w:basedOn w:val="Normal"/>
    <w:next w:val="Normal"/>
    <w:link w:val="Heading2Char"/>
    <w:uiPriority w:val="9"/>
    <w:unhideWhenUsed/>
    <w:qFormat/>
    <w:rsid w:val="00FC693F"/>
    <w:pPr>
      <w:keepNext/>
      <w:keepLines/>
      <w:spacing w:before="160" w:after="120" w:line="400" w:lineRule="exact"/>
      <w:ind w:firstLine="0"/>
      <w:outlineLvl w:val="1"/>
    </w:pPr>
    <w:rPr>
      <w:rFonts w:ascii="Times New Roman" w:hAnsi="Times New Roman" w:eastAsia="Songti SC"/>
      <w:b/>
      <w:bCs/>
      <w:color w:val="000000"/>
      <w:sz w:val="26"/>
      <w:szCs w:val="26"/>
      <w:lang w:eastAsia="zh-CN"/>
    </w:rPr>
  </w:style>
  <w:style w:type="paragraph" w:styleId="Heading3">
    <w:name w:val="heading 3"/>
    <w:basedOn w:val="Normal"/>
    <w:next w:val="Normal"/>
    <w:link w:val="Heading3Char"/>
    <w:uiPriority w:val="9"/>
    <w:unhideWhenUsed/>
    <w:qFormat/>
    <w:rsid w:val="00FC693F"/>
    <w:pPr>
      <w:keepNext/>
      <w:keepLines/>
      <w:spacing w:before="160" w:after="120" w:line="400" w:lineRule="exact"/>
      <w:ind w:firstLine="0"/>
      <w:outlineLvl w:val="2"/>
    </w:pPr>
    <w:rPr>
      <w:rFonts w:ascii="Times New Roman" w:hAnsi="Times New Roman" w:eastAsia="Songti SC"/>
      <w:b/>
      <w:bCs/>
      <w:color w:val="000000"/>
      <w:sz w:val="24"/>
      <w:lang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Songti SC"/>
      <w:b/>
      <w:color w:val="000000"/>
      <w:spacing w:val="5"/>
      <w:kern w:val="28"/>
      <w:sz w:val="42"/>
      <w:szCs w:val="52"/>
      <w:lang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6" w:lineRule="auto" w:after="120"/>
      <w:ind w:firstLine="0"/>
    </w:pPr>
    <w:rPr>
      <w:rFonts w:ascii="Times New Roman" w:hAnsi="Times New Roman" w:eastAsia="Songti SC"/>
      <w:b w:val="0"/>
      <w:bCs/>
      <w:color w:val="000000"/>
      <w:sz w:val="21"/>
      <w:szCs w:val="18"/>
      <w:lang w:eastAsia="zh-CN"/>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数据质量管理文件</dc:title>
  <dc:subject>矿山装备制造领域高质量数据集建设及场景应用项目配套设施 数据加工生产服务</dc:subject>
  <dc:creator/>
  <cp:keywords/>
  <dc:description/>
  <cp:lastModifiedBy/>
  <cp:revision>1</cp:revision>
  <dcterms:created xsi:type="dcterms:W3CDTF">2013-12-23T23:15:00Z</dcterms:created>
  <dcterms:modified xsi:type="dcterms:W3CDTF">2013-12-23T23:15:00Z</dcterms:modified>
  <cp:category/>
</cp:coreProperties>
</file>