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40"/>
        <w:ind w:firstLine="0"/>
        <w:jc w:val="center"/>
      </w:pPr>
      <w:r>
        <w:t>数据治理管理文件</w:t>
      </w:r>
    </w:p>
    <w:p>
      <w:pPr>
        <w:spacing w:line="324" w:lineRule="auto"/>
        <w:ind w:firstLine="0"/>
        <w:jc w:val="center"/>
      </w:pPr>
      <w:r>
        <w:t>矿山装备制造领域高质量数据集建设及场景应用项目配套设施</w:t>
        <w:br/>
        <w:t>数据加工生产服务</w:t>
      </w:r>
    </w:p>
    <w:p>
      <w:pPr>
        <w:spacing w:after="200"/>
      </w:pPr>
      <w:r>
        <w:t>我方围绕矿山装备制造领域的数据治理要求，形成数据治理顶层规划方案、数据治理组织架构、全套数据治理顶层管理制度和数据文化建设方案，将治理目标落实到岗位职责、业务流程、平台作业及能力培养，明确实施、验证、监督和持续维护要求。</w:t>
      </w:r>
    </w:p>
    <w:p>
      <w:pPr>
        <w:spacing w:line="264" w:lineRule="auto"/>
        <w:ind w:firstLine="0"/>
      </w:pPr>
      <w:r>
        <w:rPr>
          <w:b/>
        </w:rPr>
        <w:t>目录</w:t>
      </w:r>
    </w:p>
    <w:p>
      <w:pPr>
        <w:tabs>
          <w:tab w:pos="9411" w:val="right" w:leader="dot"/>
        </w:tabs>
        <w:spacing w:line="300" w:lineRule="exact" w:after="40"/>
        <w:ind w:firstLine="0"/>
      </w:pPr>
      <w:r>
        <w:rPr>
          <w:sz w:val="21"/>
        </w:rPr>
        <w:t>1 数据治理顶层规划方案</w:t>
        <w:tab/>
        <w:t>2</w:t>
      </w:r>
    </w:p>
    <w:p>
      <w:pPr>
        <w:tabs>
          <w:tab w:pos="9411" w:val="right" w:leader="dot"/>
        </w:tabs>
        <w:spacing w:line="300" w:lineRule="exact" w:after="40"/>
        <w:ind w:firstLine="0"/>
      </w:pPr>
      <w:r>
        <w:rPr>
          <w:sz w:val="21"/>
        </w:rPr>
        <w:t>2 数据治理组织架构</w:t>
        <w:tab/>
        <w:t>17</w:t>
      </w:r>
    </w:p>
    <w:p>
      <w:pPr>
        <w:tabs>
          <w:tab w:pos="9411" w:val="right" w:leader="dot"/>
        </w:tabs>
        <w:spacing w:line="300" w:lineRule="exact" w:after="40"/>
        <w:ind w:firstLine="0"/>
      </w:pPr>
      <w:r>
        <w:rPr>
          <w:sz w:val="21"/>
        </w:rPr>
        <w:t>3 全套数据治理顶层管理制度</w:t>
        <w:tab/>
        <w:t>29</w:t>
      </w:r>
    </w:p>
    <w:p>
      <w:pPr>
        <w:tabs>
          <w:tab w:pos="9411" w:val="right" w:leader="dot"/>
        </w:tabs>
        <w:spacing w:line="300" w:lineRule="exact" w:after="40"/>
        <w:ind w:firstLine="0"/>
      </w:pPr>
      <w:r>
        <w:rPr>
          <w:sz w:val="21"/>
        </w:rPr>
        <w:t>4 数据文化建设方案</w:t>
        <w:tab/>
        <w:t>49</w:t>
      </w:r>
    </w:p>
    <w:p>
      <w:r>
        <w:br w:type="page"/>
      </w:r>
    </w:p>
    <w:p>
      <w:pPr>
        <w:pStyle w:val="Heading1"/>
      </w:pPr>
      <w:r>
        <w:t>1 数据治理顶层规划方案</w:t>
      </w:r>
    </w:p>
    <w:p>
      <w:pPr>
        <w:pStyle w:val="Heading2"/>
      </w:pPr>
      <w:r>
        <w:t>1.1 文件管理与规划范围</w:t>
      </w:r>
    </w:p>
    <w:p>
      <w:pPr>
        <w:pStyle w:val="Heading3"/>
      </w:pPr>
      <w:r>
        <w:t>1.1.1 文件标识与管理责任</w:t>
      </w:r>
    </w:p>
    <w:p>
      <w:pPr>
        <w:pStyle w:val="Caption"/>
        <w:keepNext/>
      </w:pPr>
      <w:r>
        <w:t>表1-1 文件标识与管理责任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90" w:type="dxa"/>
          <w:bottom w:w="90" w:type="dxa"/>
          <w:left w:w="95" w:type="dxa"/>
          <w:right w:w="95" w:type="dxa"/>
        </w:tblCellMar>
      </w:tblPr>
      <w:tblGrid>
        <w:gridCol w:w="2409"/>
        <w:gridCol w:w="7228"/>
      </w:tblGrid>
      <w:tr>
        <w:trPr>
          <w:cantSplit/>
          <w:tblHeader/>
        </w:trPr>
        <w:tc>
          <w:tcPr>
            <w:tcW w:type="dxa" w:w="2409"/>
            <w:vAlign w:val="center"/>
            <w:shd w:fill="EDF1F3"/>
          </w:tcPr>
          <w:p>
            <w:pPr>
              <w:keepNext/>
              <w:spacing w:line="320" w:lineRule="exact" w:after="0" w:before="0"/>
              <w:ind w:firstLine="0"/>
              <w:jc w:val="center"/>
            </w:pPr>
            <w:r>
              <w:rPr>
                <w:b/>
                <w:sz w:val="21"/>
              </w:rPr>
              <w:t>管理项目</w:t>
            </w:r>
          </w:p>
        </w:tc>
        <w:tc>
          <w:tcPr>
            <w:tcW w:type="dxa" w:w="7228"/>
            <w:vAlign w:val="center"/>
            <w:shd w:fill="EDF1F3"/>
          </w:tcPr>
          <w:p>
            <w:pPr>
              <w:keepNext/>
              <w:spacing w:line="320" w:lineRule="exact" w:after="0" w:before="0"/>
              <w:ind w:firstLine="0"/>
              <w:jc w:val="center"/>
            </w:pPr>
            <w:r>
              <w:rPr>
                <w:b/>
                <w:sz w:val="21"/>
              </w:rPr>
              <w:t>管理内容</w:t>
            </w:r>
          </w:p>
        </w:tc>
      </w:tr>
      <w:tr>
        <w:trPr>
          <w:cantSplit/>
        </w:trPr>
        <w:tc>
          <w:tcPr>
            <w:tcW w:type="dxa" w:w="2409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文件名称</w:t>
            </w:r>
          </w:p>
        </w:tc>
        <w:tc>
          <w:tcPr>
            <w:tcW w:type="dxa" w:w="7228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数据治理顶层规划方案</w:t>
            </w:r>
          </w:p>
        </w:tc>
      </w:tr>
      <w:tr>
        <w:trPr>
          <w:cantSplit/>
        </w:trPr>
        <w:tc>
          <w:tcPr>
            <w:tcW w:type="dxa" w:w="2409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文件标识</w:t>
            </w:r>
          </w:p>
        </w:tc>
        <w:tc>
          <w:tcPr>
            <w:tcW w:type="dxa" w:w="7228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GHY26691-GV-02-0001-V1.0</w:t>
            </w:r>
          </w:p>
        </w:tc>
      </w:tr>
      <w:tr>
        <w:trPr>
          <w:cantSplit/>
        </w:trPr>
        <w:tc>
          <w:tcPr>
            <w:tcW w:type="dxa" w:w="2409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适用组织</w:t>
            </w:r>
          </w:p>
        </w:tc>
        <w:tc>
          <w:tcPr>
            <w:tcW w:type="dxa" w:w="7228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宁夏天地奔牛实业集团有限公司</w:t>
            </w:r>
          </w:p>
        </w:tc>
      </w:tr>
      <w:tr>
        <w:trPr>
          <w:cantSplit/>
        </w:trPr>
        <w:tc>
          <w:tcPr>
            <w:tcW w:type="dxa" w:w="2409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适用活动</w:t>
            </w:r>
          </w:p>
        </w:tc>
        <w:tc>
          <w:tcPr>
            <w:tcW w:type="dxa" w:w="7228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数据治理组织建设、制度建设、运行协同、实施监督、考核及能力提升</w:t>
            </w:r>
          </w:p>
        </w:tc>
      </w:tr>
      <w:tr>
        <w:trPr>
          <w:cantSplit/>
        </w:trPr>
        <w:tc>
          <w:tcPr>
            <w:tcW w:type="dxa" w:w="2409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管理归口</w:t>
            </w:r>
          </w:p>
        </w:tc>
        <w:tc>
          <w:tcPr>
            <w:tcW w:type="dxa" w:w="7228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数据管理办公室承担归口管理，业务及专业管理岗位承担相应范围审核</w:t>
            </w:r>
          </w:p>
        </w:tc>
      </w:tr>
      <w:tr>
        <w:trPr>
          <w:cantSplit/>
        </w:trPr>
        <w:tc>
          <w:tcPr>
            <w:tcW w:type="dxa" w:w="2409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审批责任</w:t>
            </w:r>
          </w:p>
        </w:tc>
        <w:tc>
          <w:tcPr>
            <w:tcW w:type="dxa" w:w="7228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数据治理委员会按公司授权审议，涉及公司其他审批权限的事项履行相应程序</w:t>
            </w:r>
          </w:p>
        </w:tc>
      </w:tr>
      <w:tr>
        <w:trPr>
          <w:cantSplit/>
        </w:trPr>
        <w:tc>
          <w:tcPr>
            <w:tcW w:type="dxa" w:w="2409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关联文件</w:t>
            </w:r>
          </w:p>
        </w:tc>
        <w:tc>
          <w:tcPr>
            <w:tcW w:type="dxa" w:w="7228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数据战略管理办法、数据战略规划、数据战略实施计划及战略评估报告</w:t>
            </w:r>
          </w:p>
        </w:tc>
      </w:tr>
      <w:tr>
        <w:trPr>
          <w:cantSplit/>
        </w:trPr>
        <w:tc>
          <w:tcPr>
            <w:tcW w:type="dxa" w:w="2409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版本管理</w:t>
            </w:r>
          </w:p>
        </w:tc>
        <w:tc>
          <w:tcPr>
            <w:tcW w:type="dxa" w:w="7228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按受控制度发布、调整及废止，保留生效时间、适用范围与替代关系</w:t>
            </w:r>
          </w:p>
        </w:tc>
      </w:tr>
    </w:tbl>
    <w:p>
      <w:pPr>
        <w:spacing w:after="40" w:line="240" w:lineRule="auto"/>
        <w:ind w:firstLine="0"/>
      </w:pPr>
      <w:r>
        <w:rPr>
          <w:sz w:val="4"/>
        </w:rPr>
      </w:r>
    </w:p>
    <w:p>
      <w:pPr>
        <w:jc w:val="both"/>
      </w:pPr>
      <w:r>
        <w:t>本方案规定公司数据治理的组织关系、制度体系、任务安排及运行要求。治理工作覆盖数据形成、汇集、加工、存储、使用、共享、归档和销毁等活动，围绕矿山装备制造的业务对象建立责任和管理规则，并将规则落实到实际岗位、业务流程与信息系统。</w:t>
      </w:r>
    </w:p>
    <w:p>
      <w:pPr>
        <w:jc w:val="both"/>
      </w:pPr>
      <w:r>
        <w:t>公司是宁夏天地奔牛实业集团有限公司的简称。数据治理委员会承担治理决策职责，数据管理办公室承担治理统筹职责，业务归口部门及专业执行岗位承担具体管理和作业职责。机构及岗位与公司现行组织建立正式映射，按照批准的任职、授权和职责范围开展工作。组织称谓所代表的权限以公司正式授权为依据。</w:t>
      </w:r>
    </w:p>
    <w:p>
      <w:pPr>
        <w:jc w:val="both"/>
      </w:pPr>
      <w:r>
        <w:t>我方在项目建设期完成调查分析、规划编制、组织及制度设计、平台配置、流程验证、培训和移交，配合甲方开展评审与运行检查。业务口径认定、制度批准、人员任命和数据使用授权由甲方相应有权岗位办理。我方依据批准文件实施技术工作，并对所承担的成果质量、实施记录及交付承担责任。</w:t>
      </w:r>
    </w:p>
    <w:p>
      <w:pPr>
        <w:pStyle w:val="Heading3"/>
      </w:pPr>
      <w:r>
        <w:t>1.1.2 业务范围与资源范围</w:t>
      </w:r>
    </w:p>
    <w:p>
      <w:pPr>
        <w:jc w:val="both"/>
      </w:pPr>
      <w:r>
        <w:t>治理范围包括人力资源、研发设计、生产制造、仓储物流、财务管理、设备管理、采购管理、营销管理和质量管理九个业务域。业务域用于划分数据责任和管理对象，同一业务域可以涉及多套系统，一套系统也可以支撑多个业务域。规划分别保存业务范围、系统范围与数据对象范围，避免以系统登录权限代替业务管理责任。</w:t>
      </w:r>
    </w:p>
    <w:p>
      <w:pPr>
        <w:jc w:val="both"/>
      </w:pPr>
      <w:r>
        <w:t>来源系统范围覆盖CRM、ERP、SCM、QMS、WMS、MES、LMS、EMS、SOS、EAM、PLM、SCADA、OA、久其、主数据、热处理群控和安全监管等十七套系统。调查时核定各系统实际名称、部署实例、模块归属、管理岗位和有效接口，保留系统别名及历史名称。对停用系统和历史归档数据，分别核查保管责任、可读取条件及继续使用的业务依据。</w:t>
      </w:r>
    </w:p>
    <w:p>
      <w:pPr>
        <w:jc w:val="both"/>
      </w:pPr>
      <w:r>
        <w:t>图纸、工艺卡、检验报告、设备档案、会议决议、管理制度、技术标准和合同附件等系统外资料，按文件来源登记并与业务对象关联。数据提取后仍保留原始形成单位、批准状态、业务时间和原文件位置。无法确认来源或权利的资料纳入调查问题清单，在完成核验前不进入正式共享与发布范围。</w:t>
      </w:r>
    </w:p>
    <w:p>
      <w:pPr>
        <w:pStyle w:val="Caption"/>
        <w:keepNext/>
      </w:pPr>
      <w:r>
        <w:t>表1-2 业务范围与资源范围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90" w:type="dxa"/>
          <w:bottom w:w="90" w:type="dxa"/>
          <w:left w:w="95" w:type="dxa"/>
          <w:right w:w="95" w:type="dxa"/>
        </w:tblCellMar>
      </w:tblPr>
      <w:tblGrid>
        <w:gridCol w:w="1638"/>
        <w:gridCol w:w="2699"/>
        <w:gridCol w:w="2409"/>
        <w:gridCol w:w="2891"/>
      </w:tblGrid>
      <w:tr>
        <w:trPr>
          <w:cantSplit/>
          <w:tblHeader/>
        </w:trPr>
        <w:tc>
          <w:tcPr>
            <w:tcW w:type="dxa" w:w="1638"/>
            <w:vAlign w:val="center"/>
            <w:shd w:fill="EDF1F3"/>
          </w:tcPr>
          <w:p>
            <w:pPr>
              <w:keepNext/>
              <w:spacing w:line="320" w:lineRule="exact" w:after="0" w:before="0"/>
              <w:ind w:firstLine="0"/>
              <w:jc w:val="center"/>
            </w:pPr>
            <w:r>
              <w:rPr>
                <w:b/>
                <w:sz w:val="21"/>
              </w:rPr>
              <w:t>业务域</w:t>
            </w:r>
          </w:p>
        </w:tc>
        <w:tc>
          <w:tcPr>
            <w:tcW w:type="dxa" w:w="2699"/>
            <w:vAlign w:val="center"/>
            <w:shd w:fill="EDF1F3"/>
          </w:tcPr>
          <w:p>
            <w:pPr>
              <w:keepNext/>
              <w:spacing w:line="320" w:lineRule="exact" w:after="0" w:before="0"/>
              <w:ind w:firstLine="0"/>
              <w:jc w:val="center"/>
            </w:pPr>
            <w:r>
              <w:rPr>
                <w:b/>
                <w:sz w:val="21"/>
              </w:rPr>
              <w:t>重点治理对象</w:t>
            </w:r>
          </w:p>
        </w:tc>
        <w:tc>
          <w:tcPr>
            <w:tcW w:type="dxa" w:w="2409"/>
            <w:vAlign w:val="center"/>
            <w:shd w:fill="EDF1F3"/>
          </w:tcPr>
          <w:p>
            <w:pPr>
              <w:keepNext/>
              <w:spacing w:line="320" w:lineRule="exact" w:after="0" w:before="0"/>
              <w:ind w:firstLine="0"/>
              <w:jc w:val="center"/>
            </w:pPr>
            <w:r>
              <w:rPr>
                <w:b/>
                <w:sz w:val="21"/>
              </w:rPr>
              <w:t>需要形成的业务关联</w:t>
            </w:r>
          </w:p>
        </w:tc>
        <w:tc>
          <w:tcPr>
            <w:tcW w:type="dxa" w:w="2891"/>
            <w:vAlign w:val="center"/>
            <w:shd w:fill="EDF1F3"/>
          </w:tcPr>
          <w:p>
            <w:pPr>
              <w:keepNext/>
              <w:spacing w:line="320" w:lineRule="exact" w:after="0" w:before="0"/>
              <w:ind w:firstLine="0"/>
              <w:jc w:val="center"/>
            </w:pPr>
            <w:r>
              <w:rPr>
                <w:b/>
                <w:sz w:val="21"/>
              </w:rPr>
              <w:t>首要管理责任</w:t>
            </w:r>
          </w:p>
        </w:tc>
      </w:tr>
      <w:tr>
        <w:trPr>
          <w:cantSplit/>
        </w:trPr>
        <w:tc>
          <w:tcPr>
            <w:tcW w:type="dxa" w:w="1638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人力资源</w:t>
            </w:r>
          </w:p>
        </w:tc>
        <w:tc>
          <w:tcPr>
            <w:tcW w:type="dxa" w:w="2699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组织、岗位、人员资格、培训记录</w:t>
            </w:r>
          </w:p>
        </w:tc>
        <w:tc>
          <w:tcPr>
            <w:tcW w:type="dxa" w:w="2409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岗位与实际任职、权限及任务的对应</w:t>
            </w:r>
          </w:p>
        </w:tc>
        <w:tc>
          <w:tcPr>
            <w:tcW w:type="dxa" w:w="2891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任职有效性与个人信息使用范围</w:t>
            </w:r>
          </w:p>
        </w:tc>
      </w:tr>
      <w:tr>
        <w:trPr>
          <w:cantSplit/>
        </w:trPr>
        <w:tc>
          <w:tcPr>
            <w:tcW w:type="dxa" w:w="1638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研发设计</w:t>
            </w:r>
          </w:p>
        </w:tc>
        <w:tc>
          <w:tcPr>
            <w:tcW w:type="dxa" w:w="2699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产品、零部件、图纸、物料清单及设计变更</w:t>
            </w:r>
          </w:p>
        </w:tc>
        <w:tc>
          <w:tcPr>
            <w:tcW w:type="dxa" w:w="2409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产品结构与图纸版本、工艺及检验要求的对应</w:t>
            </w:r>
          </w:p>
        </w:tc>
        <w:tc>
          <w:tcPr>
            <w:tcW w:type="dxa" w:w="2891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设计定义与有效版本确认</w:t>
            </w:r>
          </w:p>
        </w:tc>
      </w:tr>
      <w:tr>
        <w:trPr>
          <w:cantSplit/>
        </w:trPr>
        <w:tc>
          <w:tcPr>
            <w:tcW w:type="dxa" w:w="1638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生产制造</w:t>
            </w:r>
          </w:p>
        </w:tc>
        <w:tc>
          <w:tcPr>
            <w:tcW w:type="dxa" w:w="2699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工单、工件、工序、炉次、焊接及生产实绩</w:t>
            </w:r>
          </w:p>
        </w:tc>
        <w:tc>
          <w:tcPr>
            <w:tcW w:type="dxa" w:w="2409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生产对象与实际过程、设备及质量结果的对应</w:t>
            </w:r>
          </w:p>
        </w:tc>
        <w:tc>
          <w:tcPr>
            <w:tcW w:type="dxa" w:w="2891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过程记录与实际状态一致</w:t>
            </w:r>
          </w:p>
        </w:tc>
      </w:tr>
      <w:tr>
        <w:trPr>
          <w:cantSplit/>
        </w:trPr>
        <w:tc>
          <w:tcPr>
            <w:tcW w:type="dxa" w:w="1638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仓储物流</w:t>
            </w:r>
          </w:p>
        </w:tc>
        <w:tc>
          <w:tcPr>
            <w:tcW w:type="dxa" w:w="2699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物料、批次、库位、收发存及运输</w:t>
            </w:r>
          </w:p>
        </w:tc>
        <w:tc>
          <w:tcPr>
            <w:tcW w:type="dxa" w:w="2409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物料身份与库存时点、订单及交付的对应</w:t>
            </w:r>
          </w:p>
        </w:tc>
        <w:tc>
          <w:tcPr>
            <w:tcW w:type="dxa" w:w="2891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数量、状态与时间口径确认</w:t>
            </w:r>
          </w:p>
        </w:tc>
      </w:tr>
      <w:tr>
        <w:trPr>
          <w:cantSplit/>
        </w:trPr>
        <w:tc>
          <w:tcPr>
            <w:tcW w:type="dxa" w:w="1638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财务管理</w:t>
            </w:r>
          </w:p>
        </w:tc>
        <w:tc>
          <w:tcPr>
            <w:tcW w:type="dxa" w:w="2699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成本、核算项目、结算及经营指标</w:t>
            </w:r>
          </w:p>
        </w:tc>
        <w:tc>
          <w:tcPr>
            <w:tcW w:type="dxa" w:w="2409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业务单据与核算范围、期间及口径的对应</w:t>
            </w:r>
          </w:p>
        </w:tc>
        <w:tc>
          <w:tcPr>
            <w:tcW w:type="dxa" w:w="2891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核算含义与审批范围确认</w:t>
            </w:r>
          </w:p>
        </w:tc>
      </w:tr>
      <w:tr>
        <w:trPr>
          <w:cantSplit/>
        </w:trPr>
        <w:tc>
          <w:tcPr>
            <w:tcW w:type="dxa" w:w="1638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设备管理</w:t>
            </w:r>
          </w:p>
        </w:tc>
        <w:tc>
          <w:tcPr>
            <w:tcW w:type="dxa" w:w="2699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设备、部件、测点、故障及维修</w:t>
            </w:r>
          </w:p>
        </w:tc>
        <w:tc>
          <w:tcPr>
            <w:tcW w:type="dxa" w:w="2409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设备结构与测点配置、工况和维修事件的对应</w:t>
            </w:r>
          </w:p>
        </w:tc>
        <w:tc>
          <w:tcPr>
            <w:tcW w:type="dxa" w:w="2891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设备身份与有效配置维护</w:t>
            </w:r>
          </w:p>
        </w:tc>
      </w:tr>
      <w:tr>
        <w:trPr>
          <w:cantSplit/>
        </w:trPr>
        <w:tc>
          <w:tcPr>
            <w:tcW w:type="dxa" w:w="1638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采购管理</w:t>
            </w:r>
          </w:p>
        </w:tc>
        <w:tc>
          <w:tcPr>
            <w:tcW w:type="dxa" w:w="2699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供应商、采购订单、到货及供应质量</w:t>
            </w:r>
          </w:p>
        </w:tc>
        <w:tc>
          <w:tcPr>
            <w:tcW w:type="dxa" w:w="2409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采购需求与合同、物料及到货检验的对应</w:t>
            </w:r>
          </w:p>
        </w:tc>
        <w:tc>
          <w:tcPr>
            <w:tcW w:type="dxa" w:w="2891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采购事实与变更状态维护</w:t>
            </w:r>
          </w:p>
        </w:tc>
      </w:tr>
      <w:tr>
        <w:trPr>
          <w:cantSplit/>
        </w:trPr>
        <w:tc>
          <w:tcPr>
            <w:tcW w:type="dxa" w:w="1638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营销管理</w:t>
            </w:r>
          </w:p>
        </w:tc>
        <w:tc>
          <w:tcPr>
            <w:tcW w:type="dxa" w:w="2699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客户、需求、产品配置、合同及交付</w:t>
            </w:r>
          </w:p>
        </w:tc>
        <w:tc>
          <w:tcPr>
            <w:tcW w:type="dxa" w:w="2409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需求条件与产品选型、订单和交付的对应</w:t>
            </w:r>
          </w:p>
        </w:tc>
        <w:tc>
          <w:tcPr>
            <w:tcW w:type="dxa" w:w="2891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客户需求及合同适用条件确认</w:t>
            </w:r>
          </w:p>
        </w:tc>
      </w:tr>
      <w:tr>
        <w:trPr>
          <w:cantSplit/>
        </w:trPr>
        <w:tc>
          <w:tcPr>
            <w:tcW w:type="dxa" w:w="1638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质量管理</w:t>
            </w:r>
          </w:p>
        </w:tc>
        <w:tc>
          <w:tcPr>
            <w:tcW w:type="dxa" w:w="2699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检验对象、项目、标准、缺陷及整改</w:t>
            </w:r>
          </w:p>
        </w:tc>
        <w:tc>
          <w:tcPr>
            <w:tcW w:type="dxa" w:w="2409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检验依据与对象版本、过程和结论的对应</w:t>
            </w:r>
          </w:p>
        </w:tc>
        <w:tc>
          <w:tcPr>
            <w:tcW w:type="dxa" w:w="2891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专业判定与整改复核</w:t>
            </w:r>
          </w:p>
        </w:tc>
      </w:tr>
    </w:tbl>
    <w:p>
      <w:pPr>
        <w:spacing w:after="40" w:line="240" w:lineRule="auto"/>
        <w:ind w:firstLine="0"/>
      </w:pPr>
      <w:r>
        <w:rPr>
          <w:sz w:val="4"/>
        </w:rPr>
      </w:r>
    </w:p>
    <w:p>
      <w:pPr>
        <w:pStyle w:val="Heading2"/>
      </w:pPr>
      <w:r>
        <w:t>1.2 规划依据与现状核验</w:t>
      </w:r>
    </w:p>
    <w:p>
      <w:pPr>
        <w:pStyle w:val="Heading3"/>
      </w:pPr>
      <w:r>
        <w:t>1.2.1 要求识别和基线建立</w:t>
      </w:r>
    </w:p>
    <w:p>
      <w:pPr>
        <w:jc w:val="both"/>
      </w:pPr>
      <w:r>
        <w:t>治理规划以项目招标要求、合同及技术协议、公司有效制度和经确认的现状调查结果为依据。数据管理能力建设依据适用的《数据管理能力成熟度评估模型》GB/T 36073开展要求识别、差距分析、改进实施及证据积累，按项目要求支撑三级能力建设。正式能力等级以适用评价程序及其结论为准，制度文本和功能清单分别作为相应事项的证据。</w:t>
      </w:r>
    </w:p>
    <w:p>
      <w:pPr>
        <w:jc w:val="both"/>
      </w:pPr>
      <w:r>
        <w:t>我方建立要求清单，记录要求名称、对象、责任、完成条件及检查依据。九项治理规划领域、九个业务域和九项治理实施能力分别建立对应关系。规划领域包括数据战略、数据治理、数据架构、数据资产、数据标准、数据质量、数据安全、数据生存周期和数据应用流通；业务域反映实际生产经营范围；实施能力反映平台及岗位应执行的管理活动。</w:t>
      </w:r>
    </w:p>
    <w:p>
      <w:pPr>
        <w:jc w:val="both"/>
      </w:pPr>
      <w:r>
        <w:t>现状调查围绕组织、制度、业务、系统、数据、质量、安全、运营及人员能力开展。每项结论登记材料名称、版本、形成时间、调查范围、确认岗位及核验方式。已有做法分别记录正式规定、实际执行和保留证据，评价时检查三者是否一致。对于访谈提出但尚不能核实的情况，继续通过原始记录、系统抽查或现场操作核验，形成明确调查任务。</w:t>
      </w:r>
    </w:p>
    <w:p>
      <w:pPr>
        <w:jc w:val="both"/>
      </w:pPr>
      <w:r>
        <w:t>基线优先采用可复算的业务和运行记录。对象覆盖以批准的对象清单为分母，问题处置以独立问题和实际复核结果为依据，岗位能力通过规定任务的操作结果认定。统计时保留截止时点、版本、排除条件及计算过程，基线后续更正时保留原结果、差异原因及批准记录。</w:t>
      </w:r>
    </w:p>
    <w:p>
      <w:pPr>
        <w:pStyle w:val="Heading3"/>
      </w:pPr>
      <w:r>
        <w:t>1.2.2 缺口分类与治理优先级</w:t>
      </w:r>
    </w:p>
    <w:p>
      <w:pPr>
        <w:jc w:val="both"/>
      </w:pPr>
      <w:r>
        <w:t>治理缺口按责任不清、定义不一致、过程缺失、规则未实施、质量不满足、权限不适当、证据不完整和能力不足等类型登记。同一问题可以涉及多种原因，但应指定一个牵头责任岗位，并将不同处理动作分派到相应岗位。问题描述应能定位具体对象、发生环节、影响范围和已知事实，不将笼统印象直接作为改进依据。</w:t>
      </w:r>
    </w:p>
    <w:p>
      <w:pPr>
        <w:jc w:val="both"/>
      </w:pPr>
      <w:r>
        <w:t>优先级综合考虑对合同交付、生产经营、安全、质量及关键依赖的影响。影响数据合法使用、重要数据安全、核心业务对象关联或正式验收的事项优先处理。对暂不具备永久整改条件的缺口，制定限制使用、隔离、人工复核等临时措施，明确适用范围、有效期限和转为正式整改的条件。</w:t>
      </w:r>
    </w:p>
    <w:p>
      <w:pPr>
        <w:jc w:val="both"/>
      </w:pPr>
      <w:r>
        <w:t>跨系统问题沿业务链追溯，先查对象身份、版本和时间，再查转换、计算和输出。若源端业务含义正确而接口映射错误，由技术岗位修正映射；若业务定义存在实质分歧，先由归口岗位确认含义，再修改实现。对相同名称承载不同业务事实的情况，设置不同的术语或指标，并保留其换算和使用条件。</w:t>
      </w:r>
    </w:p>
    <w:p>
      <w:pPr>
        <w:pStyle w:val="Caption"/>
        <w:keepNext/>
      </w:pPr>
      <w:r>
        <w:t>表1-3 缺口分类与治理优先级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90" w:type="dxa"/>
          <w:bottom w:w="90" w:type="dxa"/>
          <w:left w:w="95" w:type="dxa"/>
          <w:right w:w="95" w:type="dxa"/>
        </w:tblCellMar>
      </w:tblPr>
      <w:tblGrid>
        <w:gridCol w:w="1638"/>
        <w:gridCol w:w="2699"/>
        <w:gridCol w:w="2409"/>
        <w:gridCol w:w="2891"/>
      </w:tblGrid>
      <w:tr>
        <w:trPr>
          <w:cantSplit/>
          <w:tblHeader/>
        </w:trPr>
        <w:tc>
          <w:tcPr>
            <w:tcW w:type="dxa" w:w="1638"/>
            <w:vAlign w:val="center"/>
            <w:shd w:fill="EDF1F3"/>
          </w:tcPr>
          <w:p>
            <w:pPr>
              <w:keepNext/>
              <w:spacing w:line="320" w:lineRule="exact" w:after="0" w:before="0"/>
              <w:ind w:firstLine="0"/>
              <w:jc w:val="center"/>
            </w:pPr>
            <w:r>
              <w:rPr>
                <w:b/>
                <w:sz w:val="21"/>
              </w:rPr>
              <w:t>缺口类别</w:t>
            </w:r>
          </w:p>
        </w:tc>
        <w:tc>
          <w:tcPr>
            <w:tcW w:type="dxa" w:w="2699"/>
            <w:vAlign w:val="center"/>
            <w:shd w:fill="EDF1F3"/>
          </w:tcPr>
          <w:p>
            <w:pPr>
              <w:keepNext/>
              <w:spacing w:line="320" w:lineRule="exact" w:after="0" w:before="0"/>
              <w:ind w:firstLine="0"/>
              <w:jc w:val="center"/>
            </w:pPr>
            <w:r>
              <w:rPr>
                <w:b/>
                <w:sz w:val="21"/>
              </w:rPr>
              <w:t>核验对象</w:t>
            </w:r>
          </w:p>
        </w:tc>
        <w:tc>
          <w:tcPr>
            <w:tcW w:type="dxa" w:w="2409"/>
            <w:vAlign w:val="center"/>
            <w:shd w:fill="EDF1F3"/>
          </w:tcPr>
          <w:p>
            <w:pPr>
              <w:keepNext/>
              <w:spacing w:line="320" w:lineRule="exact" w:after="0" w:before="0"/>
              <w:ind w:firstLine="0"/>
              <w:jc w:val="center"/>
            </w:pPr>
            <w:r>
              <w:rPr>
                <w:b/>
                <w:sz w:val="21"/>
              </w:rPr>
              <w:t>优先采取的处理</w:t>
            </w:r>
          </w:p>
        </w:tc>
        <w:tc>
          <w:tcPr>
            <w:tcW w:type="dxa" w:w="2891"/>
            <w:vAlign w:val="center"/>
            <w:shd w:fill="EDF1F3"/>
          </w:tcPr>
          <w:p>
            <w:pPr>
              <w:keepNext/>
              <w:spacing w:line="320" w:lineRule="exact" w:after="0" w:before="0"/>
              <w:ind w:firstLine="0"/>
              <w:jc w:val="center"/>
            </w:pPr>
            <w:r>
              <w:rPr>
                <w:b/>
                <w:sz w:val="21"/>
              </w:rPr>
              <w:t>完成判断</w:t>
            </w:r>
          </w:p>
        </w:tc>
      </w:tr>
      <w:tr>
        <w:trPr>
          <w:cantSplit/>
        </w:trPr>
        <w:tc>
          <w:tcPr>
            <w:tcW w:type="dxa" w:w="1638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责任缺口</w:t>
            </w:r>
          </w:p>
        </w:tc>
        <w:tc>
          <w:tcPr>
            <w:tcW w:type="dxa" w:w="2699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归口、执行、审核及替补岗位</w:t>
            </w:r>
          </w:p>
        </w:tc>
        <w:tc>
          <w:tcPr>
            <w:tcW w:type="dxa" w:w="2409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补充责任映射和授权</w:t>
            </w:r>
          </w:p>
        </w:tc>
        <w:tc>
          <w:tcPr>
            <w:tcW w:type="dxa" w:w="2891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实际待办可分派且接任关系有效</w:t>
            </w:r>
          </w:p>
        </w:tc>
      </w:tr>
      <w:tr>
        <w:trPr>
          <w:cantSplit/>
        </w:trPr>
        <w:tc>
          <w:tcPr>
            <w:tcW w:type="dxa" w:w="1638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定义冲突</w:t>
            </w:r>
          </w:p>
        </w:tc>
        <w:tc>
          <w:tcPr>
            <w:tcW w:type="dxa" w:w="2699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术语、单位、状态、粒度及时间</w:t>
            </w:r>
          </w:p>
        </w:tc>
        <w:tc>
          <w:tcPr>
            <w:tcW w:type="dxa" w:w="2409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组织业务确认并登记适用范围</w:t>
            </w:r>
          </w:p>
        </w:tc>
        <w:tc>
          <w:tcPr>
            <w:tcW w:type="dxa" w:w="2891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正反例和跨系统对账通过</w:t>
            </w:r>
          </w:p>
        </w:tc>
      </w:tr>
      <w:tr>
        <w:trPr>
          <w:cantSplit/>
        </w:trPr>
        <w:tc>
          <w:tcPr>
            <w:tcW w:type="dxa" w:w="1638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流程缺失</w:t>
            </w:r>
          </w:p>
        </w:tc>
        <w:tc>
          <w:tcPr>
            <w:tcW w:type="dxa" w:w="2699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审批、变更、发布和退出记录</w:t>
            </w:r>
          </w:p>
        </w:tc>
        <w:tc>
          <w:tcPr>
            <w:tcW w:type="dxa" w:w="2409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完善流程及必需记录</w:t>
            </w:r>
          </w:p>
        </w:tc>
        <w:tc>
          <w:tcPr>
            <w:tcW w:type="dxa" w:w="2891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实际事项按规定完成并可回查</w:t>
            </w:r>
          </w:p>
        </w:tc>
      </w:tr>
      <w:tr>
        <w:trPr>
          <w:cantSplit/>
        </w:trPr>
        <w:tc>
          <w:tcPr>
            <w:tcW w:type="dxa" w:w="1638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技术偏差</w:t>
            </w:r>
          </w:p>
        </w:tc>
        <w:tc>
          <w:tcPr>
            <w:tcW w:type="dxa" w:w="2699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接口、模型、计算和配置</w:t>
            </w:r>
          </w:p>
        </w:tc>
        <w:tc>
          <w:tcPr>
            <w:tcW w:type="dxa" w:w="2409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修改实现并检查下游影响</w:t>
            </w:r>
          </w:p>
        </w:tc>
        <w:tc>
          <w:tcPr>
            <w:tcW w:type="dxa" w:w="2891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修正结果与业务规则一致</w:t>
            </w:r>
          </w:p>
        </w:tc>
      </w:tr>
      <w:tr>
        <w:trPr>
          <w:cantSplit/>
        </w:trPr>
        <w:tc>
          <w:tcPr>
            <w:tcW w:type="dxa" w:w="1638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质量缺陷</w:t>
            </w:r>
          </w:p>
        </w:tc>
        <w:tc>
          <w:tcPr>
            <w:tcW w:type="dxa" w:w="2699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错误、缺失、重复及关联异常</w:t>
            </w:r>
          </w:p>
        </w:tc>
        <w:tc>
          <w:tcPr>
            <w:tcW w:type="dxa" w:w="2409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定位根因并扩大检查同类对象</w:t>
            </w:r>
          </w:p>
        </w:tc>
        <w:tc>
          <w:tcPr>
            <w:tcW w:type="dxa" w:w="2891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复核通过且受影响结果已处理</w:t>
            </w:r>
          </w:p>
        </w:tc>
      </w:tr>
      <w:tr>
        <w:trPr>
          <w:cantSplit/>
        </w:trPr>
        <w:tc>
          <w:tcPr>
            <w:tcW w:type="dxa" w:w="1638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权限问题</w:t>
            </w:r>
          </w:p>
        </w:tc>
        <w:tc>
          <w:tcPr>
            <w:tcW w:type="dxa" w:w="2699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对象范围、用途、期限及副本</w:t>
            </w:r>
          </w:p>
        </w:tc>
        <w:tc>
          <w:tcPr>
            <w:tcW w:type="dxa" w:w="2409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调整授权并验证实际访问</w:t>
            </w:r>
          </w:p>
        </w:tc>
        <w:tc>
          <w:tcPr>
            <w:tcW w:type="dxa" w:w="2891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应允许与应拒绝访问均符合规则</w:t>
            </w:r>
          </w:p>
        </w:tc>
      </w:tr>
      <w:tr>
        <w:trPr>
          <w:cantSplit/>
        </w:trPr>
        <w:tc>
          <w:tcPr>
            <w:tcW w:type="dxa" w:w="1638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证据缺口</w:t>
            </w:r>
          </w:p>
        </w:tc>
        <w:tc>
          <w:tcPr>
            <w:tcW w:type="dxa" w:w="2699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制度、运行及复核材料</w:t>
            </w:r>
          </w:p>
        </w:tc>
        <w:tc>
          <w:tcPr>
            <w:tcW w:type="dxa" w:w="2409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通过实际工作补充真实记录</w:t>
            </w:r>
          </w:p>
        </w:tc>
        <w:tc>
          <w:tcPr>
            <w:tcW w:type="dxa" w:w="2891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证据与对象、版本和期间对应</w:t>
            </w:r>
          </w:p>
        </w:tc>
      </w:tr>
      <w:tr>
        <w:trPr>
          <w:cantSplit/>
        </w:trPr>
        <w:tc>
          <w:tcPr>
            <w:tcW w:type="dxa" w:w="1638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能力不足</w:t>
            </w:r>
          </w:p>
        </w:tc>
        <w:tc>
          <w:tcPr>
            <w:tcW w:type="dxa" w:w="2699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知识、操作与协同任务</w:t>
            </w:r>
          </w:p>
        </w:tc>
        <w:tc>
          <w:tcPr>
            <w:tcW w:type="dxa" w:w="2409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培训、辅导及独立实践</w:t>
            </w:r>
          </w:p>
        </w:tc>
        <w:tc>
          <w:tcPr>
            <w:tcW w:type="dxa" w:w="2891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规定任务独立完成并复核通过</w:t>
            </w:r>
          </w:p>
        </w:tc>
      </w:tr>
    </w:tbl>
    <w:p>
      <w:pPr>
        <w:spacing w:after="40" w:line="240" w:lineRule="auto"/>
        <w:ind w:firstLine="0"/>
      </w:pPr>
      <w:r>
        <w:rPr>
          <w:sz w:val="4"/>
        </w:rPr>
      </w:r>
    </w:p>
    <w:p>
      <w:pPr>
        <w:keepNext/>
        <w:spacing w:line="240" w:lineRule="auto" w:before="16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6048000" cy="300461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图1_治理关系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048000" cy="300461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t>图1-1 治理目标与执行关系</w:t>
      </w:r>
    </w:p>
    <w:p>
      <w:pPr>
        <w:pStyle w:val="Heading2"/>
      </w:pPr>
      <w:r>
        <w:t>1.3 治理目标与运行体系</w:t>
      </w:r>
    </w:p>
    <w:p>
      <w:pPr>
        <w:pStyle w:val="Heading3"/>
      </w:pPr>
      <w:r>
        <w:t>1.3.1 治理目标及成果关系</w:t>
      </w:r>
    </w:p>
    <w:p>
      <w:pPr>
        <w:jc w:val="both"/>
      </w:pPr>
      <w:r>
        <w:t>治理目标沿用数据战略确定的责任、资源、业务一致、质量安全、数据供给、场景验证、资产运营和持续能力八项方向。顶层规划将目标转化为可执行的组织和制度安排，工作包、资源投入与阶段检查纳入统一实施计划。每个治理事项关联相应战略目标，避免在不同专项中重复立项、重复统计同一成果。</w:t>
      </w:r>
    </w:p>
    <w:p>
      <w:pPr>
        <w:jc w:val="both"/>
      </w:pPr>
      <w:r>
        <w:t>治理组织应使业务对象具有明确归口，治理制度应使常见事项具备可执行程序，治理平台应使批准规则能够运行并留痕，岗位培训应使接收人员能够独立完成日常工作。成果检查同时关注文件、配置、运行和实际使用。文件审议通过、系统配置完成和业务实际运行分别登记状态，并在阶段验收中检查其相互衔接。</w:t>
      </w:r>
    </w:p>
    <w:p>
      <w:pPr>
        <w:jc w:val="both"/>
      </w:pPr>
      <w:r>
        <w:t>项目治理规划成果按招标列明的三十七项逐项登记，满足不少于二十五份治理文档的要求。现状诊断报告和场景数据需求清单分别登记，不与规划成果混算。一个成果项下挂多份实施细则、操作规范或表单时保留主从关系，交付统计以批准清单中的独立成果项为依据。</w:t>
      </w:r>
    </w:p>
    <w:p>
      <w:pPr>
        <w:pStyle w:val="Heading3"/>
      </w:pPr>
      <w:r>
        <w:t>1.3.2 制度流程与平台的对应</w:t>
      </w:r>
    </w:p>
    <w:p>
      <w:pPr>
        <w:jc w:val="both"/>
      </w:pPr>
      <w:r>
        <w:t>制度从管理办法向实施细则和操作规范展开。管理办法明确必须遵守的管理要求及权限，实施细则规定办理条件、流程、输入输出和异常处置，操作规范规定实际作业步骤和检查记录。配套表单承接必要字段，平台流程承接状态和责任流转，日志承接执行过程。</w:t>
      </w:r>
    </w:p>
    <w:p>
      <w:pPr>
        <w:jc w:val="both"/>
      </w:pPr>
      <w:r>
        <w:t>每项控制建立制度条款、业务流程、岗位责任、系统配置和验证记录的对应关系。制度要求双人复核的事项，流程应有不同人员的审核节点；制度规定权限期限的事项，配置应保存生效和失效时间并执行回收；制度规定变更影响检查的事项，发布申请应关联分析结果和测试证据。</w:t>
      </w:r>
    </w:p>
    <w:p>
      <w:pPr>
        <w:jc w:val="both"/>
      </w:pPr>
      <w:r>
        <w:t>平台暂不能自动完成的控制，按批准流程设置受控人工执行和复核记录，明确责任及改善安排。人工环节与平台环节使用同一事项标识，执行结果统一回填。控制验证依据实际结果，不以配置页面存在、流程图完成或培训材料已经发放替代运行检查。</w:t>
      </w:r>
    </w:p>
    <w:p>
      <w:pPr>
        <w:pStyle w:val="Caption"/>
        <w:keepNext/>
      </w:pPr>
      <w:r>
        <w:t>表1-4 制度流程与平台的对应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90" w:type="dxa"/>
          <w:bottom w:w="90" w:type="dxa"/>
          <w:left w:w="95" w:type="dxa"/>
          <w:right w:w="95" w:type="dxa"/>
        </w:tblCellMar>
      </w:tblPr>
      <w:tblGrid>
        <w:gridCol w:w="2506"/>
        <w:gridCol w:w="3855"/>
        <w:gridCol w:w="3277"/>
      </w:tblGrid>
      <w:tr>
        <w:trPr>
          <w:cantSplit/>
          <w:tblHeader/>
        </w:trPr>
        <w:tc>
          <w:tcPr>
            <w:tcW w:type="dxa" w:w="2506"/>
            <w:vAlign w:val="center"/>
            <w:shd w:fill="EDF1F3"/>
          </w:tcPr>
          <w:p>
            <w:pPr>
              <w:keepNext/>
              <w:spacing w:line="320" w:lineRule="exact" w:after="0" w:before="0"/>
              <w:ind w:firstLine="0"/>
              <w:jc w:val="center"/>
            </w:pPr>
            <w:r>
              <w:rPr>
                <w:b/>
                <w:sz w:val="21"/>
              </w:rPr>
              <w:t>对应层次</w:t>
            </w:r>
          </w:p>
        </w:tc>
        <w:tc>
          <w:tcPr>
            <w:tcW w:type="dxa" w:w="3855"/>
            <w:vAlign w:val="center"/>
            <w:shd w:fill="EDF1F3"/>
          </w:tcPr>
          <w:p>
            <w:pPr>
              <w:keepNext/>
              <w:spacing w:line="320" w:lineRule="exact" w:after="0" w:before="0"/>
              <w:ind w:firstLine="0"/>
              <w:jc w:val="center"/>
            </w:pPr>
            <w:r>
              <w:rPr>
                <w:b/>
                <w:sz w:val="21"/>
              </w:rPr>
              <w:t>必须记录的内容</w:t>
            </w:r>
          </w:p>
        </w:tc>
        <w:tc>
          <w:tcPr>
            <w:tcW w:type="dxa" w:w="3277"/>
            <w:vAlign w:val="center"/>
            <w:shd w:fill="EDF1F3"/>
          </w:tcPr>
          <w:p>
            <w:pPr>
              <w:keepNext/>
              <w:spacing w:line="320" w:lineRule="exact" w:after="0" w:before="0"/>
              <w:ind w:firstLine="0"/>
              <w:jc w:val="center"/>
            </w:pPr>
            <w:r>
              <w:rPr>
                <w:b/>
                <w:sz w:val="21"/>
              </w:rPr>
              <w:t>核查方式</w:t>
            </w:r>
          </w:p>
        </w:tc>
      </w:tr>
      <w:tr>
        <w:trPr>
          <w:cantSplit/>
        </w:trPr>
        <w:tc>
          <w:tcPr>
            <w:tcW w:type="dxa" w:w="2506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制度要求</w:t>
            </w:r>
          </w:p>
        </w:tc>
        <w:tc>
          <w:tcPr>
            <w:tcW w:type="dxa" w:w="3855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适用对象、触发条件、权限及完成条件</w:t>
            </w:r>
          </w:p>
        </w:tc>
        <w:tc>
          <w:tcPr>
            <w:tcW w:type="dxa" w:w="3277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查有效条款与对象范围</w:t>
            </w:r>
          </w:p>
        </w:tc>
      </w:tr>
      <w:tr>
        <w:trPr>
          <w:cantSplit/>
        </w:trPr>
        <w:tc>
          <w:tcPr>
            <w:tcW w:type="dxa" w:w="2506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业务流程</w:t>
            </w:r>
          </w:p>
        </w:tc>
        <w:tc>
          <w:tcPr>
            <w:tcW w:type="dxa" w:w="3855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正常路径、退回、补充、升级及关闭条件</w:t>
            </w:r>
          </w:p>
        </w:tc>
        <w:tc>
          <w:tcPr>
            <w:tcW w:type="dxa" w:w="3277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用实际事项回放完整过程</w:t>
            </w:r>
          </w:p>
        </w:tc>
      </w:tr>
      <w:tr>
        <w:trPr>
          <w:cantSplit/>
        </w:trPr>
        <w:tc>
          <w:tcPr>
            <w:tcW w:type="dxa" w:w="2506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岗位责任</w:t>
            </w:r>
          </w:p>
        </w:tc>
        <w:tc>
          <w:tcPr>
            <w:tcW w:type="dxa" w:w="3855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提出、确认、执行、复核、批准和接收</w:t>
            </w:r>
          </w:p>
        </w:tc>
        <w:tc>
          <w:tcPr>
            <w:tcW w:type="dxa" w:w="3277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核实任职、授权及实际办理人</w:t>
            </w:r>
          </w:p>
        </w:tc>
      </w:tr>
      <w:tr>
        <w:trPr>
          <w:cantSplit/>
        </w:trPr>
        <w:tc>
          <w:tcPr>
            <w:tcW w:type="dxa" w:w="2506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系统配置</w:t>
            </w:r>
          </w:p>
        </w:tc>
        <w:tc>
          <w:tcPr>
            <w:tcW w:type="dxa" w:w="3855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字段、角色、状态、规则和版本</w:t>
            </w:r>
          </w:p>
        </w:tc>
        <w:tc>
          <w:tcPr>
            <w:tcW w:type="dxa" w:w="3277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查配置并实施正反例测试</w:t>
            </w:r>
          </w:p>
        </w:tc>
      </w:tr>
      <w:tr>
        <w:trPr>
          <w:cantSplit/>
        </w:trPr>
        <w:tc>
          <w:tcPr>
            <w:tcW w:type="dxa" w:w="2506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执行记录</w:t>
            </w:r>
          </w:p>
        </w:tc>
        <w:tc>
          <w:tcPr>
            <w:tcW w:type="dxa" w:w="3855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输入、动作、结果、时间及异常</w:t>
            </w:r>
          </w:p>
        </w:tc>
        <w:tc>
          <w:tcPr>
            <w:tcW w:type="dxa" w:w="3277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回查日志与业务材料</w:t>
            </w:r>
          </w:p>
        </w:tc>
      </w:tr>
      <w:tr>
        <w:trPr>
          <w:cantSplit/>
        </w:trPr>
        <w:tc>
          <w:tcPr>
            <w:tcW w:type="dxa" w:w="2506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监督评价</w:t>
            </w:r>
          </w:p>
        </w:tc>
        <w:tc>
          <w:tcPr>
            <w:tcW w:type="dxa" w:w="3855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偏差、原因、整改及效果复核</w:t>
            </w:r>
          </w:p>
        </w:tc>
        <w:tc>
          <w:tcPr>
            <w:tcW w:type="dxa" w:w="3277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检查问题关闭与后续复发情况</w:t>
            </w:r>
          </w:p>
        </w:tc>
      </w:tr>
    </w:tbl>
    <w:p>
      <w:pPr>
        <w:spacing w:after="40" w:line="240" w:lineRule="auto"/>
        <w:ind w:firstLine="0"/>
      </w:pPr>
      <w:r>
        <w:rPr>
          <w:sz w:val="4"/>
        </w:rPr>
      </w:r>
    </w:p>
    <w:p>
      <w:pPr>
        <w:pStyle w:val="Heading2"/>
      </w:pPr>
      <w:r>
        <w:t>1.4 多层级组织与协同安排</w:t>
      </w:r>
    </w:p>
    <w:p>
      <w:pPr>
        <w:pStyle w:val="Heading3"/>
      </w:pPr>
      <w:r>
        <w:t>1.4.1 决策管理执行职责</w:t>
      </w:r>
    </w:p>
    <w:p>
      <w:pPr>
        <w:jc w:val="both"/>
      </w:pPr>
      <w:r>
        <w:t>决策层负责审议数据战略、重大制度、重要资源安排、重大风险以及管理层无法解决的跨部门事项。决策材料应列明事实、影响、可选方案和执行条件，形成的决定应明确承办岗位及检查节点。涉及公司预算、采购、人力资源、合同和安全管理等既有权限的事项，按现行授权分别办理。</w:t>
      </w:r>
    </w:p>
    <w:p>
      <w:pPr>
        <w:jc w:val="both"/>
      </w:pPr>
      <w:r>
        <w:t>管理层组织年度及阶段计划，维护制度、责任、资源、需求、问题和变更清单，组织业务与技术岗位处理日常跨域事项。管理层对超过授权或影响重大约束的事项及时提请决策层处理。对已经批准的事项，管理层继续核查实际实施和效果，保持决议、任务和结果之间的对应。</w:t>
      </w:r>
    </w:p>
    <w:p>
      <w:pPr>
        <w:jc w:val="both"/>
      </w:pPr>
      <w:r>
        <w:t>执行层包括业务数据责任岗位、数据管理岗位、系统及平台岗位、质量、安全、资产运营、培训和档案岗位。执行层按照批准的口径和流程维护数据、运行规则、处理问题及交付成果。每项任务在开始前确认输入和验收条件，完成后提交能够证明结果的材料，由接收和复核岗位分别检查。</w:t>
      </w:r>
    </w:p>
    <w:p>
      <w:pPr>
        <w:pStyle w:val="Heading3"/>
      </w:pPr>
      <w:r>
        <w:t>1.4.2 常态化协同与事项升级</w:t>
      </w:r>
    </w:p>
    <w:p>
      <w:pPr>
        <w:jc w:val="both"/>
      </w:pPr>
      <w:r>
        <w:t>日常事项通过需求、问题、变更、授权和知识反馈等入口受理。入口可以分别配置，但均登记统一事项标识、对象、业务域、来源、提出时间、责任、期望时点和证据位置。重复事项建立关联并明确主事项，原提出人保留可查询的反馈记录。</w:t>
      </w:r>
    </w:p>
    <w:p>
      <w:pPr>
        <w:jc w:val="both"/>
      </w:pPr>
      <w:r>
        <w:t>执行层按周检查在办事项、阻塞任务、源系统变化和权限到期情况。管理层按月检查计划、跨域问题、质量安全、资源负荷及培训考核。决策层按阶段审议重要成果和重大偏差，紧急事项按风险影响及时召开专题会议。会议结束后将决定转为具体任务或制度变更，后续检查实际完成情况。</w:t>
      </w:r>
    </w:p>
    <w:p>
      <w:pPr>
        <w:jc w:val="both"/>
      </w:pPr>
      <w:r>
        <w:t>升级条件包括超出办理权限、影响跨域统一口径、影响关键节点、资源冲突无法解决及重要安全风险。升级材料保留已采取措施和继续等待的后果，接收岗位确认责任后开始协调。紧急风险可先依照应急授权采取隔离或限制措施，同时报告并补齐现场证据；恢复运行仍应满足规定复核条件。</w:t>
      </w:r>
    </w:p>
    <w:p>
      <w:pPr>
        <w:pStyle w:val="Heading2"/>
      </w:pPr>
      <w:r>
        <w:t>1.5 九项治理规划的实施关系</w:t>
      </w:r>
    </w:p>
    <w:p>
      <w:pPr>
        <w:pStyle w:val="Heading3"/>
      </w:pPr>
      <w:r>
        <w:t>1.5.1 战略治理架构与资产</w:t>
      </w:r>
    </w:p>
    <w:p>
      <w:pPr>
        <w:jc w:val="both"/>
      </w:pPr>
      <w:r>
        <w:t>数据战略明确公司数据工作的目标、重点任务、资源与路线，并通过实施计划和评价报告持续调整。数据治理组织承接战略责任，制度体系规定组织怎样作出决定、怎样下达任务和怎样检查结果。战略目标变化时，同步核查制度、责任和实施任务的影响，保留原目标与调整依据。</w:t>
      </w:r>
    </w:p>
    <w:p>
      <w:pPr>
        <w:jc w:val="both"/>
      </w:pPr>
      <w:r>
        <w:t>数据架构明确业务对象、模型分层、系统分布、数据流向及集成共享关系。治理组织负责协调跨域对象和口径，架构岗位负责将确认结果落实到贴源层、明细层、汇总层、维表层和应用层等模型。元数据记录来源、含义、结构、责任、转换和使用关系，模型变更通过影响分析关联受影响接口、规则和服务。</w:t>
      </w:r>
    </w:p>
    <w:p>
      <w:pPr>
        <w:jc w:val="both"/>
      </w:pPr>
      <w:r>
        <w:t>数据资产管理围绕资源目录、来源权利、使用条件、价值评价与运营流程开展。原始数据来源和治理后形成成果分别核查权利依据及适用限制，派生资产继承必要的许可与保护要求。内部价值评价结合质量、可用性、业务使用和维护成本形成证据，具体会计处理按照适用程序另行履行审批。</w:t>
      </w:r>
    </w:p>
    <w:p>
      <w:pPr>
        <w:pStyle w:val="Heading3"/>
      </w:pPr>
      <w:r>
        <w:t>1.5.2 标准质量安全与生存周期</w:t>
      </w:r>
    </w:p>
    <w:p>
      <w:pPr>
        <w:jc w:val="both"/>
      </w:pPr>
      <w:r>
        <w:t>数据标准管理统一业务术语、主数据、数据元、指标和技术约定。标准制定从实际业务对象出发，记录定义、取值、单位、状态、粒度、时间及关联。标准发布前通过样本和反例检查可执行性，发布后核查源系统、接口、模型、规则和业务材料是否一致应用。</w:t>
      </w:r>
    </w:p>
    <w:p>
      <w:pPr>
        <w:jc w:val="both"/>
      </w:pPr>
      <w:r>
        <w:t>数据质量管理按业务要求建立检查规则，识别缺陷、分析原因、组织整改并复核效果。业务治理的完整性、准确性、一致性、及时性、唯一性和有效性，与数据集生产质检及正式质量评测分别管理。业务治理结果为生产和评测提供输入，正式评测仍按相应规范、全部指标及独立证据作出结论。</w:t>
      </w:r>
    </w:p>
    <w:p>
      <w:pPr>
        <w:jc w:val="both"/>
      </w:pPr>
      <w:r>
        <w:t>数据安全管理落实分类分级、用途授权、最小权限、敏感处理、访问审计及事件处置。数据等级按L1公开、L2内部、L3重要、L4敏感和L5机密的统一名称登记，实际定级依据内容、影响和公司批准规则确认。目录展示、接口调用、文件下载、模型使用和培训材料分别继承授权及保护要求。</w:t>
      </w:r>
    </w:p>
    <w:p>
      <w:pPr>
        <w:jc w:val="both"/>
      </w:pPr>
      <w:r>
        <w:t>生存周期管理明确数据形成、使用、保存、归档和销毁条件。保存期限根据业务、合同及适用要求确定，期限与事件共同触发处置。发生争议、审计或依法需要保留的事项时设置保全状态，解除保全后再恢复相应处置流程。销毁同时核查授权副本、缓存和备份的处理安排并记录验证结果。</w:t>
      </w:r>
    </w:p>
    <w:p>
      <w:pPr>
        <w:pStyle w:val="Heading3"/>
      </w:pPr>
      <w:r>
        <w:t>1.5.3 应用流通与实施能力</w:t>
      </w:r>
    </w:p>
    <w:p>
      <w:pPr>
        <w:jc w:val="both"/>
      </w:pPr>
      <w:r>
        <w:t>数据应用流通围绕目录发现、需求申请、权利核验、授权审批、数据交付、使用反馈和到期退出开展。申请中明确目的、对象、范围、频率、期限及结果去向，审批结果应能直接转换为访问范围和技术限制。数据用途、使用主体或输出范围发生变化时，重新核查原授权是否适用。</w:t>
      </w:r>
    </w:p>
    <w:p>
      <w:pPr>
        <w:jc w:val="both"/>
      </w:pPr>
      <w:r>
        <w:t>治理能力落地通过标准、主数据、数据模型、数据质量、元数据、集成共享、指标、资产及安全等实际管理活动展开。实施检查既查平台功能，也查岗位能否依照制度操作。业务规则批准后由技术岗位配置和验证，专业判断通过业务岗位复核，运行问题进入统一治理事项管理。</w:t>
      </w:r>
    </w:p>
    <w:p>
      <w:pPr>
        <w:pStyle w:val="Caption"/>
        <w:keepNext/>
      </w:pPr>
      <w:r>
        <w:t>表1-5 应用流通与实施能力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90" w:type="dxa"/>
          <w:bottom w:w="90" w:type="dxa"/>
          <w:left w:w="95" w:type="dxa"/>
          <w:right w:w="95" w:type="dxa"/>
        </w:tblCellMar>
      </w:tblPr>
      <w:tblGrid>
        <w:gridCol w:w="1638"/>
        <w:gridCol w:w="2699"/>
        <w:gridCol w:w="2409"/>
        <w:gridCol w:w="2891"/>
      </w:tblGrid>
      <w:tr>
        <w:trPr>
          <w:cantSplit/>
          <w:tblHeader/>
        </w:trPr>
        <w:tc>
          <w:tcPr>
            <w:tcW w:type="dxa" w:w="1638"/>
            <w:vAlign w:val="center"/>
            <w:shd w:fill="EDF1F3"/>
          </w:tcPr>
          <w:p>
            <w:pPr>
              <w:keepNext/>
              <w:spacing w:line="320" w:lineRule="exact" w:after="0" w:before="0"/>
              <w:ind w:firstLine="0"/>
              <w:jc w:val="center"/>
            </w:pPr>
            <w:r>
              <w:rPr>
                <w:b/>
                <w:sz w:val="21"/>
              </w:rPr>
              <w:t>规划领域</w:t>
            </w:r>
          </w:p>
        </w:tc>
        <w:tc>
          <w:tcPr>
            <w:tcW w:type="dxa" w:w="2699"/>
            <w:vAlign w:val="center"/>
            <w:shd w:fill="EDF1F3"/>
          </w:tcPr>
          <w:p>
            <w:pPr>
              <w:keepNext/>
              <w:spacing w:line="320" w:lineRule="exact" w:after="0" w:before="0"/>
              <w:ind w:firstLine="0"/>
              <w:jc w:val="center"/>
            </w:pPr>
            <w:r>
              <w:rPr>
                <w:b/>
                <w:sz w:val="21"/>
              </w:rPr>
              <w:t>主要管理对象</w:t>
            </w:r>
          </w:p>
        </w:tc>
        <w:tc>
          <w:tcPr>
            <w:tcW w:type="dxa" w:w="2409"/>
            <w:vAlign w:val="center"/>
            <w:shd w:fill="EDF1F3"/>
          </w:tcPr>
          <w:p>
            <w:pPr>
              <w:keepNext/>
              <w:spacing w:line="320" w:lineRule="exact" w:after="0" w:before="0"/>
              <w:ind w:firstLine="0"/>
              <w:jc w:val="center"/>
            </w:pPr>
            <w:r>
              <w:rPr>
                <w:b/>
                <w:sz w:val="21"/>
              </w:rPr>
              <w:t>与组织制度的衔接</w:t>
            </w:r>
          </w:p>
        </w:tc>
        <w:tc>
          <w:tcPr>
            <w:tcW w:type="dxa" w:w="2891"/>
            <w:vAlign w:val="center"/>
            <w:shd w:fill="EDF1F3"/>
          </w:tcPr>
          <w:p>
            <w:pPr>
              <w:keepNext/>
              <w:spacing w:line="320" w:lineRule="exact" w:after="0" w:before="0"/>
              <w:ind w:firstLine="0"/>
              <w:jc w:val="center"/>
            </w:pPr>
            <w:r>
              <w:rPr>
                <w:b/>
                <w:sz w:val="21"/>
              </w:rPr>
              <w:t>运行验证重点</w:t>
            </w:r>
          </w:p>
        </w:tc>
      </w:tr>
      <w:tr>
        <w:trPr>
          <w:cantSplit/>
        </w:trPr>
        <w:tc>
          <w:tcPr>
            <w:tcW w:type="dxa" w:w="1638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数据战略</w:t>
            </w:r>
          </w:p>
        </w:tc>
        <w:tc>
          <w:tcPr>
            <w:tcW w:type="dxa" w:w="2699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目标、任务、资源与评价</w:t>
            </w:r>
          </w:p>
        </w:tc>
        <w:tc>
          <w:tcPr>
            <w:tcW w:type="dxa" w:w="2409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战略审议、任务下达、评价迭代</w:t>
            </w:r>
          </w:p>
        </w:tc>
        <w:tc>
          <w:tcPr>
            <w:tcW w:type="dxa" w:w="2891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目标与任务及证据对应</w:t>
            </w:r>
          </w:p>
        </w:tc>
      </w:tr>
      <w:tr>
        <w:trPr>
          <w:cantSplit/>
        </w:trPr>
        <w:tc>
          <w:tcPr>
            <w:tcW w:type="dxa" w:w="1638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数据治理</w:t>
            </w:r>
          </w:p>
        </w:tc>
        <w:tc>
          <w:tcPr>
            <w:tcW w:type="dxa" w:w="2699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组织、制度、协同及考核</w:t>
            </w:r>
          </w:p>
        </w:tc>
        <w:tc>
          <w:tcPr>
            <w:tcW w:type="dxa" w:w="2409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授权、议事、监督和能力建设</w:t>
            </w:r>
          </w:p>
        </w:tc>
        <w:tc>
          <w:tcPr>
            <w:tcW w:type="dxa" w:w="2891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责任能落实、事项能完成</w:t>
            </w:r>
          </w:p>
        </w:tc>
      </w:tr>
      <w:tr>
        <w:trPr>
          <w:cantSplit/>
        </w:trPr>
        <w:tc>
          <w:tcPr>
            <w:tcW w:type="dxa" w:w="1638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数据架构</w:t>
            </w:r>
          </w:p>
        </w:tc>
        <w:tc>
          <w:tcPr>
            <w:tcW w:type="dxa" w:w="2699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模型、分布、集成及元数据</w:t>
            </w:r>
          </w:p>
        </w:tc>
        <w:tc>
          <w:tcPr>
            <w:tcW w:type="dxa" w:w="2409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架构评审、影响分析和变更</w:t>
            </w:r>
          </w:p>
        </w:tc>
        <w:tc>
          <w:tcPr>
            <w:tcW w:type="dxa" w:w="2891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对象粒度与上下游关系正确</w:t>
            </w:r>
          </w:p>
        </w:tc>
      </w:tr>
      <w:tr>
        <w:trPr>
          <w:cantSplit/>
        </w:trPr>
        <w:tc>
          <w:tcPr>
            <w:tcW w:type="dxa" w:w="1638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数据资产</w:t>
            </w:r>
          </w:p>
        </w:tc>
        <w:tc>
          <w:tcPr>
            <w:tcW w:type="dxa" w:w="2699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权利、目录、价值及运营</w:t>
            </w:r>
          </w:p>
        </w:tc>
        <w:tc>
          <w:tcPr>
            <w:tcW w:type="dxa" w:w="2409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权利审查、资源发布和使用</w:t>
            </w:r>
          </w:p>
        </w:tc>
        <w:tc>
          <w:tcPr>
            <w:tcW w:type="dxa" w:w="2891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使用条件随资产传递</w:t>
            </w:r>
          </w:p>
        </w:tc>
      </w:tr>
      <w:tr>
        <w:trPr>
          <w:cantSplit/>
        </w:trPr>
        <w:tc>
          <w:tcPr>
            <w:tcW w:type="dxa" w:w="1638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数据标准</w:t>
            </w:r>
          </w:p>
        </w:tc>
        <w:tc>
          <w:tcPr>
            <w:tcW w:type="dxa" w:w="2699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术语、主数据、数据元及指标</w:t>
            </w:r>
          </w:p>
        </w:tc>
        <w:tc>
          <w:tcPr>
            <w:tcW w:type="dxa" w:w="2409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业务确认、标准发布和落标</w:t>
            </w:r>
          </w:p>
        </w:tc>
        <w:tc>
          <w:tcPr>
            <w:tcW w:type="dxa" w:w="2891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定义及实际实现一致</w:t>
            </w:r>
          </w:p>
        </w:tc>
      </w:tr>
      <w:tr>
        <w:trPr>
          <w:cantSplit/>
        </w:trPr>
        <w:tc>
          <w:tcPr>
            <w:tcW w:type="dxa" w:w="1638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数据质量</w:t>
            </w:r>
          </w:p>
        </w:tc>
        <w:tc>
          <w:tcPr>
            <w:tcW w:type="dxa" w:w="2699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需求、规则、检测与整改</w:t>
            </w:r>
          </w:p>
        </w:tc>
        <w:tc>
          <w:tcPr>
            <w:tcW w:type="dxa" w:w="2409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责任归因、整改复核和评价</w:t>
            </w:r>
          </w:p>
        </w:tc>
        <w:tc>
          <w:tcPr>
            <w:tcW w:type="dxa" w:w="2891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已知问题得到实际处理</w:t>
            </w:r>
          </w:p>
        </w:tc>
      </w:tr>
      <w:tr>
        <w:trPr>
          <w:cantSplit/>
        </w:trPr>
        <w:tc>
          <w:tcPr>
            <w:tcW w:type="dxa" w:w="1638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数据安全</w:t>
            </w:r>
          </w:p>
        </w:tc>
        <w:tc>
          <w:tcPr>
            <w:tcW w:type="dxa" w:w="2699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分级、授权、保护和审计</w:t>
            </w:r>
          </w:p>
        </w:tc>
        <w:tc>
          <w:tcPr>
            <w:tcW w:type="dxa" w:w="2409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授权审批、事件处置和回收</w:t>
            </w:r>
          </w:p>
        </w:tc>
        <w:tc>
          <w:tcPr>
            <w:tcW w:type="dxa" w:w="2891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权限与有效用途一致</w:t>
            </w:r>
          </w:p>
        </w:tc>
      </w:tr>
      <w:tr>
        <w:trPr>
          <w:cantSplit/>
        </w:trPr>
        <w:tc>
          <w:tcPr>
            <w:tcW w:type="dxa" w:w="1638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数据生存周期</w:t>
            </w:r>
          </w:p>
        </w:tc>
        <w:tc>
          <w:tcPr>
            <w:tcW w:type="dxa" w:w="2699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形成、保存、归档和销毁</w:t>
            </w:r>
          </w:p>
        </w:tc>
        <w:tc>
          <w:tcPr>
            <w:tcW w:type="dxa" w:w="2409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期限管理、保全和处置批准</w:t>
            </w:r>
          </w:p>
        </w:tc>
        <w:tc>
          <w:tcPr>
            <w:tcW w:type="dxa" w:w="2891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处置对象及副本可追溯</w:t>
            </w:r>
          </w:p>
        </w:tc>
      </w:tr>
      <w:tr>
        <w:trPr>
          <w:cantSplit/>
        </w:trPr>
        <w:tc>
          <w:tcPr>
            <w:tcW w:type="dxa" w:w="1638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数据应用流通</w:t>
            </w:r>
          </w:p>
        </w:tc>
        <w:tc>
          <w:tcPr>
            <w:tcW w:type="dxa" w:w="2699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服务申请、交付、使用与退出</w:t>
            </w:r>
          </w:p>
        </w:tc>
        <w:tc>
          <w:tcPr>
            <w:tcW w:type="dxa" w:w="2409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需求办理、授权和使用评价</w:t>
            </w:r>
          </w:p>
        </w:tc>
        <w:tc>
          <w:tcPr>
            <w:tcW w:type="dxa" w:w="2891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交付可用、范围受控、退出完成</w:t>
            </w:r>
          </w:p>
        </w:tc>
      </w:tr>
    </w:tbl>
    <w:p>
      <w:pPr>
        <w:spacing w:after="40" w:line="240" w:lineRule="auto"/>
        <w:ind w:firstLine="0"/>
      </w:pPr>
      <w:r>
        <w:rPr>
          <w:sz w:val="4"/>
        </w:rPr>
      </w:r>
    </w:p>
    <w:p>
      <w:pPr>
        <w:keepNext/>
        <w:spacing w:line="240" w:lineRule="auto" w:before="16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6048000" cy="1942338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图2_业务治理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048000" cy="194233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t>图1-2 业务治理与数据供给</w:t>
      </w:r>
    </w:p>
    <w:p>
      <w:pPr>
        <w:pStyle w:val="Heading2"/>
      </w:pPr>
      <w:r>
        <w:t>1.6 制造业务链的治理安排</w:t>
      </w:r>
    </w:p>
    <w:p>
      <w:pPr>
        <w:pStyle w:val="Heading3"/>
      </w:pPr>
      <w:r>
        <w:t>1.6.1 图纸工艺制造检验业务链</w:t>
      </w:r>
    </w:p>
    <w:p>
      <w:pPr>
        <w:jc w:val="both"/>
      </w:pPr>
      <w:r>
        <w:t>研发设计岗位确认产品、零部件、图纸及设计变更的对象身份和有效版本，工艺岗位确认工艺路线、参数适用条件和工序关系。生产岗位记录实际工单、工件、设备、加工时间及过程状态，质量岗位确认检验对象、检验依据和结论。治理工作以对象标识和有效时间连接四类记录。</w:t>
      </w:r>
    </w:p>
    <w:p>
      <w:pPr>
        <w:jc w:val="both"/>
      </w:pPr>
      <w:r>
        <w:t>同一零部件在不同版本图纸下生产时，应保留适用版本及变更生效范围，不能只凭零部件名称合并记录。工艺调整影响已经下达的工单时，业务岗位明确哪些任务继续执行原工艺、哪些任务需要切换，技术岗位同步更新关联和检查规则。旧版本保留历史查询，现行服务提供当前适用条件。</w:t>
      </w:r>
    </w:p>
    <w:p>
      <w:pPr>
        <w:jc w:val="both"/>
      </w:pPr>
      <w:r>
        <w:t>热处理数据将材料、工件、装炉、炉次、设定工艺、实际曲线及检验结果关联，明确设备时间与业务时间的含义。焊接数据将焊缝或焊道、工件、材料、工艺、参数、图像、检验和返修关联，区分首次加工与返修后的结果。不同阶段记录按事件排序，缺少关键对应关系的对象进入关联修复流程。</w:t>
      </w:r>
    </w:p>
    <w:p>
      <w:pPr>
        <w:jc w:val="both"/>
      </w:pPr>
      <w:r>
        <w:t>链路验证选择能够覆盖正常生产、设计变更、工艺调整和返工返修的实际业务对象。先从工件追查设计、工艺和检验，再从检验异常反查加工条件，核对结果是否一致。发现错误后检查同版本、同规则和同来源范围，将修复结果同步到受影响数据集、模型和服务。</w:t>
      </w:r>
    </w:p>
    <w:p>
      <w:pPr>
        <w:pStyle w:val="Heading3"/>
      </w:pPr>
      <w:r>
        <w:t>1.6.2 需求采购库存交付业务链</w:t>
      </w:r>
    </w:p>
    <w:p>
      <w:pPr>
        <w:jc w:val="both"/>
      </w:pPr>
      <w:r>
        <w:t>营销岗位确认需求条件、产品配置、合同及交付约束，采购岗位确认采购对象、供应商、到货计划及变更，仓储岗位确认实物批次、库位和收发存状态，生产岗位确认实际领用、消耗和在制情况。数据治理分别保存计划、承诺、实际和预测，统计时明确采用的时间与状态。</w:t>
      </w:r>
    </w:p>
    <w:p>
      <w:pPr>
        <w:jc w:val="both"/>
      </w:pPr>
      <w:r>
        <w:t>物料编码统一以前保留各来源系统键和对应关系，替代料、代用料和历史编码建立业务批准依据。库存统计区分在库、冻结、占用、可用及在途数量，单位换算保留原值、原单位、换算系数及适用条件。订单变更后，重新检查采购、库存、生产和交付之间的关联范围。</w:t>
      </w:r>
    </w:p>
    <w:p>
      <w:pPr>
        <w:jc w:val="both"/>
      </w:pPr>
      <w:r>
        <w:t>跨部门数量争议按相同对象、相同时点和相同状态重新对账。由于业务阶段不同导致的差异，保留差异解释及对应指标；属于记录或转换错误的，修正来源或计算规则并复算下游结果。需求采购库存交付链形成统一问题记录，避免同一差异在多个部门重复关闭而实际未解决。</w:t>
      </w:r>
    </w:p>
    <w:p>
      <w:pPr>
        <w:pStyle w:val="Heading3"/>
      </w:pPr>
      <w:r>
        <w:t>1.6.3 设备运行故障维修业务链</w:t>
      </w:r>
    </w:p>
    <w:p>
      <w:pPr>
        <w:jc w:val="both"/>
      </w:pPr>
      <w:r>
        <w:t>设备管理岗位确认设备及部件结构、有效配置和维护责任，技术岗位确认测点、采样、时间基准及数据接入条件。运行数据应能关联采集时实际设备、测点版本和工况，设备更换、测点迁移及部件改造分别保留有效期与替代关系。</w:t>
      </w:r>
    </w:p>
    <w:p>
      <w:pPr>
        <w:jc w:val="both"/>
      </w:pPr>
      <w:r>
        <w:t>报警、异常检测、故障确认、维修措施和恢复运行属于不同事件，分别记录判断来源与确认责任。故障标签由专业岗位依据实际检验、维修或诊断材料确认，不能将所有报警直接视为已确认故障。维护停机、正常启停和真实异常应能区分，模型验证保留相应工况和设备边界。</w:t>
      </w:r>
    </w:p>
    <w:p>
      <w:pPr>
        <w:jc w:val="both"/>
      </w:pPr>
      <w:r>
        <w:t>治理验证围绕一次设备事件回放采样、报警、专业判断、维修和恢复过程。时间不同步时先校核时间偏差，测点含义变化时核查配置有效期，故障结论修订时检查关联样本和已发布服务。历史修订保留原标签、修订依据及受影响版本，后续统计按明确规则处理。</w:t>
      </w:r>
    </w:p>
    <w:p>
      <w:pPr>
        <w:pStyle w:val="Heading3"/>
      </w:pPr>
      <w:r>
        <w:t>1.6.4 制度标准指标合同业务链</w:t>
      </w:r>
    </w:p>
    <w:p>
      <w:pPr>
        <w:jc w:val="both"/>
      </w:pPr>
      <w:r>
        <w:t>制度、技术标准、经营指标和合同分别由相应业务岗位归口。文件入库记录名称、标识、版本、生效状态、适用范围、管理责任和使用限制。制度保留条款和附件层级，标准保留适用专业及版本，指标保留定义与计算条件，合同保留正文、补充协议、修订和审批关系。</w:t>
      </w:r>
    </w:p>
    <w:p>
      <w:pPr>
        <w:jc w:val="both"/>
      </w:pPr>
      <w:r>
        <w:t>知识加工应保持原文的条件、例外、单位和限定范围。提取结果与源位置建立对应，引用服务能够返回适用版本和相关上下文。不同版本规定不一致时按适用时间和对象区分，历史查询保留当时有效依据。权限限制随文件解析、分段、知识条目及检索结果传递。</w:t>
      </w:r>
    </w:p>
    <w:p>
      <w:pPr>
        <w:jc w:val="both"/>
      </w:pPr>
      <w:r>
        <w:t>治理检查通过现行、历史、已废止和权限受限的资料分别验证。制度问答检查依据是否有效，标准问答检查适用条件是否完整，标书问答检查文件及附件关系，决策指标检查计算可复算性，合同审查检查条款上下文及专业复核。检查结果进入业务口径、知识维护和规则改进流程。</w:t>
      </w:r>
    </w:p>
    <w:p>
      <w:pPr>
        <w:pStyle w:val="Heading2"/>
      </w:pPr>
      <w:r>
        <w:t>1.7 数据生产与场景验证的衔接</w:t>
      </w:r>
    </w:p>
    <w:p>
      <w:pPr>
        <w:pStyle w:val="Heading3"/>
      </w:pPr>
      <w:r>
        <w:t>1.7.1 数据供给及质量条件</w:t>
      </w:r>
    </w:p>
    <w:p>
      <w:pPr>
        <w:jc w:val="both"/>
      </w:pPr>
      <w:r>
        <w:t>四大数据集分别服务供需计划、产品工艺设计、制造过程和产品质量。治理工作提供已授权的来源、稳定业务标识、有效标准、可追溯元数据及明确质量规则。生产环节接收数据前核查对象范围、来源版本、许可、时间和关联完整性，接收问题回到对应来源及治理责任岗位处理。</w:t>
      </w:r>
    </w:p>
    <w:p>
      <w:pPr>
        <w:pStyle w:val="Caption"/>
        <w:keepNext/>
      </w:pPr>
      <w:r>
        <w:t>表1-6 数据供给及质量条件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90" w:type="dxa"/>
          <w:bottom w:w="90" w:type="dxa"/>
          <w:left w:w="95" w:type="dxa"/>
          <w:right w:w="95" w:type="dxa"/>
        </w:tblCellMar>
      </w:tblPr>
      <w:tblGrid>
        <w:gridCol w:w="1735"/>
        <w:gridCol w:w="2120"/>
        <w:gridCol w:w="1928"/>
        <w:gridCol w:w="1928"/>
        <w:gridCol w:w="1928"/>
      </w:tblGrid>
      <w:tr>
        <w:trPr>
          <w:cantSplit/>
          <w:tblHeader/>
        </w:trPr>
        <w:tc>
          <w:tcPr>
            <w:tcW w:type="dxa" w:w="1735"/>
            <w:vAlign w:val="center"/>
            <w:shd w:fill="EDF1F3"/>
          </w:tcPr>
          <w:p>
            <w:pPr>
              <w:keepNext/>
              <w:spacing w:line="320" w:lineRule="exact" w:after="0" w:before="0"/>
              <w:ind w:firstLine="0"/>
              <w:jc w:val="center"/>
            </w:pPr>
            <w:r>
              <w:rPr>
                <w:b/>
                <w:sz w:val="21"/>
              </w:rPr>
              <w:t>数据领域</w:t>
            </w:r>
          </w:p>
        </w:tc>
        <w:tc>
          <w:tcPr>
            <w:tcW w:type="dxa" w:w="2120"/>
            <w:vAlign w:val="center"/>
            <w:shd w:fill="EDF1F3"/>
          </w:tcPr>
          <w:p>
            <w:pPr>
              <w:keepNext/>
              <w:spacing w:line="320" w:lineRule="exact" w:after="0" w:before="0"/>
              <w:ind w:firstLine="0"/>
              <w:jc w:val="center"/>
            </w:pPr>
            <w:r>
              <w:rPr>
                <w:b/>
                <w:sz w:val="21"/>
              </w:rPr>
              <w:t>预训练有效Tokens</w:t>
            </w:r>
          </w:p>
        </w:tc>
        <w:tc>
          <w:tcPr>
            <w:tcW w:type="dxa" w:w="1928"/>
            <w:vAlign w:val="center"/>
            <w:shd w:fill="EDF1F3"/>
          </w:tcPr>
          <w:p>
            <w:pPr>
              <w:keepNext/>
              <w:spacing w:line="320" w:lineRule="exact" w:after="0" w:before="0"/>
              <w:ind w:firstLine="0"/>
              <w:jc w:val="center"/>
            </w:pPr>
            <w:r>
              <w:rPr>
                <w:b/>
                <w:sz w:val="21"/>
              </w:rPr>
              <w:t>指令微调</w:t>
            </w:r>
          </w:p>
        </w:tc>
        <w:tc>
          <w:tcPr>
            <w:tcW w:type="dxa" w:w="1928"/>
            <w:vAlign w:val="center"/>
            <w:shd w:fill="EDF1F3"/>
          </w:tcPr>
          <w:p>
            <w:pPr>
              <w:keepNext/>
              <w:spacing w:line="320" w:lineRule="exact" w:after="0" w:before="0"/>
              <w:ind w:firstLine="0"/>
              <w:jc w:val="center"/>
            </w:pPr>
            <w:r>
              <w:rPr>
                <w:b/>
                <w:sz w:val="21"/>
              </w:rPr>
              <w:t>偏好对齐</w:t>
            </w:r>
          </w:p>
        </w:tc>
        <w:tc>
          <w:tcPr>
            <w:tcW w:type="dxa" w:w="1928"/>
            <w:vAlign w:val="center"/>
            <w:shd w:fill="EDF1F3"/>
          </w:tcPr>
          <w:p>
            <w:pPr>
              <w:keepNext/>
              <w:spacing w:line="320" w:lineRule="exact" w:after="0" w:before="0"/>
              <w:ind w:firstLine="0"/>
              <w:jc w:val="center"/>
            </w:pPr>
            <w:r>
              <w:rPr>
                <w:b/>
                <w:sz w:val="21"/>
              </w:rPr>
              <w:t>基准评测</w:t>
            </w:r>
          </w:p>
        </w:tc>
      </w:tr>
      <w:tr>
        <w:trPr>
          <w:cantSplit/>
        </w:trPr>
        <w:tc>
          <w:tcPr>
            <w:tcW w:type="dxa" w:w="1735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供需计划</w:t>
            </w:r>
          </w:p>
        </w:tc>
        <w:tc>
          <w:tcPr>
            <w:tcW w:type="dxa" w:w="2120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276亿</w:t>
            </w:r>
          </w:p>
        </w:tc>
        <w:tc>
          <w:tcPr>
            <w:tcW w:type="dxa" w:w="1928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40万条</w:t>
            </w:r>
          </w:p>
        </w:tc>
        <w:tc>
          <w:tcPr>
            <w:tcW w:type="dxa" w:w="1928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3.2万组</w:t>
            </w:r>
          </w:p>
        </w:tc>
        <w:tc>
          <w:tcPr>
            <w:tcW w:type="dxa" w:w="1928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0.4万道</w:t>
            </w:r>
          </w:p>
        </w:tc>
      </w:tr>
      <w:tr>
        <w:trPr>
          <w:cantSplit/>
        </w:trPr>
        <w:tc>
          <w:tcPr>
            <w:tcW w:type="dxa" w:w="1735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产品工艺设计</w:t>
            </w:r>
          </w:p>
        </w:tc>
        <w:tc>
          <w:tcPr>
            <w:tcW w:type="dxa" w:w="2120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70亿</w:t>
            </w:r>
          </w:p>
        </w:tc>
        <w:tc>
          <w:tcPr>
            <w:tcW w:type="dxa" w:w="1928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10万条</w:t>
            </w:r>
          </w:p>
        </w:tc>
        <w:tc>
          <w:tcPr>
            <w:tcW w:type="dxa" w:w="1928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0.8万组</w:t>
            </w:r>
          </w:p>
        </w:tc>
        <w:tc>
          <w:tcPr>
            <w:tcW w:type="dxa" w:w="1928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0.1万道</w:t>
            </w:r>
          </w:p>
        </w:tc>
      </w:tr>
      <w:tr>
        <w:trPr>
          <w:cantSplit/>
        </w:trPr>
        <w:tc>
          <w:tcPr>
            <w:tcW w:type="dxa" w:w="1735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制造过程</w:t>
            </w:r>
          </w:p>
        </w:tc>
        <w:tc>
          <w:tcPr>
            <w:tcW w:type="dxa" w:w="2120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105亿</w:t>
            </w:r>
          </w:p>
        </w:tc>
        <w:tc>
          <w:tcPr>
            <w:tcW w:type="dxa" w:w="1928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15万条</w:t>
            </w:r>
          </w:p>
        </w:tc>
        <w:tc>
          <w:tcPr>
            <w:tcW w:type="dxa" w:w="1928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1万组</w:t>
            </w:r>
          </w:p>
        </w:tc>
        <w:tc>
          <w:tcPr>
            <w:tcW w:type="dxa" w:w="1928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0.2万道</w:t>
            </w:r>
          </w:p>
        </w:tc>
      </w:tr>
      <w:tr>
        <w:trPr>
          <w:cantSplit/>
        </w:trPr>
        <w:tc>
          <w:tcPr>
            <w:tcW w:type="dxa" w:w="1735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产品质量</w:t>
            </w:r>
          </w:p>
        </w:tc>
        <w:tc>
          <w:tcPr>
            <w:tcW w:type="dxa" w:w="2120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164亿</w:t>
            </w:r>
          </w:p>
        </w:tc>
        <w:tc>
          <w:tcPr>
            <w:tcW w:type="dxa" w:w="1928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24万条</w:t>
            </w:r>
          </w:p>
        </w:tc>
        <w:tc>
          <w:tcPr>
            <w:tcW w:type="dxa" w:w="1928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1.6万组</w:t>
            </w:r>
          </w:p>
        </w:tc>
        <w:tc>
          <w:tcPr>
            <w:tcW w:type="dxa" w:w="1928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0.25万道</w:t>
            </w:r>
          </w:p>
        </w:tc>
      </w:tr>
    </w:tbl>
    <w:p>
      <w:pPr>
        <w:spacing w:after="40" w:line="240" w:lineRule="auto"/>
        <w:ind w:firstLine="0"/>
      </w:pPr>
      <w:r>
        <w:rPr>
          <w:sz w:val="4"/>
        </w:rPr>
      </w:r>
    </w:p>
    <w:p>
      <w:pPr>
        <w:jc w:val="both"/>
      </w:pPr>
      <w:r>
        <w:t>各领域各用途以满足质量和验证条件的有效净量分别达到要求。四类模态包括文本、图像、时序和视频，每个领域至少覆盖三种模态，多模态样本及近三年数据占比分别不低于40%。近三年从实际发布日期倒推36个自然月，以真实业务或资料形成时间认定；无法核实形成时间的对象留在有效分母中，不计入近期数据分子。</w:t>
      </w:r>
    </w:p>
    <w:p>
      <w:pPr>
        <w:jc w:val="both"/>
      </w:pPr>
      <w:r>
        <w:t>预训练以完整语义的有效记录统计样本比例，指令微调以完整任务、偏好对齐以完整比较组、基准评测以完整题目统计。预训练合成与增强来源内容合并去重后不超过有效Tokens的20%；指令微调整体合成比例不超过45%，数据丰富场景不超过30%，推理及长尾稀缺场景不超过60%，同时满足整体45%上限；偏好对齐合成组不超过50%；基准评测合成比例为零，且不采用合成增强数据。</w:t>
      </w:r>
    </w:p>
    <w:p>
      <w:pPr>
        <w:jc w:val="both"/>
      </w:pPr>
      <w:r>
        <w:t>正式质量评测按说明文档、数据质量和模型应用三个维度分别达到相应规范90分要求，综合评分不低于85分，全部81项指标分别核验。高风险问题清零，中低风险问题整改完成率达到100%，高危命中100%人工复核；集中完整复测不少于四次，首次评测和日常质检分别登记。治理运行考核不能替代上述正式验收条件。</w:t>
      </w:r>
    </w:p>
    <w:p>
      <w:pPr>
        <w:pStyle w:val="Heading3"/>
      </w:pPr>
      <w:r>
        <w:t>1.7.2 场景输入及反馈关系</w:t>
      </w:r>
    </w:p>
    <w:p>
      <w:pPr>
        <w:jc w:val="both"/>
      </w:pPr>
      <w:r>
        <w:t>六项业务场景包括产品智能选型、板材备料工艺智能设计、库存控制智能化、热处理过程控制智能化、焊接过程控制智能化和刮板输送装备健康诊断智能化。治理组织分别确认场景需求、专业约束、数据输入、验证责任及判断依据，围绕真实业务对象形成可检查的条件。</w:t>
      </w:r>
    </w:p>
    <w:p>
      <w:pPr>
        <w:jc w:val="both"/>
      </w:pPr>
      <w:r>
        <w:t>五项智能助手场景包括管理制度智能问答、技术标准智能问答、标书智能问答、决策数据智能问答和合同合规审查。各场景使用有效且经授权的知识和数据，问题答案与证据、条件和版本关联。专业结论由相应岗位复核，使用反馈区分来源错误、解析错误、知识遗漏、检索偏差和模型输出问题。</w:t>
      </w:r>
    </w:p>
    <w:p>
      <w:pPr>
        <w:jc w:val="both"/>
      </w:pPr>
      <w:r>
        <w:t>场景验证发现的问题按根因进入数据补充、标准完善、关联修复、专业标注、知识更新和规则调整。反馈应明确对象、任务、输入、结果、预期依据和影响范围，避免只提交无法复现的结论。修正后采用相同验证协议复测，保留原结果与后继版本对比。</w:t>
      </w:r>
    </w:p>
    <w:p>
      <w:pPr>
        <w:keepNext/>
        <w:spacing w:line="240" w:lineRule="auto" w:before="16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6048000" cy="1942338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图3_阶段安排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048000" cy="194233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t>图1-3 治理实施阶段安排</w:t>
      </w:r>
    </w:p>
    <w:p>
      <w:pPr>
        <w:pStyle w:val="Heading2"/>
      </w:pPr>
      <w:r>
        <w:t>1.8 实施阶段与检查节点</w:t>
      </w:r>
    </w:p>
    <w:p>
      <w:pPr>
        <w:pStyle w:val="Heading3"/>
      </w:pPr>
      <w:r>
        <w:t>1.8.1 六阶段推进安排</w:t>
      </w:r>
    </w:p>
    <w:p>
      <w:pPr>
        <w:jc w:val="both"/>
      </w:pPr>
      <w:r>
        <w:t>治理实施纳入统一项目计划，与数据战略实施计划的启动、诊断、规划、治理实施、生产验证和移交运行六个阶段对应。阶段之间可以按对象批次交叠推进，但正式发布与接收以有效输入和批准条件为前提。各阶段计划明确责任、交付、依赖、检查和最迟完成节点。</w:t>
      </w:r>
    </w:p>
    <w:p>
      <w:pPr>
        <w:jc w:val="both"/>
      </w:pPr>
      <w:r>
        <w:t>启动阶段落实组织映射、授权、资料清单、访问条件及工作机制，明确需要甲方确认的业务事项。诊断阶段完成九业务域和十七系统调查，核实制度、数据及运行证据，形成诊断和场景数据需求。规划阶段形成各领域治理文件及制度体系，完成业务、技术和管理评审。</w:t>
      </w:r>
    </w:p>
    <w:p>
      <w:pPr>
        <w:jc w:val="both"/>
      </w:pPr>
      <w:r>
        <w:t>治理实施阶段将批准规则落实到源系统、治理平台及岗位流程，分批完成标准映射、模型建设、元数据、质量、安全和运营配置。生产验证阶段按实际业务链核对数据供给、质量评测和场景反馈，组织集中问题处理及复测。移交运行阶段检查文件、配置、证据、人员能力和接续服务，完成正式接收。</w:t>
      </w:r>
    </w:p>
    <w:p>
      <w:pPr>
        <w:pStyle w:val="Caption"/>
        <w:keepNext/>
      </w:pPr>
      <w:r>
        <w:t>表1-7 六阶段推进安排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90" w:type="dxa"/>
          <w:bottom w:w="90" w:type="dxa"/>
          <w:left w:w="95" w:type="dxa"/>
          <w:right w:w="95" w:type="dxa"/>
        </w:tblCellMar>
      </w:tblPr>
      <w:tblGrid>
        <w:gridCol w:w="1638"/>
        <w:gridCol w:w="2699"/>
        <w:gridCol w:w="2409"/>
        <w:gridCol w:w="2891"/>
      </w:tblGrid>
      <w:tr>
        <w:trPr>
          <w:cantSplit/>
          <w:tblHeader/>
        </w:trPr>
        <w:tc>
          <w:tcPr>
            <w:tcW w:type="dxa" w:w="1638"/>
            <w:vAlign w:val="center"/>
            <w:shd w:fill="EDF1F3"/>
          </w:tcPr>
          <w:p>
            <w:pPr>
              <w:keepNext/>
              <w:spacing w:line="320" w:lineRule="exact" w:after="0" w:before="0"/>
              <w:ind w:firstLine="0"/>
              <w:jc w:val="center"/>
            </w:pPr>
            <w:r>
              <w:rPr>
                <w:b/>
                <w:sz w:val="21"/>
              </w:rPr>
              <w:t>阶段</w:t>
            </w:r>
          </w:p>
        </w:tc>
        <w:tc>
          <w:tcPr>
            <w:tcW w:type="dxa" w:w="2699"/>
            <w:vAlign w:val="center"/>
            <w:shd w:fill="EDF1F3"/>
          </w:tcPr>
          <w:p>
            <w:pPr>
              <w:keepNext/>
              <w:spacing w:line="320" w:lineRule="exact" w:after="0" w:before="0"/>
              <w:ind w:firstLine="0"/>
              <w:jc w:val="center"/>
            </w:pPr>
            <w:r>
              <w:rPr>
                <w:b/>
                <w:sz w:val="21"/>
              </w:rPr>
              <w:t>主要输入</w:t>
            </w:r>
          </w:p>
        </w:tc>
        <w:tc>
          <w:tcPr>
            <w:tcW w:type="dxa" w:w="2409"/>
            <w:vAlign w:val="center"/>
            <w:shd w:fill="EDF1F3"/>
          </w:tcPr>
          <w:p>
            <w:pPr>
              <w:keepNext/>
              <w:spacing w:line="320" w:lineRule="exact" w:after="0" w:before="0"/>
              <w:ind w:firstLine="0"/>
              <w:jc w:val="center"/>
            </w:pPr>
            <w:r>
              <w:rPr>
                <w:b/>
                <w:sz w:val="21"/>
              </w:rPr>
              <w:t>核心成果</w:t>
            </w:r>
          </w:p>
        </w:tc>
        <w:tc>
          <w:tcPr>
            <w:tcW w:type="dxa" w:w="2891"/>
            <w:vAlign w:val="center"/>
            <w:shd w:fill="EDF1F3"/>
          </w:tcPr>
          <w:p>
            <w:pPr>
              <w:keepNext/>
              <w:spacing w:line="320" w:lineRule="exact" w:after="0" w:before="0"/>
              <w:ind w:firstLine="0"/>
              <w:jc w:val="center"/>
            </w:pPr>
            <w:r>
              <w:rPr>
                <w:b/>
                <w:sz w:val="21"/>
              </w:rPr>
              <w:t>进入后续工作的检查条件</w:t>
            </w:r>
          </w:p>
        </w:tc>
      </w:tr>
      <w:tr>
        <w:trPr>
          <w:cantSplit/>
        </w:trPr>
        <w:tc>
          <w:tcPr>
            <w:tcW w:type="dxa" w:w="1638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启动</w:t>
            </w:r>
          </w:p>
        </w:tc>
        <w:tc>
          <w:tcPr>
            <w:tcW w:type="dxa" w:w="2699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合同要求、现有组织及项目安排</w:t>
            </w:r>
          </w:p>
        </w:tc>
        <w:tc>
          <w:tcPr>
            <w:tcW w:type="dxa" w:w="2409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责任映射、授权、计划和资料清单</w:t>
            </w:r>
          </w:p>
        </w:tc>
        <w:tc>
          <w:tcPr>
            <w:tcW w:type="dxa" w:w="2891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工作责任、访问范围及关键依赖明确</w:t>
            </w:r>
          </w:p>
        </w:tc>
      </w:tr>
      <w:tr>
        <w:trPr>
          <w:cantSplit/>
        </w:trPr>
        <w:tc>
          <w:tcPr>
            <w:tcW w:type="dxa" w:w="1638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诊断</w:t>
            </w:r>
          </w:p>
        </w:tc>
        <w:tc>
          <w:tcPr>
            <w:tcW w:type="dxa" w:w="2699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业务资料、系统访问和实际运行记录</w:t>
            </w:r>
          </w:p>
        </w:tc>
        <w:tc>
          <w:tcPr>
            <w:tcW w:type="dxa" w:w="2409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诊断报告、需求清单与基线</w:t>
            </w:r>
          </w:p>
        </w:tc>
        <w:tc>
          <w:tcPr>
            <w:tcW w:type="dxa" w:w="2891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主要结论有可定位证据并经确认</w:t>
            </w:r>
          </w:p>
        </w:tc>
      </w:tr>
      <w:tr>
        <w:trPr>
          <w:cantSplit/>
        </w:trPr>
        <w:tc>
          <w:tcPr>
            <w:tcW w:type="dxa" w:w="1638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规划</w:t>
            </w:r>
          </w:p>
        </w:tc>
        <w:tc>
          <w:tcPr>
            <w:tcW w:type="dxa" w:w="2699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诊断、需求和约束条件</w:t>
            </w:r>
          </w:p>
        </w:tc>
        <w:tc>
          <w:tcPr>
            <w:tcW w:type="dxa" w:w="2409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治理规划、组织和制度成果</w:t>
            </w:r>
          </w:p>
        </w:tc>
        <w:tc>
          <w:tcPr>
            <w:tcW w:type="dxa" w:w="2891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评审意见处理并形成有效版本</w:t>
            </w:r>
          </w:p>
        </w:tc>
      </w:tr>
      <w:tr>
        <w:trPr>
          <w:cantSplit/>
        </w:trPr>
        <w:tc>
          <w:tcPr>
            <w:tcW w:type="dxa" w:w="1638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治理实施</w:t>
            </w:r>
          </w:p>
        </w:tc>
        <w:tc>
          <w:tcPr>
            <w:tcW w:type="dxa" w:w="2699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批准规则、来源及环境</w:t>
            </w:r>
          </w:p>
        </w:tc>
        <w:tc>
          <w:tcPr>
            <w:tcW w:type="dxa" w:w="2409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配置、流程、规则和运行记录</w:t>
            </w:r>
          </w:p>
        </w:tc>
        <w:tc>
          <w:tcPr>
            <w:tcW w:type="dxa" w:w="2891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正反例、业务回放及权限检查通过</w:t>
            </w:r>
          </w:p>
        </w:tc>
      </w:tr>
      <w:tr>
        <w:trPr>
          <w:cantSplit/>
        </w:trPr>
        <w:tc>
          <w:tcPr>
            <w:tcW w:type="dxa" w:w="1638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生产验证</w:t>
            </w:r>
          </w:p>
        </w:tc>
        <w:tc>
          <w:tcPr>
            <w:tcW w:type="dxa" w:w="2699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有效数据、质量规则和场景协议</w:t>
            </w:r>
          </w:p>
        </w:tc>
        <w:tc>
          <w:tcPr>
            <w:tcW w:type="dxa" w:w="2409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数据供给、评测及整改结果</w:t>
            </w:r>
          </w:p>
        </w:tc>
        <w:tc>
          <w:tcPr>
            <w:tcW w:type="dxa" w:w="2891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硬性指标分别达标且问题按要求处理</w:t>
            </w:r>
          </w:p>
        </w:tc>
      </w:tr>
      <w:tr>
        <w:trPr>
          <w:cantSplit/>
        </w:trPr>
        <w:tc>
          <w:tcPr>
            <w:tcW w:type="dxa" w:w="1638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移交运行</w:t>
            </w:r>
          </w:p>
        </w:tc>
        <w:tc>
          <w:tcPr>
            <w:tcW w:type="dxa" w:w="2699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完整成果、接收人员和运行条件</w:t>
            </w:r>
          </w:p>
        </w:tc>
        <w:tc>
          <w:tcPr>
            <w:tcW w:type="dxa" w:w="2409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交付清单、操作资料及接续安排</w:t>
            </w:r>
          </w:p>
        </w:tc>
        <w:tc>
          <w:tcPr>
            <w:tcW w:type="dxa" w:w="2891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验收、岗位承接和持续支持完成确认</w:t>
            </w:r>
          </w:p>
        </w:tc>
      </w:tr>
    </w:tbl>
    <w:p>
      <w:pPr>
        <w:spacing w:after="40" w:line="240" w:lineRule="auto"/>
        <w:ind w:firstLine="0"/>
      </w:pPr>
      <w:r>
        <w:rPr>
          <w:sz w:val="4"/>
        </w:rPr>
      </w:r>
    </w:p>
    <w:p>
      <w:pPr>
        <w:pStyle w:val="Heading3"/>
      </w:pPr>
      <w:r>
        <w:t>1.8.2 节点调整与资源保障</w:t>
      </w:r>
    </w:p>
    <w:p>
      <w:pPr>
        <w:jc w:val="both"/>
      </w:pPr>
      <w:r>
        <w:t>总体时间安排满足2028年5月前完成最终验收的要求。阶段工期结合实际启动日期、来源开放、业务审核、实施容量和评测资源制定，纳入统一总计划。局部任务延迟时同步分析下游影响，调整并行安排、批次和资源，保留质量、安全和正式验收所需的检查环节。</w:t>
      </w:r>
    </w:p>
    <w:p>
      <w:pPr>
        <w:jc w:val="both"/>
      </w:pPr>
      <w:r>
        <w:t>资源计划同时考虑业务专家、数据管理、技术实施、质量安全、资产运营、培训及档案能力。业务专家参与术语、工艺、质量与场景判断，时间安排应计入生产经营职责和可用窗口。专业复核负荷按对象难度、待审量、争议比例及返工量测算，不能仅按自动处理速度估计完成时间。</w:t>
      </w:r>
    </w:p>
    <w:p>
      <w:pPr>
        <w:jc w:val="both"/>
      </w:pPr>
      <w:r>
        <w:t>环境资源区分开发、验证、正式运行和受控培训用途，明确数据范围、权限、版本和恢复条件。模型、数据和规则更新分别评估容量及验证开销。资源冲突由管理层统筹，重大资源变化按授权报批，批准结果回填任务和阶段计划。</w:t>
      </w:r>
    </w:p>
    <w:p>
      <w:pPr>
        <w:pStyle w:val="Heading2"/>
      </w:pPr>
      <w:r>
        <w:t>1.9 治理度量与监督检查</w:t>
      </w:r>
    </w:p>
    <w:p>
      <w:pPr>
        <w:pStyle w:val="Heading3"/>
      </w:pPr>
      <w:r>
        <w:t>1.9.1 运行指标及统计规则</w:t>
      </w:r>
    </w:p>
    <w:p>
      <w:pPr>
        <w:jc w:val="both"/>
      </w:pPr>
      <w:r>
        <w:t>运行度量围绕责任落实、规则执行、问题整改、服务使用和岗位能力设置指标。每项指标登记对象、期间、单位、分子分母、来源、排除条件、目标及复核方法。统计结果保留原始对象清单和计算依据，能够按业务域、系统、责任和阶段分别查询。</w:t>
      </w:r>
    </w:p>
    <w:p>
      <w:pPr>
        <w:jc w:val="both"/>
      </w:pPr>
      <w:r>
        <w:t>制度数量、会议次数和培训签到反映过程投入，效果评价继续核查实际执行和业务结果。任务完成以接收或复核通过为依据，整改完成以原因修复和效果验证为依据，授权回收以实际访问受限及副本处理为依据。分母为零时登记本期无适用对象并说明业务原因，后续检查是否属于漏纳管。</w:t>
      </w:r>
    </w:p>
    <w:p>
      <w:pPr>
        <w:pStyle w:val="Caption"/>
        <w:keepNext/>
      </w:pPr>
      <w:r>
        <w:t>表1-8 运行指标及统计规则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90" w:type="dxa"/>
          <w:bottom w:w="90" w:type="dxa"/>
          <w:left w:w="95" w:type="dxa"/>
          <w:right w:w="95" w:type="dxa"/>
        </w:tblCellMar>
      </w:tblPr>
      <w:tblGrid>
        <w:gridCol w:w="1638"/>
        <w:gridCol w:w="2699"/>
        <w:gridCol w:w="2409"/>
        <w:gridCol w:w="2891"/>
      </w:tblGrid>
      <w:tr>
        <w:trPr>
          <w:cantSplit/>
          <w:tblHeader/>
        </w:trPr>
        <w:tc>
          <w:tcPr>
            <w:tcW w:type="dxa" w:w="1638"/>
            <w:vAlign w:val="center"/>
            <w:shd w:fill="EDF1F3"/>
          </w:tcPr>
          <w:p>
            <w:pPr>
              <w:keepNext/>
              <w:spacing w:line="320" w:lineRule="exact" w:after="0" w:before="0"/>
              <w:ind w:firstLine="0"/>
              <w:jc w:val="center"/>
            </w:pPr>
            <w:r>
              <w:rPr>
                <w:b/>
                <w:sz w:val="21"/>
              </w:rPr>
              <w:t>运行指标</w:t>
            </w:r>
          </w:p>
        </w:tc>
        <w:tc>
          <w:tcPr>
            <w:tcW w:type="dxa" w:w="2699"/>
            <w:vAlign w:val="center"/>
            <w:shd w:fill="EDF1F3"/>
          </w:tcPr>
          <w:p>
            <w:pPr>
              <w:keepNext/>
              <w:spacing w:line="320" w:lineRule="exact" w:after="0" w:before="0"/>
              <w:ind w:firstLine="0"/>
              <w:jc w:val="center"/>
            </w:pPr>
            <w:r>
              <w:rPr>
                <w:b/>
                <w:sz w:val="21"/>
              </w:rPr>
              <w:t>计算及判断</w:t>
            </w:r>
          </w:p>
        </w:tc>
        <w:tc>
          <w:tcPr>
            <w:tcW w:type="dxa" w:w="2409"/>
            <w:vAlign w:val="center"/>
            <w:shd w:fill="EDF1F3"/>
          </w:tcPr>
          <w:p>
            <w:pPr>
              <w:keepNext/>
              <w:spacing w:line="320" w:lineRule="exact" w:after="0" w:before="0"/>
              <w:ind w:firstLine="0"/>
              <w:jc w:val="center"/>
            </w:pPr>
            <w:r>
              <w:rPr>
                <w:b/>
                <w:sz w:val="21"/>
              </w:rPr>
              <w:t>主要证据</w:t>
            </w:r>
          </w:p>
        </w:tc>
        <w:tc>
          <w:tcPr>
            <w:tcW w:type="dxa" w:w="2891"/>
            <w:vAlign w:val="center"/>
            <w:shd w:fill="EDF1F3"/>
          </w:tcPr>
          <w:p>
            <w:pPr>
              <w:keepNext/>
              <w:spacing w:line="320" w:lineRule="exact" w:after="0" w:before="0"/>
              <w:ind w:firstLine="0"/>
              <w:jc w:val="center"/>
            </w:pPr>
            <w:r>
              <w:rPr>
                <w:b/>
                <w:sz w:val="21"/>
              </w:rPr>
              <w:t>结果用途</w:t>
            </w:r>
          </w:p>
        </w:tc>
      </w:tr>
      <w:tr>
        <w:trPr>
          <w:cantSplit/>
        </w:trPr>
        <w:tc>
          <w:tcPr>
            <w:tcW w:type="dxa" w:w="1638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对象责任覆盖</w:t>
            </w:r>
          </w:p>
        </w:tc>
        <w:tc>
          <w:tcPr>
            <w:tcW w:type="dxa" w:w="2699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已确认归口及执行复核岗位的对象数占应确认对象数</w:t>
            </w:r>
          </w:p>
        </w:tc>
        <w:tc>
          <w:tcPr>
            <w:tcW w:type="dxa" w:w="2409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对象清单与有效责任映射</w:t>
            </w:r>
          </w:p>
        </w:tc>
        <w:tc>
          <w:tcPr>
            <w:tcW w:type="dxa" w:w="2891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补齐责任缺口</w:t>
            </w:r>
          </w:p>
        </w:tc>
      </w:tr>
      <w:tr>
        <w:trPr>
          <w:cantSplit/>
        </w:trPr>
        <w:tc>
          <w:tcPr>
            <w:tcW w:type="dxa" w:w="1638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标准实际落标</w:t>
            </w:r>
          </w:p>
        </w:tc>
        <w:tc>
          <w:tcPr>
            <w:tcW w:type="dxa" w:w="2699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已按有效标准实现并验证的对象数占纳入实施对象数</w:t>
            </w:r>
          </w:p>
        </w:tc>
        <w:tc>
          <w:tcPr>
            <w:tcW w:type="dxa" w:w="2409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映射、配置与测试记录</w:t>
            </w:r>
          </w:p>
        </w:tc>
        <w:tc>
          <w:tcPr>
            <w:tcW w:type="dxa" w:w="2891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安排落标和接口修正</w:t>
            </w:r>
          </w:p>
        </w:tc>
      </w:tr>
      <w:tr>
        <w:trPr>
          <w:cantSplit/>
        </w:trPr>
        <w:tc>
          <w:tcPr>
            <w:tcW w:type="dxa" w:w="1638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到期事项完成</w:t>
            </w:r>
          </w:p>
        </w:tc>
        <w:tc>
          <w:tcPr>
            <w:tcW w:type="dxa" w:w="2699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到期且经接收复核通过的事项数占本期到期事项数</w:t>
            </w:r>
          </w:p>
        </w:tc>
        <w:tc>
          <w:tcPr>
            <w:tcW w:type="dxa" w:w="2409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任务、接收和复核记录</w:t>
            </w:r>
          </w:p>
        </w:tc>
        <w:tc>
          <w:tcPr>
            <w:tcW w:type="dxa" w:w="2891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分析执行及依赖问题</w:t>
            </w:r>
          </w:p>
        </w:tc>
      </w:tr>
      <w:tr>
        <w:trPr>
          <w:cantSplit/>
        </w:trPr>
        <w:tc>
          <w:tcPr>
            <w:tcW w:type="dxa" w:w="1638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问题整改有效</w:t>
            </w:r>
          </w:p>
        </w:tc>
        <w:tc>
          <w:tcPr>
            <w:tcW w:type="dxa" w:w="2699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经独立复核且检查同类影响的问题数占本期应复核问题数</w:t>
            </w:r>
          </w:p>
        </w:tc>
        <w:tc>
          <w:tcPr>
            <w:tcW w:type="dxa" w:w="2409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根因、整改和复测证据</w:t>
            </w:r>
          </w:p>
        </w:tc>
        <w:tc>
          <w:tcPr>
            <w:tcW w:type="dxa" w:w="2891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识别复发和规则缺陷</w:t>
            </w:r>
          </w:p>
        </w:tc>
      </w:tr>
      <w:tr>
        <w:trPr>
          <w:cantSplit/>
        </w:trPr>
        <w:tc>
          <w:tcPr>
            <w:tcW w:type="dxa" w:w="1638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元数据有效</w:t>
            </w:r>
          </w:p>
        </w:tc>
        <w:tc>
          <w:tcPr>
            <w:tcW w:type="dxa" w:w="2699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必需字段完整且内容核验正确的对象数占检查对象数</w:t>
            </w:r>
          </w:p>
        </w:tc>
        <w:tc>
          <w:tcPr>
            <w:tcW w:type="dxa" w:w="2409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元数据与源端对照</w:t>
            </w:r>
          </w:p>
        </w:tc>
        <w:tc>
          <w:tcPr>
            <w:tcW w:type="dxa" w:w="2891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修复采集和维护责任</w:t>
            </w:r>
          </w:p>
        </w:tc>
      </w:tr>
      <w:tr>
        <w:trPr>
          <w:cantSplit/>
        </w:trPr>
        <w:tc>
          <w:tcPr>
            <w:tcW w:type="dxa" w:w="1638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授权退出完成</w:t>
            </w:r>
          </w:p>
        </w:tc>
        <w:tc>
          <w:tcPr>
            <w:tcW w:type="dxa" w:w="2699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已验证回收并处理副本的授权数占应退出授权数</w:t>
            </w:r>
          </w:p>
        </w:tc>
        <w:tc>
          <w:tcPr>
            <w:tcW w:type="dxa" w:w="2409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审批、配置及拒绝测试</w:t>
            </w:r>
          </w:p>
        </w:tc>
        <w:tc>
          <w:tcPr>
            <w:tcW w:type="dxa" w:w="2891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检查到期风险</w:t>
            </w:r>
          </w:p>
        </w:tc>
      </w:tr>
      <w:tr>
        <w:trPr>
          <w:cantSplit/>
        </w:trPr>
        <w:tc>
          <w:tcPr>
            <w:tcW w:type="dxa" w:w="1638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岗位独立作业</w:t>
            </w:r>
          </w:p>
        </w:tc>
        <w:tc>
          <w:tcPr>
            <w:tcW w:type="dxa" w:w="2699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独立完成规定任务并通过检查的人次占应考核人次</w:t>
            </w:r>
          </w:p>
        </w:tc>
        <w:tc>
          <w:tcPr>
            <w:tcW w:type="dxa" w:w="2409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实操成果和评价记录</w:t>
            </w:r>
          </w:p>
        </w:tc>
        <w:tc>
          <w:tcPr>
            <w:tcW w:type="dxa" w:w="2891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安排补训及承接资源</w:t>
            </w:r>
          </w:p>
        </w:tc>
      </w:tr>
      <w:tr>
        <w:trPr>
          <w:cantSplit/>
        </w:trPr>
        <w:tc>
          <w:tcPr>
            <w:tcW w:type="dxa" w:w="1638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治理实际使用</w:t>
            </w:r>
          </w:p>
        </w:tc>
        <w:tc>
          <w:tcPr>
            <w:tcW w:type="dxa" w:w="2699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经授权且完成业务用途的服务调用或任务</w:t>
            </w:r>
          </w:p>
        </w:tc>
        <w:tc>
          <w:tcPr>
            <w:tcW w:type="dxa" w:w="2409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调用、接收及业务反馈</w:t>
            </w:r>
          </w:p>
        </w:tc>
        <w:tc>
          <w:tcPr>
            <w:tcW w:type="dxa" w:w="2891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评价可用性和使用效果</w:t>
            </w:r>
          </w:p>
        </w:tc>
      </w:tr>
    </w:tbl>
    <w:p>
      <w:pPr>
        <w:spacing w:after="40" w:line="240" w:lineRule="auto"/>
        <w:ind w:firstLine="0"/>
      </w:pPr>
      <w:r>
        <w:rPr>
          <w:sz w:val="4"/>
        </w:rPr>
      </w:r>
    </w:p>
    <w:p>
      <w:pPr>
        <w:pStyle w:val="Heading3"/>
      </w:pPr>
      <w:r>
        <w:t>1.9.2 检查发现与持续改进</w:t>
      </w:r>
    </w:p>
    <w:p>
      <w:pPr>
        <w:jc w:val="both"/>
      </w:pPr>
      <w:r>
        <w:t>监督检查按实际事项抽查制度执行、权限、责任、数据结果及档案，重要控制结合全范围规则检查和人工复核。检查范围、方法、样本及限制随结果保存。发现同类问题时扩大检查，确认是否存在规则、配置或组织上的共同原因。</w:t>
      </w:r>
    </w:p>
    <w:p>
      <w:pPr>
        <w:jc w:val="both"/>
      </w:pPr>
      <w:r>
        <w:t>问题处理区分纠正当前对象、消除根因和验证持续效果。牵头岗位登记措施及受影响范围，执行岗位完成修复，独立复核岗位检查实际结果。重大问题由管理层组织专题复盘，必要时调整制度、流程、资源和培训内容，后续月份或阶段继续观察是否复发。</w:t>
      </w:r>
    </w:p>
    <w:p>
      <w:pPr>
        <w:jc w:val="both"/>
      </w:pPr>
      <w:r>
        <w:t>考核统计与问题事实出现分歧时，先核对对象、时间、规则和责任依据，再复算结果。对调查揭示的新对象、新来源或新风险，及时修订治理范围及分母。历史结果保留原口径，比较时给出可比范围，避免通过改变统计对象掩盖问题。</w:t>
      </w:r>
    </w:p>
    <w:p>
      <w:pPr>
        <w:pStyle w:val="Heading2"/>
      </w:pPr>
      <w:r>
        <w:t>1.10 评审发布与接续运行</w:t>
      </w:r>
    </w:p>
    <w:p>
      <w:pPr>
        <w:pStyle w:val="Heading3"/>
      </w:pPr>
      <w:r>
        <w:t>1.10.1 规划评审与版本修订</w:t>
      </w:r>
    </w:p>
    <w:p>
      <w:pPr>
        <w:jc w:val="both"/>
      </w:pPr>
      <w:r>
        <w:t>规划评审由数据管理办公室组织。业务岗位检查范围、对象、专业责任和实施条件，技术岗位检查架构、配置与资源，质量安全岗位检查验证和风险，管理岗位检查授权、计划和成果，培训及运营岗位检查承接能力。意见按条目登记，列明处理结果、修改位置和复核结论。</w:t>
      </w:r>
    </w:p>
    <w:p>
      <w:pPr>
        <w:jc w:val="both"/>
      </w:pPr>
      <w:r>
        <w:t>规划发布登记文件标识、版本、生效条件、归口、批准依据和受控范围。涉及相关制度、操作流程及平台配置的调整，同步建立实施任务。执行岗位确认收到当前有效版本，旧版本转为历史状态，历史事项按其适用规则保留查询。</w:t>
      </w:r>
    </w:p>
    <w:p>
      <w:pPr>
        <w:jc w:val="both"/>
      </w:pPr>
      <w:r>
        <w:t>组织、系统、业务对象、合同范围和适用标准变化时开展专项复查；阶段评价和年度工作检查提出的改进进入滚动修订。修订分析对目标、工作包、资源、质量安全及验收的影响，批准后同步更新关联文件。各版本之间保留替代关系和未完成事项承接安排。</w:t>
      </w:r>
    </w:p>
    <w:p>
      <w:pPr>
        <w:pStyle w:val="Heading3"/>
      </w:pPr>
      <w:r>
        <w:t>1.10.2 成果验收与长期维护</w:t>
      </w:r>
    </w:p>
    <w:p>
      <w:pPr>
        <w:jc w:val="both"/>
      </w:pPr>
      <w:r>
        <w:t>治理成果验收以批准范围、合同要求和实际完成证据为依据。交付清单记录文件、配置、流程、数据、记录、培训和接收责任，分别检查完整性与有效性。制度类成果核对条款及批准状态，系统类成果核对实际运行，人员类成果核对独立操作及异常处理能力。</w:t>
      </w:r>
    </w:p>
    <w:p>
      <w:pPr>
        <w:jc w:val="both"/>
      </w:pPr>
      <w:r>
        <w:t>移交时由接收岗位执行目录维护、规则检查、问题处置、变更审批或授权回收等规定任务，我方提供辅导并记录结果。发现承接能力或资料缺口时补充培训、调整操作材料并重新验证。未完成事项单独明确责任、时间和跟踪方式，影响验收的缺陷完成整改后再次提交。</w:t>
      </w:r>
    </w:p>
    <w:p>
      <w:pPr>
        <w:jc w:val="both"/>
      </w:pPr>
      <w:r>
        <w:t>最终验收后按至少12个月质保及质保期满24个月免费技术服务的统一安排持续提供支持。运行期维护有效制度、规则版本、授权范围和人员能力，定期核查来源变化、质量波动、重要风险及业务使用反馈。治理组织依据真实运行结果继续开展评价和调整。</w:t>
      </w:r>
    </w:p>
    <w:p>
      <w:pPr>
        <w:pStyle w:val="Heading1"/>
        <w:pageBreakBefore/>
      </w:pPr>
      <w:r>
        <w:t>2 数据治理组织架构</w:t>
      </w:r>
    </w:p>
    <w:p>
      <w:pPr>
        <w:pStyle w:val="Heading2"/>
      </w:pPr>
      <w:r>
        <w:t>2.1 文件管理与组织设置</w:t>
      </w:r>
    </w:p>
    <w:p>
      <w:pPr>
        <w:pStyle w:val="Heading3"/>
      </w:pPr>
      <w:r>
        <w:t>2.1.1 文件标识与适用范围</w:t>
      </w:r>
    </w:p>
    <w:p>
      <w:pPr>
        <w:pStyle w:val="Caption"/>
        <w:keepNext/>
      </w:pPr>
      <w:r>
        <w:t>表2-1 文件标识与适用范围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90" w:type="dxa"/>
          <w:bottom w:w="90" w:type="dxa"/>
          <w:left w:w="95" w:type="dxa"/>
          <w:right w:w="95" w:type="dxa"/>
        </w:tblCellMar>
      </w:tblPr>
      <w:tblGrid>
        <w:gridCol w:w="2409"/>
        <w:gridCol w:w="7228"/>
      </w:tblGrid>
      <w:tr>
        <w:trPr>
          <w:cantSplit/>
          <w:tblHeader/>
        </w:trPr>
        <w:tc>
          <w:tcPr>
            <w:tcW w:type="dxa" w:w="2409"/>
            <w:vAlign w:val="center"/>
            <w:shd w:fill="EDF1F3"/>
          </w:tcPr>
          <w:p>
            <w:pPr>
              <w:keepNext/>
              <w:spacing w:line="320" w:lineRule="exact" w:after="0" w:before="0"/>
              <w:ind w:firstLine="0"/>
              <w:jc w:val="center"/>
            </w:pPr>
            <w:r>
              <w:rPr>
                <w:b/>
                <w:sz w:val="21"/>
              </w:rPr>
              <w:t>管理项目</w:t>
            </w:r>
          </w:p>
        </w:tc>
        <w:tc>
          <w:tcPr>
            <w:tcW w:type="dxa" w:w="7228"/>
            <w:vAlign w:val="center"/>
            <w:shd w:fill="EDF1F3"/>
          </w:tcPr>
          <w:p>
            <w:pPr>
              <w:keepNext/>
              <w:spacing w:line="320" w:lineRule="exact" w:after="0" w:before="0"/>
              <w:ind w:firstLine="0"/>
              <w:jc w:val="center"/>
            </w:pPr>
            <w:r>
              <w:rPr>
                <w:b/>
                <w:sz w:val="21"/>
              </w:rPr>
              <w:t>管理内容</w:t>
            </w:r>
          </w:p>
        </w:tc>
      </w:tr>
      <w:tr>
        <w:trPr>
          <w:cantSplit/>
        </w:trPr>
        <w:tc>
          <w:tcPr>
            <w:tcW w:type="dxa" w:w="2409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文件名称</w:t>
            </w:r>
          </w:p>
        </w:tc>
        <w:tc>
          <w:tcPr>
            <w:tcW w:type="dxa" w:w="7228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数据治理组织架构</w:t>
            </w:r>
          </w:p>
        </w:tc>
      </w:tr>
      <w:tr>
        <w:trPr>
          <w:cantSplit/>
        </w:trPr>
        <w:tc>
          <w:tcPr>
            <w:tcW w:type="dxa" w:w="2409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文件标识</w:t>
            </w:r>
          </w:p>
        </w:tc>
        <w:tc>
          <w:tcPr>
            <w:tcW w:type="dxa" w:w="7228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GHY26691-GV-02-0002-V1.0</w:t>
            </w:r>
          </w:p>
        </w:tc>
      </w:tr>
      <w:tr>
        <w:trPr>
          <w:cantSplit/>
        </w:trPr>
        <w:tc>
          <w:tcPr>
            <w:tcW w:type="dxa" w:w="2409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适用范围</w:t>
            </w:r>
          </w:p>
        </w:tc>
        <w:tc>
          <w:tcPr>
            <w:tcW w:type="dxa" w:w="7228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公司数据治理决策、管理、执行、协同及监督活动</w:t>
            </w:r>
          </w:p>
        </w:tc>
      </w:tr>
      <w:tr>
        <w:trPr>
          <w:cantSplit/>
        </w:trPr>
        <w:tc>
          <w:tcPr>
            <w:tcW w:type="dxa" w:w="2409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组织层级</w:t>
            </w:r>
          </w:p>
        </w:tc>
        <w:tc>
          <w:tcPr>
            <w:tcW w:type="dxa" w:w="7228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决策层、管理层、执行层</w:t>
            </w:r>
          </w:p>
        </w:tc>
      </w:tr>
      <w:tr>
        <w:trPr>
          <w:cantSplit/>
        </w:trPr>
        <w:tc>
          <w:tcPr>
            <w:tcW w:type="dxa" w:w="2409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组织形式</w:t>
            </w:r>
          </w:p>
        </w:tc>
        <w:tc>
          <w:tcPr>
            <w:tcW w:type="dxa" w:w="7228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数据治理委员会、数据管理办公室、业务归口部门及专业执行岗位</w:t>
            </w:r>
          </w:p>
        </w:tc>
      </w:tr>
      <w:tr>
        <w:trPr>
          <w:cantSplit/>
        </w:trPr>
        <w:tc>
          <w:tcPr>
            <w:tcW w:type="dxa" w:w="2409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归口管理</w:t>
            </w:r>
          </w:p>
        </w:tc>
        <w:tc>
          <w:tcPr>
            <w:tcW w:type="dxa" w:w="7228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数据管理办公室维护组织、岗位、权限及人员有效映射</w:t>
            </w:r>
          </w:p>
        </w:tc>
      </w:tr>
      <w:tr>
        <w:trPr>
          <w:cantSplit/>
        </w:trPr>
        <w:tc>
          <w:tcPr>
            <w:tcW w:type="dxa" w:w="2409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批准程序</w:t>
            </w:r>
          </w:p>
        </w:tc>
        <w:tc>
          <w:tcPr>
            <w:tcW w:type="dxa" w:w="7228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按公司组织及治理授权履行审议和任命程序</w:t>
            </w:r>
          </w:p>
        </w:tc>
      </w:tr>
      <w:tr>
        <w:trPr>
          <w:cantSplit/>
        </w:trPr>
        <w:tc>
          <w:tcPr>
            <w:tcW w:type="dxa" w:w="2409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关联制度</w:t>
            </w:r>
          </w:p>
        </w:tc>
        <w:tc>
          <w:tcPr>
            <w:tcW w:type="dxa" w:w="7228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数据治理管理办法、组织运行细则、口径确认与争议处理细则及考核细则</w:t>
            </w:r>
          </w:p>
        </w:tc>
      </w:tr>
    </w:tbl>
    <w:p>
      <w:pPr>
        <w:spacing w:after="40" w:line="240" w:lineRule="auto"/>
        <w:ind w:firstLine="0"/>
      </w:pPr>
      <w:r>
        <w:rPr>
          <w:sz w:val="4"/>
        </w:rPr>
      </w:r>
    </w:p>
    <w:p>
      <w:pPr>
        <w:jc w:val="both"/>
      </w:pPr>
      <w:r>
        <w:t>本文件明确各治理层级的职责、权限、工作接口和责任交接要求。组织设置与公司现有管理体系衔接，采用岗位角色描述工作责任，由公司将角色落实到实际部门和人员。一个岗位可以承担多个工作角色，同一角色也可按业务范围配置多名人员；职责分离和独立复核要求按具体事项保持有效。</w:t>
      </w:r>
    </w:p>
    <w:p>
      <w:pPr>
        <w:jc w:val="both"/>
      </w:pPr>
      <w:r>
        <w:t>治理组织覆盖九个业务域及纳入项目范围的数据资源和系统。各业务域明确业务数据责任岗位和数据管理岗位，关键对象明确专业审核岗位，源系统和治理平台明确技术责任岗位。跨域共享对象设一个牵头归口，其他相关部门登记协同职责，避免同一对象出现多个互不认可的主责口径。</w:t>
      </w:r>
    </w:p>
    <w:p>
      <w:pPr>
        <w:pStyle w:val="Heading3"/>
      </w:pPr>
      <w:r>
        <w:t>2.1.2 组织关系与权限来源</w:t>
      </w:r>
    </w:p>
    <w:p>
      <w:pPr>
        <w:jc w:val="both"/>
      </w:pPr>
      <w:r>
        <w:t>数据治理委员会负责方向、重大规则、重要资源及重大争议；数据管理办公室负责统筹、协调、监督和考核组织；业务归口部门及专业岗位负责定义、维护、实现、检查和使用。组织层级与事项审批权限相对应，授权范围、事项类型、金额或风险等适用条件分别登记。</w:t>
      </w:r>
    </w:p>
    <w:p>
      <w:pPr>
        <w:jc w:val="both"/>
      </w:pPr>
      <w:r>
        <w:t>数据管理办公室向数据治理委员会报告计划、执行、重大风险及需决策事项，向执行层下达经批准的任务、制度和检查安排。业务归口部门向办公室提交需求、问题和工作结果，同时继续履行公司现有业务管理责任。技术岗位向相应系统或平台管理责任岗位报告运行情况，并就治理任务与办公室协同。</w:t>
      </w:r>
    </w:p>
    <w:p>
      <w:pPr>
        <w:jc w:val="both"/>
      </w:pPr>
      <w:r>
        <w:t>我方项目团队按照项目合同和批准实施计划开展建设工作，进入甲方治理机制处理业务确认、方案评审和成果接收。项目团队可提供分析和执行建议，甲方授权岗位对业务、制度和访问许可作出决定。平台操作身份与甲方正式管理权限分别登记，系统管理员技术能力不自动产生业务审批权限。</w:t>
      </w:r>
    </w:p>
    <w:p>
      <w:pPr>
        <w:keepNext/>
        <w:spacing w:line="240" w:lineRule="auto" w:before="16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6048000" cy="3004615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图4_组织职责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048000" cy="300461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t>图2-1 治理组织与岗位职责</w:t>
      </w:r>
    </w:p>
    <w:p>
      <w:pPr>
        <w:pStyle w:val="Heading2"/>
      </w:pPr>
      <w:r>
        <w:t>2.2 决策层职责与议事权限</w:t>
      </w:r>
    </w:p>
    <w:p>
      <w:pPr>
        <w:pStyle w:val="Heading3"/>
      </w:pPr>
      <w:r>
        <w:t>2.2.1 数据治理委员会职责</w:t>
      </w:r>
    </w:p>
    <w:p>
      <w:pPr>
        <w:jc w:val="both"/>
      </w:pPr>
      <w:r>
        <w:t>委员会审议数据战略及重大调整，批准顶层治理制度和重要跨域规则，协调影响多个业务域的资源与职责事项。对于数据权利、重要共享、安全风险和重大质量问题，依据专业审查及公司授权作出决定。涉及公司其他管理体系已有批准权限的事项，提交相应有权主体办理并保存关联决定。</w:t>
      </w:r>
    </w:p>
    <w:p>
      <w:pPr>
        <w:jc w:val="both"/>
      </w:pPr>
      <w:r>
        <w:t>委员会检查治理目标与经营管理需求的对应，审议阶段结果和重大偏差。会议材料应能够回答当前事实、影响对象、必须决策事项、可选处理及后续执行条件。对于不能形成可靠判断的事项，明确补充调查范围和责任，不将资料不足简单视为批准或否决。</w:t>
      </w:r>
    </w:p>
    <w:p>
      <w:pPr>
        <w:jc w:val="both"/>
      </w:pPr>
      <w:r>
        <w:t>委员会决定形成编号和正式记录，注明参与岗位、有效授权、审议意见、批准条件、承办岗位及检查节点。存在不同专业意见时保留意见及依据，执行岗位按最终有效决定办理。涉及多个文件、系统或业务域的决定，由办公室组织统一分解和落实检查。</w:t>
      </w:r>
    </w:p>
    <w:p>
      <w:pPr>
        <w:pStyle w:val="Heading3"/>
      </w:pPr>
      <w:r>
        <w:t>2.2.2 重大事项的提交与执行</w:t>
      </w:r>
    </w:p>
    <w:p>
      <w:pPr>
        <w:jc w:val="both"/>
      </w:pPr>
      <w:r>
        <w:t>重大事项包括公司级战略与治理制度发布、跨域关键数据口径裁决、重要资源调整、重大安全和质量风险处置，以及超出管理层授权的资产和共享事项。提交前完成事实核验、专业审核和影响分析，说明继续执行、暂停或调整各自的后果。</w:t>
      </w:r>
    </w:p>
    <w:p>
      <w:pPr>
        <w:jc w:val="both"/>
      </w:pPr>
      <w:r>
        <w:t>重大口径裁决应附各方定义、数据来源、样本差异及使用目的。重大架构变更应附受影响对象、模型、接口、质量、安全和恢复安排。重大资源调整应附工作量、现有能力、依赖和期限。重大授权事项应附来源权利、用途、范围、保护及退出条件。</w:t>
      </w:r>
    </w:p>
    <w:p>
      <w:pPr>
        <w:jc w:val="both"/>
      </w:pPr>
      <w:r>
        <w:t>批准后由办公室将决定分解为任务，责任岗位确认接收并落实执行。批准附带条件的，分别验证条件满足情况。实施过程中出现新的重大事实或无法满足批准条件时，重新提交审议，保留此前已实施范围及采取的临时控制。</w:t>
      </w:r>
    </w:p>
    <w:p>
      <w:pPr>
        <w:pStyle w:val="Heading2"/>
      </w:pPr>
      <w:r>
        <w:t>2.3 管理层职责与统筹机制</w:t>
      </w:r>
    </w:p>
    <w:p>
      <w:pPr>
        <w:pStyle w:val="Heading3"/>
      </w:pPr>
      <w:r>
        <w:t>2.3.1 数据管理办公室职责</w:t>
      </w:r>
    </w:p>
    <w:p>
      <w:pPr>
        <w:jc w:val="both"/>
      </w:pPr>
      <w:r>
        <w:t>办公室维护治理规划、阶段计划和任务清单，组织制度制定、评审、发布及复查，管理业务域责任映射和事项办理规则。办公室协调业务、技术、质量、安全、资产、培训等岗位，对跨域事项指定牵头责任和参与范围，并跟踪实际结果。</w:t>
      </w:r>
    </w:p>
    <w:p>
      <w:pPr>
        <w:jc w:val="both"/>
      </w:pPr>
      <w:r>
        <w:t>办公室统一接收无法直接匹配归口的事项，核查对象、影响和现行规则后分派。对于责任争议，先核验既有职责和业务事实，提出处理建议；超出授权的提请委员会裁决。事项转派保留原受理记录和当前责任，转派完成以接收岗位确认为依据。</w:t>
      </w:r>
    </w:p>
    <w:p>
      <w:pPr>
        <w:jc w:val="both"/>
      </w:pPr>
      <w:r>
        <w:t>办公室组织治理月度检查、阶段评价和考核复核，维护问题、决议、变更和改进记录。统计结果与原始证据关联，核查是否存在任务重复计数、审批未完成即统计完成、改变分母或遗漏异常等情况。办公室依据评价结果提出资源、制度和培训调整建议。</w:t>
      </w:r>
    </w:p>
    <w:p>
      <w:pPr>
        <w:pStyle w:val="Heading3"/>
      </w:pPr>
      <w:r>
        <w:t>2.3.2 专项协调与专业审查</w:t>
      </w:r>
    </w:p>
    <w:p>
      <w:pPr>
        <w:jc w:val="both"/>
      </w:pPr>
      <w:r>
        <w:t>专项协调按事项组建业务与专业岗位组合，覆盖战略、治理、架构、资产、标准、质量、安全、生存周期和应用流通九个规划领域。专项工作应有明确目标、承办责任、输入、产出和终止条件，形成成果后转入相应归口管理，避免临时组织长期承担无清晰边界的职责。</w:t>
      </w:r>
    </w:p>
    <w:p>
      <w:pPr>
        <w:jc w:val="both"/>
      </w:pPr>
      <w:r>
        <w:t>专业审查由具备对应业务知识和授权的岗位开展。工艺问题由研发或工艺专业岗位核查，质量结论由质量岗位核查，设备故障由设备及运维专业岗位核查，财务指标由财务归口岗位核查。技术岗位提供计算、数据及系统证据，不能以技术实现结果代替专业确认。</w:t>
      </w:r>
    </w:p>
    <w:p>
      <w:pPr>
        <w:jc w:val="both"/>
      </w:pPr>
      <w:r>
        <w:t>专项会议重点处理一个或一组有关联的具体问题。会前固定对象和材料，会上确认事实及处理方案，会后形成任务、决定或修订申请。长期重复出现的事项应转化为通用规则和操作规范，减少持续依靠临时协调的工作负担。</w:t>
      </w:r>
    </w:p>
    <w:p>
      <w:pPr>
        <w:pStyle w:val="Caption"/>
        <w:keepNext/>
      </w:pPr>
      <w:r>
        <w:t>表2-2 专项协调与专业审查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90" w:type="dxa"/>
          <w:bottom w:w="90" w:type="dxa"/>
          <w:left w:w="95" w:type="dxa"/>
          <w:right w:w="95" w:type="dxa"/>
        </w:tblCellMar>
      </w:tblPr>
      <w:tblGrid>
        <w:gridCol w:w="1638"/>
        <w:gridCol w:w="2699"/>
        <w:gridCol w:w="2409"/>
        <w:gridCol w:w="2891"/>
      </w:tblGrid>
      <w:tr>
        <w:trPr>
          <w:cantSplit/>
          <w:tblHeader/>
        </w:trPr>
        <w:tc>
          <w:tcPr>
            <w:tcW w:type="dxa" w:w="1638"/>
            <w:vAlign w:val="center"/>
            <w:shd w:fill="EDF1F3"/>
          </w:tcPr>
          <w:p>
            <w:pPr>
              <w:keepNext/>
              <w:spacing w:line="320" w:lineRule="exact" w:after="0" w:before="0"/>
              <w:ind w:firstLine="0"/>
              <w:jc w:val="center"/>
            </w:pPr>
            <w:r>
              <w:rPr>
                <w:b/>
                <w:sz w:val="21"/>
              </w:rPr>
              <w:t>专项领域</w:t>
            </w:r>
          </w:p>
        </w:tc>
        <w:tc>
          <w:tcPr>
            <w:tcW w:type="dxa" w:w="2699"/>
            <w:vAlign w:val="center"/>
            <w:shd w:fill="EDF1F3"/>
          </w:tcPr>
          <w:p>
            <w:pPr>
              <w:keepNext/>
              <w:spacing w:line="320" w:lineRule="exact" w:after="0" w:before="0"/>
              <w:ind w:firstLine="0"/>
              <w:jc w:val="center"/>
            </w:pPr>
            <w:r>
              <w:rPr>
                <w:b/>
                <w:sz w:val="21"/>
              </w:rPr>
              <w:t>主要参与岗位</w:t>
            </w:r>
          </w:p>
        </w:tc>
        <w:tc>
          <w:tcPr>
            <w:tcW w:type="dxa" w:w="2409"/>
            <w:vAlign w:val="center"/>
            <w:shd w:fill="EDF1F3"/>
          </w:tcPr>
          <w:p>
            <w:pPr>
              <w:keepNext/>
              <w:spacing w:line="320" w:lineRule="exact" w:after="0" w:before="0"/>
              <w:ind w:firstLine="0"/>
              <w:jc w:val="center"/>
            </w:pPr>
            <w:r>
              <w:rPr>
                <w:b/>
                <w:sz w:val="21"/>
              </w:rPr>
              <w:t>必须协调的关系</w:t>
            </w:r>
          </w:p>
        </w:tc>
        <w:tc>
          <w:tcPr>
            <w:tcW w:type="dxa" w:w="2891"/>
            <w:vAlign w:val="center"/>
            <w:shd w:fill="EDF1F3"/>
          </w:tcPr>
          <w:p>
            <w:pPr>
              <w:keepNext/>
              <w:spacing w:line="320" w:lineRule="exact" w:after="0" w:before="0"/>
              <w:ind w:firstLine="0"/>
              <w:jc w:val="center"/>
            </w:pPr>
            <w:r>
              <w:rPr>
                <w:b/>
                <w:sz w:val="21"/>
              </w:rPr>
              <w:t>形成的管理结果</w:t>
            </w:r>
          </w:p>
        </w:tc>
      </w:tr>
      <w:tr>
        <w:trPr>
          <w:cantSplit/>
        </w:trPr>
        <w:tc>
          <w:tcPr>
            <w:tcW w:type="dxa" w:w="1638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数据战略</w:t>
            </w:r>
          </w:p>
        </w:tc>
        <w:tc>
          <w:tcPr>
            <w:tcW w:type="dxa" w:w="2699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战略责任、项目管理及业务归口</w:t>
            </w:r>
          </w:p>
        </w:tc>
        <w:tc>
          <w:tcPr>
            <w:tcW w:type="dxa" w:w="2409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目标、资源、工作包与评价</w:t>
            </w:r>
          </w:p>
        </w:tc>
        <w:tc>
          <w:tcPr>
            <w:tcW w:type="dxa" w:w="2891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目标任务及调整决定</w:t>
            </w:r>
          </w:p>
        </w:tc>
      </w:tr>
      <w:tr>
        <w:trPr>
          <w:cantSplit/>
        </w:trPr>
        <w:tc>
          <w:tcPr>
            <w:tcW w:type="dxa" w:w="1638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数据治理</w:t>
            </w:r>
          </w:p>
        </w:tc>
        <w:tc>
          <w:tcPr>
            <w:tcW w:type="dxa" w:w="2699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办公室、制度、组织及培训</w:t>
            </w:r>
          </w:p>
        </w:tc>
        <w:tc>
          <w:tcPr>
            <w:tcW w:type="dxa" w:w="2409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授权、制度、流程与能力</w:t>
            </w:r>
          </w:p>
        </w:tc>
        <w:tc>
          <w:tcPr>
            <w:tcW w:type="dxa" w:w="2891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责任矩阵和运行机制</w:t>
            </w:r>
          </w:p>
        </w:tc>
      </w:tr>
      <w:tr>
        <w:trPr>
          <w:cantSplit/>
        </w:trPr>
        <w:tc>
          <w:tcPr>
            <w:tcW w:type="dxa" w:w="1638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数据架构</w:t>
            </w:r>
          </w:p>
        </w:tc>
        <w:tc>
          <w:tcPr>
            <w:tcW w:type="dxa" w:w="2699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架构、系统、开发及业务</w:t>
            </w:r>
          </w:p>
        </w:tc>
        <w:tc>
          <w:tcPr>
            <w:tcW w:type="dxa" w:w="2409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业务对象、模型、接口与血缘</w:t>
            </w:r>
          </w:p>
        </w:tc>
        <w:tc>
          <w:tcPr>
            <w:tcW w:type="dxa" w:w="2891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架构评审及变更决定</w:t>
            </w:r>
          </w:p>
        </w:tc>
      </w:tr>
      <w:tr>
        <w:trPr>
          <w:cantSplit/>
        </w:trPr>
        <w:tc>
          <w:tcPr>
            <w:tcW w:type="dxa" w:w="1638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数据资产</w:t>
            </w:r>
          </w:p>
        </w:tc>
        <w:tc>
          <w:tcPr>
            <w:tcW w:type="dxa" w:w="2699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资产运营、业务、财务及合同</w:t>
            </w:r>
          </w:p>
        </w:tc>
        <w:tc>
          <w:tcPr>
            <w:tcW w:type="dxa" w:w="2409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权利、目录、价值与用途</w:t>
            </w:r>
          </w:p>
        </w:tc>
        <w:tc>
          <w:tcPr>
            <w:tcW w:type="dxa" w:w="2891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资源登记及运营条件</w:t>
            </w:r>
          </w:p>
        </w:tc>
      </w:tr>
      <w:tr>
        <w:trPr>
          <w:cantSplit/>
        </w:trPr>
        <w:tc>
          <w:tcPr>
            <w:tcW w:type="dxa" w:w="1638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数据标准</w:t>
            </w:r>
          </w:p>
        </w:tc>
        <w:tc>
          <w:tcPr>
            <w:tcW w:type="dxa" w:w="2699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标准、主数据及业务专业</w:t>
            </w:r>
          </w:p>
        </w:tc>
        <w:tc>
          <w:tcPr>
            <w:tcW w:type="dxa" w:w="2409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术语、编码、单位、状态与指标</w:t>
            </w:r>
          </w:p>
        </w:tc>
        <w:tc>
          <w:tcPr>
            <w:tcW w:type="dxa" w:w="2891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标准及落标安排</w:t>
            </w:r>
          </w:p>
        </w:tc>
      </w:tr>
      <w:tr>
        <w:trPr>
          <w:cantSplit/>
        </w:trPr>
        <w:tc>
          <w:tcPr>
            <w:tcW w:type="dxa" w:w="1638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数据质量</w:t>
            </w:r>
          </w:p>
        </w:tc>
        <w:tc>
          <w:tcPr>
            <w:tcW w:type="dxa" w:w="2699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质量、源系统及业务责任</w:t>
            </w:r>
          </w:p>
        </w:tc>
        <w:tc>
          <w:tcPr>
            <w:tcW w:type="dxa" w:w="2409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缺陷、根因、修复与复核</w:t>
            </w:r>
          </w:p>
        </w:tc>
        <w:tc>
          <w:tcPr>
            <w:tcW w:type="dxa" w:w="2891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整改措施和关闭结论</w:t>
            </w:r>
          </w:p>
        </w:tc>
      </w:tr>
      <w:tr>
        <w:trPr>
          <w:cantSplit/>
        </w:trPr>
        <w:tc>
          <w:tcPr>
            <w:tcW w:type="dxa" w:w="1638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数据安全</w:t>
            </w:r>
          </w:p>
        </w:tc>
        <w:tc>
          <w:tcPr>
            <w:tcW w:type="dxa" w:w="2699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安全、系统及业务归口</w:t>
            </w:r>
          </w:p>
        </w:tc>
        <w:tc>
          <w:tcPr>
            <w:tcW w:type="dxa" w:w="2409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定级、权限、用途及保护</w:t>
            </w:r>
          </w:p>
        </w:tc>
        <w:tc>
          <w:tcPr>
            <w:tcW w:type="dxa" w:w="2891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授权条件和处置决定</w:t>
            </w:r>
          </w:p>
        </w:tc>
      </w:tr>
      <w:tr>
        <w:trPr>
          <w:cantSplit/>
        </w:trPr>
        <w:tc>
          <w:tcPr>
            <w:tcW w:type="dxa" w:w="1638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数据生存周期</w:t>
            </w:r>
          </w:p>
        </w:tc>
        <w:tc>
          <w:tcPr>
            <w:tcW w:type="dxa" w:w="2699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业务、档案、安全及运维</w:t>
            </w:r>
          </w:p>
        </w:tc>
        <w:tc>
          <w:tcPr>
            <w:tcW w:type="dxa" w:w="2409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留存、归档、保全和销毁</w:t>
            </w:r>
          </w:p>
        </w:tc>
        <w:tc>
          <w:tcPr>
            <w:tcW w:type="dxa" w:w="2891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处置计划及验证记录</w:t>
            </w:r>
          </w:p>
        </w:tc>
      </w:tr>
      <w:tr>
        <w:trPr>
          <w:cantSplit/>
        </w:trPr>
        <w:tc>
          <w:tcPr>
            <w:tcW w:type="dxa" w:w="1638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数据应用流通</w:t>
            </w:r>
          </w:p>
        </w:tc>
        <w:tc>
          <w:tcPr>
            <w:tcW w:type="dxa" w:w="2699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运营、使用、开发及安全</w:t>
            </w:r>
          </w:p>
        </w:tc>
        <w:tc>
          <w:tcPr>
            <w:tcW w:type="dxa" w:w="2409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需求、服务、使用和退出</w:t>
            </w:r>
          </w:p>
        </w:tc>
        <w:tc>
          <w:tcPr>
            <w:tcW w:type="dxa" w:w="2891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交付及反馈处理结果</w:t>
            </w:r>
          </w:p>
        </w:tc>
      </w:tr>
    </w:tbl>
    <w:p>
      <w:pPr>
        <w:spacing w:after="40" w:line="240" w:lineRule="auto"/>
        <w:ind w:firstLine="0"/>
      </w:pPr>
      <w:r>
        <w:rPr>
          <w:sz w:val="4"/>
        </w:rPr>
      </w:r>
    </w:p>
    <w:p>
      <w:pPr>
        <w:pStyle w:val="Heading2"/>
      </w:pPr>
      <w:r>
        <w:t>2.4 业务执行岗位职责</w:t>
      </w:r>
    </w:p>
    <w:p>
      <w:pPr>
        <w:pStyle w:val="Heading3"/>
      </w:pPr>
      <w:r>
        <w:t>2.4.1 业务数据责任岗位</w:t>
      </w:r>
    </w:p>
    <w:p>
      <w:pPr>
        <w:jc w:val="both"/>
      </w:pPr>
      <w:r>
        <w:t>业务数据责任岗位对本域数据的业务含义、权威来源、使用条件和质量要求负责。新增或变更对象时，确认其对应的业务事实、适用范围、责任主体和批准依据。跨域共享对象涉及本域使用要求的，提交明确条件和验证证据，参与归口裁决及规则复核。</w:t>
      </w:r>
    </w:p>
    <w:p>
      <w:pPr>
        <w:jc w:val="both"/>
      </w:pPr>
      <w:r>
        <w:t>该岗位审查重要术语、主数据、指标和专业规则，批准本域授权范围内的维护事项。发现数据与实际业务不符时，组织核实来源和影响，安排纠正并确认专业结果。数据被其他业务域或场景使用时，说明必要的适用条件、风险和解释边界。</w:t>
      </w:r>
    </w:p>
    <w:p>
      <w:pPr>
        <w:jc w:val="both"/>
      </w:pPr>
      <w:r>
        <w:t>该岗位定期检查本域责任清单、重大问题和在办变更，协调专业审核及整改所需资源。业务职责调整时明确后继岗位并办理对象、任务和权限交接。岗位评价关注定义是否明确、业务确认是否有效、关键问题是否及时处理及下游反馈是否得到响应。</w:t>
      </w:r>
    </w:p>
    <w:p>
      <w:pPr>
        <w:pStyle w:val="Heading3"/>
      </w:pPr>
      <w:r>
        <w:t>2.4.2 业务数据管理岗位</w:t>
      </w:r>
    </w:p>
    <w:p>
      <w:pPr>
        <w:jc w:val="both"/>
      </w:pPr>
      <w:r>
        <w:t>业务数据管理岗位维护本域对象、术语、目录、需求及问题记录，将业务责任岗位确认的要求转为可执行字段、规则和流程。日常检查数据变化、标准使用、目录准确性和任务办理，发现异常后补齐必要事实并分派到对应责任岗位。</w:t>
      </w:r>
    </w:p>
    <w:p>
      <w:pPr>
        <w:jc w:val="both"/>
      </w:pPr>
      <w:r>
        <w:t>该岗位协调系统及开发人员完成标准映射、主数据关系、元数据和质量规则维护，核查技术结果是否保持业务含义。对字段单位、编码、状态和时间解释存在疑问的，提交业务确认；对可按既有规则判定的问题，按授权完成日常维护并保留记录。</w:t>
      </w:r>
    </w:p>
    <w:p>
      <w:pPr>
        <w:jc w:val="both"/>
      </w:pPr>
      <w:r>
        <w:t>数据管理岗位组织业务人员参加需求核对、问题复盘和培训实践，维护已批准口径及常见问题知识。该岗位可以承担事项跟踪，但缺陷根因与整改责任仍按实际来源、业务或技术职责确定。跨域任务需要多个岗位提供材料时，明确各方输入和最迟接收节点。</w:t>
      </w:r>
    </w:p>
    <w:p>
      <w:pPr>
        <w:pStyle w:val="Heading3"/>
      </w:pPr>
      <w:r>
        <w:t>2.4.3 业务专业审核岗位</w:t>
      </w:r>
    </w:p>
    <w:p>
      <w:pPr>
        <w:jc w:val="both"/>
      </w:pPr>
      <w:r>
        <w:t>专业审核岗位核查生产、工艺、质量、设备、采购、财务等专业结论，依据有效标准、图纸、工艺、合同或业务规则作出判断。审核记录应包含对象版本、适用条件、主要证据、结论和需要进一步核验的事项，不能只登记同意或不同意。</w:t>
      </w:r>
    </w:p>
    <w:p>
      <w:pPr>
        <w:jc w:val="both"/>
      </w:pPr>
      <w:r>
        <w:t>对样本标签、故障归因、工艺参数、检验判定或合同问题存在分歧的，分别记录各方依据并组织复审。可以通过事实核查解决的，补充实际材料；确属业务规则差异的，明确各规则适用范围；需要更高专业权限判断的，按授权升级。</w:t>
      </w:r>
    </w:p>
    <w:p>
      <w:pPr>
        <w:jc w:val="both"/>
      </w:pPr>
      <w:r>
        <w:t>专业审核后发生依据变更时，检查已审核对象是否受影响。图纸、标准、设备配置和检验方法变化分别保留有效期，重新审核结论与原结论建立关系。高风险样本及重要业务判断的复核按对应质量安全要求执行，专业审核工作量纳入资源计划。</w:t>
      </w:r>
    </w:p>
    <w:p>
      <w:pPr>
        <w:pStyle w:val="Heading2"/>
      </w:pPr>
      <w:r>
        <w:t>2.5 技术执行岗位职责</w:t>
      </w:r>
    </w:p>
    <w:p>
      <w:pPr>
        <w:pStyle w:val="Heading3"/>
      </w:pPr>
      <w:r>
        <w:t>2.5.1 源系统与平台责任岗位</w:t>
      </w:r>
    </w:p>
    <w:p>
      <w:pPr>
        <w:jc w:val="both"/>
      </w:pPr>
      <w:r>
        <w:t>源系统责任岗位维护系统实例、业务模块、接口、字段和运行责任，按授权提供数据及结构资料。系统升级、字段变更、接口调整、停机和历史迁移应通知受影响治理岗位，说明对象、时间、兼容条件和数据补偿安排。变更实施后配合核对接入、映射和下游结果。</w:t>
      </w:r>
    </w:p>
    <w:p>
      <w:pPr>
        <w:jc w:val="both"/>
      </w:pPr>
      <w:r>
        <w:t>平台责任岗位维护神兽OS中相应治理及加工能力的运行配置、账号角色、任务调度、日志和恢复条件。正式环境操作按批准任务执行，批量修改或影响共享对象的操作保留变更和复核记录。平台故障引起任务中断时，识别已成功、失败和状态不明的部分，再安排恢复与核对。</w:t>
      </w:r>
    </w:p>
    <w:p>
      <w:pPr>
        <w:jc w:val="both"/>
      </w:pPr>
      <w:r>
        <w:t>源系统与平台之间分别核对记录数量、业务主键、更新时间和必要校验值。增量重跑应防止重复生成业务事实，历史补录应保留原业务时间和实际导入时间。数据无法按原计划供给时，技术岗位说明故障事实及可恢复条件，业务责任岗位确认影响和使用安排。</w:t>
      </w:r>
    </w:p>
    <w:p>
      <w:pPr>
        <w:pStyle w:val="Heading3"/>
      </w:pPr>
      <w:r>
        <w:t>2.5.2 数据架构与开发岗位</w:t>
      </w:r>
    </w:p>
    <w:p>
      <w:pPr>
        <w:jc w:val="both"/>
      </w:pPr>
      <w:r>
        <w:t>架构岗位定义对象粒度、模型分层、维度事实关系和共享接口约定，审查主数据关联、时间模型、元数据与血缘设计。新模型或变更应说明业务用途、来源、数据结构、处理逻辑、质量要求、安全级别和下游关系，评审结论与实际实现版本对应。</w:t>
      </w:r>
    </w:p>
    <w:p>
      <w:pPr>
        <w:jc w:val="both"/>
      </w:pPr>
      <w:r>
        <w:t>开发岗位按批准规则完成采集、转换、标准化、关联、计算和服务实现，保留输入输出、程序或配置版本以及运行记录。开发测试覆盖正常数据、边界取值、缺失、重复、顺序异常和权限限制，重要计算提供可复算样本。自测通过后提交独立复核，正式发布按规定权限办理。</w:t>
      </w:r>
    </w:p>
    <w:p>
      <w:pPr>
        <w:jc w:val="both"/>
      </w:pPr>
      <w:r>
        <w:t>数据修复优先纠正来源和规则，确需生成修订结果时保留原始对象与修订关系。共享模型变更后检查关联报表、接口、数据集和知识条目，发布前提供受影响范围及回归结果。回退使用可验证的已批准版本，回退后核对新旧输出及业务接收状态。</w:t>
      </w:r>
    </w:p>
    <w:p>
      <w:pPr>
        <w:pStyle w:val="Heading3"/>
      </w:pPr>
      <w:r>
        <w:t>2.5.3 运行维护与技术复核岗位</w:t>
      </w:r>
    </w:p>
    <w:p>
      <w:pPr>
        <w:jc w:val="both"/>
      </w:pPr>
      <w:r>
        <w:t>运维岗位检查任务执行、异常队列、容量、备份、访问及服务状态，按批准规则安排恢复和维护。运行检查记录实际事件和处置，重要异常关联受影响对象及下游使用。恢复后核对数据完整性和一致性，不能仅以任务显示成功作为业务恢复结论。</w:t>
      </w:r>
    </w:p>
    <w:p>
      <w:pPr>
        <w:jc w:val="both"/>
      </w:pPr>
      <w:r>
        <w:t>技术复核岗位独立检查实现是否符合批准设计，核验输入范围、转换规则、权限、日志及异常处理。批量修复、模型变更、权限扩大和重要共享发布应检查影响分析和回归证据。复核发现的缺陷退回执行岗位处理，补充结果继续在原事项下关联。</w:t>
      </w:r>
    </w:p>
    <w:p>
      <w:pPr>
        <w:jc w:val="both"/>
      </w:pPr>
      <w:r>
        <w:t>对技术执行与复核确需由同一部门承担的情况，分配不同办理人员并记录职责分离。人员不足造成无法独立复核时，按公司授权安排其他合格岗位或上级审核，并明确补偿检查方式。正式发布前检查补偿措施实际执行情况。</w:t>
      </w:r>
    </w:p>
    <w:p>
      <w:pPr>
        <w:pStyle w:val="Heading2"/>
      </w:pPr>
      <w:r>
        <w:t>2.6 质量安全与运营岗位职责</w:t>
      </w:r>
    </w:p>
    <w:p>
      <w:pPr>
        <w:pStyle w:val="Heading3"/>
      </w:pPr>
      <w:r>
        <w:t>2.6.1 数据质量与安全岗位</w:t>
      </w:r>
    </w:p>
    <w:p>
      <w:pPr>
        <w:jc w:val="both"/>
      </w:pPr>
      <w:r>
        <w:t>质量岗位管理质量需求、检查规则、检测结果、缺陷归因和整改复核，维护问题严重程度及处理要求。质量规则在发布前核对业务依据、适用对象、判定方式和例外条件，执行后保留实际命中及处理记录。重要错误扩大检查到同来源、同规则和同版本范围。</w:t>
      </w:r>
    </w:p>
    <w:p>
      <w:pPr>
        <w:jc w:val="both"/>
      </w:pPr>
      <w:r>
        <w:t>质量岗位与业务专业岗位共同确认需要人工判断的对象，技术岗位提供可复算数据和执行过程。问题关闭前检查根因修复、受影响输出处置和回归结果。涉及数据集正式质量评测的事项，按对应规范和独立评测要求履行程序，与日常治理检查分别登记。</w:t>
      </w:r>
    </w:p>
    <w:p>
      <w:pPr>
        <w:jc w:val="both"/>
      </w:pPr>
      <w:r>
        <w:t>安全岗位核查数据分类分级、来源权利、使用用途、权限范围及保护措施，审核数据共享、导出、外部使用和重要变更的安全条件。授权到期、人员离岗和用途变化时检查回收或重新审批。安全事件处理保留现场事实、影响对象、采取措施和恢复依据，必要时按公司程序升级报告。</w:t>
      </w:r>
    </w:p>
    <w:p>
      <w:pPr>
        <w:jc w:val="both"/>
      </w:pPr>
      <w:r>
        <w:t>安全审查与业务批准各自履行职责。业务上有使用需要的事项仍应满足来源和安全条件，技术上具备访问能力的账号仍应匹配有效授权。目录可见、样本可预览、内容可下载和服务可调用分别设置权限并验证。</w:t>
      </w:r>
    </w:p>
    <w:p>
      <w:pPr>
        <w:pStyle w:val="Heading3"/>
      </w:pPr>
      <w:r>
        <w:t>2.6.2 数据资产与服务运营岗位</w:t>
      </w:r>
    </w:p>
    <w:p>
      <w:pPr>
        <w:jc w:val="both"/>
      </w:pPr>
      <w:r>
        <w:t>资产运营岗位维护资源目录、权利记录、服务清单、申请、授权、使用和退出关系。资源发布前核对对象名称、版本、业务含义、责任、质量、安全等级、许可条件和获取方式，发现实际内容与目录不一致时暂停相关发布并组织修正。</w:t>
      </w:r>
    </w:p>
    <w:p>
      <w:pPr>
        <w:jc w:val="both"/>
      </w:pPr>
      <w:r>
        <w:t>服务运营岗位受理数据需求，核查用途、对象、时间范围、格式、交付方式和使用期限，组织业务、安全和技术岗位审核。服务交付后记录接收结果、实际使用及问题反馈，授权范围变化时更新配置和服务约束。长期无实际用途或反复产生问题的服务纳入复查。</w:t>
      </w:r>
    </w:p>
    <w:p>
      <w:pPr>
        <w:jc w:val="both"/>
      </w:pPr>
      <w:r>
        <w:t>资产价值评价结合使用效果、质量、复用条件及成本开展，由相应业务和财务等岗位核查。评价中保留可归因范围和影响因素，不以调用次数简单等同于经营收益。涉及权利、计价、会计处理或外部交易的事项，继续按适用授权和程序办理。</w:t>
      </w:r>
    </w:p>
    <w:p>
      <w:pPr>
        <w:pStyle w:val="Heading3"/>
      </w:pPr>
      <w:r>
        <w:t>2.6.3 培训档案与能力评价岗位</w:t>
      </w:r>
    </w:p>
    <w:p>
      <w:pPr>
        <w:jc w:val="both"/>
      </w:pPr>
      <w:r>
        <w:t>培训岗位维护课程、对象、计划、材料及考核，组织集中教学、受控实操、跟岗和独立任务。课程与岗位职责对应，讲师具备相应业务或技术能力，材料使用有效制度和授权数据。培训结束后记录知识、操作和实践结果，并为未达到要求的岗位安排补训与重新评价。</w:t>
      </w:r>
    </w:p>
    <w:p>
      <w:pPr>
        <w:jc w:val="both"/>
      </w:pPr>
      <w:r>
        <w:t>档案岗位维护文件标识、版本、生效状态、批准和历史替代关系，保存运行证据和交付清单。重要资料检查完整性、可读取性、访问权限和保存期限，定期验证恢复。电子材料与纸质材料有关联时登记其载体、位置和对应关系。</w:t>
      </w:r>
    </w:p>
    <w:p>
      <w:pPr>
        <w:jc w:val="both"/>
      </w:pPr>
      <w:r>
        <w:t>能力评价岗位组织适用要求与实际证据的对应检查，核对组织、制度、流程、配置、运行和改进是否相互支持。证据缺口转为真实工作中的补充任务，不追补虚构的历史审批或运行记录。评价结果用于制定改善措施和检查实施效果。</w:t>
      </w:r>
    </w:p>
    <w:p>
      <w:pPr>
        <w:keepNext/>
        <w:spacing w:line="240" w:lineRule="auto" w:before="16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6048000" cy="1942338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图5_事项责任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048000" cy="194233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t>图2-2 治理事项办理责任</w:t>
      </w:r>
    </w:p>
    <w:p>
      <w:pPr>
        <w:pStyle w:val="Heading2"/>
      </w:pPr>
      <w:r>
        <w:t>2.7 治理事项责任矩阵</w:t>
      </w:r>
    </w:p>
    <w:p>
      <w:pPr>
        <w:pStyle w:val="Heading3"/>
      </w:pPr>
      <w:r>
        <w:t>2.7.1 责任分配及审批路径</w:t>
      </w:r>
    </w:p>
    <w:p>
      <w:pPr>
        <w:jc w:val="both"/>
      </w:pPr>
      <w:r>
        <w:t>每项治理事项明确提出、业务确认、执行、独立复核、批准和接收职责。一个事项设置一个牵头岗位负责推进，多个领域共同参与时分别列明各自需提供的材料和判断。审批路径根据对象、业务域、风险、共享范围和事项类型匹配，平台流程与有效责任矩阵一致。</w:t>
      </w:r>
    </w:p>
    <w:p>
      <w:pPr>
        <w:jc w:val="both"/>
      </w:pPr>
      <w:r>
        <w:t>表内批准责任按公司实际授权执行。办公室可以组织审查和协调，但超出授权的业务、安全或重大事项仍由对应有权岗位批准。事项存在多项独立批准条件时，分别保留结果和适用范围，任何一项必要条件未满足均继续处理。</w:t>
      </w:r>
    </w:p>
    <w:p>
      <w:pPr>
        <w:pStyle w:val="Caption"/>
        <w:keepNext/>
      </w:pPr>
      <w:r>
        <w:t>表2-3 责任分配及审批路径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90" w:type="dxa"/>
          <w:bottom w:w="90" w:type="dxa"/>
          <w:left w:w="95" w:type="dxa"/>
          <w:right w:w="95" w:type="dxa"/>
        </w:tblCellMar>
      </w:tblPr>
      <w:tblGrid>
        <w:gridCol w:w="1735"/>
        <w:gridCol w:w="2120"/>
        <w:gridCol w:w="1928"/>
        <w:gridCol w:w="1928"/>
        <w:gridCol w:w="1928"/>
      </w:tblGrid>
      <w:tr>
        <w:trPr>
          <w:cantSplit/>
          <w:tblHeader/>
        </w:trPr>
        <w:tc>
          <w:tcPr>
            <w:tcW w:type="dxa" w:w="1735"/>
            <w:vAlign w:val="center"/>
            <w:shd w:fill="EDF1F3"/>
          </w:tcPr>
          <w:p>
            <w:pPr>
              <w:keepNext/>
              <w:spacing w:line="320" w:lineRule="exact" w:after="0" w:before="0"/>
              <w:ind w:firstLine="0"/>
              <w:jc w:val="center"/>
            </w:pPr>
            <w:r>
              <w:rPr>
                <w:b/>
                <w:sz w:val="21"/>
              </w:rPr>
              <w:t>治理事项</w:t>
            </w:r>
          </w:p>
        </w:tc>
        <w:tc>
          <w:tcPr>
            <w:tcW w:type="dxa" w:w="2120"/>
            <w:vAlign w:val="center"/>
            <w:shd w:fill="EDF1F3"/>
          </w:tcPr>
          <w:p>
            <w:pPr>
              <w:keepNext/>
              <w:spacing w:line="320" w:lineRule="exact" w:after="0" w:before="0"/>
              <w:ind w:firstLine="0"/>
              <w:jc w:val="center"/>
            </w:pPr>
            <w:r>
              <w:rPr>
                <w:b/>
                <w:sz w:val="21"/>
              </w:rPr>
              <w:t>提出及业务确认</w:t>
            </w:r>
          </w:p>
        </w:tc>
        <w:tc>
          <w:tcPr>
            <w:tcW w:type="dxa" w:w="1928"/>
            <w:vAlign w:val="center"/>
            <w:shd w:fill="EDF1F3"/>
          </w:tcPr>
          <w:p>
            <w:pPr>
              <w:keepNext/>
              <w:spacing w:line="320" w:lineRule="exact" w:after="0" w:before="0"/>
              <w:ind w:firstLine="0"/>
              <w:jc w:val="center"/>
            </w:pPr>
            <w:r>
              <w:rPr>
                <w:b/>
                <w:sz w:val="21"/>
              </w:rPr>
              <w:t>执行责任</w:t>
            </w:r>
          </w:p>
        </w:tc>
        <w:tc>
          <w:tcPr>
            <w:tcW w:type="dxa" w:w="1928"/>
            <w:vAlign w:val="center"/>
            <w:shd w:fill="EDF1F3"/>
          </w:tcPr>
          <w:p>
            <w:pPr>
              <w:keepNext/>
              <w:spacing w:line="320" w:lineRule="exact" w:after="0" w:before="0"/>
              <w:ind w:firstLine="0"/>
              <w:jc w:val="center"/>
            </w:pPr>
            <w:r>
              <w:rPr>
                <w:b/>
                <w:sz w:val="21"/>
              </w:rPr>
              <w:t>独立复核</w:t>
            </w:r>
          </w:p>
        </w:tc>
        <w:tc>
          <w:tcPr>
            <w:tcW w:type="dxa" w:w="1928"/>
            <w:vAlign w:val="center"/>
            <w:shd w:fill="EDF1F3"/>
          </w:tcPr>
          <w:p>
            <w:pPr>
              <w:keepNext/>
              <w:spacing w:line="320" w:lineRule="exact" w:after="0" w:before="0"/>
              <w:ind w:firstLine="0"/>
              <w:jc w:val="center"/>
            </w:pPr>
            <w:r>
              <w:rPr>
                <w:b/>
                <w:sz w:val="21"/>
              </w:rPr>
              <w:t>批准与结果接收</w:t>
            </w:r>
          </w:p>
        </w:tc>
      </w:tr>
      <w:tr>
        <w:trPr>
          <w:cantSplit/>
        </w:trPr>
        <w:tc>
          <w:tcPr>
            <w:tcW w:type="dxa" w:w="1735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战略及顶层规划</w:t>
            </w:r>
          </w:p>
        </w:tc>
        <w:tc>
          <w:tcPr>
            <w:tcW w:type="dxa" w:w="2120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战略责任与业务归口</w:t>
            </w:r>
          </w:p>
        </w:tc>
        <w:tc>
          <w:tcPr>
            <w:tcW w:type="dxa" w:w="1928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办公室组织编制</w:t>
            </w:r>
          </w:p>
        </w:tc>
        <w:tc>
          <w:tcPr>
            <w:tcW w:type="dxa" w:w="1928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业务、技术及质量安全</w:t>
            </w:r>
          </w:p>
        </w:tc>
        <w:tc>
          <w:tcPr>
            <w:tcW w:type="dxa" w:w="1928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委员会按授权批准，执行层接收</w:t>
            </w:r>
          </w:p>
        </w:tc>
      </w:tr>
      <w:tr>
        <w:trPr>
          <w:cantSplit/>
        </w:trPr>
        <w:tc>
          <w:tcPr>
            <w:tcW w:type="dxa" w:w="1735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治理制度发布</w:t>
            </w:r>
          </w:p>
        </w:tc>
        <w:tc>
          <w:tcPr>
            <w:tcW w:type="dxa" w:w="2120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制度归口及相关业务</w:t>
            </w:r>
          </w:p>
        </w:tc>
        <w:tc>
          <w:tcPr>
            <w:tcW w:type="dxa" w:w="1928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制度管理岗位</w:t>
            </w:r>
          </w:p>
        </w:tc>
        <w:tc>
          <w:tcPr>
            <w:tcW w:type="dxa" w:w="1928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涉及业务与专业岗位</w:t>
            </w:r>
          </w:p>
        </w:tc>
        <w:tc>
          <w:tcPr>
            <w:tcW w:type="dxa" w:w="1928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有权岗位批准，适用岗位接收</w:t>
            </w:r>
          </w:p>
        </w:tc>
      </w:tr>
      <w:tr>
        <w:trPr>
          <w:cantSplit/>
        </w:trPr>
        <w:tc>
          <w:tcPr>
            <w:tcW w:type="dxa" w:w="1735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组织角色调整</w:t>
            </w:r>
          </w:p>
        </w:tc>
        <w:tc>
          <w:tcPr>
            <w:tcW w:type="dxa" w:w="2120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业务及管理责任岗位</w:t>
            </w:r>
          </w:p>
        </w:tc>
        <w:tc>
          <w:tcPr>
            <w:tcW w:type="dxa" w:w="1928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办公室维护映射</w:t>
            </w:r>
          </w:p>
        </w:tc>
        <w:tc>
          <w:tcPr>
            <w:tcW w:type="dxa" w:w="1928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组织管理与安全岗位</w:t>
            </w:r>
          </w:p>
        </w:tc>
        <w:tc>
          <w:tcPr>
            <w:tcW w:type="dxa" w:w="1928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按任命授权批准，相关岗位接收</w:t>
            </w:r>
          </w:p>
        </w:tc>
      </w:tr>
      <w:tr>
        <w:trPr>
          <w:cantSplit/>
        </w:trPr>
        <w:tc>
          <w:tcPr>
            <w:tcW w:type="dxa" w:w="1735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业务术语确认</w:t>
            </w:r>
          </w:p>
        </w:tc>
        <w:tc>
          <w:tcPr>
            <w:tcW w:type="dxa" w:w="2120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业务归口</w:t>
            </w:r>
          </w:p>
        </w:tc>
        <w:tc>
          <w:tcPr>
            <w:tcW w:type="dxa" w:w="1928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标准管理岗位</w:t>
            </w:r>
          </w:p>
        </w:tc>
        <w:tc>
          <w:tcPr>
            <w:tcW w:type="dxa" w:w="1928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使用及专业审核岗位</w:t>
            </w:r>
          </w:p>
        </w:tc>
        <w:tc>
          <w:tcPr>
            <w:tcW w:type="dxa" w:w="1928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标准批准岗位，系统及使用方接收</w:t>
            </w:r>
          </w:p>
        </w:tc>
      </w:tr>
      <w:tr>
        <w:trPr>
          <w:cantSplit/>
        </w:trPr>
        <w:tc>
          <w:tcPr>
            <w:tcW w:type="dxa" w:w="1735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主数据新增变更</w:t>
            </w:r>
          </w:p>
        </w:tc>
        <w:tc>
          <w:tcPr>
            <w:tcW w:type="dxa" w:w="2120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对象归口及业务申请</w:t>
            </w:r>
          </w:p>
        </w:tc>
        <w:tc>
          <w:tcPr>
            <w:tcW w:type="dxa" w:w="1928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主数据维护岗位</w:t>
            </w:r>
          </w:p>
        </w:tc>
        <w:tc>
          <w:tcPr>
            <w:tcW w:type="dxa" w:w="1928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业务与技术复核</w:t>
            </w:r>
          </w:p>
        </w:tc>
        <w:tc>
          <w:tcPr>
            <w:tcW w:type="dxa" w:w="1928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按主数据权限批准，订阅系统接收</w:t>
            </w:r>
          </w:p>
        </w:tc>
      </w:tr>
      <w:tr>
        <w:trPr>
          <w:cantSplit/>
        </w:trPr>
        <w:tc>
          <w:tcPr>
            <w:tcW w:type="dxa" w:w="1735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数据元及单位变更</w:t>
            </w:r>
          </w:p>
        </w:tc>
        <w:tc>
          <w:tcPr>
            <w:tcW w:type="dxa" w:w="2120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业务归口</w:t>
            </w:r>
          </w:p>
        </w:tc>
        <w:tc>
          <w:tcPr>
            <w:tcW w:type="dxa" w:w="1928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标准及系统岗位</w:t>
            </w:r>
          </w:p>
        </w:tc>
        <w:tc>
          <w:tcPr>
            <w:tcW w:type="dxa" w:w="1928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架构、质量与使用岗位</w:t>
            </w:r>
          </w:p>
        </w:tc>
        <w:tc>
          <w:tcPr>
            <w:tcW w:type="dxa" w:w="1928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标准批准岗位，关联系统接收</w:t>
            </w:r>
          </w:p>
        </w:tc>
      </w:tr>
      <w:tr>
        <w:trPr>
          <w:cantSplit/>
        </w:trPr>
        <w:tc>
          <w:tcPr>
            <w:tcW w:type="dxa" w:w="1735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模型及共享接口变更</w:t>
            </w:r>
          </w:p>
        </w:tc>
        <w:tc>
          <w:tcPr>
            <w:tcW w:type="dxa" w:w="2120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业务及服务归口</w:t>
            </w:r>
          </w:p>
        </w:tc>
        <w:tc>
          <w:tcPr>
            <w:tcW w:type="dxa" w:w="1928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架构、开发及系统岗位</w:t>
            </w:r>
          </w:p>
        </w:tc>
        <w:tc>
          <w:tcPr>
            <w:tcW w:type="dxa" w:w="1928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技术、质量与安全</w:t>
            </w:r>
          </w:p>
        </w:tc>
        <w:tc>
          <w:tcPr>
            <w:tcW w:type="dxa" w:w="1928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变更批准岗位，运维及使用方接收</w:t>
            </w:r>
          </w:p>
        </w:tc>
      </w:tr>
      <w:tr>
        <w:trPr>
          <w:cantSplit/>
        </w:trPr>
        <w:tc>
          <w:tcPr>
            <w:tcW w:type="dxa" w:w="1735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指标口径裁决</w:t>
            </w:r>
          </w:p>
        </w:tc>
        <w:tc>
          <w:tcPr>
            <w:tcW w:type="dxa" w:w="2120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指标归口与各使用方</w:t>
            </w:r>
          </w:p>
        </w:tc>
        <w:tc>
          <w:tcPr>
            <w:tcW w:type="dxa" w:w="1928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指标管理组织计算</w:t>
            </w:r>
          </w:p>
        </w:tc>
        <w:tc>
          <w:tcPr>
            <w:tcW w:type="dxa" w:w="1928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财务或相应业务专业</w:t>
            </w:r>
          </w:p>
        </w:tc>
        <w:tc>
          <w:tcPr>
            <w:tcW w:type="dxa" w:w="1928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授权管理层或委员会，使用方接收</w:t>
            </w:r>
          </w:p>
        </w:tc>
      </w:tr>
      <w:tr>
        <w:trPr>
          <w:cantSplit/>
        </w:trPr>
        <w:tc>
          <w:tcPr>
            <w:tcW w:type="dxa" w:w="1735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数据质量整改</w:t>
            </w:r>
          </w:p>
        </w:tc>
        <w:tc>
          <w:tcPr>
            <w:tcW w:type="dxa" w:w="2120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质量与来源责任岗位</w:t>
            </w:r>
          </w:p>
        </w:tc>
        <w:tc>
          <w:tcPr>
            <w:tcW w:type="dxa" w:w="1928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根因责任岗位</w:t>
            </w:r>
          </w:p>
        </w:tc>
        <w:tc>
          <w:tcPr>
            <w:tcW w:type="dxa" w:w="1928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质量及业务专业</w:t>
            </w:r>
          </w:p>
        </w:tc>
        <w:tc>
          <w:tcPr>
            <w:tcW w:type="dxa" w:w="1928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问题关闭授权岗位，受影响方接收</w:t>
            </w:r>
          </w:p>
        </w:tc>
      </w:tr>
      <w:tr>
        <w:trPr>
          <w:cantSplit/>
        </w:trPr>
        <w:tc>
          <w:tcPr>
            <w:tcW w:type="dxa" w:w="1735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目录资源发布</w:t>
            </w:r>
          </w:p>
        </w:tc>
        <w:tc>
          <w:tcPr>
            <w:tcW w:type="dxa" w:w="2120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业务与资产归口</w:t>
            </w:r>
          </w:p>
        </w:tc>
        <w:tc>
          <w:tcPr>
            <w:tcW w:type="dxa" w:w="1928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资产运营岗位</w:t>
            </w:r>
          </w:p>
        </w:tc>
        <w:tc>
          <w:tcPr>
            <w:tcW w:type="dxa" w:w="1928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质量、安全及目录复核</w:t>
            </w:r>
          </w:p>
        </w:tc>
        <w:tc>
          <w:tcPr>
            <w:tcW w:type="dxa" w:w="1928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资源发布授权岗位，服务运营接收</w:t>
            </w:r>
          </w:p>
        </w:tc>
      </w:tr>
      <w:tr>
        <w:trPr>
          <w:cantSplit/>
        </w:trPr>
        <w:tc>
          <w:tcPr>
            <w:tcW w:type="dxa" w:w="1735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数据共享授权</w:t>
            </w:r>
          </w:p>
        </w:tc>
        <w:tc>
          <w:tcPr>
            <w:tcW w:type="dxa" w:w="2120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使用方与资源归口</w:t>
            </w:r>
          </w:p>
        </w:tc>
        <w:tc>
          <w:tcPr>
            <w:tcW w:type="dxa" w:w="1928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运营、平台与系统岗位</w:t>
            </w:r>
          </w:p>
        </w:tc>
        <w:tc>
          <w:tcPr>
            <w:tcW w:type="dxa" w:w="1928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安全及技术复核</w:t>
            </w:r>
          </w:p>
        </w:tc>
        <w:tc>
          <w:tcPr>
            <w:tcW w:type="dxa" w:w="1928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数据使用批准岗位，使用方接收</w:t>
            </w:r>
          </w:p>
        </w:tc>
      </w:tr>
      <w:tr>
        <w:trPr>
          <w:cantSplit/>
        </w:trPr>
        <w:tc>
          <w:tcPr>
            <w:tcW w:type="dxa" w:w="1735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数据分类分级调整</w:t>
            </w:r>
          </w:p>
        </w:tc>
        <w:tc>
          <w:tcPr>
            <w:tcW w:type="dxa" w:w="2120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数据归口</w:t>
            </w:r>
          </w:p>
        </w:tc>
        <w:tc>
          <w:tcPr>
            <w:tcW w:type="dxa" w:w="1928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安全及业务管理岗位</w:t>
            </w:r>
          </w:p>
        </w:tc>
        <w:tc>
          <w:tcPr>
            <w:tcW w:type="dxa" w:w="1928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专业安全复核</w:t>
            </w:r>
          </w:p>
        </w:tc>
        <w:tc>
          <w:tcPr>
            <w:tcW w:type="dxa" w:w="1928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定级批准岗位，各使用环节接收</w:t>
            </w:r>
          </w:p>
        </w:tc>
      </w:tr>
      <w:tr>
        <w:trPr>
          <w:cantSplit/>
        </w:trPr>
        <w:tc>
          <w:tcPr>
            <w:tcW w:type="dxa" w:w="1735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留存归档及销毁</w:t>
            </w:r>
          </w:p>
        </w:tc>
        <w:tc>
          <w:tcPr>
            <w:tcW w:type="dxa" w:w="2120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业务与档案归口</w:t>
            </w:r>
          </w:p>
        </w:tc>
        <w:tc>
          <w:tcPr>
            <w:tcW w:type="dxa" w:w="1928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档案、系统及运维岗位</w:t>
            </w:r>
          </w:p>
        </w:tc>
        <w:tc>
          <w:tcPr>
            <w:tcW w:type="dxa" w:w="1928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安全及业务复核</w:t>
            </w:r>
          </w:p>
        </w:tc>
        <w:tc>
          <w:tcPr>
            <w:tcW w:type="dxa" w:w="1928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处置批准岗位，保管岗位接收</w:t>
            </w:r>
          </w:p>
        </w:tc>
      </w:tr>
      <w:tr>
        <w:trPr>
          <w:cantSplit/>
        </w:trPr>
        <w:tc>
          <w:tcPr>
            <w:tcW w:type="dxa" w:w="1735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紧急风险控制</w:t>
            </w:r>
          </w:p>
        </w:tc>
        <w:tc>
          <w:tcPr>
            <w:tcW w:type="dxa" w:w="2120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发现岗位及值守岗位</w:t>
            </w:r>
          </w:p>
        </w:tc>
        <w:tc>
          <w:tcPr>
            <w:tcW w:type="dxa" w:w="1928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应急执行岗位</w:t>
            </w:r>
          </w:p>
        </w:tc>
        <w:tc>
          <w:tcPr>
            <w:tcW w:type="dxa" w:w="1928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安全、质量或技术专业</w:t>
            </w:r>
          </w:p>
        </w:tc>
        <w:tc>
          <w:tcPr>
            <w:tcW w:type="dxa" w:w="1928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按应急授权决定，办公室跟踪</w:t>
            </w:r>
          </w:p>
        </w:tc>
      </w:tr>
      <w:tr>
        <w:trPr>
          <w:cantSplit/>
        </w:trPr>
        <w:tc>
          <w:tcPr>
            <w:tcW w:type="dxa" w:w="1735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运行考核复核</w:t>
            </w:r>
          </w:p>
        </w:tc>
        <w:tc>
          <w:tcPr>
            <w:tcW w:type="dxa" w:w="2120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办公室与被评价岗位</w:t>
            </w:r>
          </w:p>
        </w:tc>
        <w:tc>
          <w:tcPr>
            <w:tcW w:type="dxa" w:w="1928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考核组织岗位</w:t>
            </w:r>
          </w:p>
        </w:tc>
        <w:tc>
          <w:tcPr>
            <w:tcW w:type="dxa" w:w="1928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独立复核岗位</w:t>
            </w:r>
          </w:p>
        </w:tc>
        <w:tc>
          <w:tcPr>
            <w:tcW w:type="dxa" w:w="1928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授权管理层确认，责任岗位接收</w:t>
            </w:r>
          </w:p>
        </w:tc>
      </w:tr>
      <w:tr>
        <w:trPr>
          <w:cantSplit/>
        </w:trPr>
        <w:tc>
          <w:tcPr>
            <w:tcW w:type="dxa" w:w="1735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培训及能力评价</w:t>
            </w:r>
          </w:p>
        </w:tc>
        <w:tc>
          <w:tcPr>
            <w:tcW w:type="dxa" w:w="2120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岗位归口与培训岗位</w:t>
            </w:r>
          </w:p>
        </w:tc>
        <w:tc>
          <w:tcPr>
            <w:tcW w:type="dxa" w:w="1928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讲师及培养导师</w:t>
            </w:r>
          </w:p>
        </w:tc>
        <w:tc>
          <w:tcPr>
            <w:tcW w:type="dxa" w:w="1928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专业考核岗位</w:t>
            </w:r>
          </w:p>
        </w:tc>
        <w:tc>
          <w:tcPr>
            <w:tcW w:type="dxa" w:w="1928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培训管理确认，任职管理接收</w:t>
            </w:r>
          </w:p>
        </w:tc>
      </w:tr>
    </w:tbl>
    <w:p>
      <w:pPr>
        <w:spacing w:after="40" w:line="240" w:lineRule="auto"/>
        <w:ind w:firstLine="0"/>
      </w:pPr>
      <w:r>
        <w:rPr>
          <w:sz w:val="4"/>
        </w:rPr>
      </w:r>
    </w:p>
    <w:p>
      <w:pPr>
        <w:pStyle w:val="Heading3"/>
      </w:pPr>
      <w:r>
        <w:t>2.7.2 典型跨部门事项的办理</w:t>
      </w:r>
    </w:p>
    <w:p>
      <w:pPr>
        <w:jc w:val="both"/>
      </w:pPr>
      <w:r>
        <w:t>物料主数据变更由业务对象归口确认物料身份和变更原因，主数据岗位核查重复与历史映射，采购、仓储、生产及财务分别确认受影响关系。技术岗位先在受控环境验证分发和回查，再按批准时点发布。订阅系统分别确认接收，存在失败对象时保留差异并继续处理，发布状态按实际范围登记。</w:t>
      </w:r>
    </w:p>
    <w:p>
      <w:pPr>
        <w:jc w:val="both"/>
      </w:pPr>
      <w:r>
        <w:t>工艺参数口径调整由工艺归口确认参数定义、单位、工序和适用设备，生产与质量岗位检查执行及检验影响，架构与开发岗位核查模型、字段和计算。涉及热处理曲线或焊接参数的变更，保留原始测量和换算关系，按实际工件回放验证。历史统计和训练样本需要调整时，另行安排受影响版本的修订与复测。</w:t>
      </w:r>
    </w:p>
    <w:p>
      <w:pPr>
        <w:jc w:val="both"/>
      </w:pPr>
      <w:r>
        <w:t>库存可用量争议由仓储归口提供库存时点及状态，采购、生产和营销提供在途、占用、冻结及交付约束，财务岗位确认涉及核算的口径。指标岗位按各方定义复算差异，识别是否属于同一业务事实。正式口径批准后更新指标定义、计算、服务和培训材料，原历史结果保留适用条件。</w:t>
      </w:r>
    </w:p>
    <w:p>
      <w:pPr>
        <w:jc w:val="both"/>
      </w:pPr>
      <w:r>
        <w:t>故障标签争议由设备归口组织专业核查，运行岗位提供原始工况和报警，维修岗位提供处理及检验材料，数据岗位提供样本和事件关联。专业结论明确故障发生对象及时间，质量岗位核查标签更新范围，技术岗位修订受影响数据和服务。正式评价按后继版本重新验证。</w:t>
      </w:r>
    </w:p>
    <w:p>
      <w:pPr>
        <w:pStyle w:val="Heading3"/>
      </w:pPr>
      <w:r>
        <w:t>2.7.3 职责分离与兼任控制</w:t>
      </w:r>
    </w:p>
    <w:p>
      <w:pPr>
        <w:jc w:val="both"/>
      </w:pPr>
      <w:r>
        <w:t>申请与批准、开发与正式发布复核、修复与关闭复核、权限配置与审计、价值评价编制与审议分别设置责任。系统中记录实际办理人及授权关系，临时代理具有具体事项范围和有效期。批量授权或代理到期后核查其关联待办和权限，避免委托结束后继续保留原权限。</w:t>
      </w:r>
    </w:p>
    <w:p>
      <w:pPr>
        <w:jc w:val="both"/>
      </w:pPr>
      <w:r>
        <w:t>同一人员存在多角色时，按具体事项检查是否形成自我批准或自我复核。确需兼任的，提交授权管理岗位确认补偿措施，例如增加其他业务岗位复核、上级审核、操作后独立审计或限制可处理事项。补偿控制应具有明确执行记录，不能只在制度中列为原则。</w:t>
      </w:r>
    </w:p>
    <w:p>
      <w:pPr>
        <w:jc w:val="both"/>
      </w:pPr>
      <w:r>
        <w:t>专业审核人员与执行结果存在直接利益冲突或不能独立判断时，说明情况并回避相应复核。重新分配审核责任后，保留原意见和回避原因。责任分离安排发生变化时同步调整平台角色、审批路径和监督清单。</w:t>
      </w:r>
    </w:p>
    <w:p>
      <w:pPr>
        <w:pStyle w:val="Heading2"/>
      </w:pPr>
      <w:r>
        <w:t>2.8 议事与日常工作机制</w:t>
      </w:r>
    </w:p>
    <w:p>
      <w:pPr>
        <w:pStyle w:val="Heading3"/>
      </w:pPr>
      <w:r>
        <w:t>2.8.1 周月阶段工作安排</w:t>
      </w:r>
    </w:p>
    <w:p>
      <w:pPr>
        <w:jc w:val="both"/>
      </w:pPr>
      <w:r>
        <w:t>周度工作检查由办公室或相应执行牵头岗位组织，重点核对本周到期事项、阻塞依赖、源系统变更、质量异常和权限到期。检查依据统一台账，先处理影响安全、数据正确性或关键节点的事项。已经有明确责任和规则的常规事项直接办理，会议集中处理需协同的部分。</w:t>
      </w:r>
    </w:p>
    <w:p>
      <w:pPr>
        <w:jc w:val="both"/>
      </w:pPr>
      <w:r>
        <w:t>月度治理会议检查规划任务、制度执行、跨域问题、资源负荷、运行指标和培训考核。各业务域提交本期完成、未完成、原因及下期安排，技术与专业岗位提供实际运行和复核证据。办公室汇总需要管理决策的事项，并按有效权限形成处理决定。</w:t>
      </w:r>
    </w:p>
    <w:p>
      <w:pPr>
        <w:jc w:val="both"/>
      </w:pPr>
      <w:r>
        <w:t>阶段审议检查关键成果、能力建设和重大偏差，核验组织、制度、配置、运行及人员承接是否相互匹配。阶段结束并不自动关闭跨阶段问题，未完成事项继续关联后续工作包。阶段调整影响合同范围或最终验收条件时按正式变更程序办理。</w:t>
      </w:r>
    </w:p>
    <w:p>
      <w:pPr>
        <w:pStyle w:val="Heading3"/>
      </w:pPr>
      <w:r>
        <w:t>2.8.2 议题材料与决议跟踪</w:t>
      </w:r>
    </w:p>
    <w:p>
      <w:pPr>
        <w:jc w:val="both"/>
      </w:pPr>
      <w:r>
        <w:t>议题登记标题、事项标识、对象、背景事实、依据、影响、需决策问题、备选方案及建议执行条件。材料中的数据应能定位来源和版本，重大差异保留双方依据。办公室检查是否已完成必要专业审查，对材料不足的部分明确补充内容和期限。</w:t>
      </w:r>
    </w:p>
    <w:p>
      <w:pPr>
        <w:jc w:val="both"/>
      </w:pPr>
      <w:r>
        <w:t>议事记录列明实际参与岗位、授权情况、主要意见、决定、附带条件和后续任务。会议中未作决定的事项记录原因及下一步核查安排，不将讨论意见直接视为批准结论。会后由责任岗位确认任务接收，相关配置、制度或数据变更按各自流程落实。</w:t>
      </w:r>
    </w:p>
    <w:p>
      <w:pPr>
        <w:jc w:val="both"/>
      </w:pPr>
      <w:r>
        <w:t>决议执行台账保存原决定、任务分解、执行记录、复核及关闭依据。逾期事项说明实际影响和处理建议，批准延期保留原期限和新期限。后续检查先核对上期承诺事项，发现反复延期或措施无效时重新分析资源和根因。</w:t>
      </w:r>
    </w:p>
    <w:p>
      <w:pPr>
        <w:keepNext/>
        <w:spacing w:line="240" w:lineRule="auto" w:before="16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6048000" cy="1942338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图6_岗位交接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048000" cy="194233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t>图2-3 岗位变动与责任承接</w:t>
      </w:r>
    </w:p>
    <w:p>
      <w:pPr>
        <w:pStyle w:val="Heading2"/>
      </w:pPr>
      <w:r>
        <w:t>2.9 人员任职授权与交接</w:t>
      </w:r>
    </w:p>
    <w:p>
      <w:pPr>
        <w:pStyle w:val="Heading3"/>
      </w:pPr>
      <w:r>
        <w:t>2.9.1 岗位映射与授权登记</w:t>
      </w:r>
    </w:p>
    <w:p>
      <w:pPr>
        <w:jc w:val="both"/>
      </w:pPr>
      <w:r>
        <w:t>岗位映射记录角色标识、实际部门及岗位、任职人员、责任对象、办理权限、有效时间、替补及汇报关系。责任对象按照业务域、系统、资源或事项范围分别确定，授权中明确是否可以审批、发布、导出、修改或执行应急操作。联系方式作为受控组织信息维护，按工作需要提供查询。</w:t>
      </w:r>
    </w:p>
    <w:p>
      <w:pPr>
        <w:jc w:val="both"/>
      </w:pPr>
      <w:r>
        <w:t>任职或授权生效前检查岗位能力、职责分离和必要培训，配置相应账号及角色。授权变更后通过正反例访问验证，确认能够完成应承担的任务，且不能处理超出范围的对象。组织记录、权限配置与实际审批路线保持一致。</w:t>
      </w:r>
    </w:p>
    <w:p>
      <w:pPr>
        <w:pStyle w:val="Caption"/>
        <w:keepNext/>
      </w:pPr>
      <w:r>
        <w:t>表2-4 岗位映射与授权登记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90" w:type="dxa"/>
          <w:bottom w:w="90" w:type="dxa"/>
          <w:left w:w="95" w:type="dxa"/>
          <w:right w:w="95" w:type="dxa"/>
        </w:tblCellMar>
      </w:tblPr>
      <w:tblGrid>
        <w:gridCol w:w="2506"/>
        <w:gridCol w:w="3855"/>
        <w:gridCol w:w="3277"/>
      </w:tblGrid>
      <w:tr>
        <w:trPr>
          <w:cantSplit/>
          <w:tblHeader/>
        </w:trPr>
        <w:tc>
          <w:tcPr>
            <w:tcW w:type="dxa" w:w="2506"/>
            <w:vAlign w:val="center"/>
            <w:shd w:fill="EDF1F3"/>
          </w:tcPr>
          <w:p>
            <w:pPr>
              <w:keepNext/>
              <w:spacing w:line="320" w:lineRule="exact" w:after="0" w:before="0"/>
              <w:ind w:firstLine="0"/>
              <w:jc w:val="center"/>
            </w:pPr>
            <w:r>
              <w:rPr>
                <w:b/>
                <w:sz w:val="21"/>
              </w:rPr>
              <w:t>登记字段</w:t>
            </w:r>
          </w:p>
        </w:tc>
        <w:tc>
          <w:tcPr>
            <w:tcW w:type="dxa" w:w="3855"/>
            <w:vAlign w:val="center"/>
            <w:shd w:fill="EDF1F3"/>
          </w:tcPr>
          <w:p>
            <w:pPr>
              <w:keepNext/>
              <w:spacing w:line="320" w:lineRule="exact" w:after="0" w:before="0"/>
              <w:ind w:firstLine="0"/>
              <w:jc w:val="center"/>
            </w:pPr>
            <w:r>
              <w:rPr>
                <w:b/>
                <w:sz w:val="21"/>
              </w:rPr>
              <w:t>内容要求</w:t>
            </w:r>
          </w:p>
        </w:tc>
        <w:tc>
          <w:tcPr>
            <w:tcW w:type="dxa" w:w="3277"/>
            <w:vAlign w:val="center"/>
            <w:shd w:fill="EDF1F3"/>
          </w:tcPr>
          <w:p>
            <w:pPr>
              <w:keepNext/>
              <w:spacing w:line="320" w:lineRule="exact" w:after="0" w:before="0"/>
              <w:ind w:firstLine="0"/>
              <w:jc w:val="center"/>
            </w:pPr>
            <w:r>
              <w:rPr>
                <w:b/>
                <w:sz w:val="21"/>
              </w:rPr>
              <w:t>核验规则</w:t>
            </w:r>
          </w:p>
        </w:tc>
      </w:tr>
      <w:tr>
        <w:trPr>
          <w:cantSplit/>
        </w:trPr>
        <w:tc>
          <w:tcPr>
            <w:tcW w:type="dxa" w:w="2506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角色标识</w:t>
            </w:r>
          </w:p>
        </w:tc>
        <w:tc>
          <w:tcPr>
            <w:tcW w:type="dxa" w:w="3855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稳定且唯一的治理角色编号</w:t>
            </w:r>
          </w:p>
        </w:tc>
        <w:tc>
          <w:tcPr>
            <w:tcW w:type="dxa" w:w="3277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同一标识仅对应一种职责定义</w:t>
            </w:r>
          </w:p>
        </w:tc>
      </w:tr>
      <w:tr>
        <w:trPr>
          <w:cantSplit/>
        </w:trPr>
        <w:tc>
          <w:tcPr>
            <w:tcW w:type="dxa" w:w="2506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实际归属</w:t>
            </w:r>
          </w:p>
        </w:tc>
        <w:tc>
          <w:tcPr>
            <w:tcW w:type="dxa" w:w="3855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公司现有部门及正式岗位</w:t>
            </w:r>
          </w:p>
        </w:tc>
        <w:tc>
          <w:tcPr>
            <w:tcW w:type="dxa" w:w="3277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与有效组织记录一致</w:t>
            </w:r>
          </w:p>
        </w:tc>
      </w:tr>
      <w:tr>
        <w:trPr>
          <w:cantSplit/>
        </w:trPr>
        <w:tc>
          <w:tcPr>
            <w:tcW w:type="dxa" w:w="2506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任职关系</w:t>
            </w:r>
          </w:p>
        </w:tc>
        <w:tc>
          <w:tcPr>
            <w:tcW w:type="dxa" w:w="3855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任职人员及生效失效时间</w:t>
            </w:r>
          </w:p>
        </w:tc>
        <w:tc>
          <w:tcPr>
            <w:tcW w:type="dxa" w:w="3277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同一责任期间有有效承接</w:t>
            </w:r>
          </w:p>
        </w:tc>
      </w:tr>
      <w:tr>
        <w:trPr>
          <w:cantSplit/>
        </w:trPr>
        <w:tc>
          <w:tcPr>
            <w:tcW w:type="dxa" w:w="2506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对象范围</w:t>
            </w:r>
          </w:p>
        </w:tc>
        <w:tc>
          <w:tcPr>
            <w:tcW w:type="dxa" w:w="3855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业务域、系统、资源和事项</w:t>
            </w:r>
          </w:p>
        </w:tc>
        <w:tc>
          <w:tcPr>
            <w:tcW w:type="dxa" w:w="3277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可以定位到实际对象清单</w:t>
            </w:r>
          </w:p>
        </w:tc>
      </w:tr>
      <w:tr>
        <w:trPr>
          <w:cantSplit/>
        </w:trPr>
        <w:tc>
          <w:tcPr>
            <w:tcW w:type="dxa" w:w="2506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办理权限</w:t>
            </w:r>
          </w:p>
        </w:tc>
        <w:tc>
          <w:tcPr>
            <w:tcW w:type="dxa" w:w="3855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可提出、执行、复核或批准的事项</w:t>
            </w:r>
          </w:p>
        </w:tc>
        <w:tc>
          <w:tcPr>
            <w:tcW w:type="dxa" w:w="3277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与公司授权及职责分离一致</w:t>
            </w:r>
          </w:p>
        </w:tc>
      </w:tr>
      <w:tr>
        <w:trPr>
          <w:cantSplit/>
        </w:trPr>
        <w:tc>
          <w:tcPr>
            <w:tcW w:type="dxa" w:w="2506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权限条件</w:t>
            </w:r>
          </w:p>
        </w:tc>
        <w:tc>
          <w:tcPr>
            <w:tcW w:type="dxa" w:w="3855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风险级别、用途、期限和限制</w:t>
            </w:r>
          </w:p>
        </w:tc>
        <w:tc>
          <w:tcPr>
            <w:tcW w:type="dxa" w:w="3277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能转换为流程或配置条件</w:t>
            </w:r>
          </w:p>
        </w:tc>
      </w:tr>
      <w:tr>
        <w:trPr>
          <w:cantSplit/>
        </w:trPr>
        <w:tc>
          <w:tcPr>
            <w:tcW w:type="dxa" w:w="2506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替补关系</w:t>
            </w:r>
          </w:p>
        </w:tc>
        <w:tc>
          <w:tcPr>
            <w:tcW w:type="dxa" w:w="3855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替补岗位、代理范围和有效期</w:t>
            </w:r>
          </w:p>
        </w:tc>
        <w:tc>
          <w:tcPr>
            <w:tcW w:type="dxa" w:w="3277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替补具备必要能力及授权</w:t>
            </w:r>
          </w:p>
        </w:tc>
      </w:tr>
      <w:tr>
        <w:trPr>
          <w:cantSplit/>
        </w:trPr>
        <w:tc>
          <w:tcPr>
            <w:tcW w:type="dxa" w:w="2506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汇报路径</w:t>
            </w:r>
          </w:p>
        </w:tc>
        <w:tc>
          <w:tcPr>
            <w:tcW w:type="dxa" w:w="3855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日常管理及重大事项升级对象</w:t>
            </w:r>
          </w:p>
        </w:tc>
        <w:tc>
          <w:tcPr>
            <w:tcW w:type="dxa" w:w="3277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对应组织关系且可以实际接收</w:t>
            </w:r>
          </w:p>
        </w:tc>
      </w:tr>
      <w:tr>
        <w:trPr>
          <w:cantSplit/>
        </w:trPr>
        <w:tc>
          <w:tcPr>
            <w:tcW w:type="dxa" w:w="2506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交接状态</w:t>
            </w:r>
          </w:p>
        </w:tc>
        <w:tc>
          <w:tcPr>
            <w:tcW w:type="dxa" w:w="3855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在办事项和权限处理结果</w:t>
            </w:r>
          </w:p>
        </w:tc>
        <w:tc>
          <w:tcPr>
            <w:tcW w:type="dxa" w:w="3277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原任务、新责任与生效时间可追溯</w:t>
            </w:r>
          </w:p>
        </w:tc>
      </w:tr>
    </w:tbl>
    <w:p>
      <w:pPr>
        <w:spacing w:after="40" w:line="240" w:lineRule="auto"/>
        <w:ind w:firstLine="0"/>
      </w:pPr>
      <w:r>
        <w:rPr>
          <w:sz w:val="4"/>
        </w:rPr>
      </w:r>
    </w:p>
    <w:p>
      <w:pPr>
        <w:pStyle w:val="Heading3"/>
      </w:pPr>
      <w:r>
        <w:t>2.9.2 调岗离岗和责任承接</w:t>
      </w:r>
    </w:p>
    <w:p>
      <w:pPr>
        <w:jc w:val="both"/>
      </w:pPr>
      <w:r>
        <w:t>调岗或离岗时，由岗位归口组织交接责任对象、在办事项、待审批任务、重要问题、操作资料和受控数据。接任岗位检查材料和实际工作状态，明确哪些事项已经完成、哪些事项等待输入、哪些事项存在风险。交接记录关联原责任和新责任，必要时安排联合操作验证。</w:t>
      </w:r>
    </w:p>
    <w:p>
      <w:pPr>
        <w:jc w:val="both"/>
      </w:pPr>
      <w:r>
        <w:t>账号和权限随任职变化调整。原岗位的访问、代理、发布、导出及审批权限按实际生效时间回收，确需过渡支持的另行批准期限和范围。个人持有的受控资料和工作副本按管理要求移交或清理，重要文件和运行知识进入正式保管位置。</w:t>
      </w:r>
    </w:p>
    <w:p>
      <w:pPr>
        <w:jc w:val="both"/>
      </w:pPr>
      <w:r>
        <w:t>突发离岗或长期缺席时，按有效替补安排承接紧急事项。办公室核查替补授权、能力和现有负荷，必要时调整任务或组织其他专业支持。后续正式任职到位时继续办理完整交接，补齐临时期间的执行和批准记录。</w:t>
      </w:r>
    </w:p>
    <w:p>
      <w:pPr>
        <w:pStyle w:val="Heading2"/>
      </w:pPr>
      <w:r>
        <w:t>2.10 组织监督考核与持续修订</w:t>
      </w:r>
    </w:p>
    <w:p>
      <w:pPr>
        <w:pStyle w:val="Heading3"/>
      </w:pPr>
      <w:r>
        <w:t>2.10.1 履职检查与责任复核</w:t>
      </w:r>
    </w:p>
    <w:p>
      <w:pPr>
        <w:jc w:val="both"/>
      </w:pPr>
      <w:r>
        <w:t>组织履职检查关注实际责任是否落实、事项是否能够办理、专业判断是否有效和交接是否连续。办公室按对象与事项核查长期未分派、反复退回、越权审批、缺少复核及无人承接等情况，分别分析组织、流程、资源或能力原因。</w:t>
      </w:r>
    </w:p>
    <w:p>
      <w:pPr>
        <w:jc w:val="both"/>
      </w:pPr>
      <w:r>
        <w:t>责任评价依据岗位职责、授权和实际承担事项，区分来源、业务确认、技术执行、专业复核及管理协调责任。跨域问题应按照根因和具体动作评价，避免将组织协调岗位视为所有数据问题的唯一责任人。主动报告问题和纠正风险的行为纳入正向评价，事实错误和责任争议通过复核程序处理。</w:t>
      </w:r>
    </w:p>
    <w:p>
      <w:pPr>
        <w:jc w:val="both"/>
      </w:pPr>
      <w:r>
        <w:t>考核结果用于安排资源、优化流程、调整任职和补充培训。涉及公司绩效或其他人事事项时，依照公司正式制度和授权办理。数据治理评价提供可核查的事实与建议，不以系统自动统计直接代替应履行的管理程序。</w:t>
      </w:r>
    </w:p>
    <w:p>
      <w:pPr>
        <w:pStyle w:val="Heading3"/>
      </w:pPr>
      <w:r>
        <w:t>2.10.2 组织架构评审及版本维护</w:t>
      </w:r>
    </w:p>
    <w:p>
      <w:pPr>
        <w:jc w:val="both"/>
      </w:pPr>
      <w:r>
        <w:t>本文件评审检查层级设置、岗位责任、权限来源、协同路径、职责分离、交接和能力要求。业务、技术、质量安全、组织管理及培训等岗位分别核对实施条件。评审中采用常见事项演练，检查从受理到接收是否有明确负责和批准路径。</w:t>
      </w:r>
    </w:p>
    <w:p>
      <w:pPr>
        <w:jc w:val="both"/>
      </w:pPr>
      <w:r>
        <w:t>组织调整、业务范围变化、系统归属变化、重大风险或反复出现的责任争议触发专项修订。修订分析岗位、权限、流程、台账、培训和未完成事项的影响，批准后同步调整实际配置。旧版组织关系保留历史查询，便于解释既往办理行为及授权依据。</w:t>
      </w:r>
    </w:p>
    <w:p>
      <w:pPr>
        <w:jc w:val="both"/>
      </w:pPr>
      <w:r>
        <w:t>办公室定期核对组织映射与真实任职，对未生效、已失效或缺少替补的责任进行处理。运行期采用实际事项检查组织可用性，发现只设置了角色却不能执行工作的情况，明确资源和能力改善任务，并在后续检查中验证。</w:t>
      </w:r>
    </w:p>
    <w:p>
      <w:pPr>
        <w:pStyle w:val="Heading1"/>
        <w:pageBreakBefore/>
      </w:pPr>
      <w:r>
        <w:t>3 全套数据治理顶层管理制度</w:t>
      </w:r>
    </w:p>
    <w:p>
      <w:pPr>
        <w:pStyle w:val="Heading2"/>
      </w:pPr>
      <w:r>
        <w:t>3.1 制度组成与执行关系</w:t>
      </w:r>
    </w:p>
    <w:p>
      <w:pPr>
        <w:pStyle w:val="Heading3"/>
      </w:pPr>
      <w:r>
        <w:t>3.1.1 文件清单和适用范围</w:t>
      </w:r>
    </w:p>
    <w:p>
      <w:pPr>
        <w:jc w:val="both"/>
      </w:pPr>
      <w:r>
        <w:t>顶层管理制度由管理办法、实施细则和操作规范组成，覆盖治理组织、口径、考核、需求、主数据、目录、元数据及平台运行。各文件使用独立标识和版本，配套记录继承相应文件的管理要求。制度条款与数据战略、架构、资产、标准、质量、安全、生存周期及应用流通的专项规定共同适用。</w:t>
      </w:r>
    </w:p>
    <w:p>
      <w:pPr>
        <w:pStyle w:val="Caption"/>
        <w:keepNext/>
      </w:pPr>
      <w:r>
        <w:t>表3-1 文件清单和适用范围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90" w:type="dxa"/>
          <w:bottom w:w="90" w:type="dxa"/>
          <w:left w:w="95" w:type="dxa"/>
          <w:right w:w="95" w:type="dxa"/>
        </w:tblCellMar>
      </w:tblPr>
      <w:tblGrid>
        <w:gridCol w:w="1638"/>
        <w:gridCol w:w="2699"/>
        <w:gridCol w:w="2409"/>
        <w:gridCol w:w="2891"/>
      </w:tblGrid>
      <w:tr>
        <w:trPr>
          <w:cantSplit/>
          <w:tblHeader/>
        </w:trPr>
        <w:tc>
          <w:tcPr>
            <w:tcW w:type="dxa" w:w="1638"/>
            <w:vAlign w:val="center"/>
            <w:shd w:fill="EDF1F3"/>
          </w:tcPr>
          <w:p>
            <w:pPr>
              <w:keepNext/>
              <w:spacing w:line="320" w:lineRule="exact" w:after="0" w:before="0"/>
              <w:ind w:firstLine="0"/>
              <w:jc w:val="center"/>
            </w:pPr>
            <w:r>
              <w:rPr>
                <w:b/>
                <w:sz w:val="21"/>
              </w:rPr>
              <w:t>文件名称</w:t>
            </w:r>
          </w:p>
        </w:tc>
        <w:tc>
          <w:tcPr>
            <w:tcW w:type="dxa" w:w="2699"/>
            <w:vAlign w:val="center"/>
            <w:shd w:fill="EDF1F3"/>
          </w:tcPr>
          <w:p>
            <w:pPr>
              <w:keepNext/>
              <w:spacing w:line="320" w:lineRule="exact" w:after="0" w:before="0"/>
              <w:ind w:firstLine="0"/>
              <w:jc w:val="center"/>
            </w:pPr>
            <w:r>
              <w:rPr>
                <w:b/>
                <w:sz w:val="21"/>
              </w:rPr>
              <w:t>文件标识</w:t>
            </w:r>
          </w:p>
        </w:tc>
        <w:tc>
          <w:tcPr>
            <w:tcW w:type="dxa" w:w="2409"/>
            <w:vAlign w:val="center"/>
            <w:shd w:fill="EDF1F3"/>
          </w:tcPr>
          <w:p>
            <w:pPr>
              <w:keepNext/>
              <w:spacing w:line="320" w:lineRule="exact" w:after="0" w:before="0"/>
              <w:ind w:firstLine="0"/>
              <w:jc w:val="center"/>
            </w:pPr>
            <w:r>
              <w:rPr>
                <w:b/>
                <w:sz w:val="21"/>
              </w:rPr>
              <w:t>制度层次</w:t>
            </w:r>
          </w:p>
        </w:tc>
        <w:tc>
          <w:tcPr>
            <w:tcW w:type="dxa" w:w="2891"/>
            <w:vAlign w:val="center"/>
            <w:shd w:fill="EDF1F3"/>
          </w:tcPr>
          <w:p>
            <w:pPr>
              <w:keepNext/>
              <w:spacing w:line="320" w:lineRule="exact" w:after="0" w:before="0"/>
              <w:ind w:firstLine="0"/>
              <w:jc w:val="center"/>
            </w:pPr>
            <w:r>
              <w:rPr>
                <w:b/>
                <w:sz w:val="21"/>
              </w:rPr>
              <w:t>主要管理对象</w:t>
            </w:r>
          </w:p>
        </w:tc>
      </w:tr>
      <w:tr>
        <w:trPr>
          <w:cantSplit/>
        </w:trPr>
        <w:tc>
          <w:tcPr>
            <w:tcW w:type="dxa" w:w="1638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数据治理管理办法</w:t>
            </w:r>
          </w:p>
        </w:tc>
        <w:tc>
          <w:tcPr>
            <w:tcW w:type="dxa" w:w="2699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GHY26691-GV-02-0003-V1.0</w:t>
            </w:r>
          </w:p>
        </w:tc>
        <w:tc>
          <w:tcPr>
            <w:tcW w:type="dxa" w:w="2409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管理办法</w:t>
            </w:r>
          </w:p>
        </w:tc>
        <w:tc>
          <w:tcPr>
            <w:tcW w:type="dxa" w:w="2891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目标、职责、基本要求、授权与监督</w:t>
            </w:r>
          </w:p>
        </w:tc>
      </w:tr>
      <w:tr>
        <w:trPr>
          <w:cantSplit/>
        </w:trPr>
        <w:tc>
          <w:tcPr>
            <w:tcW w:type="dxa" w:w="1638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数据治理组织运行细则</w:t>
            </w:r>
          </w:p>
        </w:tc>
        <w:tc>
          <w:tcPr>
            <w:tcW w:type="dxa" w:w="2699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GHY26691-GV-02-0004-V1.0</w:t>
            </w:r>
          </w:p>
        </w:tc>
        <w:tc>
          <w:tcPr>
            <w:tcW w:type="dxa" w:w="2409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实施细则</w:t>
            </w:r>
          </w:p>
        </w:tc>
        <w:tc>
          <w:tcPr>
            <w:tcW w:type="dxa" w:w="2891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议事、任务、协同、代理与交接</w:t>
            </w:r>
          </w:p>
        </w:tc>
      </w:tr>
      <w:tr>
        <w:trPr>
          <w:cantSplit/>
        </w:trPr>
        <w:tc>
          <w:tcPr>
            <w:tcW w:type="dxa" w:w="1638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数据口径确认与争议处理细则</w:t>
            </w:r>
          </w:p>
        </w:tc>
        <w:tc>
          <w:tcPr>
            <w:tcW w:type="dxa" w:w="2699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GHY26691-GV-02-0005-V1.0</w:t>
            </w:r>
          </w:p>
        </w:tc>
        <w:tc>
          <w:tcPr>
            <w:tcW w:type="dxa" w:w="2409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实施细则</w:t>
            </w:r>
          </w:p>
        </w:tc>
        <w:tc>
          <w:tcPr>
            <w:tcW w:type="dxa" w:w="2891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定义、差异、裁决、发布及回查</w:t>
            </w:r>
          </w:p>
        </w:tc>
      </w:tr>
      <w:tr>
        <w:trPr>
          <w:cantSplit/>
        </w:trPr>
        <w:tc>
          <w:tcPr>
            <w:tcW w:type="dxa" w:w="1638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数据管理考核细则</w:t>
            </w:r>
          </w:p>
        </w:tc>
        <w:tc>
          <w:tcPr>
            <w:tcW w:type="dxa" w:w="2699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GHY26691-GV-02-0006-V1.0</w:t>
            </w:r>
          </w:p>
        </w:tc>
        <w:tc>
          <w:tcPr>
            <w:tcW w:type="dxa" w:w="2409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实施细则</w:t>
            </w:r>
          </w:p>
        </w:tc>
        <w:tc>
          <w:tcPr>
            <w:tcW w:type="dxa" w:w="2891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指标、证据、评价、复核与改进</w:t>
            </w:r>
          </w:p>
        </w:tc>
      </w:tr>
      <w:tr>
        <w:trPr>
          <w:cantSplit/>
        </w:trPr>
        <w:tc>
          <w:tcPr>
            <w:tcW w:type="dxa" w:w="1638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数据需求受理与交付细则</w:t>
            </w:r>
          </w:p>
        </w:tc>
        <w:tc>
          <w:tcPr>
            <w:tcW w:type="dxa" w:w="2699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GHY26691-GV-02-0007-V1.0</w:t>
            </w:r>
          </w:p>
        </w:tc>
        <w:tc>
          <w:tcPr>
            <w:tcW w:type="dxa" w:w="2409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实施细则</w:t>
            </w:r>
          </w:p>
        </w:tc>
        <w:tc>
          <w:tcPr>
            <w:tcW w:type="dxa" w:w="2891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需求、审批、实施、接收与退出</w:t>
            </w:r>
          </w:p>
        </w:tc>
      </w:tr>
      <w:tr>
        <w:trPr>
          <w:cantSplit/>
        </w:trPr>
        <w:tc>
          <w:tcPr>
            <w:tcW w:type="dxa" w:w="1638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主数据与数据元维护操作规范</w:t>
            </w:r>
          </w:p>
        </w:tc>
        <w:tc>
          <w:tcPr>
            <w:tcW w:type="dxa" w:w="2699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GHY26691-GV-02-0008-V1.0</w:t>
            </w:r>
          </w:p>
        </w:tc>
        <w:tc>
          <w:tcPr>
            <w:tcW w:type="dxa" w:w="2409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操作规范</w:t>
            </w:r>
          </w:p>
        </w:tc>
        <w:tc>
          <w:tcPr>
            <w:tcW w:type="dxa" w:w="2891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对象身份、定义、编码、变更及分发</w:t>
            </w:r>
          </w:p>
        </w:tc>
      </w:tr>
      <w:tr>
        <w:trPr>
          <w:cantSplit/>
        </w:trPr>
        <w:tc>
          <w:tcPr>
            <w:tcW w:type="dxa" w:w="1638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资源目录登记与维护操作规范</w:t>
            </w:r>
          </w:p>
        </w:tc>
        <w:tc>
          <w:tcPr>
            <w:tcW w:type="dxa" w:w="2699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GHY26691-GV-02-0009-V1.0</w:t>
            </w:r>
          </w:p>
        </w:tc>
        <w:tc>
          <w:tcPr>
            <w:tcW w:type="dxa" w:w="2409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操作规范</w:t>
            </w:r>
          </w:p>
        </w:tc>
        <w:tc>
          <w:tcPr>
            <w:tcW w:type="dxa" w:w="2891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目录、内容、权限、发布及退役</w:t>
            </w:r>
          </w:p>
        </w:tc>
      </w:tr>
      <w:tr>
        <w:trPr>
          <w:cantSplit/>
        </w:trPr>
        <w:tc>
          <w:tcPr>
            <w:tcW w:type="dxa" w:w="1638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元数据采集与血缘维护操作规范</w:t>
            </w:r>
          </w:p>
        </w:tc>
        <w:tc>
          <w:tcPr>
            <w:tcW w:type="dxa" w:w="2699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GHY26691-GV-02-0010-V1.0</w:t>
            </w:r>
          </w:p>
        </w:tc>
        <w:tc>
          <w:tcPr>
            <w:tcW w:type="dxa" w:w="2409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操作规范</w:t>
            </w:r>
          </w:p>
        </w:tc>
        <w:tc>
          <w:tcPr>
            <w:tcW w:type="dxa" w:w="2891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采集、核验、关系、影响及历史</w:t>
            </w:r>
          </w:p>
        </w:tc>
      </w:tr>
      <w:tr>
        <w:trPr>
          <w:cantSplit/>
        </w:trPr>
        <w:tc>
          <w:tcPr>
            <w:tcW w:type="dxa" w:w="1638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数据治理平台操作手册</w:t>
            </w:r>
          </w:p>
        </w:tc>
        <w:tc>
          <w:tcPr>
            <w:tcW w:type="dxa" w:w="2699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GHY26691-GV-02-0011-V1.0</w:t>
            </w:r>
          </w:p>
        </w:tc>
        <w:tc>
          <w:tcPr>
            <w:tcW w:type="dxa" w:w="2409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操作规范</w:t>
            </w:r>
          </w:p>
        </w:tc>
        <w:tc>
          <w:tcPr>
            <w:tcW w:type="dxa" w:w="2891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受理、配置、检查、发布、恢复与留痕</w:t>
            </w:r>
          </w:p>
        </w:tc>
      </w:tr>
    </w:tbl>
    <w:p>
      <w:pPr>
        <w:spacing w:after="40" w:line="240" w:lineRule="auto"/>
        <w:ind w:firstLine="0"/>
      </w:pPr>
      <w:r>
        <w:rPr>
          <w:sz w:val="4"/>
        </w:rPr>
      </w:r>
    </w:p>
    <w:p>
      <w:pPr>
        <w:jc w:val="both"/>
      </w:pPr>
      <w:r>
        <w:t>管理办法统领组织及共同控制，实施细则将共同要求落实到具体事项，操作规范规定岗位执行和验证动作。专项制度中的专业要求通过引用和流程关联承接，适用对象和权限保持一致。对不同文件表述存在实质差异的事项，由归口岗位组织核查并按权限修订，执行记录保留所依据的有效文件。</w:t>
      </w:r>
    </w:p>
    <w:p>
      <w:pPr>
        <w:pStyle w:val="Heading3"/>
      </w:pPr>
      <w:r>
        <w:t>3.1.2 共同记录与状态管理</w:t>
      </w:r>
    </w:p>
    <w:p>
      <w:pPr>
        <w:jc w:val="both"/>
      </w:pPr>
      <w:r>
        <w:t>所有治理事项使用稳定标识，记录类型、对象、版本、业务域、提出人岗位、受理时间、业务目的、依据、影响、责任、批准、执行、复核和关闭情况。附件记录名称、版本、来源、权限及存放位置，关键证据保留内容摘要以核查一致性。字段未适用时记录不适用原因，必需字段缺失时返回补充。</w:t>
      </w:r>
    </w:p>
    <w:p>
      <w:pPr>
        <w:jc w:val="both"/>
      </w:pPr>
      <w:r>
        <w:t>事项状态包括已受理、待补充、待确认、待审批、执行中、待复核、已完成、已驳回、已取消及暂停等。状态变化由实际业务动作触发，保存原状态、新状态、时间、实际办理岗位和原因。已完成事项发生新问题时建立后继事项或按规定重开，保留原完成结论及其适用范围。</w:t>
      </w:r>
    </w:p>
    <w:p>
      <w:pPr>
        <w:jc w:val="both"/>
      </w:pPr>
      <w:r>
        <w:t>退回应说明缺少的事实、证据或条件，补充材料后在原事项下继续办理。取消由提出或有权岗位确认原因，并检查已经产生的任务、权限及输出是否需要处理。暂停明确原因、影响及恢复条件，恢复前核查授权、输入和资源仍然有效。</w:t>
      </w:r>
    </w:p>
    <w:p>
      <w:pPr>
        <w:keepNext/>
        <w:spacing w:line="240" w:lineRule="auto" w:before="16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6048000" cy="3004615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图7_制度层次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048000" cy="300461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t>图3-1 顶层管理制度体系</w:t>
      </w:r>
    </w:p>
    <w:p>
      <w:pPr>
        <w:pStyle w:val="Heading2"/>
      </w:pPr>
      <w:r>
        <w:t>3.2 数据治理管理办法</w:t>
      </w:r>
    </w:p>
    <w:p>
      <w:pPr>
        <w:pStyle w:val="Heading3"/>
      </w:pPr>
      <w:r>
        <w:t>3.2.1 总则与职责</w:t>
      </w:r>
    </w:p>
    <w:p>
      <w:pPr>
        <w:jc w:val="both"/>
      </w:pPr>
      <w:r>
        <w:t>第一条　为规范公司数据管理活动，明确组织责任，统一管理规则，建立治理事项执行、检查和持续改进机制，制定本办法。本办法适用于公司纳入治理范围的数据及其形成、加工、使用、共享、保管和处置活动。</w:t>
      </w:r>
    </w:p>
    <w:p>
      <w:pPr>
        <w:jc w:val="both"/>
      </w:pPr>
      <w:r>
        <w:t>第二条　数据治理以业务事实为依据，以批准的责任和规则组织实施。业务归口岗位确认数据含义及使用条件，技术岗位按有效要求实现处理，质量与安全岗位开展检查和专业复核，使用岗位遵守授权及适用范围。</w:t>
      </w:r>
    </w:p>
    <w:p>
      <w:pPr>
        <w:jc w:val="both"/>
      </w:pPr>
      <w:r>
        <w:t>第三条　公司建立决策层、管理层、执行层三级治理组织。数据治理委员会按授权审议重大事项，数据管理办公室负责统筹和监督，业务归口部门及专业岗位负责执行。各岗位责任、权限和替补纳入正式组织映射。</w:t>
      </w:r>
    </w:p>
    <w:p>
      <w:pPr>
        <w:jc w:val="both"/>
      </w:pPr>
      <w:r>
        <w:t>第四条　数据责任随对象和业务活动确定。源系统保管、平台运维或技术开发职责不自动替代业务归口责任。跨域对象指定一个牵头岗位，其余参与岗位分别承担业务确认、技术处理、专业复核和结果接收责任。</w:t>
      </w:r>
    </w:p>
    <w:p>
      <w:pPr>
        <w:jc w:val="both"/>
      </w:pPr>
      <w:r>
        <w:t>第五条　数据管理办公室维护要求、任务、制度、问题和成果清单，组织常态化协同及运行评价。对于无法匹配责任或超出办理权限的事项，及时组织确认或升级，保留受理和交接记录。</w:t>
      </w:r>
    </w:p>
    <w:p>
      <w:pPr>
        <w:jc w:val="both"/>
      </w:pPr>
      <w:r>
        <w:t>第六条　各责任岗位按授权办理数据事项，对提供材料、专业判断和执行记录的真实性负责。实际办理人与批准关系记录到事项，代理和兼任按规定登记范围、期限及职责分离措施。</w:t>
      </w:r>
    </w:p>
    <w:p>
      <w:pPr>
        <w:pStyle w:val="Heading3"/>
      </w:pPr>
      <w:r>
        <w:t>3.2.2 数据对象与规则管理</w:t>
      </w:r>
    </w:p>
    <w:p>
      <w:pPr>
        <w:jc w:val="both"/>
      </w:pPr>
      <w:r>
        <w:t>第七条　纳管对象登记稳定标识、名称、业务含义、来源、责任、版本、时间、安全等级和使用条件。业务对象、技术字段、文件、数据集样本及服务分别管理标识，通过关系记录连接，保留各自含义和适用范围。</w:t>
      </w:r>
    </w:p>
    <w:p>
      <w:pPr>
        <w:jc w:val="both"/>
      </w:pPr>
      <w:r>
        <w:t>第八条　业务术语、主数据、数据元和指标由对应归口岗位确认，标准管理岗位维护。定义应包括必要的单位、取值、状态、对象粒度和时间条件，并通过正反例核查可执行性。发布后的规则应在源系统、接口、模型和业务使用中落实。</w:t>
      </w:r>
    </w:p>
    <w:p>
      <w:pPr>
        <w:jc w:val="both"/>
      </w:pPr>
      <w:r>
        <w:t>第九条　主数据新增、修改、合并、拆分和停用履行业务确认及批准程序，保留原对象、来源键、有效期和替代关系。合并不得删除必要历史事实，拆分应明确历史记录归属及无法确定对象的处理方式。</w:t>
      </w:r>
    </w:p>
    <w:p>
      <w:pPr>
        <w:jc w:val="both"/>
      </w:pPr>
      <w:r>
        <w:t>第十条　数据模型以已确认的业务对象和粒度为基础，按批准架构组织分层、关系和共享输出。模型和接口变更前开展上下游影响分析，发布前完成业务、技术、质量和安全检查，发布后核查实际接收及运行。</w:t>
      </w:r>
    </w:p>
    <w:p>
      <w:pPr>
        <w:jc w:val="both"/>
      </w:pPr>
      <w:r>
        <w:t>第十一条　元数据随数据处理和规则变化维护，覆盖业务、技术及管理信息。技术自动采集结果应与业务确认结合，人工补充保留依据及维护责任。血缘关系能够反映来源、处理、输出和使用，变化前后版本分别保存。</w:t>
      </w:r>
    </w:p>
    <w:p>
      <w:pPr>
        <w:jc w:val="both"/>
      </w:pPr>
      <w:r>
        <w:t>第十二条　原始业务记录与后续修订结果建立关联。数据标准化、转换、纠错和补录保留处理依据及执行时间，真实业务形成时间单独保存。原始错误经修复后，相关统计、服务和数据集按实际影响安排更新。</w:t>
      </w:r>
    </w:p>
    <w:p>
      <w:pPr>
        <w:pStyle w:val="Heading3"/>
      </w:pPr>
      <w:r>
        <w:t>3.2.3 质量安全与使用管理</w:t>
      </w:r>
    </w:p>
    <w:p>
      <w:pPr>
        <w:jc w:val="both"/>
      </w:pPr>
      <w:r>
        <w:t>第十三条　数据质量需求由业务归口确认，质量岗位组织规则和检查。发现问题后定位对象、范围、严重程度及原因，指定整改责任和复核岗位。已知错误按照相应要求整改，检查得分不代替具体问题处理。</w:t>
      </w:r>
    </w:p>
    <w:p>
      <w:pPr>
        <w:jc w:val="both"/>
      </w:pPr>
      <w:r>
        <w:t>第十四条　质量整改同时核查源端事实、处理规则及下游结果。修复完成后保留复测和业务确认，重要问题扩大检查同类对象。需要长期措施的，记录临时控制、持续任务和检查周期，按实际风险报告。</w:t>
      </w:r>
    </w:p>
    <w:p>
      <w:pPr>
        <w:jc w:val="both"/>
      </w:pPr>
      <w:r>
        <w:t>第十五条　业务治理质量、数据集生产质检和正式质量评测分别登记对象、规则和结论。数据集正式交付满足合同约定规模、结构、时效、质量安全、模型验证及复测要求，治理考核或日常检查结果不得代替正式评测结论。</w:t>
      </w:r>
    </w:p>
    <w:p>
      <w:pPr>
        <w:jc w:val="both"/>
      </w:pPr>
      <w:r>
        <w:t>第十六条　数据分类分级采用公司批准规则，并统一使用L1公开、L2内部、L3重要、L4敏感、L5机密名称。定级结果与实际内容、影响和使用条件相对应，重要内容变化或用途调整时重新核查。</w:t>
      </w:r>
    </w:p>
    <w:p>
      <w:pPr>
        <w:jc w:val="both"/>
      </w:pPr>
      <w:r>
        <w:t>第十七条　数据访问和使用实行按目的、对象、范围、期限授权。资源可见、内容预览、下载导出、接口调用和管理修改分别配置权限，授权到期或撤销后验证实际回收。涉及受控副本的，按批准要求完成移交、归档或清理。</w:t>
      </w:r>
    </w:p>
    <w:p>
      <w:pPr>
        <w:jc w:val="both"/>
      </w:pPr>
      <w:r>
        <w:t>第十八条　共享和使用申请应明确业务用途、必要范围、使用主体、存储位置及退出条件。审批时核查原始来源和派生数据的权利限制、质量条件及保护措施。用途、主体、范围发生实质变化时重新办理确认和授权。</w:t>
      </w:r>
    </w:p>
    <w:p>
      <w:pPr>
        <w:jc w:val="both"/>
      </w:pPr>
      <w:r>
        <w:t>第十九条　资源目录与实际数据保持一致，发布前核查业务含义、版本、责任、质量、安全、许可及获取方式。目录不能定位实际内容或内容已失效时，按影响暂停相关服务或修正状态，保留原发布记录。</w:t>
      </w:r>
    </w:p>
    <w:p>
      <w:pPr>
        <w:jc w:val="both"/>
      </w:pPr>
      <w:r>
        <w:t>第二十条　数据保存、归档及销毁按照业务、合同和适用规定确定条件。处置前检查使用依赖、保全状态、授权副本和备份安排，履行批准及独立复核。销毁和退出应形成实际验证结果。</w:t>
      </w:r>
    </w:p>
    <w:p>
      <w:pPr>
        <w:pStyle w:val="Heading3"/>
      </w:pPr>
      <w:r>
        <w:t>3.2.4 实施协同与监督</w:t>
      </w:r>
    </w:p>
    <w:p>
      <w:pPr>
        <w:jc w:val="both"/>
      </w:pPr>
      <w:r>
        <w:t>第二十一条　治理需求、问题、变更和服务统一登记并明确受理责任。重复事项保留关联，同类长期问题转化为规则或流程改善。办理状态根据实际动作变更，逾期事项说明影响及后续安排。</w:t>
      </w:r>
    </w:p>
    <w:p>
      <w:pPr>
        <w:jc w:val="both"/>
      </w:pPr>
      <w:r>
        <w:t>第二十二条　跨部门口径争议先核对业务目的、对象、粒度、单位、时间和状态，再组织专业判断。不同业务事实分别定义，属于同一事实的确认权威来源和处理规则。裁决后更新关联标准、模型、接口和知识材料。</w:t>
      </w:r>
    </w:p>
    <w:p>
      <w:pPr>
        <w:jc w:val="both"/>
      </w:pPr>
      <w:r>
        <w:t>第二十三条　重大变更在实施前开展风险和影响分析，明确批准条件、验证方法、发布安排及恢复方案。紧急事项按照应急授权采取必要控制，保留事实和执行记录，恢复前完成规定检查。</w:t>
      </w:r>
    </w:p>
    <w:p>
      <w:pPr>
        <w:jc w:val="both"/>
      </w:pPr>
      <w:r>
        <w:t>第二十四条　制度、规则和配置发布保留版本、批准依据、生效时间、适用范围及历史替代关系。新旧规则交替期间明确在办事项使用版本，重要变化组织相关岗位培训，并检查实际执行。</w:t>
      </w:r>
    </w:p>
    <w:p>
      <w:pPr>
        <w:jc w:val="both"/>
      </w:pPr>
      <w:r>
        <w:t>第二十五条　公司将数据管理能力建设纳入岗位培训和实践。培训计划明确对象、目标、内容、形式、阶段安排、考核及后续支持。岗位能力以知识、操作和实际任务表现综合评价，签到和材料发放分别记录。</w:t>
      </w:r>
    </w:p>
    <w:p>
      <w:pPr>
        <w:jc w:val="both"/>
      </w:pPr>
      <w:r>
        <w:t>第二十六条　运行考核依据有效职责、可核验证据和一致统计口径开展。统计前固定对象及期间，保留分子分母和计算过程。存在事实或责任争议时履行复核，考核结果用于改进制度、资源和岗位能力。</w:t>
      </w:r>
    </w:p>
    <w:p>
      <w:pPr>
        <w:jc w:val="both"/>
      </w:pPr>
      <w:r>
        <w:t>第二十七条　各治理活动保留真实完整的审批、执行、复核和使用记录。历史缺失通过调查核实并登记影响，后续真实工作持续积累证据。档案保存按照访问、留存和可恢复要求管理。</w:t>
      </w:r>
    </w:p>
    <w:p>
      <w:pPr>
        <w:jc w:val="both"/>
      </w:pPr>
      <w:r>
        <w:t>第二十八条　本办法由数据管理办公室组织解释和维护，按公司权限评审批准。组织、业务、系统、合同或适用要求变化时开展专项修订，定期复查执行情况，旧版本及其适用期间完整归档。</w:t>
      </w:r>
    </w:p>
    <w:p>
      <w:pPr>
        <w:pStyle w:val="Heading2"/>
      </w:pPr>
      <w:r>
        <w:t>3.3 数据治理组织运行细则</w:t>
      </w:r>
    </w:p>
    <w:p>
      <w:pPr>
        <w:pStyle w:val="Heading3"/>
      </w:pPr>
      <w:r>
        <w:t>3.3.1 事项受理与任务分派</w:t>
      </w:r>
    </w:p>
    <w:p>
      <w:pPr>
        <w:jc w:val="both"/>
      </w:pPr>
      <w:r>
        <w:t>本细则适用于治理组织议事、任务协调、授权代理和责任交接，由数据管理办公室归口维护。治理事项进入受理渠道后，登记对象、事实、业务目的、提出岗位、影响和期望时点。办公室检查是否属于现行流程，能够直接匹配归口的分派至相应队列，暂不能匹配的指定协调责任。</w:t>
      </w:r>
    </w:p>
    <w:p>
      <w:pPr>
        <w:jc w:val="both"/>
      </w:pPr>
      <w:r>
        <w:t>任务分派明确牵头岗位、参与岗位、输入材料、预期成果、验收条件、依赖和完成节点。责任岗位确认接收时核对资源和权限，发现输入不足或期限无法满足的，提出具体影响和调整建议。管理层据此协调，不通过反复转派将任务留在无人负责状态。</w:t>
      </w:r>
    </w:p>
    <w:p>
      <w:pPr>
        <w:jc w:val="both"/>
      </w:pPr>
      <w:r>
        <w:t>跨域任务使用一个主事项关联各参与任务，各方结果回到主事项统一核查。主事项完成以全部必要条件满足及接收复核通过为依据，部分任务完成时如实记录实际范围。取消或调整参与任务时检查是否仍覆盖原目标。</w:t>
      </w:r>
    </w:p>
    <w:p>
      <w:pPr>
        <w:pStyle w:val="Heading3"/>
      </w:pPr>
      <w:r>
        <w:t>3.3.2 议事办理与决议执行</w:t>
      </w:r>
    </w:p>
    <w:p>
      <w:pPr>
        <w:jc w:val="both"/>
      </w:pPr>
      <w:r>
        <w:t>议题提出岗位准备事实、依据、影响、待决定问题和备选处理，涉及专业判断的先组织专业审核。办公室核查材料完整性及参会授权，按事项影响组织周度、月度、阶段或专题议事。紧急风险按应急程序处理并同步报告。</w:t>
      </w:r>
    </w:p>
    <w:p>
      <w:pPr>
        <w:jc w:val="both"/>
      </w:pPr>
      <w:r>
        <w:t>议事时先确认需作出何种决定，再核验事实及各方案条件。超出参会岗位权限的内容形成升级材料，存在重大事实缺口的明确补充核查。会议记录保存有效决定、不同意见、附带条件、承办和检查节点，履行相应确认程序后发布。</w:t>
      </w:r>
    </w:p>
    <w:p>
      <w:pPr>
        <w:jc w:val="both"/>
      </w:pPr>
      <w:r>
        <w:t>会后由办公室建立决议任务并通知责任岗位，责任岗位将决定落实到业务动作、规则、配置或制度。办公室定期核查执行证据和实际效果，未完成事项记录原因及影响，批准延期保留原安排。决议关闭由相应接收或复核岗位确认。</w:t>
      </w:r>
    </w:p>
    <w:p>
      <w:pPr>
        <w:pStyle w:val="Heading3"/>
      </w:pPr>
      <w:r>
        <w:t>3.3.3 代理兼任与交接办理</w:t>
      </w:r>
    </w:p>
    <w:p>
      <w:pPr>
        <w:jc w:val="both"/>
      </w:pPr>
      <w:r>
        <w:t>授权代理登记原授权岗位、代理岗位、事项范围、操作权限、生效时间、失效时间及批准依据。代理只能在有效条件内办理，转委托按公司规定履行批准。平台实际记录代理人和授权关系，代理到期后回收相关权限并处理未完成事项。</w:t>
      </w:r>
    </w:p>
    <w:p>
      <w:pPr>
        <w:jc w:val="both"/>
      </w:pPr>
      <w:r>
        <w:t>兼任安排按具体事项检查职责分离，需要补偿控制的写明复核岗位、核查内容和时点。回避事项重新指定合格人员，保留原因及原材料。岗位归口定期核对兼任与实际工作负荷，防止关键责任长期依赖一人且没有替补。</w:t>
      </w:r>
    </w:p>
    <w:p>
      <w:pPr>
        <w:jc w:val="both"/>
      </w:pPr>
      <w:r>
        <w:t>交接由原责任、接任和管理岗位共同核对对象、待办、权限、问题及资料，实际操作验证后确认接收。不能立即完成的交接事项单独列明责任及期限。原权限回收与新权限生效分别验证，过渡期安排具有明确边界。</w:t>
      </w:r>
    </w:p>
    <w:p>
      <w:pPr>
        <w:pStyle w:val="Heading3"/>
      </w:pPr>
      <w:r>
        <w:t>3.3.4 运行记录与复查</w:t>
      </w:r>
    </w:p>
    <w:p>
      <w:pPr>
        <w:pStyle w:val="Caption"/>
        <w:keepNext/>
      </w:pPr>
      <w:r>
        <w:t>表3-2 运行记录与复查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90" w:type="dxa"/>
          <w:bottom w:w="90" w:type="dxa"/>
          <w:left w:w="95" w:type="dxa"/>
          <w:right w:w="95" w:type="dxa"/>
        </w:tblCellMar>
      </w:tblPr>
      <w:tblGrid>
        <w:gridCol w:w="2506"/>
        <w:gridCol w:w="3855"/>
        <w:gridCol w:w="3277"/>
      </w:tblGrid>
      <w:tr>
        <w:trPr>
          <w:cantSplit/>
          <w:tblHeader/>
        </w:trPr>
        <w:tc>
          <w:tcPr>
            <w:tcW w:type="dxa" w:w="2506"/>
            <w:vAlign w:val="center"/>
            <w:shd w:fill="EDF1F3"/>
          </w:tcPr>
          <w:p>
            <w:pPr>
              <w:keepNext/>
              <w:spacing w:line="320" w:lineRule="exact" w:after="0" w:before="0"/>
              <w:ind w:firstLine="0"/>
              <w:jc w:val="center"/>
            </w:pPr>
            <w:r>
              <w:rPr>
                <w:b/>
                <w:sz w:val="21"/>
              </w:rPr>
              <w:t>记录名称</w:t>
            </w:r>
          </w:p>
        </w:tc>
        <w:tc>
          <w:tcPr>
            <w:tcW w:type="dxa" w:w="3855"/>
            <w:vAlign w:val="center"/>
            <w:shd w:fill="EDF1F3"/>
          </w:tcPr>
          <w:p>
            <w:pPr>
              <w:keepNext/>
              <w:spacing w:line="320" w:lineRule="exact" w:after="0" w:before="0"/>
              <w:ind w:firstLine="0"/>
              <w:jc w:val="center"/>
            </w:pPr>
            <w:r>
              <w:rPr>
                <w:b/>
                <w:sz w:val="21"/>
              </w:rPr>
              <w:t>核心字段</w:t>
            </w:r>
          </w:p>
        </w:tc>
        <w:tc>
          <w:tcPr>
            <w:tcW w:type="dxa" w:w="3277"/>
            <w:vAlign w:val="center"/>
            <w:shd w:fill="EDF1F3"/>
          </w:tcPr>
          <w:p>
            <w:pPr>
              <w:keepNext/>
              <w:spacing w:line="320" w:lineRule="exact" w:after="0" w:before="0"/>
              <w:ind w:firstLine="0"/>
              <w:jc w:val="center"/>
            </w:pPr>
            <w:r>
              <w:rPr>
                <w:b/>
                <w:sz w:val="21"/>
              </w:rPr>
              <w:t>完成条件</w:t>
            </w:r>
          </w:p>
        </w:tc>
      </w:tr>
      <w:tr>
        <w:trPr>
          <w:cantSplit/>
        </w:trPr>
        <w:tc>
          <w:tcPr>
            <w:tcW w:type="dxa" w:w="2506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治理事项受理记录</w:t>
            </w:r>
          </w:p>
        </w:tc>
        <w:tc>
          <w:tcPr>
            <w:tcW w:type="dxa" w:w="3855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标识、类型、对象、事实、来源、责任及状态</w:t>
            </w:r>
          </w:p>
        </w:tc>
        <w:tc>
          <w:tcPr>
            <w:tcW w:type="dxa" w:w="3277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已匹配责任且必要材料齐备</w:t>
            </w:r>
          </w:p>
        </w:tc>
      </w:tr>
      <w:tr>
        <w:trPr>
          <w:cantSplit/>
        </w:trPr>
        <w:tc>
          <w:tcPr>
            <w:tcW w:type="dxa" w:w="2506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任务分派记录</w:t>
            </w:r>
          </w:p>
        </w:tc>
        <w:tc>
          <w:tcPr>
            <w:tcW w:type="dxa" w:w="3855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主任务、参与任务、输入、成果、期限及接收</w:t>
            </w:r>
          </w:p>
        </w:tc>
        <w:tc>
          <w:tcPr>
            <w:tcW w:type="dxa" w:w="3277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责任岗位确认并具备执行条件</w:t>
            </w:r>
          </w:p>
        </w:tc>
      </w:tr>
      <w:tr>
        <w:trPr>
          <w:cantSplit/>
        </w:trPr>
        <w:tc>
          <w:tcPr>
            <w:tcW w:type="dxa" w:w="2506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议事记录</w:t>
            </w:r>
          </w:p>
        </w:tc>
        <w:tc>
          <w:tcPr>
            <w:tcW w:type="dxa" w:w="3855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议题、依据、参与授权、决定及附带条件</w:t>
            </w:r>
          </w:p>
        </w:tc>
        <w:tc>
          <w:tcPr>
            <w:tcW w:type="dxa" w:w="3277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正式决定完成确认和通知</w:t>
            </w:r>
          </w:p>
        </w:tc>
      </w:tr>
      <w:tr>
        <w:trPr>
          <w:cantSplit/>
        </w:trPr>
        <w:tc>
          <w:tcPr>
            <w:tcW w:type="dxa" w:w="2506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决议执行记录</w:t>
            </w:r>
          </w:p>
        </w:tc>
        <w:tc>
          <w:tcPr>
            <w:tcW w:type="dxa" w:w="3855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承办、措施、证据、复核及关闭</w:t>
            </w:r>
          </w:p>
        </w:tc>
        <w:tc>
          <w:tcPr>
            <w:tcW w:type="dxa" w:w="3277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规定结果通过复核</w:t>
            </w:r>
          </w:p>
        </w:tc>
      </w:tr>
      <w:tr>
        <w:trPr>
          <w:cantSplit/>
        </w:trPr>
        <w:tc>
          <w:tcPr>
            <w:tcW w:type="dxa" w:w="2506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代理授权记录</w:t>
            </w:r>
          </w:p>
        </w:tc>
        <w:tc>
          <w:tcPr>
            <w:tcW w:type="dxa" w:w="3855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原岗位、代理岗位、范围、期限及批准</w:t>
            </w:r>
          </w:p>
        </w:tc>
        <w:tc>
          <w:tcPr>
            <w:tcW w:type="dxa" w:w="3277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权限实际匹配且到期完成回收</w:t>
            </w:r>
          </w:p>
        </w:tc>
      </w:tr>
      <w:tr>
        <w:trPr>
          <w:cantSplit/>
        </w:trPr>
        <w:tc>
          <w:tcPr>
            <w:tcW w:type="dxa" w:w="2506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岗位交接记录</w:t>
            </w:r>
          </w:p>
        </w:tc>
        <w:tc>
          <w:tcPr>
            <w:tcW w:type="dxa" w:w="3855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对象、待办、资料、权限及接任</w:t>
            </w:r>
          </w:p>
        </w:tc>
        <w:tc>
          <w:tcPr>
            <w:tcW w:type="dxa" w:w="3277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接任能够办理工作且原权限已处理</w:t>
            </w:r>
          </w:p>
        </w:tc>
      </w:tr>
    </w:tbl>
    <w:p>
      <w:pPr>
        <w:spacing w:after="40" w:line="240" w:lineRule="auto"/>
        <w:ind w:firstLine="0"/>
      </w:pPr>
      <w:r>
        <w:rPr>
          <w:sz w:val="4"/>
        </w:rPr>
      </w:r>
    </w:p>
    <w:p>
      <w:pPr>
        <w:jc w:val="both"/>
      </w:pPr>
      <w:r>
        <w:t>办公室按月检查无归口、逾期、反复退回、代理失效和交接缺口，形成运行改善事项。细则修订结合实际事项演练，核查流程与组织、授权及平台配置是否一致。重要流程变化发布前完成培训和配置验证，历史事项保存原适用规则。</w:t>
      </w:r>
    </w:p>
    <w:p>
      <w:pPr>
        <w:keepNext/>
        <w:spacing w:line="240" w:lineRule="auto" w:before="16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6048000" cy="1942338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图8_口径裁决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048000" cy="194233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t>图3-2 业务口径确认与裁决</w:t>
      </w:r>
    </w:p>
    <w:p>
      <w:pPr>
        <w:pStyle w:val="Heading2"/>
      </w:pPr>
      <w:r>
        <w:t>3.4 数据口径确认与争议处理细则</w:t>
      </w:r>
    </w:p>
    <w:p>
      <w:pPr>
        <w:pStyle w:val="Heading3"/>
      </w:pPr>
      <w:r>
        <w:t>3.4.1 口径登记与确认条件</w:t>
      </w:r>
    </w:p>
    <w:p>
      <w:pPr>
        <w:jc w:val="both"/>
      </w:pPr>
      <w:r>
        <w:t>本细则适用于业务术语、数据元、主数据属性、指标和跨系统使用规则的确认与争议处理，由标准管理岗位组织维护，业务归口岗位承担含义确认。提出新口径或发现差异时，登记使用目的、对象范围、现有定义、涉及系统、差异样本及影响。</w:t>
      </w:r>
    </w:p>
    <w:p>
      <w:pPr>
        <w:jc w:val="both"/>
      </w:pPr>
      <w:r>
        <w:t>口径记录至少包含名称、定义、对象粒度、统计或发生时点、单位、取值域、状态、来源、计算、排除条件、适用范围和责任。指标另行登记分子分母、汇总方式和时间窗口，工艺及设备参数另行登记测量条件、位置和有效配置。</w:t>
      </w:r>
    </w:p>
    <w:p>
      <w:pPr>
        <w:jc w:val="both"/>
      </w:pPr>
      <w:r>
        <w:t>同名术语在不同专业范围具有不同含义时，使用明确限定名称并登记关系。多个系统表达同一事实时，确认权威来源、同步规则及冲突处理。历史定义与现行定义分别保留有效时间，历史报表和业务查询按当时适用口径解释。</w:t>
      </w:r>
    </w:p>
    <w:p>
      <w:pPr>
        <w:pStyle w:val="Heading3"/>
      </w:pPr>
      <w:r>
        <w:t>3.4.2 差异核对与专业裁决</w:t>
      </w:r>
    </w:p>
    <w:p>
      <w:pPr>
        <w:jc w:val="both"/>
      </w:pPr>
      <w:r>
        <w:t>争议受理后，标准管理岗位先固定比较对象、时点、版本和用途，分别整理各方定义和实际数据。核对顺序为对象身份、业务粒度、时间、状态、单位、取值、计算及数据更新。经统一比较条件后仍存在差异的，继续分析业务规则或技术实现。</w:t>
      </w:r>
    </w:p>
    <w:p>
      <w:pPr>
        <w:jc w:val="both"/>
      </w:pPr>
      <w:r>
        <w:t>属于记录缺失、重复、映射或计算错误的，按质量问题流程修正并复算；属于业务阶段差异的，保留各阶段指标及其关系；属于同一事实的不同主张的，由归口岗位组织证据审查并按权限作出决定。重大跨域分歧经办公室协调仍无法解决的，提交委员会裁决。</w:t>
      </w:r>
    </w:p>
    <w:p>
      <w:pPr>
        <w:jc w:val="both"/>
      </w:pPr>
      <w:r>
        <w:t>裁决材料列明采用口径、依据、适用范围、生效条件、历史处理方式、受影响对象和实施任务。存在不确定事实时明确继续核验事项及临时使用限制。裁决记录经有效批准后成为口径发布依据，不能仅将会议讨论结论复制为系统规则。</w:t>
      </w:r>
    </w:p>
    <w:p>
      <w:pPr>
        <w:pStyle w:val="Heading3"/>
      </w:pPr>
      <w:r>
        <w:t>3.4.3 制造业务口径控制</w:t>
      </w:r>
    </w:p>
    <w:p>
      <w:pPr>
        <w:pStyle w:val="Caption"/>
        <w:keepNext/>
      </w:pPr>
      <w:r>
        <w:t>表3-3 制造业务口径控制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90" w:type="dxa"/>
          <w:bottom w:w="90" w:type="dxa"/>
          <w:left w:w="95" w:type="dxa"/>
          <w:right w:w="95" w:type="dxa"/>
        </w:tblCellMar>
      </w:tblPr>
      <w:tblGrid>
        <w:gridCol w:w="1638"/>
        <w:gridCol w:w="2699"/>
        <w:gridCol w:w="2409"/>
        <w:gridCol w:w="2891"/>
      </w:tblGrid>
      <w:tr>
        <w:trPr>
          <w:cantSplit/>
          <w:tblHeader/>
        </w:trPr>
        <w:tc>
          <w:tcPr>
            <w:tcW w:type="dxa" w:w="1638"/>
            <w:vAlign w:val="center"/>
            <w:shd w:fill="EDF1F3"/>
          </w:tcPr>
          <w:p>
            <w:pPr>
              <w:keepNext/>
              <w:spacing w:line="320" w:lineRule="exact" w:after="0" w:before="0"/>
              <w:ind w:firstLine="0"/>
              <w:jc w:val="center"/>
            </w:pPr>
            <w:r>
              <w:rPr>
                <w:b/>
                <w:sz w:val="21"/>
              </w:rPr>
              <w:t>争议对象</w:t>
            </w:r>
          </w:p>
        </w:tc>
        <w:tc>
          <w:tcPr>
            <w:tcW w:type="dxa" w:w="2699"/>
            <w:vAlign w:val="center"/>
            <w:shd w:fill="EDF1F3"/>
          </w:tcPr>
          <w:p>
            <w:pPr>
              <w:keepNext/>
              <w:spacing w:line="320" w:lineRule="exact" w:after="0" w:before="0"/>
              <w:ind w:firstLine="0"/>
              <w:jc w:val="center"/>
            </w:pPr>
            <w:r>
              <w:rPr>
                <w:b/>
                <w:sz w:val="21"/>
              </w:rPr>
              <w:t>必须核对的条件</w:t>
            </w:r>
          </w:p>
        </w:tc>
        <w:tc>
          <w:tcPr>
            <w:tcW w:type="dxa" w:w="2409"/>
            <w:vAlign w:val="center"/>
            <w:shd w:fill="EDF1F3"/>
          </w:tcPr>
          <w:p>
            <w:pPr>
              <w:keepNext/>
              <w:spacing w:line="320" w:lineRule="exact" w:after="0" w:before="0"/>
              <w:ind w:firstLine="0"/>
              <w:jc w:val="center"/>
            </w:pPr>
            <w:r>
              <w:rPr>
                <w:b/>
                <w:sz w:val="21"/>
              </w:rPr>
              <w:t>处理方向</w:t>
            </w:r>
          </w:p>
        </w:tc>
        <w:tc>
          <w:tcPr>
            <w:tcW w:type="dxa" w:w="2891"/>
            <w:vAlign w:val="center"/>
            <w:shd w:fill="EDF1F3"/>
          </w:tcPr>
          <w:p>
            <w:pPr>
              <w:keepNext/>
              <w:spacing w:line="320" w:lineRule="exact" w:after="0" w:before="0"/>
              <w:ind w:firstLine="0"/>
              <w:jc w:val="center"/>
            </w:pPr>
            <w:r>
              <w:rPr>
                <w:b/>
                <w:sz w:val="21"/>
              </w:rPr>
              <w:t>发布验证</w:t>
            </w:r>
          </w:p>
        </w:tc>
      </w:tr>
      <w:tr>
        <w:trPr>
          <w:cantSplit/>
        </w:trPr>
        <w:tc>
          <w:tcPr>
            <w:tcW w:type="dxa" w:w="1638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库存数量</w:t>
            </w:r>
          </w:p>
        </w:tc>
        <w:tc>
          <w:tcPr>
            <w:tcW w:type="dxa" w:w="2699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时点、库存状态、单位、冻结占用及在途</w:t>
            </w:r>
          </w:p>
        </w:tc>
        <w:tc>
          <w:tcPr>
            <w:tcW w:type="dxa" w:w="2409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分开定义实物、可用及相关业务数量</w:t>
            </w:r>
          </w:p>
        </w:tc>
        <w:tc>
          <w:tcPr>
            <w:tcW w:type="dxa" w:w="2891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同对象同截点对账并核对单位</w:t>
            </w:r>
          </w:p>
        </w:tc>
      </w:tr>
      <w:tr>
        <w:trPr>
          <w:cantSplit/>
        </w:trPr>
        <w:tc>
          <w:tcPr>
            <w:tcW w:type="dxa" w:w="1638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物料身份</w:t>
            </w:r>
          </w:p>
        </w:tc>
        <w:tc>
          <w:tcPr>
            <w:tcW w:type="dxa" w:w="2699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编码、规格、材质、来源键及替代关系</w:t>
            </w:r>
          </w:p>
        </w:tc>
        <w:tc>
          <w:tcPr>
            <w:tcW w:type="dxa" w:w="2409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确认同物异码或真实不同对象</w:t>
            </w:r>
          </w:p>
        </w:tc>
        <w:tc>
          <w:tcPr>
            <w:tcW w:type="dxa" w:w="2891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检查历史单据和订阅系统关联</w:t>
            </w:r>
          </w:p>
        </w:tc>
      </w:tr>
      <w:tr>
        <w:trPr>
          <w:cantSplit/>
        </w:trPr>
        <w:tc>
          <w:tcPr>
            <w:tcW w:type="dxa" w:w="1638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图纸版本</w:t>
            </w:r>
          </w:p>
        </w:tc>
        <w:tc>
          <w:tcPr>
            <w:tcW w:type="dxa" w:w="2699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产品、零件、修订、生效范围和工单</w:t>
            </w:r>
          </w:p>
        </w:tc>
        <w:tc>
          <w:tcPr>
            <w:tcW w:type="dxa" w:w="2409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保留版本及适用工件关系</w:t>
            </w:r>
          </w:p>
        </w:tc>
        <w:tc>
          <w:tcPr>
            <w:tcW w:type="dxa" w:w="2891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从工件反查设计及工艺依据</w:t>
            </w:r>
          </w:p>
        </w:tc>
      </w:tr>
      <w:tr>
        <w:trPr>
          <w:cantSplit/>
        </w:trPr>
        <w:tc>
          <w:tcPr>
            <w:tcW w:type="dxa" w:w="1638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炉次时间</w:t>
            </w:r>
          </w:p>
        </w:tc>
        <w:tc>
          <w:tcPr>
            <w:tcW w:type="dxa" w:w="2699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设备时钟、业务事件、采样和时区</w:t>
            </w:r>
          </w:p>
        </w:tc>
        <w:tc>
          <w:tcPr>
            <w:tcW w:type="dxa" w:w="2409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保留原时间并建立校准关系</w:t>
            </w:r>
          </w:p>
        </w:tc>
        <w:tc>
          <w:tcPr>
            <w:tcW w:type="dxa" w:w="2891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以装炉和曲线事件回放</w:t>
            </w:r>
          </w:p>
        </w:tc>
      </w:tr>
      <w:tr>
        <w:trPr>
          <w:cantSplit/>
        </w:trPr>
        <w:tc>
          <w:tcPr>
            <w:tcW w:type="dxa" w:w="1638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焊接参数</w:t>
            </w:r>
          </w:p>
        </w:tc>
        <w:tc>
          <w:tcPr>
            <w:tcW w:type="dxa" w:w="2699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工艺阶段、焊道、测量位置及单位</w:t>
            </w:r>
          </w:p>
        </w:tc>
        <w:tc>
          <w:tcPr>
            <w:tcW w:type="dxa" w:w="2409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按实际工况和测点定义</w:t>
            </w:r>
          </w:p>
        </w:tc>
        <w:tc>
          <w:tcPr>
            <w:tcW w:type="dxa" w:w="2891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核对工艺、参数及检验关系</w:t>
            </w:r>
          </w:p>
        </w:tc>
      </w:tr>
      <w:tr>
        <w:trPr>
          <w:cantSplit/>
        </w:trPr>
        <w:tc>
          <w:tcPr>
            <w:tcW w:type="dxa" w:w="1638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故障标签</w:t>
            </w:r>
          </w:p>
        </w:tc>
        <w:tc>
          <w:tcPr>
            <w:tcW w:type="dxa" w:w="2699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报警、检修、失效证据及事件边界</w:t>
            </w:r>
          </w:p>
        </w:tc>
        <w:tc>
          <w:tcPr>
            <w:tcW w:type="dxa" w:w="2409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由专业岗位确认故障和工况</w:t>
            </w:r>
          </w:p>
        </w:tc>
        <w:tc>
          <w:tcPr>
            <w:tcW w:type="dxa" w:w="2891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回查维修事实并验证样本隔离</w:t>
            </w:r>
          </w:p>
        </w:tc>
      </w:tr>
      <w:tr>
        <w:trPr>
          <w:cantSplit/>
        </w:trPr>
        <w:tc>
          <w:tcPr>
            <w:tcW w:type="dxa" w:w="1638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质量结论</w:t>
            </w:r>
          </w:p>
        </w:tc>
        <w:tc>
          <w:tcPr>
            <w:tcW w:type="dxa" w:w="2699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检验标准、对象版本、复检和处置</w:t>
            </w:r>
          </w:p>
        </w:tc>
        <w:tc>
          <w:tcPr>
            <w:tcW w:type="dxa" w:w="2409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区分原检、复检和最终处置</w:t>
            </w:r>
          </w:p>
        </w:tc>
        <w:tc>
          <w:tcPr>
            <w:tcW w:type="dxa" w:w="2891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按有效依据复核结论</w:t>
            </w:r>
          </w:p>
        </w:tc>
      </w:tr>
      <w:tr>
        <w:trPr>
          <w:cantSplit/>
        </w:trPr>
        <w:tc>
          <w:tcPr>
            <w:tcW w:type="dxa" w:w="1638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成本指标</w:t>
            </w:r>
          </w:p>
        </w:tc>
        <w:tc>
          <w:tcPr>
            <w:tcW w:type="dxa" w:w="2699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核算对象、期间、分摊及业务口径</w:t>
            </w:r>
          </w:p>
        </w:tc>
        <w:tc>
          <w:tcPr>
            <w:tcW w:type="dxa" w:w="2409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保留财务与业务管理的适用条件</w:t>
            </w:r>
          </w:p>
        </w:tc>
        <w:tc>
          <w:tcPr>
            <w:tcW w:type="dxa" w:w="2891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同期同对象复算和差异解释</w:t>
            </w:r>
          </w:p>
        </w:tc>
      </w:tr>
    </w:tbl>
    <w:p>
      <w:pPr>
        <w:spacing w:after="40" w:line="240" w:lineRule="auto"/>
        <w:ind w:firstLine="0"/>
      </w:pPr>
      <w:r>
        <w:rPr>
          <w:sz w:val="4"/>
        </w:rPr>
      </w:r>
    </w:p>
    <w:p>
      <w:pPr>
        <w:pStyle w:val="Heading3"/>
      </w:pPr>
      <w:r>
        <w:t>3.4.4 发布实施与历史修订</w:t>
      </w:r>
    </w:p>
    <w:p>
      <w:pPr>
        <w:jc w:val="both"/>
      </w:pPr>
      <w:r>
        <w:t>口径批准后，标准管理岗位生成有效版本，技术岗位检查涉及字段、模型、接口、指标、数据集和知识材料。实施计划明确顺序、时间和兼容安排，变更前保存基线，变更后开展正反例及下游回归。各接收岗位确认使用新口径的范围。</w:t>
      </w:r>
    </w:p>
    <w:p>
      <w:pPr>
        <w:jc w:val="both"/>
      </w:pPr>
      <w:r>
        <w:t>历史结果处理按裁决规定执行。能够可靠回算的保留重算输入和计算版本，不能准确回算的保留历史口径及限制，禁止通过无依据补值制造可比性。新旧结果分别标识，查询和报告明确采用版本及期间。</w:t>
      </w:r>
    </w:p>
    <w:p>
      <w:pPr>
        <w:jc w:val="both"/>
      </w:pPr>
      <w:r>
        <w:t>同类争议复发时检查口径是否容易理解、配置是否真正落地、来源是否变化及培训是否覆盖。共性问题修订规范和案例库，修订经业务与专业岗位复核，旧裁决及历史影响完整保存。</w:t>
      </w:r>
    </w:p>
    <w:p>
      <w:pPr>
        <w:pStyle w:val="Heading2"/>
      </w:pPr>
      <w:r>
        <w:t>3.5 数据管理考核细则</w:t>
      </w:r>
    </w:p>
    <w:p>
      <w:pPr>
        <w:pStyle w:val="Heading3"/>
      </w:pPr>
      <w:r>
        <w:t>3.5.1 考核范围与指标设置</w:t>
      </w:r>
    </w:p>
    <w:p>
      <w:pPr>
        <w:jc w:val="both"/>
      </w:pPr>
      <w:r>
        <w:t>本细则适用于治理岗位履职、规则执行、问题整改、服务运行和能力提升评价，由办公室组织，业务及专业岗位核实事实，授权管理层确认结果。评价周期与月度运行、阶段验收及年度管理安排衔接，重大问题可以开展专项检查。</w:t>
      </w:r>
    </w:p>
    <w:p>
      <w:pPr>
        <w:jc w:val="both"/>
      </w:pPr>
      <w:r>
        <w:t>考核指标按岗位责任设置，并记录名称、管理目的、适用对象、公式、数据来源、统计期间、目标、权重和复核方式。不同岗位采用与其实际职责相符的指标，跨域事项按各自承担动作评价。项目硬性验收条件单独核查，运行考核综合得分不能抵消未满足的合同要求。</w:t>
      </w:r>
    </w:p>
    <w:p>
      <w:pPr>
        <w:jc w:val="both"/>
      </w:pPr>
      <w:r>
        <w:t>指标首次采用或范围变化时，先核对基线和可采集条件，由管理层按授权批准目标和权重。指标名称、公式、分母、排除条件和目标形成有效版本，考核周期中确需调整的记录依据及适用期间。原统计结果按原口径保存，可比分析另行列出一致范围。</w:t>
      </w:r>
    </w:p>
    <w:p>
      <w:pPr>
        <w:pStyle w:val="Heading3"/>
      </w:pPr>
      <w:r>
        <w:t>3.5.2 取数核验与计算</w:t>
      </w:r>
    </w:p>
    <w:p>
      <w:pPr>
        <w:jc w:val="both"/>
      </w:pPr>
      <w:r>
        <w:t>考核前固定统计截止时点和对象清单，从任务、审批、配置、运行、检查和培训记录取数。每项结果保存分子、分母、原始对象及必要明细，人工调整需有事实依据和复核。重复任务、取消事项、跨期事项及重新打开的问题分别按规定处理。</w:t>
      </w:r>
    </w:p>
    <w:p>
      <w:pPr>
        <w:jc w:val="both"/>
      </w:pPr>
      <w:r>
        <w:t>任务完成率以本期到期且实际通过接收的任务为分子，本期应到期任务为分母。批准延期同时保留原期限与新期限，原计划执行情况和调整计划执行情况分别反映。质量整改率以完成规定整改并通过复核的独立问题计数，拆分同一问题不增加已完成数量。</w:t>
      </w:r>
    </w:p>
    <w:p>
      <w:pPr>
        <w:jc w:val="both"/>
      </w:pPr>
      <w:r>
        <w:t>目录准确率按规定检查范围核对名称、版本、责任、权限和实际获取结果。权限回收率以实际验证回收且必要副本处置完成为分子，应回收授权为分母。培训能力评价分别列出知识、实操和岗位实践结果，未参加或未完成复核的对象如实记录。</w:t>
      </w:r>
    </w:p>
    <w:p>
      <w:pPr>
        <w:pStyle w:val="Caption"/>
        <w:keepNext/>
      </w:pPr>
      <w:r>
        <w:t>表3-4 取数核验与计算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90" w:type="dxa"/>
          <w:bottom w:w="90" w:type="dxa"/>
          <w:left w:w="95" w:type="dxa"/>
          <w:right w:w="95" w:type="dxa"/>
        </w:tblCellMar>
      </w:tblPr>
      <w:tblGrid>
        <w:gridCol w:w="1638"/>
        <w:gridCol w:w="2699"/>
        <w:gridCol w:w="2409"/>
        <w:gridCol w:w="2891"/>
      </w:tblGrid>
      <w:tr>
        <w:trPr>
          <w:cantSplit/>
          <w:tblHeader/>
        </w:trPr>
        <w:tc>
          <w:tcPr>
            <w:tcW w:type="dxa" w:w="1638"/>
            <w:vAlign w:val="center"/>
            <w:shd w:fill="EDF1F3"/>
          </w:tcPr>
          <w:p>
            <w:pPr>
              <w:keepNext/>
              <w:spacing w:line="320" w:lineRule="exact" w:after="0" w:before="0"/>
              <w:ind w:firstLine="0"/>
              <w:jc w:val="center"/>
            </w:pPr>
            <w:r>
              <w:rPr>
                <w:b/>
                <w:sz w:val="21"/>
              </w:rPr>
              <w:t>考核对象</w:t>
            </w:r>
          </w:p>
        </w:tc>
        <w:tc>
          <w:tcPr>
            <w:tcW w:type="dxa" w:w="2699"/>
            <w:vAlign w:val="center"/>
            <w:shd w:fill="EDF1F3"/>
          </w:tcPr>
          <w:p>
            <w:pPr>
              <w:keepNext/>
              <w:spacing w:line="320" w:lineRule="exact" w:after="0" w:before="0"/>
              <w:ind w:firstLine="0"/>
              <w:jc w:val="center"/>
            </w:pPr>
            <w:r>
              <w:rPr>
                <w:b/>
                <w:sz w:val="21"/>
              </w:rPr>
              <w:t>主要评价内容</w:t>
            </w:r>
          </w:p>
        </w:tc>
        <w:tc>
          <w:tcPr>
            <w:tcW w:type="dxa" w:w="2409"/>
            <w:vAlign w:val="center"/>
            <w:shd w:fill="EDF1F3"/>
          </w:tcPr>
          <w:p>
            <w:pPr>
              <w:keepNext/>
              <w:spacing w:line="320" w:lineRule="exact" w:after="0" w:before="0"/>
              <w:ind w:firstLine="0"/>
              <w:jc w:val="center"/>
            </w:pPr>
            <w:r>
              <w:rPr>
                <w:b/>
                <w:sz w:val="21"/>
              </w:rPr>
              <w:t>核查依据</w:t>
            </w:r>
          </w:p>
        </w:tc>
        <w:tc>
          <w:tcPr>
            <w:tcW w:type="dxa" w:w="2891"/>
            <w:vAlign w:val="center"/>
            <w:shd w:fill="EDF1F3"/>
          </w:tcPr>
          <w:p>
            <w:pPr>
              <w:keepNext/>
              <w:spacing w:line="320" w:lineRule="exact" w:after="0" w:before="0"/>
              <w:ind w:firstLine="0"/>
              <w:jc w:val="center"/>
            </w:pPr>
            <w:r>
              <w:rPr>
                <w:b/>
                <w:sz w:val="21"/>
              </w:rPr>
              <w:t>异常复核重点</w:t>
            </w:r>
          </w:p>
        </w:tc>
      </w:tr>
      <w:tr>
        <w:trPr>
          <w:cantSplit/>
        </w:trPr>
        <w:tc>
          <w:tcPr>
            <w:tcW w:type="dxa" w:w="1638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业务责任岗位</w:t>
            </w:r>
          </w:p>
        </w:tc>
        <w:tc>
          <w:tcPr>
            <w:tcW w:type="dxa" w:w="2699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定义确认、权威来源及重大问题处理</w:t>
            </w:r>
          </w:p>
        </w:tc>
        <w:tc>
          <w:tcPr>
            <w:tcW w:type="dxa" w:w="2409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业务批准、问题及使用反馈</w:t>
            </w:r>
          </w:p>
        </w:tc>
        <w:tc>
          <w:tcPr>
            <w:tcW w:type="dxa" w:w="2891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是否存在等待专业判断或责任争议</w:t>
            </w:r>
          </w:p>
        </w:tc>
      </w:tr>
      <w:tr>
        <w:trPr>
          <w:cantSplit/>
        </w:trPr>
        <w:tc>
          <w:tcPr>
            <w:tcW w:type="dxa" w:w="1638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数据管理岗位</w:t>
            </w:r>
          </w:p>
        </w:tc>
        <w:tc>
          <w:tcPr>
            <w:tcW w:type="dxa" w:w="2699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对象维护、协调、标准落实和记录</w:t>
            </w:r>
          </w:p>
        </w:tc>
        <w:tc>
          <w:tcPr>
            <w:tcW w:type="dxa" w:w="2409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目录、任务、映射及运行记录</w:t>
            </w:r>
          </w:p>
        </w:tc>
        <w:tc>
          <w:tcPr>
            <w:tcW w:type="dxa" w:w="2891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区分协调责任与实际修复责任</w:t>
            </w:r>
          </w:p>
        </w:tc>
      </w:tr>
      <w:tr>
        <w:trPr>
          <w:cantSplit/>
        </w:trPr>
        <w:tc>
          <w:tcPr>
            <w:tcW w:type="dxa" w:w="1638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技术执行岗位</w:t>
            </w:r>
          </w:p>
        </w:tc>
        <w:tc>
          <w:tcPr>
            <w:tcW w:type="dxa" w:w="2699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实现正确、运行恢复、变更和留痕</w:t>
            </w:r>
          </w:p>
        </w:tc>
        <w:tc>
          <w:tcPr>
            <w:tcW w:type="dxa" w:w="2409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配置、测试、日志及回归结果</w:t>
            </w:r>
          </w:p>
        </w:tc>
        <w:tc>
          <w:tcPr>
            <w:tcW w:type="dxa" w:w="2891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是否受源端条件或未确认口径影响</w:t>
            </w:r>
          </w:p>
        </w:tc>
      </w:tr>
      <w:tr>
        <w:trPr>
          <w:cantSplit/>
        </w:trPr>
        <w:tc>
          <w:tcPr>
            <w:tcW w:type="dxa" w:w="1638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质量安全岗位</w:t>
            </w:r>
          </w:p>
        </w:tc>
        <w:tc>
          <w:tcPr>
            <w:tcW w:type="dxa" w:w="2699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检查、风险识别、复核及授权控制</w:t>
            </w:r>
          </w:p>
        </w:tc>
        <w:tc>
          <w:tcPr>
            <w:tcW w:type="dxa" w:w="2409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检测、审查、整改及验证</w:t>
            </w:r>
          </w:p>
        </w:tc>
        <w:tc>
          <w:tcPr>
            <w:tcW w:type="dxa" w:w="2891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检查覆盖与结论是否一致</w:t>
            </w:r>
          </w:p>
        </w:tc>
      </w:tr>
      <w:tr>
        <w:trPr>
          <w:cantSplit/>
        </w:trPr>
        <w:tc>
          <w:tcPr>
            <w:tcW w:type="dxa" w:w="1638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资产运营岗位</w:t>
            </w:r>
          </w:p>
        </w:tc>
        <w:tc>
          <w:tcPr>
            <w:tcW w:type="dxa" w:w="2699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目录有效、授权办理、使用及退出</w:t>
            </w:r>
          </w:p>
        </w:tc>
        <w:tc>
          <w:tcPr>
            <w:tcW w:type="dxa" w:w="2409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服务、申请、接收及回收记录</w:t>
            </w:r>
          </w:p>
        </w:tc>
        <w:tc>
          <w:tcPr>
            <w:tcW w:type="dxa" w:w="2891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服务可调用是否转化为实际使用</w:t>
            </w:r>
          </w:p>
        </w:tc>
      </w:tr>
      <w:tr>
        <w:trPr>
          <w:cantSplit/>
        </w:trPr>
        <w:tc>
          <w:tcPr>
            <w:tcW w:type="dxa" w:w="1638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培训承接岗位</w:t>
            </w:r>
          </w:p>
        </w:tc>
        <w:tc>
          <w:tcPr>
            <w:tcW w:type="dxa" w:w="2699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学习、独立操作和实践改善</w:t>
            </w:r>
          </w:p>
        </w:tc>
        <w:tc>
          <w:tcPr>
            <w:tcW w:type="dxa" w:w="2409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课程、考核及岗位成果</w:t>
            </w:r>
          </w:p>
        </w:tc>
        <w:tc>
          <w:tcPr>
            <w:tcW w:type="dxa" w:w="2891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缺少机会与能力不足分别判断</w:t>
            </w:r>
          </w:p>
        </w:tc>
      </w:tr>
    </w:tbl>
    <w:p>
      <w:pPr>
        <w:spacing w:after="40" w:line="240" w:lineRule="auto"/>
        <w:ind w:firstLine="0"/>
      </w:pPr>
      <w:r>
        <w:rPr>
          <w:sz w:val="4"/>
        </w:rPr>
      </w:r>
    </w:p>
    <w:p>
      <w:pPr>
        <w:pStyle w:val="Heading3"/>
      </w:pPr>
      <w:r>
        <w:t>3.5.3 结果反馈与申诉复核</w:t>
      </w:r>
    </w:p>
    <w:p>
      <w:pPr>
        <w:jc w:val="both"/>
      </w:pPr>
      <w:r>
        <w:t>初步结果向被评价岗位提供指标版本、取数范围、计算及对应事实，岗位核对存在错误、遗漏或责任分歧的部分。申诉需说明具体对象、争议理由和支持证据，办公室组织未直接承担原计算的适当岗位复核。</w:t>
      </w:r>
    </w:p>
    <w:p>
      <w:pPr>
        <w:jc w:val="both"/>
      </w:pPr>
      <w:r>
        <w:t>复核先检查数据及计算，再检查职责和授权，必要时调查业务依赖和资源条件。更正结果保留原值、原因、证据和批准，不删除原评价记录。尚不能确认的事项记录状态及后续安排，不以材料不足推定已经履职或未履职。</w:t>
      </w:r>
    </w:p>
    <w:p>
      <w:pPr>
        <w:jc w:val="both"/>
      </w:pPr>
      <w:r>
        <w:t>考核确认后反馈改进任务，包括修正流程、补充资源、完善标准、强化复核或开展培训。涉及公司正式绩效、人事及奖惩的事项，依照相应制度办理。评价鼓励及时报告真实问题，防止因单一指标压力隐藏异常、减少分母或提前关闭任务。</w:t>
      </w:r>
    </w:p>
    <w:p>
      <w:pPr>
        <w:pStyle w:val="Heading3"/>
      </w:pPr>
      <w:r>
        <w:t>3.5.4 考核规则维护与效果检查</w:t>
      </w:r>
    </w:p>
    <w:p>
      <w:pPr>
        <w:jc w:val="both"/>
      </w:pPr>
      <w:r>
        <w:t>办公室检查指标是否能反映实际管理需要，是否存在重复统计、口径难以理解或取数成本过高等情况。长期满分而业务问题持续发生的指标，重新核查其覆盖范围和判断方式；长期异常的指标分析是否源于目标、资源、流程或数据质量。</w:t>
      </w:r>
    </w:p>
    <w:p>
      <w:pPr>
        <w:jc w:val="both"/>
      </w:pPr>
      <w:r>
        <w:t>考核细则修订由业务、技术、质量安全和相关管理岗位共同评审，通过真实对象复算验证。规则变化及时告知适用岗位，明确生效周期与历史结果处理。后续评价检查改进措施的实际效果，并据此调整培训和资源安排。</w:t>
      </w:r>
    </w:p>
    <w:p>
      <w:pPr>
        <w:pStyle w:val="Heading2"/>
      </w:pPr>
      <w:r>
        <w:t>3.6 数据需求受理与交付细则</w:t>
      </w:r>
    </w:p>
    <w:p>
      <w:pPr>
        <w:pStyle w:val="Heading3"/>
      </w:pPr>
      <w:r>
        <w:t>3.6.1 需求登记与完整性检查</w:t>
      </w:r>
    </w:p>
    <w:p>
      <w:pPr>
        <w:jc w:val="both"/>
      </w:pPr>
      <w:r>
        <w:t>本细则适用于数据提取、共享、加工、指标、知识及服务等需求，由服务运营岗位受理，业务归口确认，技术、质量和安全岗位参与实施及核验。需求提出岗位说明业务目的、待解决问题、数据对象、时间范围、粒度、字段、格式、交付方式、期望时间及使用期限。</w:t>
      </w:r>
    </w:p>
    <w:p>
      <w:pPr>
        <w:jc w:val="both"/>
      </w:pPr>
      <w:r>
        <w:t>需求受理后检查是否已经存在可复用的数据或服务。可复用时核查现有成果的定义、质量、时效、权限和用途是否满足本次需要，再确认交付范围。需新建或调整时，形成明确的需求项和验收条件。涉及多个业务域的需求指定牵头岗位，各域分别确认本域输入和专业条件。</w:t>
      </w:r>
    </w:p>
    <w:p>
      <w:pPr>
        <w:jc w:val="both"/>
      </w:pPr>
      <w:r>
        <w:t>需求描述应能落到实际对象。产品选型需求明确产品类型、工况、参数和约束，库存需求明确库存状态与统计时点，工艺需求明确工件、图纸版本、工序及适用条件，故障需求明确设备、测点、工况和事件边界。仅有结果名称但无使用条件的需求，先补充业务确认。</w:t>
      </w:r>
    </w:p>
    <w:p>
      <w:pPr>
        <w:pStyle w:val="Caption"/>
        <w:keepNext/>
      </w:pPr>
      <w:r>
        <w:t>表3-5 需求登记与完整性检查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90" w:type="dxa"/>
          <w:bottom w:w="90" w:type="dxa"/>
          <w:left w:w="95" w:type="dxa"/>
          <w:right w:w="95" w:type="dxa"/>
        </w:tblCellMar>
      </w:tblPr>
      <w:tblGrid>
        <w:gridCol w:w="2506"/>
        <w:gridCol w:w="3855"/>
        <w:gridCol w:w="3277"/>
      </w:tblGrid>
      <w:tr>
        <w:trPr>
          <w:cantSplit/>
          <w:tblHeader/>
        </w:trPr>
        <w:tc>
          <w:tcPr>
            <w:tcW w:type="dxa" w:w="2506"/>
            <w:vAlign w:val="center"/>
            <w:shd w:fill="EDF1F3"/>
          </w:tcPr>
          <w:p>
            <w:pPr>
              <w:keepNext/>
              <w:spacing w:line="320" w:lineRule="exact" w:after="0" w:before="0"/>
              <w:ind w:firstLine="0"/>
              <w:jc w:val="center"/>
            </w:pPr>
            <w:r>
              <w:rPr>
                <w:b/>
                <w:sz w:val="21"/>
              </w:rPr>
              <w:t>需求字段</w:t>
            </w:r>
          </w:p>
        </w:tc>
        <w:tc>
          <w:tcPr>
            <w:tcW w:type="dxa" w:w="3855"/>
            <w:vAlign w:val="center"/>
            <w:shd w:fill="EDF1F3"/>
          </w:tcPr>
          <w:p>
            <w:pPr>
              <w:keepNext/>
              <w:spacing w:line="320" w:lineRule="exact" w:after="0" w:before="0"/>
              <w:ind w:firstLine="0"/>
              <w:jc w:val="center"/>
            </w:pPr>
            <w:r>
              <w:rPr>
                <w:b/>
                <w:sz w:val="21"/>
              </w:rPr>
              <w:t>登记内容</w:t>
            </w:r>
          </w:p>
        </w:tc>
        <w:tc>
          <w:tcPr>
            <w:tcW w:type="dxa" w:w="3277"/>
            <w:vAlign w:val="center"/>
            <w:shd w:fill="EDF1F3"/>
          </w:tcPr>
          <w:p>
            <w:pPr>
              <w:keepNext/>
              <w:spacing w:line="320" w:lineRule="exact" w:after="0" w:before="0"/>
              <w:ind w:firstLine="0"/>
              <w:jc w:val="center"/>
            </w:pPr>
            <w:r>
              <w:rPr>
                <w:b/>
                <w:sz w:val="21"/>
              </w:rPr>
              <w:t>受理核查</w:t>
            </w:r>
          </w:p>
        </w:tc>
      </w:tr>
      <w:tr>
        <w:trPr>
          <w:cantSplit/>
        </w:trPr>
        <w:tc>
          <w:tcPr>
            <w:tcW w:type="dxa" w:w="2506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业务目的</w:t>
            </w:r>
          </w:p>
        </w:tc>
        <w:tc>
          <w:tcPr>
            <w:tcW w:type="dxa" w:w="3855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使用场景、需支持的判断或作业</w:t>
            </w:r>
          </w:p>
        </w:tc>
        <w:tc>
          <w:tcPr>
            <w:tcW w:type="dxa" w:w="3277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能说明结果将用于何种业务</w:t>
            </w:r>
          </w:p>
        </w:tc>
      </w:tr>
      <w:tr>
        <w:trPr>
          <w:cantSplit/>
        </w:trPr>
        <w:tc>
          <w:tcPr>
            <w:tcW w:type="dxa" w:w="2506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数据对象</w:t>
            </w:r>
          </w:p>
        </w:tc>
        <w:tc>
          <w:tcPr>
            <w:tcW w:type="dxa" w:w="3855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产品、物料、工件、设备、文件或指标</w:t>
            </w:r>
          </w:p>
        </w:tc>
        <w:tc>
          <w:tcPr>
            <w:tcW w:type="dxa" w:w="3277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能定位业务对象及来源</w:t>
            </w:r>
          </w:p>
        </w:tc>
      </w:tr>
      <w:tr>
        <w:trPr>
          <w:cantSplit/>
        </w:trPr>
        <w:tc>
          <w:tcPr>
            <w:tcW w:type="dxa" w:w="2506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对象范围</w:t>
            </w:r>
          </w:p>
        </w:tc>
        <w:tc>
          <w:tcPr>
            <w:tcW w:type="dxa" w:w="3855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组织、系统、时间、状态和版本</w:t>
            </w:r>
          </w:p>
        </w:tc>
        <w:tc>
          <w:tcPr>
            <w:tcW w:type="dxa" w:w="3277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各限制条件可执行</w:t>
            </w:r>
          </w:p>
        </w:tc>
      </w:tr>
      <w:tr>
        <w:trPr>
          <w:cantSplit/>
        </w:trPr>
        <w:tc>
          <w:tcPr>
            <w:tcW w:type="dxa" w:w="2506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粒度与单位</w:t>
            </w:r>
          </w:p>
        </w:tc>
        <w:tc>
          <w:tcPr>
            <w:tcW w:type="dxa" w:w="3855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单条记录含义、汇总层级和单位</w:t>
            </w:r>
          </w:p>
        </w:tc>
        <w:tc>
          <w:tcPr>
            <w:tcW w:type="dxa" w:w="3277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与使用目的及来源一致</w:t>
            </w:r>
          </w:p>
        </w:tc>
      </w:tr>
      <w:tr>
        <w:trPr>
          <w:cantSplit/>
        </w:trPr>
        <w:tc>
          <w:tcPr>
            <w:tcW w:type="dxa" w:w="2506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内容要求</w:t>
            </w:r>
          </w:p>
        </w:tc>
        <w:tc>
          <w:tcPr>
            <w:tcW w:type="dxa" w:w="3855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字段、知识范围、标签或计算规则</w:t>
            </w:r>
          </w:p>
        </w:tc>
        <w:tc>
          <w:tcPr>
            <w:tcW w:type="dxa" w:w="3277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必需与可选要求分别明确</w:t>
            </w:r>
          </w:p>
        </w:tc>
      </w:tr>
      <w:tr>
        <w:trPr>
          <w:cantSplit/>
        </w:trPr>
        <w:tc>
          <w:tcPr>
            <w:tcW w:type="dxa" w:w="2506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交付方式</w:t>
            </w:r>
          </w:p>
        </w:tc>
        <w:tc>
          <w:tcPr>
            <w:tcW w:type="dxa" w:w="3855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文件、接口、查询或受控服务</w:t>
            </w:r>
          </w:p>
        </w:tc>
        <w:tc>
          <w:tcPr>
            <w:tcW w:type="dxa" w:w="3277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接收环境与权限可用</w:t>
            </w:r>
          </w:p>
        </w:tc>
      </w:tr>
      <w:tr>
        <w:trPr>
          <w:cantSplit/>
        </w:trPr>
        <w:tc>
          <w:tcPr>
            <w:tcW w:type="dxa" w:w="2506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质量条件</w:t>
            </w:r>
          </w:p>
        </w:tc>
        <w:tc>
          <w:tcPr>
            <w:tcW w:type="dxa" w:w="3855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完整、准确、关联及专业检查</w:t>
            </w:r>
          </w:p>
        </w:tc>
        <w:tc>
          <w:tcPr>
            <w:tcW w:type="dxa" w:w="3277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具有明确判断依据</w:t>
            </w:r>
          </w:p>
        </w:tc>
      </w:tr>
      <w:tr>
        <w:trPr>
          <w:cantSplit/>
        </w:trPr>
        <w:tc>
          <w:tcPr>
            <w:tcW w:type="dxa" w:w="2506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使用限制</w:t>
            </w:r>
          </w:p>
        </w:tc>
        <w:tc>
          <w:tcPr>
            <w:tcW w:type="dxa" w:w="3855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主体、目的、期限、保存及再提供</w:t>
            </w:r>
          </w:p>
        </w:tc>
        <w:tc>
          <w:tcPr>
            <w:tcW w:type="dxa" w:w="3277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与来源许可和安全要求一致</w:t>
            </w:r>
          </w:p>
        </w:tc>
      </w:tr>
      <w:tr>
        <w:trPr>
          <w:cantSplit/>
        </w:trPr>
        <w:tc>
          <w:tcPr>
            <w:tcW w:type="dxa" w:w="2506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验收安排</w:t>
            </w:r>
          </w:p>
        </w:tc>
        <w:tc>
          <w:tcPr>
            <w:tcW w:type="dxa" w:w="3855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接收岗位、验证方法和结果记录</w:t>
            </w:r>
          </w:p>
        </w:tc>
        <w:tc>
          <w:tcPr>
            <w:tcW w:type="dxa" w:w="3277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通过及退回条件可判断</w:t>
            </w:r>
          </w:p>
        </w:tc>
      </w:tr>
      <w:tr>
        <w:trPr>
          <w:cantSplit/>
        </w:trPr>
        <w:tc>
          <w:tcPr>
            <w:tcW w:type="dxa" w:w="2506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依赖与时间</w:t>
            </w:r>
          </w:p>
        </w:tc>
        <w:tc>
          <w:tcPr>
            <w:tcW w:type="dxa" w:w="3855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输入、审核资源、期望时点和关键节点</w:t>
            </w:r>
          </w:p>
        </w:tc>
        <w:tc>
          <w:tcPr>
            <w:tcW w:type="dxa" w:w="3277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可纳入统一计划</w:t>
            </w:r>
          </w:p>
        </w:tc>
      </w:tr>
    </w:tbl>
    <w:p>
      <w:pPr>
        <w:spacing w:after="40" w:line="240" w:lineRule="auto"/>
        <w:ind w:firstLine="0"/>
      </w:pPr>
      <w:r>
        <w:rPr>
          <w:sz w:val="4"/>
        </w:rPr>
      </w:r>
    </w:p>
    <w:p>
      <w:pPr>
        <w:pStyle w:val="Heading3"/>
      </w:pPr>
      <w:r>
        <w:t>3.6.2 可行性审核与批准</w:t>
      </w:r>
    </w:p>
    <w:p>
      <w:pPr>
        <w:jc w:val="both"/>
      </w:pPr>
      <w:r>
        <w:t>业务归口核查需求是否准确表达业务事实、对象及口径，资源归口核查来源、覆盖范围和可供给条件，技术岗位核查提取、计算、格式及接收方式，质量岗位核查验证方法，安全岗位核查权利、分级、权限和必要保护。审核意见分别登记，不能将技术可实现直接作为全部批准条件满足。</w:t>
      </w:r>
    </w:p>
    <w:p>
      <w:pPr>
        <w:jc w:val="both"/>
      </w:pPr>
      <w:r>
        <w:t>可行性分析明确已有条件、需要新增工作、资源负荷和依赖。来源不足时核查补充路径和对使用的影响，必要时与需求提出岗位调整可交付范围并形成批准版本。涉及合同范围或硬性验收要求的调整，按正式变更程序处理。</w:t>
      </w:r>
    </w:p>
    <w:p>
      <w:pPr>
        <w:jc w:val="both"/>
      </w:pPr>
      <w:r>
        <w:t>需求批准后固定范围、口径、输出、权限和验收条件，生成实施任务。重大或长期服务同时明确运维责任、更新频率、故障处理和退出方式。批准附带条件在实际数据使用或发布前逐项验证，未满足时保持相应限制。</w:t>
      </w:r>
    </w:p>
    <w:p>
      <w:pPr>
        <w:pStyle w:val="Heading3"/>
      </w:pPr>
      <w:r>
        <w:t>3.6.3 实施验证与交付接收</w:t>
      </w:r>
    </w:p>
    <w:p>
      <w:pPr>
        <w:jc w:val="both"/>
      </w:pPr>
      <w:r>
        <w:t>执行岗位按批准需求提取和加工数据，记录来源批次、版本、处理规则、运行时间和输出。处理前核查来源授权及输入状态，处理后核对数量、对象、字段、单位、时间、质量和权限。异常对象单独登记并由相应责任岗位处理。</w:t>
      </w:r>
    </w:p>
    <w:p>
      <w:pPr>
        <w:jc w:val="both"/>
      </w:pPr>
      <w:r>
        <w:t>交付前由独立岗位核查结果与批准范围，技术验证检查结构和可读取性，业务验证检查含义、适用条件和专业结果，安全验证检查内容及访问边界。文件交付核对清单和摘要，接口或服务交付核对调用、权限、错误处理及日志。交付内容与说明、字典和必要使用材料保持同一版本。</w:t>
      </w:r>
    </w:p>
    <w:p>
      <w:pPr>
        <w:jc w:val="both"/>
      </w:pPr>
      <w:r>
        <w:t>接收岗位使用规定场景验证结果，记录通过、部分不符合或退回的具体对象和原因。退回事项保留交付版本及差异，执行岗位修改后形成后继版本并重新验证。接收完成不改变原授权用途和期限，长期服务按计划继续检查质量和可用性。</w:t>
      </w:r>
    </w:p>
    <w:p>
      <w:pPr>
        <w:pStyle w:val="Heading3"/>
      </w:pPr>
      <w:r>
        <w:t>3.6.4 需求变更与使用退出</w:t>
      </w:r>
    </w:p>
    <w:p>
      <w:pPr>
        <w:jc w:val="both"/>
      </w:pPr>
      <w:r>
        <w:t>需求范围、计算逻辑、更新方式、用途或接收主体变化时，登记变更原因、差异和影响，重新完成必要业务及专业审核。变更批准前继续按有效需求执行；需要暂停的明确受影响服务和临时措施。实施后更新资料、配置和接收记录。</w:t>
      </w:r>
    </w:p>
    <w:p>
      <w:pPr>
        <w:jc w:val="both"/>
      </w:pPr>
      <w:r>
        <w:t>使用期限届满、业务停止或授权撤销时，运营岗位发起退出，平台及系统岗位回收实际访问，接收岗位按批准条件处理副本和派生成果。退出检查包括账号角色、接口凭据、共享链接、缓存及受控文件。完成后保存回收、处置和复核记录，未完成事项继续跟踪。</w:t>
      </w:r>
    </w:p>
    <w:p>
      <w:pPr>
        <w:pStyle w:val="Heading2"/>
      </w:pPr>
      <w:r>
        <w:t>3.7 主数据与数据元维护操作规范</w:t>
      </w:r>
    </w:p>
    <w:p>
      <w:pPr>
        <w:pStyle w:val="Heading3"/>
      </w:pPr>
      <w:r>
        <w:t>3.7.1 作业准备与新增审核</w:t>
      </w:r>
    </w:p>
    <w:p>
      <w:pPr>
        <w:jc w:val="both"/>
      </w:pPr>
      <w:r>
        <w:t>本规范适用于产品、物料、设备、组织等主数据及相关数据元的新增、修改、合并、拆分和停用。主数据维护岗位执行，业务归口确认含义及真实性，标准管理岗位核查定义，技术与质量岗位复核实现及关联。作业使用有效申请和批准范围，先核对当前版本及订阅系统。</w:t>
      </w:r>
    </w:p>
    <w:p>
      <w:pPr>
        <w:jc w:val="both"/>
      </w:pPr>
      <w:r>
        <w:t>新增对象时检索编码、名称、规格、材质、型号、来源键和别名，核查是否已有同一业务对象。名称相似不能直接判定重复，编码不同也不能直接判定为不同对象。对于疑似重复，提交业务归口核实对象身份及历史使用，保留比较依据。</w:t>
      </w:r>
    </w:p>
    <w:p>
      <w:pPr>
        <w:jc w:val="both"/>
      </w:pPr>
      <w:r>
        <w:t>数据元新增明确名称、定义、数据类型、长度或精度、单位、值域、允许空值条件、业务规则及责任。时间数据元明确业务含义、时区及精度，状态数据元明确取值及转换条件，数量数据元明确正负含义和换算规则。定义通过审核后建立标准标识，再配置系统映射。</w:t>
      </w:r>
    </w:p>
    <w:p>
      <w:pPr>
        <w:pStyle w:val="Heading3"/>
      </w:pPr>
      <w:r>
        <w:t>3.7.2 变更执行与有效期管理</w:t>
      </w:r>
    </w:p>
    <w:p>
      <w:pPr>
        <w:jc w:val="both"/>
      </w:pPr>
      <w:r>
        <w:t>变更前生成影响清单，列出主数据对象、属性、来源、订阅系统、在办业务、模型、接口、指标、数据集和知识关系。属性说明或非实质性修正与业务含义变化分别处理。定义含义发生实质变化时建立新的数据元标识和替代关系，避免同一标识在不同期间承载无法区分的含义。</w:t>
      </w:r>
    </w:p>
    <w:p>
      <w:pPr>
        <w:jc w:val="both"/>
      </w:pPr>
      <w:r>
        <w:t>主数据属性变更记录原值、新值、原因、证据、批准及生效时点。需要保留历史状态的属性按有效期管理，业务记录能够关联当时有效版本。批量变更先验证规则和样本，检查空值、重复、非法编码和关联异常，再按批准批次执行。</w:t>
      </w:r>
    </w:p>
    <w:p>
      <w:pPr>
        <w:jc w:val="both"/>
      </w:pPr>
      <w:r>
        <w:t>对象合并时选定有效主对象，保留被合并对象、原编码及来源键，并明确各历史业务记录的关系。对象拆分时确认拆分后的业务身份、适用时间及历史归属规则；无法可靠分配的历史记录保留原状态并登记限制，由业务岗位继续核实。停用对象保留历史查询和关联，新增业务按批准限制执行。</w:t>
      </w:r>
    </w:p>
    <w:p>
      <w:pPr>
        <w:pStyle w:val="Heading3"/>
      </w:pPr>
      <w:r>
        <w:t>3.7.3 分发验证与异常恢复</w:t>
      </w:r>
    </w:p>
    <w:p>
      <w:pPr>
        <w:jc w:val="both"/>
      </w:pPr>
      <w:r>
        <w:t>分发前固定批准版本和目标系统清单，登记批次、对象数、内容摘要及有效时间。各订阅系统返回接收结果，维护岗位核对成功、失败和状态不明的对象。失败原因按权限、格式、规则、关联或技术故障分类，重试前检查是否已部分写入。</w:t>
      </w:r>
    </w:p>
    <w:p>
      <w:pPr>
        <w:jc w:val="both"/>
      </w:pPr>
      <w:r>
        <w:t>分发验证至少检查对象身份、关键属性、有效期、停用状态和历史关联。涉及单位或状态变更时，以实际业务样本验证下游含义。结果与批准记录不一致的，暂停受影响对象进一步分发，修正后重新核验，避免错误版本继续扩散。</w:t>
      </w:r>
    </w:p>
    <w:p>
      <w:pPr>
        <w:jc w:val="both"/>
      </w:pPr>
      <w:r>
        <w:t>回退按批准恢复范围执行，区分仅配置尚未使用与已产生业务事实的情况。已被正式业务引用的对象变更，先分析回退对引用记录的影响，由业务岗位确认处理方案。回退完成后核对各系统实际状态，保留原发布、回退和重新发布之间的关系。</w:t>
      </w:r>
    </w:p>
    <w:p>
      <w:pPr>
        <w:pStyle w:val="Caption"/>
        <w:keepNext/>
      </w:pPr>
      <w:r>
        <w:t>表3-6 分发验证与异常恢复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90" w:type="dxa"/>
          <w:bottom w:w="90" w:type="dxa"/>
          <w:left w:w="95" w:type="dxa"/>
          <w:right w:w="95" w:type="dxa"/>
        </w:tblCellMar>
      </w:tblPr>
      <w:tblGrid>
        <w:gridCol w:w="1638"/>
        <w:gridCol w:w="2699"/>
        <w:gridCol w:w="2409"/>
        <w:gridCol w:w="2891"/>
      </w:tblGrid>
      <w:tr>
        <w:trPr>
          <w:cantSplit/>
          <w:tblHeader/>
        </w:trPr>
        <w:tc>
          <w:tcPr>
            <w:tcW w:type="dxa" w:w="1638"/>
            <w:vAlign w:val="center"/>
            <w:shd w:fill="EDF1F3"/>
          </w:tcPr>
          <w:p>
            <w:pPr>
              <w:keepNext/>
              <w:spacing w:line="320" w:lineRule="exact" w:after="0" w:before="0"/>
              <w:ind w:firstLine="0"/>
              <w:jc w:val="center"/>
            </w:pPr>
            <w:r>
              <w:rPr>
                <w:b/>
                <w:sz w:val="21"/>
              </w:rPr>
              <w:t>控制对象</w:t>
            </w:r>
          </w:p>
        </w:tc>
        <w:tc>
          <w:tcPr>
            <w:tcW w:type="dxa" w:w="2699"/>
            <w:vAlign w:val="center"/>
            <w:shd w:fill="EDF1F3"/>
          </w:tcPr>
          <w:p>
            <w:pPr>
              <w:keepNext/>
              <w:spacing w:line="320" w:lineRule="exact" w:after="0" w:before="0"/>
              <w:ind w:firstLine="0"/>
              <w:jc w:val="center"/>
            </w:pPr>
            <w:r>
              <w:rPr>
                <w:b/>
                <w:sz w:val="21"/>
              </w:rPr>
              <w:t>必需字段或关系</w:t>
            </w:r>
          </w:p>
        </w:tc>
        <w:tc>
          <w:tcPr>
            <w:tcW w:type="dxa" w:w="2409"/>
            <w:vAlign w:val="center"/>
            <w:shd w:fill="EDF1F3"/>
          </w:tcPr>
          <w:p>
            <w:pPr>
              <w:keepNext/>
              <w:spacing w:line="320" w:lineRule="exact" w:after="0" w:before="0"/>
              <w:ind w:firstLine="0"/>
              <w:jc w:val="center"/>
            </w:pPr>
            <w:r>
              <w:rPr>
                <w:b/>
                <w:sz w:val="21"/>
              </w:rPr>
              <w:t>主要校验</w:t>
            </w:r>
          </w:p>
        </w:tc>
        <w:tc>
          <w:tcPr>
            <w:tcW w:type="dxa" w:w="2891"/>
            <w:vAlign w:val="center"/>
            <w:shd w:fill="EDF1F3"/>
          </w:tcPr>
          <w:p>
            <w:pPr>
              <w:keepNext/>
              <w:spacing w:line="320" w:lineRule="exact" w:after="0" w:before="0"/>
              <w:ind w:firstLine="0"/>
              <w:jc w:val="center"/>
            </w:pPr>
            <w:r>
              <w:rPr>
                <w:b/>
                <w:sz w:val="21"/>
              </w:rPr>
              <w:t>异常处置</w:t>
            </w:r>
          </w:p>
        </w:tc>
      </w:tr>
      <w:tr>
        <w:trPr>
          <w:cantSplit/>
        </w:trPr>
        <w:tc>
          <w:tcPr>
            <w:tcW w:type="dxa" w:w="1638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物料主数据</w:t>
            </w:r>
          </w:p>
        </w:tc>
        <w:tc>
          <w:tcPr>
            <w:tcW w:type="dxa" w:w="2699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编码、规格、材质、单位及来源键</w:t>
            </w:r>
          </w:p>
        </w:tc>
        <w:tc>
          <w:tcPr>
            <w:tcW w:type="dxa" w:w="2409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身份重复、单位及替代关系</w:t>
            </w:r>
          </w:p>
        </w:tc>
        <w:tc>
          <w:tcPr>
            <w:tcW w:type="dxa" w:w="2891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业务确认后合并或分别保留</w:t>
            </w:r>
          </w:p>
        </w:tc>
      </w:tr>
      <w:tr>
        <w:trPr>
          <w:cantSplit/>
        </w:trPr>
        <w:tc>
          <w:tcPr>
            <w:tcW w:type="dxa" w:w="1638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产品零件关系</w:t>
            </w:r>
          </w:p>
        </w:tc>
        <w:tc>
          <w:tcPr>
            <w:tcW w:type="dxa" w:w="2699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产品、零件、版本及数量关系</w:t>
            </w:r>
          </w:p>
        </w:tc>
        <w:tc>
          <w:tcPr>
            <w:tcW w:type="dxa" w:w="2409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图纸与物料清单及有效期</w:t>
            </w:r>
          </w:p>
        </w:tc>
        <w:tc>
          <w:tcPr>
            <w:tcW w:type="dxa" w:w="2891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暂停错误关联并检查在办工单</w:t>
            </w:r>
          </w:p>
        </w:tc>
      </w:tr>
      <w:tr>
        <w:trPr>
          <w:cantSplit/>
        </w:trPr>
        <w:tc>
          <w:tcPr>
            <w:tcW w:type="dxa" w:w="1638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设备主数据</w:t>
            </w:r>
          </w:p>
        </w:tc>
        <w:tc>
          <w:tcPr>
            <w:tcW w:type="dxa" w:w="2699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设备、部件、位置、测点及有效期</w:t>
            </w:r>
          </w:p>
        </w:tc>
        <w:tc>
          <w:tcPr>
            <w:tcW w:type="dxa" w:w="2409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更换迁移与测点配置一致性</w:t>
            </w:r>
          </w:p>
        </w:tc>
        <w:tc>
          <w:tcPr>
            <w:tcW w:type="dxa" w:w="2891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修正配置并检查历史事件</w:t>
            </w:r>
          </w:p>
        </w:tc>
      </w:tr>
      <w:tr>
        <w:trPr>
          <w:cantSplit/>
        </w:trPr>
        <w:tc>
          <w:tcPr>
            <w:tcW w:type="dxa" w:w="1638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组织岗位数据</w:t>
            </w:r>
          </w:p>
        </w:tc>
        <w:tc>
          <w:tcPr>
            <w:tcW w:type="dxa" w:w="2699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部门、岗位、任职、权限及期限</w:t>
            </w:r>
          </w:p>
        </w:tc>
        <w:tc>
          <w:tcPr>
            <w:tcW w:type="dxa" w:w="2409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任职有效与职责分离</w:t>
            </w:r>
          </w:p>
        </w:tc>
        <w:tc>
          <w:tcPr>
            <w:tcW w:type="dxa" w:w="2891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回收失效权限并办理承接</w:t>
            </w:r>
          </w:p>
        </w:tc>
      </w:tr>
      <w:tr>
        <w:trPr>
          <w:cantSplit/>
        </w:trPr>
        <w:tc>
          <w:tcPr>
            <w:tcW w:type="dxa" w:w="1638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时间数据元</w:t>
            </w:r>
          </w:p>
        </w:tc>
        <w:tc>
          <w:tcPr>
            <w:tcW w:type="dxa" w:w="2699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业务事件、时区、精度及来源</w:t>
            </w:r>
          </w:p>
        </w:tc>
        <w:tc>
          <w:tcPr>
            <w:tcW w:type="dxa" w:w="2409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形成时间与导入时间区分</w:t>
            </w:r>
          </w:p>
        </w:tc>
        <w:tc>
          <w:tcPr>
            <w:tcW w:type="dxa" w:w="2891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保留原值并核实校准依据</w:t>
            </w:r>
          </w:p>
        </w:tc>
      </w:tr>
      <w:tr>
        <w:trPr>
          <w:cantSplit/>
        </w:trPr>
        <w:tc>
          <w:tcPr>
            <w:tcW w:type="dxa" w:w="1638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数量数据元</w:t>
            </w:r>
          </w:p>
        </w:tc>
        <w:tc>
          <w:tcPr>
            <w:tcW w:type="dxa" w:w="2699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单位、精度、符号及换算条件</w:t>
            </w:r>
          </w:p>
        </w:tc>
        <w:tc>
          <w:tcPr>
            <w:tcW w:type="dxa" w:w="2409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原值、标准值与系数一致</w:t>
            </w:r>
          </w:p>
        </w:tc>
        <w:tc>
          <w:tcPr>
            <w:tcW w:type="dxa" w:w="2891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修正转换并复算受影响结果</w:t>
            </w:r>
          </w:p>
        </w:tc>
      </w:tr>
      <w:tr>
        <w:trPr>
          <w:cantSplit/>
        </w:trPr>
        <w:tc>
          <w:tcPr>
            <w:tcW w:type="dxa" w:w="1638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状态数据元</w:t>
            </w:r>
          </w:p>
        </w:tc>
        <w:tc>
          <w:tcPr>
            <w:tcW w:type="dxa" w:w="2699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状态集合、转换与业务条件</w:t>
            </w:r>
          </w:p>
        </w:tc>
        <w:tc>
          <w:tcPr>
            <w:tcW w:type="dxa" w:w="2409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非法状态及顺序冲突</w:t>
            </w:r>
          </w:p>
        </w:tc>
        <w:tc>
          <w:tcPr>
            <w:tcW w:type="dxa" w:w="2891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回查业务事实再修正</w:t>
            </w:r>
          </w:p>
        </w:tc>
      </w:tr>
      <w:tr>
        <w:trPr>
          <w:cantSplit/>
        </w:trPr>
        <w:tc>
          <w:tcPr>
            <w:tcW w:type="dxa" w:w="1638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发布批次</w:t>
            </w:r>
          </w:p>
        </w:tc>
        <w:tc>
          <w:tcPr>
            <w:tcW w:type="dxa" w:w="2699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版本、对象、目标及接收结果</w:t>
            </w:r>
          </w:p>
        </w:tc>
        <w:tc>
          <w:tcPr>
            <w:tcW w:type="dxa" w:w="2409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发布与接收范围一致</w:t>
            </w:r>
          </w:p>
        </w:tc>
        <w:tc>
          <w:tcPr>
            <w:tcW w:type="dxa" w:w="2891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按失败对象受控重试</w:t>
            </w:r>
          </w:p>
        </w:tc>
      </w:tr>
    </w:tbl>
    <w:p>
      <w:pPr>
        <w:spacing w:after="40" w:line="240" w:lineRule="auto"/>
        <w:ind w:firstLine="0"/>
      </w:pPr>
      <w:r>
        <w:rPr>
          <w:sz w:val="4"/>
        </w:rPr>
      </w:r>
    </w:p>
    <w:p>
      <w:pPr>
        <w:pStyle w:val="Heading3"/>
      </w:pPr>
      <w:r>
        <w:t>3.7.4 作业记录和规范修订</w:t>
      </w:r>
    </w:p>
    <w:p>
      <w:pPr>
        <w:jc w:val="both"/>
      </w:pPr>
      <w:r>
        <w:t>作业记录保存申请、业务证据、重复检查、影响分析、批准、执行、验证、分发及接收。主数据与数据元版本及其映射分别管理，便于定位某项业务结果采用的对象和规则。重要批量作业保留前后差异及可恢复基线。</w:t>
      </w:r>
    </w:p>
    <w:p>
      <w:pPr>
        <w:jc w:val="both"/>
      </w:pPr>
      <w:r>
        <w:t>规范评审采用新增、含义变化、重复合并、拆分、停用、分发失败和回退等实际流程验证。业务对象或系统结构变化时更新字段和验证方法，修改后检查与业务术语标准、数据架构及质量规则是否一致。历史版本和原作业证据保留可查询关系。</w:t>
      </w:r>
    </w:p>
    <w:p>
      <w:pPr>
        <w:pStyle w:val="Heading2"/>
      </w:pPr>
      <w:r>
        <w:t>3.8 资源目录登记与维护操作规范</w:t>
      </w:r>
    </w:p>
    <w:p>
      <w:pPr>
        <w:pStyle w:val="Heading3"/>
      </w:pPr>
      <w:r>
        <w:t>3.8.1 目录建档与内容核验</w:t>
      </w:r>
    </w:p>
    <w:p>
      <w:pPr>
        <w:jc w:val="both"/>
      </w:pPr>
      <w:r>
        <w:t>本规范适用于数据库表、数据文件、文档知识、数据集、指标和共享服务等资源目录，由资产运营岗位维护，业务归口确认含义，质量安全岗位复核相应条件。登记时先确认资源实际存在、来源合法、管理责任明确及可供给范围，再创建目录标识。</w:t>
      </w:r>
    </w:p>
    <w:p>
      <w:pPr>
        <w:jc w:val="both"/>
      </w:pPr>
      <w:r>
        <w:t>目录记录名称、资源类型、业务域、主题、内容描述、对象粒度、时间范围、更新方式、版本、来源、归口、质量、安全等级、权利、用途、获取方式和有效状态。公开检索元数据与受控内容分别设置可见范围，目录描述本身可能泄露受限信息时按相应级别管理。</w:t>
      </w:r>
    </w:p>
    <w:p>
      <w:pPr>
        <w:jc w:val="both"/>
      </w:pPr>
      <w:r>
        <w:t>资源描述应能帮助使用方判断适用性。热处理曲线说明对应炉次、时间、参数和工件关系，设备事件说明报警与故障确认差异，质量报告说明检验依据和复检关系，制度知识说明版本及适用范围。描述与真实内容不符时先修正再发布。</w:t>
      </w:r>
    </w:p>
    <w:p>
      <w:pPr>
        <w:pStyle w:val="Heading3"/>
      </w:pPr>
      <w:r>
        <w:t>3.8.2 发布审批与可用性检查</w:t>
      </w:r>
    </w:p>
    <w:p>
      <w:pPr>
        <w:jc w:val="both"/>
      </w:pPr>
      <w:r>
        <w:t>发布申请关联实际资源版本、质量检查、权利和安全审查以及获取方式。业务归口核对含义和范围，质量岗位核对使用所需条件，安全岗位核对许可和访问，运营岗位核对目录字段与服务。批准后按对象范围发布，保存批准、生效和复查时间。</w:t>
      </w:r>
    </w:p>
    <w:p>
      <w:pPr>
        <w:jc w:val="both"/>
      </w:pPr>
      <w:r>
        <w:t>可用性验证包括目录检索、元数据查看、申请办理、授权获取和内容读取。对无权用户验证受限目录或内容是否被正确控制，对有权用户验证实际获取范围。文件校验格式和摘要，接口检查参数、输出、分页或批次以及错误处理，知识条目检查原文及有效版本引用。</w:t>
      </w:r>
    </w:p>
    <w:p>
      <w:pPr>
        <w:jc w:val="both"/>
      </w:pPr>
      <w:r>
        <w:t>目录发布成功后建立周期检查和事件触发更新。来源结构、质量状态、权利、权限、服务地址或责任岗位变化时及时核查。运行异常影响正确使用时，先标记状态并通知已知受影响使用方，再组织修复与重新验证。</w:t>
      </w:r>
    </w:p>
    <w:p>
      <w:pPr>
        <w:pStyle w:val="Heading3"/>
      </w:pPr>
      <w:r>
        <w:t>3.8.3 变更停用和退役处理</w:t>
      </w:r>
    </w:p>
    <w:p>
      <w:pPr>
        <w:jc w:val="both"/>
      </w:pPr>
      <w:r>
        <w:t>目录内容变更记录变更类型及差异，字段补充、技术地址调整和业务含义变化分别评估。业务含义或使用范围发生实质变化时，重新审查授权和质量条件，并保留旧版查询。资源已产生订阅或被数据集使用时，变更影响检查覆盖这些关系。</w:t>
      </w:r>
    </w:p>
    <w:p>
      <w:pPr>
        <w:jc w:val="both"/>
      </w:pPr>
      <w:r>
        <w:t>临时暂停记录原因、影响、临时措施和恢复条件。恢复前检查实际资源、服务及授权仍有效，并验证已知问题得到处理。正式退役前核查使用依赖、保留要求、替代资源和副本处置，批准后停止新增使用并按安排处理现有使用。</w:t>
      </w:r>
    </w:p>
    <w:p>
      <w:pPr>
        <w:pStyle w:val="Caption"/>
        <w:keepNext/>
      </w:pPr>
      <w:r>
        <w:t>表3-7 变更停用和退役处理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90" w:type="dxa"/>
          <w:bottom w:w="90" w:type="dxa"/>
          <w:left w:w="95" w:type="dxa"/>
          <w:right w:w="95" w:type="dxa"/>
        </w:tblCellMar>
      </w:tblPr>
      <w:tblGrid>
        <w:gridCol w:w="2506"/>
        <w:gridCol w:w="3855"/>
        <w:gridCol w:w="3277"/>
      </w:tblGrid>
      <w:tr>
        <w:trPr>
          <w:cantSplit/>
          <w:tblHeader/>
        </w:trPr>
        <w:tc>
          <w:tcPr>
            <w:tcW w:type="dxa" w:w="2506"/>
            <w:vAlign w:val="center"/>
            <w:shd w:fill="EDF1F3"/>
          </w:tcPr>
          <w:p>
            <w:pPr>
              <w:keepNext/>
              <w:spacing w:line="320" w:lineRule="exact" w:after="0" w:before="0"/>
              <w:ind w:firstLine="0"/>
              <w:jc w:val="center"/>
            </w:pPr>
            <w:r>
              <w:rPr>
                <w:b/>
                <w:sz w:val="21"/>
              </w:rPr>
              <w:t>目录状态</w:t>
            </w:r>
          </w:p>
        </w:tc>
        <w:tc>
          <w:tcPr>
            <w:tcW w:type="dxa" w:w="3855"/>
            <w:vAlign w:val="center"/>
            <w:shd w:fill="EDF1F3"/>
          </w:tcPr>
          <w:p>
            <w:pPr>
              <w:keepNext/>
              <w:spacing w:line="320" w:lineRule="exact" w:after="0" w:before="0"/>
              <w:ind w:firstLine="0"/>
              <w:jc w:val="center"/>
            </w:pPr>
            <w:r>
              <w:rPr>
                <w:b/>
                <w:sz w:val="21"/>
              </w:rPr>
              <w:t>可执行活动</w:t>
            </w:r>
          </w:p>
        </w:tc>
        <w:tc>
          <w:tcPr>
            <w:tcW w:type="dxa" w:w="3277"/>
            <w:vAlign w:val="center"/>
            <w:shd w:fill="EDF1F3"/>
          </w:tcPr>
          <w:p>
            <w:pPr>
              <w:keepNext/>
              <w:spacing w:line="320" w:lineRule="exact" w:after="0" w:before="0"/>
              <w:ind w:firstLine="0"/>
              <w:jc w:val="center"/>
            </w:pPr>
            <w:r>
              <w:rPr>
                <w:b/>
                <w:sz w:val="21"/>
              </w:rPr>
              <w:t>状态转换条件</w:t>
            </w:r>
          </w:p>
        </w:tc>
      </w:tr>
      <w:tr>
        <w:trPr>
          <w:cantSplit/>
        </w:trPr>
        <w:tc>
          <w:tcPr>
            <w:tcW w:type="dxa" w:w="2506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建档</w:t>
            </w:r>
          </w:p>
        </w:tc>
        <w:tc>
          <w:tcPr>
            <w:tcW w:type="dxa" w:w="3855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完善内容、责任和来源记录</w:t>
            </w:r>
          </w:p>
        </w:tc>
        <w:tc>
          <w:tcPr>
            <w:tcW w:type="dxa" w:w="3277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必需资料齐备后提交审核</w:t>
            </w:r>
          </w:p>
        </w:tc>
      </w:tr>
      <w:tr>
        <w:trPr>
          <w:cantSplit/>
        </w:trPr>
        <w:tc>
          <w:tcPr>
            <w:tcW w:type="dxa" w:w="2506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审核</w:t>
            </w:r>
          </w:p>
        </w:tc>
        <w:tc>
          <w:tcPr>
            <w:tcW w:type="dxa" w:w="3855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业务、质量、安全及获取条件核查</w:t>
            </w:r>
          </w:p>
        </w:tc>
        <w:tc>
          <w:tcPr>
            <w:tcW w:type="dxa" w:w="3277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必要审查通过后批准发布</w:t>
            </w:r>
          </w:p>
        </w:tc>
      </w:tr>
      <w:tr>
        <w:trPr>
          <w:cantSplit/>
        </w:trPr>
        <w:tc>
          <w:tcPr>
            <w:tcW w:type="dxa" w:w="2506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有效</w:t>
            </w:r>
          </w:p>
        </w:tc>
        <w:tc>
          <w:tcPr>
            <w:tcW w:type="dxa" w:w="3855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按授权检索、申请和使用</w:t>
            </w:r>
          </w:p>
        </w:tc>
        <w:tc>
          <w:tcPr>
            <w:tcW w:type="dxa" w:w="3277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变更、异常或到期触发复查</w:t>
            </w:r>
          </w:p>
        </w:tc>
      </w:tr>
      <w:tr>
        <w:trPr>
          <w:cantSplit/>
        </w:trPr>
        <w:tc>
          <w:tcPr>
            <w:tcW w:type="dxa" w:w="2506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暂停</w:t>
            </w:r>
          </w:p>
        </w:tc>
        <w:tc>
          <w:tcPr>
            <w:tcW w:type="dxa" w:w="3855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查询受控状态并处理存量事项</w:t>
            </w:r>
          </w:p>
        </w:tc>
        <w:tc>
          <w:tcPr>
            <w:tcW w:type="dxa" w:w="3277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恢复条件验证后重新启用</w:t>
            </w:r>
          </w:p>
        </w:tc>
      </w:tr>
      <w:tr>
        <w:trPr>
          <w:cantSplit/>
        </w:trPr>
        <w:tc>
          <w:tcPr>
            <w:tcW w:type="dxa" w:w="2506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历史</w:t>
            </w:r>
          </w:p>
        </w:tc>
        <w:tc>
          <w:tcPr>
            <w:tcW w:type="dxa" w:w="3855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回查旧版本及已授权历史用途</w:t>
            </w:r>
          </w:p>
        </w:tc>
        <w:tc>
          <w:tcPr>
            <w:tcW w:type="dxa" w:w="3277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按保留和使用条件继续管理</w:t>
            </w:r>
          </w:p>
        </w:tc>
      </w:tr>
      <w:tr>
        <w:trPr>
          <w:cantSplit/>
        </w:trPr>
        <w:tc>
          <w:tcPr>
            <w:tcW w:type="dxa" w:w="2506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退役</w:t>
            </w:r>
          </w:p>
        </w:tc>
        <w:tc>
          <w:tcPr>
            <w:tcW w:type="dxa" w:w="3855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保留记录并执行归档或处置</w:t>
            </w:r>
          </w:p>
        </w:tc>
        <w:tc>
          <w:tcPr>
            <w:tcW w:type="dxa" w:w="3277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依赖、授权和副本已完成处理</w:t>
            </w:r>
          </w:p>
        </w:tc>
      </w:tr>
    </w:tbl>
    <w:p>
      <w:pPr>
        <w:spacing w:after="40" w:line="240" w:lineRule="auto"/>
        <w:ind w:firstLine="0"/>
      </w:pPr>
      <w:r>
        <w:rPr>
          <w:sz w:val="4"/>
        </w:rPr>
      </w:r>
    </w:p>
    <w:p>
      <w:pPr>
        <w:pStyle w:val="Heading3"/>
      </w:pPr>
      <w:r>
        <w:t>3.8.4 维护记录与一致性检查</w:t>
      </w:r>
    </w:p>
    <w:p>
      <w:pPr>
        <w:jc w:val="both"/>
      </w:pPr>
      <w:r>
        <w:t>目录维护保留版本差异、审查、发布、访问验证、使用反馈和退役证据。周期检查核对目录与源端、数据卡、服务和授权的关系，重点检查失效地址、过期版本、责任空缺、质量变化和使用限制遗漏。</w:t>
      </w:r>
    </w:p>
    <w:p>
      <w:pPr>
        <w:jc w:val="both"/>
      </w:pPr>
      <w:r>
        <w:t>规范修订由运营、业务、质量、安全和技术岗位共同评审。新增资源类型时补充其必要字段及验证方法，避免将文件、服务和数据集强行套用不适合的单一字段。跨类型公共字段保持统一名称与含义，类型特有字段明确适用范围。</w:t>
      </w:r>
    </w:p>
    <w:p>
      <w:pPr>
        <w:pStyle w:val="Heading2"/>
      </w:pPr>
      <w:r>
        <w:t>3.9 元数据采集与血缘维护操作规范</w:t>
      </w:r>
    </w:p>
    <w:p>
      <w:pPr>
        <w:pStyle w:val="Heading3"/>
      </w:pPr>
      <w:r>
        <w:t>3.9.1 采集范围和准备条件</w:t>
      </w:r>
    </w:p>
    <w:p>
      <w:pPr>
        <w:jc w:val="both"/>
      </w:pPr>
      <w:r>
        <w:t>本规范适用于业务元数据、技术元数据、管理元数据及血缘关系维护，由元数据管理岗位归口，系统、开发、业务和安全岗位共同执行。采集范围覆盖源系统、模型、接口、任务、文件、数据集、指标、知识及服务，具体对象清单与有效权限对应。</w:t>
      </w:r>
    </w:p>
    <w:p>
      <w:pPr>
        <w:jc w:val="both"/>
      </w:pPr>
      <w:r>
        <w:t>业务元数据登记含义、业务规则、术语、口径和专业责任；技术元数据登记位置、结构、字段、类型、映射、程序及接口；管理元数据登记归口、质量、安全、权利、批准、版本和生存周期。三类元数据围绕同一对象标识建立关系，保留来源和更新时间。</w:t>
      </w:r>
    </w:p>
    <w:p>
      <w:pPr>
        <w:jc w:val="both"/>
      </w:pPr>
      <w:r>
        <w:t>采集前核定系统实例、对象范围、访问方式、只读权限及允许的运行窗口，确认采集不会超出授权内容。首次采集形成对象基线，增量采集按可靠变化标记或比较结果识别变化。无法自动获得的业务含义和管理责任由授权岗位补充，标明维护依据。</w:t>
      </w:r>
    </w:p>
    <w:p>
      <w:pPr>
        <w:pStyle w:val="Heading3"/>
      </w:pPr>
      <w:r>
        <w:t>3.9.2 采集核验和变更处理</w:t>
      </w:r>
    </w:p>
    <w:p>
      <w:pPr>
        <w:jc w:val="both"/>
      </w:pPr>
      <w:r>
        <w:t>采集完成后核对对象数、字段结构、来源标识、必需属性和采集时间。自动识别的名称和关系需要与实际结构或任务核查，疑似关系标明核验状态。采集失败保留已成功范围、错误原因和重试对象，重试不重复创建同一对象。</w:t>
      </w:r>
    </w:p>
    <w:p>
      <w:pPr>
        <w:jc w:val="both"/>
      </w:pPr>
      <w:r>
        <w:t>增量变化区分新增、修改、重命名、迁移和删除。来源对象短时不可访问时，先核查系统运行和权限，不能直接判定对象已经删除。确认删除或停用后保留历史元数据，检查下游模型、指标、数据集、知识和服务是否仍有依赖。</w:t>
      </w:r>
    </w:p>
    <w:p>
      <w:pPr>
        <w:jc w:val="both"/>
      </w:pPr>
      <w:r>
        <w:t>业务含义变化触发业务归口确认，字段结构变化触发技术和架构检查，等级或权利变化触发安全及运营审核。不同变化分别履行相应批准，结果同步到目录和平台配置。元数据更新后保留原值、新值及生效时间。</w:t>
      </w:r>
    </w:p>
    <w:p>
      <w:pPr>
        <w:pStyle w:val="Heading3"/>
      </w:pPr>
      <w:r>
        <w:t>3.9.3 血缘登记与影响分析</w:t>
      </w:r>
    </w:p>
    <w:p>
      <w:pPr>
        <w:jc w:val="both"/>
      </w:pPr>
      <w:r>
        <w:t>血缘关系记录上游对象、下游对象、关系类型、处理活动、规则或程序版本、运行批次及时间。直接复制、过滤、关联、聚合、换算、解析、标注、合成和服务调用分别登记适用关系。复杂加工应能定位关键输入输出及实际处理依据。</w:t>
      </w:r>
    </w:p>
    <w:p>
      <w:pPr>
        <w:jc w:val="both"/>
      </w:pPr>
      <w:r>
        <w:t>字段级血缘用于关键指标、主数据属性和重要转换的核查，业务对象级血缘用于产品、工件、设备事件及文件版本的追溯，批次级血缘用于数据生产与交付。不同粒度关系相互关联，不能以一个笼统任务连接代替需要检查的具体字段或对象。</w:t>
      </w:r>
    </w:p>
    <w:p>
      <w:pPr>
        <w:jc w:val="both"/>
      </w:pPr>
      <w:r>
        <w:t>影响分析从拟变更对象沿实际依赖查询下游，标明依赖的有效版本和使用状态。未被自动识别但经业务确认的关系补充入受控记录。分析结果提交相关归口和使用岗位核对，再用于变更批准、回归及通知。</w:t>
      </w:r>
    </w:p>
    <w:p>
      <w:pPr>
        <w:jc w:val="both"/>
      </w:pPr>
      <w:r>
        <w:t>已发布对象修订时生成后继版本并关联原版本，历史血缘保持可回查。结果反馈可以形成新的输入或改进任务，但不得直接回写已冻结版本并改变其历史含义。发生回退时登记恢复目标及回退活动，核对当前输出与有效依赖。</w:t>
      </w:r>
    </w:p>
    <w:p>
      <w:pPr>
        <w:pStyle w:val="Heading3"/>
      </w:pPr>
      <w:r>
        <w:t>3.9.4 追溯验证与维护检查</w:t>
      </w:r>
    </w:p>
    <w:p>
      <w:pPr>
        <w:pStyle w:val="Caption"/>
        <w:keepNext/>
      </w:pPr>
      <w:r>
        <w:t>表3-8 追溯验证与维护检查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90" w:type="dxa"/>
          <w:bottom w:w="90" w:type="dxa"/>
          <w:left w:w="95" w:type="dxa"/>
          <w:right w:w="95" w:type="dxa"/>
        </w:tblCellMar>
      </w:tblPr>
      <w:tblGrid>
        <w:gridCol w:w="2506"/>
        <w:gridCol w:w="3855"/>
        <w:gridCol w:w="3277"/>
      </w:tblGrid>
      <w:tr>
        <w:trPr>
          <w:cantSplit/>
          <w:tblHeader/>
        </w:trPr>
        <w:tc>
          <w:tcPr>
            <w:tcW w:type="dxa" w:w="2506"/>
            <w:vAlign w:val="center"/>
            <w:shd w:fill="EDF1F3"/>
          </w:tcPr>
          <w:p>
            <w:pPr>
              <w:keepNext/>
              <w:spacing w:line="320" w:lineRule="exact" w:after="0" w:before="0"/>
              <w:ind w:firstLine="0"/>
              <w:jc w:val="center"/>
            </w:pPr>
            <w:r>
              <w:rPr>
                <w:b/>
                <w:sz w:val="21"/>
              </w:rPr>
              <w:t>验证路径</w:t>
            </w:r>
          </w:p>
        </w:tc>
        <w:tc>
          <w:tcPr>
            <w:tcW w:type="dxa" w:w="3855"/>
            <w:vAlign w:val="center"/>
            <w:shd w:fill="EDF1F3"/>
          </w:tcPr>
          <w:p>
            <w:pPr>
              <w:keepNext/>
              <w:spacing w:line="320" w:lineRule="exact" w:after="0" w:before="0"/>
              <w:ind w:firstLine="0"/>
              <w:jc w:val="center"/>
            </w:pPr>
            <w:r>
              <w:rPr>
                <w:b/>
                <w:sz w:val="21"/>
              </w:rPr>
              <w:t>起点与终点</w:t>
            </w:r>
          </w:p>
        </w:tc>
        <w:tc>
          <w:tcPr>
            <w:tcW w:type="dxa" w:w="3277"/>
            <w:vAlign w:val="center"/>
            <w:shd w:fill="EDF1F3"/>
          </w:tcPr>
          <w:p>
            <w:pPr>
              <w:keepNext/>
              <w:spacing w:line="320" w:lineRule="exact" w:after="0" w:before="0"/>
              <w:ind w:firstLine="0"/>
              <w:jc w:val="center"/>
            </w:pPr>
            <w:r>
              <w:rPr>
                <w:b/>
                <w:sz w:val="21"/>
              </w:rPr>
              <w:t>必须能够核查的内容</w:t>
            </w:r>
          </w:p>
        </w:tc>
      </w:tr>
      <w:tr>
        <w:trPr>
          <w:cantSplit/>
        </w:trPr>
        <w:tc>
          <w:tcPr>
            <w:tcW w:type="dxa" w:w="2506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指标复算</w:t>
            </w:r>
          </w:p>
        </w:tc>
        <w:tc>
          <w:tcPr>
            <w:tcW w:type="dxa" w:w="3855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指标结果至业务明细及计算规则</w:t>
            </w:r>
          </w:p>
        </w:tc>
        <w:tc>
          <w:tcPr>
            <w:tcW w:type="dxa" w:w="3277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对象、期间、分子分母和版本</w:t>
            </w:r>
          </w:p>
        </w:tc>
      </w:tr>
      <w:tr>
        <w:trPr>
          <w:cantSplit/>
        </w:trPr>
        <w:tc>
          <w:tcPr>
            <w:tcW w:type="dxa" w:w="2506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工件追溯</w:t>
            </w:r>
          </w:p>
        </w:tc>
        <w:tc>
          <w:tcPr>
            <w:tcW w:type="dxa" w:w="3855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工件检验至图纸工艺及加工过程</w:t>
            </w:r>
          </w:p>
        </w:tc>
        <w:tc>
          <w:tcPr>
            <w:tcW w:type="dxa" w:w="3277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适用版本、工序、参数及实际事件</w:t>
            </w:r>
          </w:p>
        </w:tc>
      </w:tr>
      <w:tr>
        <w:trPr>
          <w:cantSplit/>
        </w:trPr>
        <w:tc>
          <w:tcPr>
            <w:tcW w:type="dxa" w:w="2506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故障回查</w:t>
            </w:r>
          </w:p>
        </w:tc>
        <w:tc>
          <w:tcPr>
            <w:tcW w:type="dxa" w:w="3855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故障样本至设备测点及维修证据</w:t>
            </w:r>
          </w:p>
        </w:tc>
        <w:tc>
          <w:tcPr>
            <w:tcW w:type="dxa" w:w="3277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设备配置、工况、时间和专业结论</w:t>
            </w:r>
          </w:p>
        </w:tc>
      </w:tr>
      <w:tr>
        <w:trPr>
          <w:cantSplit/>
        </w:trPr>
        <w:tc>
          <w:tcPr>
            <w:tcW w:type="dxa" w:w="2506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知识引用</w:t>
            </w:r>
          </w:p>
        </w:tc>
        <w:tc>
          <w:tcPr>
            <w:tcW w:type="dxa" w:w="3855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回答依据至原文件及有效条款</w:t>
            </w:r>
          </w:p>
        </w:tc>
        <w:tc>
          <w:tcPr>
            <w:tcW w:type="dxa" w:w="3277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来源、版本、条件和权限</w:t>
            </w:r>
          </w:p>
        </w:tc>
      </w:tr>
      <w:tr>
        <w:trPr>
          <w:cantSplit/>
        </w:trPr>
        <w:tc>
          <w:tcPr>
            <w:tcW w:type="dxa" w:w="2506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数据集追溯</w:t>
            </w:r>
          </w:p>
        </w:tc>
        <w:tc>
          <w:tcPr>
            <w:tcW w:type="dxa" w:w="3855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发布样本至来源及加工活动</w:t>
            </w:r>
          </w:p>
        </w:tc>
        <w:tc>
          <w:tcPr>
            <w:tcW w:type="dxa" w:w="3277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来源家族、处理、标签和质检验证</w:t>
            </w:r>
          </w:p>
        </w:tc>
      </w:tr>
      <w:tr>
        <w:trPr>
          <w:cantSplit/>
        </w:trPr>
        <w:tc>
          <w:tcPr>
            <w:tcW w:type="dxa" w:w="2506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变更影响</w:t>
            </w:r>
          </w:p>
        </w:tc>
        <w:tc>
          <w:tcPr>
            <w:tcW w:type="dxa" w:w="3855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变更对象至下游模型及服务</w:t>
            </w:r>
          </w:p>
        </w:tc>
        <w:tc>
          <w:tcPr>
            <w:tcW w:type="dxa" w:w="3277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有效依赖、受影响范围和接收责任</w:t>
            </w:r>
          </w:p>
        </w:tc>
      </w:tr>
    </w:tbl>
    <w:p>
      <w:pPr>
        <w:spacing w:after="40" w:line="240" w:lineRule="auto"/>
        <w:ind w:firstLine="0"/>
      </w:pPr>
      <w:r>
        <w:rPr>
          <w:sz w:val="4"/>
        </w:rPr>
      </w:r>
    </w:p>
    <w:p>
      <w:pPr>
        <w:jc w:val="both"/>
      </w:pPr>
      <w:r>
        <w:t>维护检查从真实结果反查来源，并从来源变更正查影响，两条路径共同验证血缘可用性。出现断链、对象错配或版本不符时，定位采集、解析、登记或执行变化原因，修正后重新回放。关键关系核验记录与原始运行证据共同保存。</w:t>
      </w:r>
    </w:p>
    <w:p>
      <w:pPr>
        <w:jc w:val="both"/>
      </w:pPr>
      <w:r>
        <w:t>规范修订结合新增系统、处理方式和对象类型开展。业务、技术、质量及安全岗位评审采集范围和访问条件，通过实际追溯任务检查规则。定期核对元数据、目录、模型和运行配置，防止各自更新后关系失效。</w:t>
      </w:r>
    </w:p>
    <w:p>
      <w:pPr>
        <w:keepNext/>
        <w:spacing w:line="240" w:lineRule="auto" w:before="16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6048000" cy="1942338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图9_操作控制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048000" cy="194233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t>图3-3 平台作业与控制检查</w:t>
      </w:r>
    </w:p>
    <w:p>
      <w:pPr>
        <w:pStyle w:val="Heading2"/>
      </w:pPr>
      <w:r>
        <w:t>3.10 数据治理平台操作手册</w:t>
      </w:r>
    </w:p>
    <w:p>
      <w:pPr>
        <w:pStyle w:val="Heading3"/>
      </w:pPr>
      <w:r>
        <w:t>3.10.1 账号准备与作业环境</w:t>
      </w:r>
    </w:p>
    <w:p>
      <w:pPr>
        <w:jc w:val="both"/>
      </w:pPr>
      <w:r>
        <w:t>本手册适用于授权岗位在神兽OS相关治理功能中办理事项、维护规则和检查结果，操作以功能对象和控制步骤为依据。平台管理员配置角色，业务和管理有权岗位批准权限，使用岗位按有效任务执行。正式作业前确认环境、账号、角色、对象范围及当前有效版本。</w:t>
      </w:r>
    </w:p>
    <w:p>
      <w:pPr>
        <w:jc w:val="both"/>
      </w:pPr>
      <w:r>
        <w:t>登录后核对个人岗位及待办范围，检查代理和临时权限是否在有效期内。首次使用或岗位变更后，完成允许访问与拒绝访问验证，发现权限过大、缺失或对象错误时提交处理。涉及生产数据的操作使用批准环境，培训和测试账号按规定与正式权限区分。</w:t>
      </w:r>
    </w:p>
    <w:p>
      <w:pPr>
        <w:jc w:val="both"/>
      </w:pPr>
      <w:r>
        <w:t>批量导入、规则发布、模型变更和权限调整等操作前，核对申请、批准、输入清单、影响分析及恢复条件。执行过程保留任务标识和日志，操作界面返回成功后仍按业务对象检查实际结果。浏览器或网络中断导致状态不明时，先查询原任务状态，避免重复执行。</w:t>
      </w:r>
    </w:p>
    <w:p>
      <w:pPr>
        <w:pStyle w:val="Heading3"/>
      </w:pPr>
      <w:r>
        <w:t>3.10.2 受理待办与规则配置</w:t>
      </w:r>
    </w:p>
    <w:p>
      <w:pPr>
        <w:jc w:val="both"/>
      </w:pPr>
      <w:r>
        <w:t>需求或问题进入平台后，受理岗位核对类型、对象、证据和责任，补充必要分类并分派。退回补充时写明具体缺少内容，接收补充后继续在原事项办理。事项转派应由新责任岗位确认，状态变更保留实际办理人和时间。</w:t>
      </w:r>
    </w:p>
    <w:p>
      <w:pPr>
        <w:jc w:val="both"/>
      </w:pPr>
      <w:r>
        <w:t>配置质量、标准或校验规则时，选择对象和字段，填写规则含义、业务依据、适用范围、判断条件、严重程度及例外。验证样本同时包含正常、错误、边界和不适用对象，核对命中与未命中原因。配置与批准含义不一致时先修正，不能仅通过调整阈值使样本通过。</w:t>
      </w:r>
    </w:p>
    <w:p>
      <w:pPr>
        <w:jc w:val="both"/>
      </w:pPr>
      <w:r>
        <w:t>规则提交发布时关联自测、专业审核、独立复核和批准版本。发布范围按对象和批次明确，观察实际运行后核对命中、处理和业务反馈。规则误报或漏检出现时保留真实样本及原因，按变更流程修订并检查历史影响。</w:t>
      </w:r>
    </w:p>
    <w:p>
      <w:pPr>
        <w:pStyle w:val="Heading3"/>
      </w:pPr>
      <w:r>
        <w:t>3.10.3 质量检查与问题处置</w:t>
      </w:r>
    </w:p>
    <w:p>
      <w:pPr>
        <w:jc w:val="both"/>
      </w:pPr>
      <w:r>
        <w:t>执行检查前固定对象范围、数据版本、规则版本和运行参数。完成后核对实际处理对象、成功失败数量、命中结果和未检查范围。任务失败对象单独登记，恢复后继续核验，正式结论明确实际覆盖情况。</w:t>
      </w:r>
    </w:p>
    <w:p>
      <w:pPr>
        <w:jc w:val="both"/>
      </w:pPr>
      <w:r>
        <w:t>质量问题建立对象、规则、表现、严重程度、来源及证据关系，业务和技术岗位分析根因。整改执行记录原值、修订值、处理方法、范围和时间，复核岗位按同规则及必要扩展规则重新检查。高风险或广泛影响的问题检查下游数据和服务，并落实规定的发布限制。</w:t>
      </w:r>
    </w:p>
    <w:p>
      <w:pPr>
        <w:jc w:val="both"/>
      </w:pPr>
      <w:r>
        <w:t>问题关闭前核对必需措施、复测、专业确认及受影响对象处理。临时绕行、隔离或人工处理作为控制措施单独登记，其完成不等于永久原因已消除。复发问题关联原问题并重新分析控制有效性。</w:t>
      </w:r>
    </w:p>
    <w:p>
      <w:pPr>
        <w:pStyle w:val="Heading3"/>
      </w:pPr>
      <w:r>
        <w:t>3.10.4 资源发布与授权服务</w:t>
      </w:r>
    </w:p>
    <w:p>
      <w:pPr>
        <w:jc w:val="both"/>
      </w:pPr>
      <w:r>
        <w:t>资源发布操作按有效目录记录关联实际内容和获取方式，检查版本、质量、安全等级、许可及责任。配置访问策略时分别设置可见、预览、下载、调用和管理权限，授权条件包括用户或岗位、对象、用途和期限。必要审批完成后启用服务。</w:t>
      </w:r>
    </w:p>
    <w:p>
      <w:pPr>
        <w:jc w:val="both"/>
      </w:pPr>
      <w:r>
        <w:t>使用验证采用有权和无权身份分别测试，核查实际返回内容及敏感处理。接口调用记录对象、时间、调用主体和结果，文件下载记录有效版本及接收范围。测试数据和正式数据分别管理，交付清单保持内容与材料一致。</w:t>
      </w:r>
    </w:p>
    <w:p>
      <w:pPr>
        <w:jc w:val="both"/>
      </w:pPr>
      <w:r>
        <w:t>授权回收时核对权限配置、接口凭据和已有共享关系，实际实施拒绝访问测试。受控副本或派生结果按批准条件处理，完成记录由运营与安全等岗位复核。授权恢复按新批准办理，原授权记录保持历史状态。</w:t>
      </w:r>
    </w:p>
    <w:p>
      <w:pPr>
        <w:pStyle w:val="Heading3"/>
      </w:pPr>
      <w:r>
        <w:t>3.10.5 变更发布与故障恢复</w:t>
      </w:r>
    </w:p>
    <w:p>
      <w:pPr>
        <w:jc w:val="both"/>
      </w:pPr>
      <w:r>
        <w:t>变更申请关联对象、原因、差异、影响、测试和恢复方案，批准后安排执行窗口。执行前确认输入及备份可用，执行中记录各步骤结果，执行后检查数据、规则、权限和服务。多个关联变更按批准顺序实施，前置条件失败时停止受影响的后续步骤。</w:t>
      </w:r>
    </w:p>
    <w:p>
      <w:pPr>
        <w:jc w:val="both"/>
      </w:pPr>
      <w:r>
        <w:t>故障发现后记录时间、现象、对象和最近操作，先按授权采取必要控制。排查区分来源不可用、权限失效、规则错误、容量不足、网络或平台异常等原因，保存相关日志。恢复采用已确认方案，核对已成功、失败和重复执行风险，再安排重跑。</w:t>
      </w:r>
    </w:p>
    <w:p>
      <w:pPr>
        <w:jc w:val="both"/>
      </w:pPr>
      <w:r>
        <w:t>恢复完成后由业务或接收岗位验证关键结果，技术岗位核查运行与一致性，质量安全岗位核查风险条件。回退记录恢复版本和实际范围，仍有差异的对象继续保持跟踪。故障复盘形成具体改善任务并验证后续效果。</w:t>
      </w:r>
    </w:p>
    <w:p>
      <w:pPr>
        <w:pStyle w:val="Heading3"/>
      </w:pPr>
      <w:r>
        <w:t>3.10.6 日常巡检与操作留痕</w:t>
      </w:r>
    </w:p>
    <w:p>
      <w:pPr>
        <w:pStyle w:val="Caption"/>
        <w:keepNext/>
      </w:pPr>
      <w:r>
        <w:t>表3-9 日常巡检与操作留痕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90" w:type="dxa"/>
          <w:bottom w:w="90" w:type="dxa"/>
          <w:left w:w="95" w:type="dxa"/>
          <w:right w:w="95" w:type="dxa"/>
        </w:tblCellMar>
      </w:tblPr>
      <w:tblGrid>
        <w:gridCol w:w="2506"/>
        <w:gridCol w:w="3855"/>
        <w:gridCol w:w="3277"/>
      </w:tblGrid>
      <w:tr>
        <w:trPr>
          <w:cantSplit/>
          <w:tblHeader/>
        </w:trPr>
        <w:tc>
          <w:tcPr>
            <w:tcW w:type="dxa" w:w="2506"/>
            <w:vAlign w:val="center"/>
            <w:shd w:fill="EDF1F3"/>
          </w:tcPr>
          <w:p>
            <w:pPr>
              <w:keepNext/>
              <w:spacing w:line="320" w:lineRule="exact" w:after="0" w:before="0"/>
              <w:ind w:firstLine="0"/>
              <w:jc w:val="center"/>
            </w:pPr>
            <w:r>
              <w:rPr>
                <w:b/>
                <w:sz w:val="21"/>
              </w:rPr>
              <w:t>巡检事项</w:t>
            </w:r>
          </w:p>
        </w:tc>
        <w:tc>
          <w:tcPr>
            <w:tcW w:type="dxa" w:w="3855"/>
            <w:vAlign w:val="center"/>
            <w:shd w:fill="EDF1F3"/>
          </w:tcPr>
          <w:p>
            <w:pPr>
              <w:keepNext/>
              <w:spacing w:line="320" w:lineRule="exact" w:after="0" w:before="0"/>
              <w:ind w:firstLine="0"/>
              <w:jc w:val="center"/>
            </w:pPr>
            <w:r>
              <w:rPr>
                <w:b/>
                <w:sz w:val="21"/>
              </w:rPr>
              <w:t>检查内容</w:t>
            </w:r>
          </w:p>
        </w:tc>
        <w:tc>
          <w:tcPr>
            <w:tcW w:type="dxa" w:w="3277"/>
            <w:vAlign w:val="center"/>
            <w:shd w:fill="EDF1F3"/>
          </w:tcPr>
          <w:p>
            <w:pPr>
              <w:keepNext/>
              <w:spacing w:line="320" w:lineRule="exact" w:after="0" w:before="0"/>
              <w:ind w:firstLine="0"/>
              <w:jc w:val="center"/>
            </w:pPr>
            <w:r>
              <w:rPr>
                <w:b/>
                <w:sz w:val="21"/>
              </w:rPr>
              <w:t>发现异常后的办理</w:t>
            </w:r>
          </w:p>
        </w:tc>
      </w:tr>
      <w:tr>
        <w:trPr>
          <w:cantSplit/>
        </w:trPr>
        <w:tc>
          <w:tcPr>
            <w:tcW w:type="dxa" w:w="2506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任务运行</w:t>
            </w:r>
          </w:p>
        </w:tc>
        <w:tc>
          <w:tcPr>
            <w:tcW w:type="dxa" w:w="3855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失败、积压、状态不明及重复风险</w:t>
            </w:r>
          </w:p>
        </w:tc>
        <w:tc>
          <w:tcPr>
            <w:tcW w:type="dxa" w:w="3277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核查影响，分派恢复并对账</w:t>
            </w:r>
          </w:p>
        </w:tc>
      </w:tr>
      <w:tr>
        <w:trPr>
          <w:cantSplit/>
        </w:trPr>
        <w:tc>
          <w:tcPr>
            <w:tcW w:type="dxa" w:w="2506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数据供给</w:t>
            </w:r>
          </w:p>
        </w:tc>
        <w:tc>
          <w:tcPr>
            <w:tcW w:type="dxa" w:w="3855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来源变化、更新中断和范围差异</w:t>
            </w:r>
          </w:p>
        </w:tc>
        <w:tc>
          <w:tcPr>
            <w:tcW w:type="dxa" w:w="3277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通知源端及业务归口，补齐接收</w:t>
            </w:r>
          </w:p>
        </w:tc>
      </w:tr>
      <w:tr>
        <w:trPr>
          <w:cantSplit/>
        </w:trPr>
        <w:tc>
          <w:tcPr>
            <w:tcW w:type="dxa" w:w="2506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规则执行</w:t>
            </w:r>
          </w:p>
        </w:tc>
        <w:tc>
          <w:tcPr>
            <w:tcW w:type="dxa" w:w="3855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版本、覆盖、误报漏检及处置</w:t>
            </w:r>
          </w:p>
        </w:tc>
        <w:tc>
          <w:tcPr>
            <w:tcW w:type="dxa" w:w="3277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形成问题或变更并复核</w:t>
            </w:r>
          </w:p>
        </w:tc>
      </w:tr>
      <w:tr>
        <w:trPr>
          <w:cantSplit/>
        </w:trPr>
        <w:tc>
          <w:tcPr>
            <w:tcW w:type="dxa" w:w="2506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元数据目录</w:t>
            </w:r>
          </w:p>
        </w:tc>
        <w:tc>
          <w:tcPr>
            <w:tcW w:type="dxa" w:w="3855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结构、责任、地址和有效状态</w:t>
            </w:r>
          </w:p>
        </w:tc>
        <w:tc>
          <w:tcPr>
            <w:tcW w:type="dxa" w:w="3277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修正登记并验证实际内容</w:t>
            </w:r>
          </w:p>
        </w:tc>
      </w:tr>
      <w:tr>
        <w:trPr>
          <w:cantSplit/>
        </w:trPr>
        <w:tc>
          <w:tcPr>
            <w:tcW w:type="dxa" w:w="2506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访问权限</w:t>
            </w:r>
          </w:p>
        </w:tc>
        <w:tc>
          <w:tcPr>
            <w:tcW w:type="dxa" w:w="3855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到期、代理、离岗和异常访问</w:t>
            </w:r>
          </w:p>
        </w:tc>
        <w:tc>
          <w:tcPr>
            <w:tcW w:type="dxa" w:w="3277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回收或复核授权并测试</w:t>
            </w:r>
          </w:p>
        </w:tc>
      </w:tr>
      <w:tr>
        <w:trPr>
          <w:cantSplit/>
        </w:trPr>
        <w:tc>
          <w:tcPr>
            <w:tcW w:type="dxa" w:w="2506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容量备份</w:t>
            </w:r>
          </w:p>
        </w:tc>
        <w:tc>
          <w:tcPr>
            <w:tcW w:type="dxa" w:w="3855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资源负荷、备份及恢复可用性</w:t>
            </w:r>
          </w:p>
        </w:tc>
        <w:tc>
          <w:tcPr>
            <w:tcW w:type="dxa" w:w="3277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调整资源或修复备份并演练</w:t>
            </w:r>
          </w:p>
        </w:tc>
      </w:tr>
      <w:tr>
        <w:trPr>
          <w:cantSplit/>
        </w:trPr>
        <w:tc>
          <w:tcPr>
            <w:tcW w:type="dxa" w:w="2506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服务运行</w:t>
            </w:r>
          </w:p>
        </w:tc>
        <w:tc>
          <w:tcPr>
            <w:tcW w:type="dxa" w:w="3855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获取、质量、使用反馈及退出</w:t>
            </w:r>
          </w:p>
        </w:tc>
        <w:tc>
          <w:tcPr>
            <w:tcW w:type="dxa" w:w="3277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恢复服务并通知受影响岗位</w:t>
            </w:r>
          </w:p>
        </w:tc>
      </w:tr>
      <w:tr>
        <w:trPr>
          <w:cantSplit/>
        </w:trPr>
        <w:tc>
          <w:tcPr>
            <w:tcW w:type="dxa" w:w="2506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在办事项</w:t>
            </w:r>
          </w:p>
        </w:tc>
        <w:tc>
          <w:tcPr>
            <w:tcW w:type="dxa" w:w="3855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未分派、逾期、反复退回和未复核</w:t>
            </w:r>
          </w:p>
        </w:tc>
        <w:tc>
          <w:tcPr>
            <w:tcW w:type="dxa" w:w="3277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明确责任、补充条件或升级</w:t>
            </w:r>
          </w:p>
        </w:tc>
      </w:tr>
    </w:tbl>
    <w:p>
      <w:pPr>
        <w:spacing w:after="40" w:line="240" w:lineRule="auto"/>
        <w:ind w:firstLine="0"/>
      </w:pPr>
      <w:r>
        <w:rPr>
          <w:sz w:val="4"/>
        </w:rPr>
      </w:r>
    </w:p>
    <w:p>
      <w:pPr>
        <w:jc w:val="both"/>
      </w:pPr>
      <w:r>
        <w:t>操作留痕包含事项、环境、账号岗位、对象、版本、时间、动作、结果及异常，重要输入输出保留摘要和受控位置。日志按权限查询，涉及敏感内容的记录采取相应保护。操作手册随平台功能和制度变化修订，修订后通过规定场景实操验证。</w:t>
      </w:r>
    </w:p>
    <w:p>
      <w:pPr>
        <w:pStyle w:val="Heading2"/>
      </w:pPr>
      <w:r>
        <w:t>3.11 制度评审发布与执行检查</w:t>
      </w:r>
    </w:p>
    <w:p>
      <w:pPr>
        <w:pStyle w:val="Heading3"/>
      </w:pPr>
      <w:r>
        <w:t>3.11.1 联合评审与配置验证</w:t>
      </w:r>
    </w:p>
    <w:p>
      <w:pPr>
        <w:jc w:val="both"/>
      </w:pPr>
      <w:r>
        <w:t>制度发布前由归口岗位组织业务、技术、质量安全、运营及相关管理岗位评审，逐项检查范围、权限、流程、例外和记录。涉及公司其他制度时核查衔接，避免相同事项存在不一致的批准条件或保留要求。评审意见登记采纳情况、修改位置及复核结论。</w:t>
      </w:r>
    </w:p>
    <w:p>
      <w:pPr>
        <w:jc w:val="both"/>
      </w:pPr>
      <w:r>
        <w:t>每类细则和规范选择能够覆盖正常办理、退回补充、跨域争议、审批拒绝、执行失败和到期退出的事项开展演练。演练检查责任能否找到、条件能否判断、配置能否实现、证据能否回查。发现问题修正后重新验证，运行所需的流程和表单与制度一并发布。</w:t>
      </w:r>
    </w:p>
    <w:p>
      <w:pPr>
        <w:pStyle w:val="Heading3"/>
      </w:pPr>
      <w:r>
        <w:t>3.11.2 生效过渡与持续维护</w:t>
      </w:r>
    </w:p>
    <w:p>
      <w:pPr>
        <w:jc w:val="both"/>
      </w:pPr>
      <w:r>
        <w:t>发布记录包含文件标识、版本、批准依据、生效时间、适用范围、替代关系及宣贯安排。在办事项继续使用原规则或切换新规则的条件提前明确，切换需检查审批和执行影响。岗位通过培训或操作确认理解新要求，旧文件保留历史查询并限制误用。</w:t>
      </w:r>
    </w:p>
    <w:p>
      <w:pPr>
        <w:jc w:val="both"/>
      </w:pPr>
      <w:r>
        <w:t>制度归口定期检查执行和适用性，组织、业务、系统或适用要求变化时专项复查。无法执行的条款分析资源、流程或技术原因，提出可实施修订并履行批准。修订后的制度、配置、培训和运行检查同步更新，以真实事项验证实施结果。</w:t>
      </w:r>
    </w:p>
    <w:p>
      <w:pPr>
        <w:pStyle w:val="Heading1"/>
        <w:pageBreakBefore/>
      </w:pPr>
      <w:r>
        <w:t>4 数据文化建设方案</w:t>
      </w:r>
    </w:p>
    <w:p>
      <w:pPr>
        <w:pStyle w:val="Heading2"/>
      </w:pPr>
      <w:r>
        <w:t>4.1 文件管理与建设目标</w:t>
      </w:r>
    </w:p>
    <w:p>
      <w:pPr>
        <w:pStyle w:val="Heading3"/>
      </w:pPr>
      <w:r>
        <w:t>4.1.1 文件标识和适用对象</w:t>
      </w:r>
    </w:p>
    <w:p>
      <w:pPr>
        <w:pStyle w:val="Caption"/>
        <w:keepNext/>
      </w:pPr>
      <w:r>
        <w:t>表4-1 文件标识和适用对象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90" w:type="dxa"/>
          <w:bottom w:w="90" w:type="dxa"/>
          <w:left w:w="95" w:type="dxa"/>
          <w:right w:w="95" w:type="dxa"/>
        </w:tblCellMar>
      </w:tblPr>
      <w:tblGrid>
        <w:gridCol w:w="2409"/>
        <w:gridCol w:w="7228"/>
      </w:tblGrid>
      <w:tr>
        <w:trPr>
          <w:cantSplit/>
          <w:tblHeader/>
        </w:trPr>
        <w:tc>
          <w:tcPr>
            <w:tcW w:type="dxa" w:w="2409"/>
            <w:vAlign w:val="center"/>
            <w:shd w:fill="EDF1F3"/>
          </w:tcPr>
          <w:p>
            <w:pPr>
              <w:keepNext/>
              <w:spacing w:line="320" w:lineRule="exact" w:after="0" w:before="0"/>
              <w:ind w:firstLine="0"/>
              <w:jc w:val="center"/>
            </w:pPr>
            <w:r>
              <w:rPr>
                <w:b/>
                <w:sz w:val="21"/>
              </w:rPr>
              <w:t>管理项目</w:t>
            </w:r>
          </w:p>
        </w:tc>
        <w:tc>
          <w:tcPr>
            <w:tcW w:type="dxa" w:w="7228"/>
            <w:vAlign w:val="center"/>
            <w:shd w:fill="EDF1F3"/>
          </w:tcPr>
          <w:p>
            <w:pPr>
              <w:keepNext/>
              <w:spacing w:line="320" w:lineRule="exact" w:after="0" w:before="0"/>
              <w:ind w:firstLine="0"/>
              <w:jc w:val="center"/>
            </w:pPr>
            <w:r>
              <w:rPr>
                <w:b/>
                <w:sz w:val="21"/>
              </w:rPr>
              <w:t>管理内容</w:t>
            </w:r>
          </w:p>
        </w:tc>
      </w:tr>
      <w:tr>
        <w:trPr>
          <w:cantSplit/>
        </w:trPr>
        <w:tc>
          <w:tcPr>
            <w:tcW w:type="dxa" w:w="2409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文件名称</w:t>
            </w:r>
          </w:p>
        </w:tc>
        <w:tc>
          <w:tcPr>
            <w:tcW w:type="dxa" w:w="7228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数据文化建设方案</w:t>
            </w:r>
          </w:p>
        </w:tc>
      </w:tr>
      <w:tr>
        <w:trPr>
          <w:cantSplit/>
        </w:trPr>
        <w:tc>
          <w:tcPr>
            <w:tcW w:type="dxa" w:w="2409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文件标识</w:t>
            </w:r>
          </w:p>
        </w:tc>
        <w:tc>
          <w:tcPr>
            <w:tcW w:type="dxa" w:w="7228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GHY26691-GV-02-0012-V1.0</w:t>
            </w:r>
          </w:p>
        </w:tc>
      </w:tr>
      <w:tr>
        <w:trPr>
          <w:cantSplit/>
        </w:trPr>
        <w:tc>
          <w:tcPr>
            <w:tcW w:type="dxa" w:w="2409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适用范围</w:t>
            </w:r>
          </w:p>
        </w:tc>
        <w:tc>
          <w:tcPr>
            <w:tcW w:type="dxa" w:w="7228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公司治理决策、业务数据管理、技术实施、质量安全、资产运营及数据使用岗位</w:t>
            </w:r>
          </w:p>
        </w:tc>
      </w:tr>
      <w:tr>
        <w:trPr>
          <w:cantSplit/>
        </w:trPr>
        <w:tc>
          <w:tcPr>
            <w:tcW w:type="dxa" w:w="2409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培养重点</w:t>
            </w:r>
          </w:p>
        </w:tc>
        <w:tc>
          <w:tcPr>
            <w:tcW w:type="dxa" w:w="7228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真实记录、统一口径、明确责任、依规使用、主动报告及持续改进</w:t>
            </w:r>
          </w:p>
        </w:tc>
      </w:tr>
      <w:tr>
        <w:trPr>
          <w:cantSplit/>
        </w:trPr>
        <w:tc>
          <w:tcPr>
            <w:tcW w:type="dxa" w:w="2409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管理责任</w:t>
            </w:r>
          </w:p>
        </w:tc>
        <w:tc>
          <w:tcPr>
            <w:tcW w:type="dxa" w:w="7228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数据管理办公室统筹，培训岗位组织，业务及专业岗位负责课程和实践评价</w:t>
            </w:r>
          </w:p>
        </w:tc>
      </w:tr>
      <w:tr>
        <w:trPr>
          <w:cantSplit/>
        </w:trPr>
        <w:tc>
          <w:tcPr>
            <w:tcW w:type="dxa" w:w="2409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配套教材</w:t>
            </w:r>
          </w:p>
        </w:tc>
        <w:tc>
          <w:tcPr>
            <w:tcW w:type="dxa" w:w="7228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GHY26691-GV-02-0013-V1.0 数据管理培训教材，按五册组织</w:t>
            </w:r>
          </w:p>
        </w:tc>
      </w:tr>
      <w:tr>
        <w:trPr>
          <w:cantSplit/>
        </w:trPr>
        <w:tc>
          <w:tcPr>
            <w:tcW w:type="dxa" w:w="2409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配套题库</w:t>
            </w:r>
          </w:p>
        </w:tc>
        <w:tc>
          <w:tcPr>
            <w:tcW w:type="dxa" w:w="7228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GHY26691-GV-02-0014-V1.0 数据管理考核题库</w:t>
            </w:r>
          </w:p>
        </w:tc>
      </w:tr>
      <w:tr>
        <w:trPr>
          <w:cantSplit/>
        </w:trPr>
        <w:tc>
          <w:tcPr>
            <w:tcW w:type="dxa" w:w="2409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评审修订</w:t>
            </w:r>
          </w:p>
        </w:tc>
        <w:tc>
          <w:tcPr>
            <w:tcW w:type="dxa" w:w="7228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按有效岗位职责、制度、平台功能及实践反馈评审和滚动维护</w:t>
            </w:r>
          </w:p>
        </w:tc>
      </w:tr>
    </w:tbl>
    <w:p>
      <w:pPr>
        <w:spacing w:after="40" w:line="240" w:lineRule="auto"/>
        <w:ind w:firstLine="0"/>
      </w:pPr>
      <w:r>
        <w:rPr>
          <w:sz w:val="4"/>
        </w:rPr>
      </w:r>
    </w:p>
    <w:p>
      <w:pPr>
        <w:jc w:val="both"/>
      </w:pPr>
      <w:r>
        <w:t>数据文化建设把数据管理要求落实到日常工作行为。管理岗位在决策前核查数据依据，业务岗位在形成和确认数据时明确含义及责任，技术岗位按批准规则处理并保留过程，使用岗位在授权范围内使用并反馈问题。培训、实践、评价和知识维护围绕这些实际工作展开。</w:t>
      </w:r>
    </w:p>
    <w:p>
      <w:pPr>
        <w:jc w:val="both"/>
      </w:pPr>
      <w:r>
        <w:t>培养对象包括治理决策和管理岗位、九个业务域的业务数据责任及管理岗位、源系统及平台岗位、架构开发岗位、质量安全岗位、资产运营岗位、培训档案岗位以及数据管理师培养对象。岗位名单与正式组织映射关联，新增任职、调岗和替补岗位纳入接续培训。</w:t>
      </w:r>
    </w:p>
    <w:p>
      <w:pPr>
        <w:jc w:val="both"/>
      </w:pPr>
      <w:r>
        <w:t>我方组织课程设计、教材编制、演示、受控实操、辅导和考核，配合甲方开展岗位能力评价及持续改善。甲方业务和管理岗位确认课程适用对象、实际业务场景与专业判据。培训材料、操作资料、考核和实践成果作为文化建设成果移交，并随项目运行维护更新。</w:t>
      </w:r>
    </w:p>
    <w:p>
      <w:pPr>
        <w:pStyle w:val="Heading3"/>
      </w:pPr>
      <w:r>
        <w:t>4.1.2 行为目标及评价依据</w:t>
      </w:r>
    </w:p>
    <w:p>
      <w:pPr>
        <w:jc w:val="both"/>
      </w:pPr>
      <w:r>
        <w:t>真实记录要求保存业务实际发生的对象、时间、状态和证据，导入、修改及加工时间分别记录。统一口径要求先查有效术语、单位、状态和指标定义，发现不一致通过确认流程处理。明确责任要求知道谁负责业务含义、谁执行技术处理、谁复核以及异常向谁升级。</w:t>
      </w:r>
    </w:p>
    <w:p>
      <w:pPr>
        <w:jc w:val="both"/>
      </w:pPr>
      <w:r>
        <w:t>依规使用要求在申请、获取、加工、共享和退出各环节核对用途、范围和期限。主动报告要求发现数据、规则、权限或专业判断问题时提供可定位事实，并采取职责范围内的必要控制。持续改进要求把重复问题转为规则、流程或知识更新，并检查改变是否产生实际效果。</w:t>
      </w:r>
    </w:p>
    <w:p>
      <w:pPr>
        <w:jc w:val="both"/>
      </w:pPr>
      <w:r>
        <w:t>文化建设评价依据学习结果、实际操作、岗位实践及运行变化。会议参加、阅读材料和签到作为过程记录，岗位能否独立完成任务另行验证。治理效果受业务量、系统变化、资源投入等因素影响，评价时保留比较条件，避免将所有变化简单归因于培训。</w:t>
      </w:r>
    </w:p>
    <w:p>
      <w:pPr>
        <w:pStyle w:val="Heading2"/>
      </w:pPr>
      <w:r>
        <w:t>4.2 岗位现状与能力基线</w:t>
      </w:r>
    </w:p>
    <w:p>
      <w:pPr>
        <w:pStyle w:val="Heading3"/>
      </w:pPr>
      <w:r>
        <w:t>4.2.1 学习需求调查</w:t>
      </w:r>
    </w:p>
    <w:p>
      <w:pPr>
        <w:jc w:val="both"/>
      </w:pPr>
      <w:r>
        <w:t>培训开始前按岗位调查现有职责、常见任务、工具使用、困难和已有学习经历，结合实际作业检查能力。调查采用访谈、知识问答和短任务操作，记录对象范围、时间、评价岗位及证据。自我评价与实际表现分别保存，重要结论经岗位归口确认。</w:t>
      </w:r>
    </w:p>
    <w:p>
      <w:pPr>
        <w:jc w:val="both"/>
      </w:pPr>
      <w:r>
        <w:t>业务岗位调查关注能否解释对象、标准、质量和使用条件，技术岗位关注能否按规则实现、定位来源、处理异常和回查影响，管理岗位关注能否判断责任、资源、风险和证据。数据管理师培养对象增加跨域协调和综合问题分析任务，形成个人能力记录。</w:t>
      </w:r>
    </w:p>
    <w:p>
      <w:pPr>
        <w:jc w:val="both"/>
      </w:pPr>
      <w:r>
        <w:t>岗位存在不同基础时分层安排。已经能够独立操作的人员进入复杂案例和改进实践，基础不足的人员先完成通用规则与受控演练。因权限、资料或实践机会不足无法评价的，记录具体条件并安排补充，不直接判定为能力不足。</w:t>
      </w:r>
    </w:p>
    <w:p>
      <w:pPr>
        <w:pStyle w:val="Heading3"/>
      </w:pPr>
      <w:r>
        <w:t>4.2.2 能力维度与分层路径</w:t>
      </w:r>
    </w:p>
    <w:p>
      <w:pPr>
        <w:jc w:val="both"/>
      </w:pPr>
      <w:r>
        <w:t>能力评价分为知识理解、工具操作、业务判断和组织协同四个维度。知识理解关注制度和数据含义，工具操作关注完整作业及异常处理，业务判断关注条件、证据和专业边界，组织协同关注任务、责任、沟通和复核。各维度分别记录表现和改善事项。</w:t>
      </w:r>
    </w:p>
    <w:p>
      <w:pPr>
        <w:jc w:val="both"/>
      </w:pPr>
      <w:r>
        <w:t>培养路径按了解要求、在指导下操作、独立完成规定任务、承担跨域综合任务逐步推进。阶段升级依据实际成果和评价，不以任职年限或课程数量直接替代能力证明。关键岗位的独立上岗应具备相应培训、操作和有效授权。</w:t>
      </w:r>
    </w:p>
    <w:p>
      <w:pPr>
        <w:pStyle w:val="Caption"/>
        <w:keepNext/>
      </w:pPr>
      <w:r>
        <w:t>表4-2 能力维度与分层路径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90" w:type="dxa"/>
          <w:bottom w:w="90" w:type="dxa"/>
          <w:left w:w="95" w:type="dxa"/>
          <w:right w:w="95" w:type="dxa"/>
        </w:tblCellMar>
      </w:tblPr>
      <w:tblGrid>
        <w:gridCol w:w="1638"/>
        <w:gridCol w:w="2699"/>
        <w:gridCol w:w="2409"/>
        <w:gridCol w:w="2891"/>
      </w:tblGrid>
      <w:tr>
        <w:trPr>
          <w:cantSplit/>
          <w:tblHeader/>
        </w:trPr>
        <w:tc>
          <w:tcPr>
            <w:tcW w:type="dxa" w:w="1638"/>
            <w:vAlign w:val="center"/>
            <w:shd w:fill="EDF1F3"/>
          </w:tcPr>
          <w:p>
            <w:pPr>
              <w:keepNext/>
              <w:spacing w:line="320" w:lineRule="exact" w:after="0" w:before="0"/>
              <w:ind w:firstLine="0"/>
              <w:jc w:val="center"/>
            </w:pPr>
            <w:r>
              <w:rPr>
                <w:b/>
                <w:sz w:val="21"/>
              </w:rPr>
              <w:t>岗位类别</w:t>
            </w:r>
          </w:p>
        </w:tc>
        <w:tc>
          <w:tcPr>
            <w:tcW w:type="dxa" w:w="2699"/>
            <w:vAlign w:val="center"/>
            <w:shd w:fill="EDF1F3"/>
          </w:tcPr>
          <w:p>
            <w:pPr>
              <w:keepNext/>
              <w:spacing w:line="320" w:lineRule="exact" w:after="0" w:before="0"/>
              <w:ind w:firstLine="0"/>
              <w:jc w:val="center"/>
            </w:pPr>
            <w:r>
              <w:rPr>
                <w:b/>
                <w:sz w:val="21"/>
              </w:rPr>
              <w:t>必须理解的内容</w:t>
            </w:r>
          </w:p>
        </w:tc>
        <w:tc>
          <w:tcPr>
            <w:tcW w:type="dxa" w:w="2409"/>
            <w:vAlign w:val="center"/>
            <w:shd w:fill="EDF1F3"/>
          </w:tcPr>
          <w:p>
            <w:pPr>
              <w:keepNext/>
              <w:spacing w:line="320" w:lineRule="exact" w:after="0" w:before="0"/>
              <w:ind w:firstLine="0"/>
              <w:jc w:val="center"/>
            </w:pPr>
            <w:r>
              <w:rPr>
                <w:b/>
                <w:sz w:val="21"/>
              </w:rPr>
              <w:t>必须完成的实践</w:t>
            </w:r>
          </w:p>
        </w:tc>
        <w:tc>
          <w:tcPr>
            <w:tcW w:type="dxa" w:w="2891"/>
            <w:vAlign w:val="center"/>
            <w:shd w:fill="EDF1F3"/>
          </w:tcPr>
          <w:p>
            <w:pPr>
              <w:keepNext/>
              <w:spacing w:line="320" w:lineRule="exact" w:after="0" w:before="0"/>
              <w:ind w:firstLine="0"/>
              <w:jc w:val="center"/>
            </w:pPr>
            <w:r>
              <w:rPr>
                <w:b/>
                <w:sz w:val="21"/>
              </w:rPr>
              <w:t>重点评价</w:t>
            </w:r>
          </w:p>
        </w:tc>
      </w:tr>
      <w:tr>
        <w:trPr>
          <w:cantSplit/>
        </w:trPr>
        <w:tc>
          <w:tcPr>
            <w:tcW w:type="dxa" w:w="1638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决策管理</w:t>
            </w:r>
          </w:p>
        </w:tc>
        <w:tc>
          <w:tcPr>
            <w:tcW w:type="dxa" w:w="2699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战略、责任、重大规则与风险</w:t>
            </w:r>
          </w:p>
        </w:tc>
        <w:tc>
          <w:tcPr>
            <w:tcW w:type="dxa" w:w="2409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审议一项跨域治理议题</w:t>
            </w:r>
          </w:p>
        </w:tc>
        <w:tc>
          <w:tcPr>
            <w:tcW w:type="dxa" w:w="2891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判断依据、授权及执行条件</w:t>
            </w:r>
          </w:p>
        </w:tc>
      </w:tr>
      <w:tr>
        <w:trPr>
          <w:cantSplit/>
        </w:trPr>
        <w:tc>
          <w:tcPr>
            <w:tcW w:type="dxa" w:w="1638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业务责任</w:t>
            </w:r>
          </w:p>
        </w:tc>
        <w:tc>
          <w:tcPr>
            <w:tcW w:type="dxa" w:w="2699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对象、定义、权威来源和专业条件</w:t>
            </w:r>
          </w:p>
        </w:tc>
        <w:tc>
          <w:tcPr>
            <w:tcW w:type="dxa" w:w="2409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确认一项关键口径及质量要求</w:t>
            </w:r>
          </w:p>
        </w:tc>
        <w:tc>
          <w:tcPr>
            <w:tcW w:type="dxa" w:w="2891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定义准确、条件完整</w:t>
            </w:r>
          </w:p>
        </w:tc>
      </w:tr>
      <w:tr>
        <w:trPr>
          <w:cantSplit/>
        </w:trPr>
        <w:tc>
          <w:tcPr>
            <w:tcW w:type="dxa" w:w="1638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数据管理</w:t>
            </w:r>
          </w:p>
        </w:tc>
        <w:tc>
          <w:tcPr>
            <w:tcW w:type="dxa" w:w="2699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术语、主数据、目录、任务及记录</w:t>
            </w:r>
          </w:p>
        </w:tc>
        <w:tc>
          <w:tcPr>
            <w:tcW w:type="dxa" w:w="2409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完成登记、协调和问题跟踪</w:t>
            </w:r>
          </w:p>
        </w:tc>
        <w:tc>
          <w:tcPr>
            <w:tcW w:type="dxa" w:w="2891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责任明确、记录可回查</w:t>
            </w:r>
          </w:p>
        </w:tc>
      </w:tr>
      <w:tr>
        <w:trPr>
          <w:cantSplit/>
        </w:trPr>
        <w:tc>
          <w:tcPr>
            <w:tcW w:type="dxa" w:w="1638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架构开发</w:t>
            </w:r>
          </w:p>
        </w:tc>
        <w:tc>
          <w:tcPr>
            <w:tcW w:type="dxa" w:w="2699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模型、接口、元数据、血缘和变更</w:t>
            </w:r>
          </w:p>
        </w:tc>
        <w:tc>
          <w:tcPr>
            <w:tcW w:type="dxa" w:w="2409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完成变更分析、实现及回归</w:t>
            </w:r>
          </w:p>
        </w:tc>
        <w:tc>
          <w:tcPr>
            <w:tcW w:type="dxa" w:w="2891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业务含义和实现一致</w:t>
            </w:r>
          </w:p>
        </w:tc>
      </w:tr>
      <w:tr>
        <w:trPr>
          <w:cantSplit/>
        </w:trPr>
        <w:tc>
          <w:tcPr>
            <w:tcW w:type="dxa" w:w="1638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质量安全</w:t>
            </w:r>
          </w:p>
        </w:tc>
        <w:tc>
          <w:tcPr>
            <w:tcW w:type="dxa" w:w="2699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规则、检查、根因、分级及授权</w:t>
            </w:r>
          </w:p>
        </w:tc>
        <w:tc>
          <w:tcPr>
            <w:tcW w:type="dxa" w:w="2409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完成整改复核和权限退出</w:t>
            </w:r>
          </w:p>
        </w:tc>
        <w:tc>
          <w:tcPr>
            <w:tcW w:type="dxa" w:w="2891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风险识别及实际验证</w:t>
            </w:r>
          </w:p>
        </w:tc>
      </w:tr>
      <w:tr>
        <w:trPr>
          <w:cantSplit/>
        </w:trPr>
        <w:tc>
          <w:tcPr>
            <w:tcW w:type="dxa" w:w="1638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资产运营</w:t>
            </w:r>
          </w:p>
        </w:tc>
        <w:tc>
          <w:tcPr>
            <w:tcW w:type="dxa" w:w="2699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权利、目录、服务、价值及使用</w:t>
            </w:r>
          </w:p>
        </w:tc>
        <w:tc>
          <w:tcPr>
            <w:tcW w:type="dxa" w:w="2409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完成申请至退出的服务办理</w:t>
            </w:r>
          </w:p>
        </w:tc>
        <w:tc>
          <w:tcPr>
            <w:tcW w:type="dxa" w:w="2891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可用性、用途及退出完整</w:t>
            </w:r>
          </w:p>
        </w:tc>
      </w:tr>
      <w:tr>
        <w:trPr>
          <w:cantSplit/>
        </w:trPr>
        <w:tc>
          <w:tcPr>
            <w:tcW w:type="dxa" w:w="1638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数据使用</w:t>
            </w:r>
          </w:p>
        </w:tc>
        <w:tc>
          <w:tcPr>
            <w:tcW w:type="dxa" w:w="2699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适用条件、授权和问题反馈</w:t>
            </w:r>
          </w:p>
        </w:tc>
        <w:tc>
          <w:tcPr>
            <w:tcW w:type="dxa" w:w="2409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查询有效依据并提交可复现反馈</w:t>
            </w:r>
          </w:p>
        </w:tc>
        <w:tc>
          <w:tcPr>
            <w:tcW w:type="dxa" w:w="2891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正确理解与依规使用</w:t>
            </w:r>
          </w:p>
        </w:tc>
      </w:tr>
      <w:tr>
        <w:trPr>
          <w:cantSplit/>
        </w:trPr>
        <w:tc>
          <w:tcPr>
            <w:tcW w:type="dxa" w:w="1638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数据管理师</w:t>
            </w:r>
          </w:p>
        </w:tc>
        <w:tc>
          <w:tcPr>
            <w:tcW w:type="dxa" w:w="2699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九项治理知识与跨域方法</w:t>
            </w:r>
          </w:p>
        </w:tc>
        <w:tc>
          <w:tcPr>
            <w:tcW w:type="dxa" w:w="2409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独立承担综合治理专题</w:t>
            </w:r>
          </w:p>
        </w:tc>
        <w:tc>
          <w:tcPr>
            <w:tcW w:type="dxa" w:w="2891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分析、实施、协调和改进能力</w:t>
            </w:r>
          </w:p>
        </w:tc>
      </w:tr>
    </w:tbl>
    <w:p>
      <w:pPr>
        <w:spacing w:after="40" w:line="240" w:lineRule="auto"/>
        <w:ind w:firstLine="0"/>
      </w:pPr>
      <w:r>
        <w:rPr>
          <w:sz w:val="4"/>
        </w:rPr>
      </w:r>
    </w:p>
    <w:p>
      <w:pPr>
        <w:pStyle w:val="Heading2"/>
      </w:pPr>
      <w:r>
        <w:t>4.3 分层宣贯与工作习惯建设</w:t>
      </w:r>
    </w:p>
    <w:p>
      <w:pPr>
        <w:pStyle w:val="Heading3"/>
      </w:pPr>
      <w:r>
        <w:t>4.3.1 管理层和业务岗位宣贯</w:t>
      </w:r>
    </w:p>
    <w:p>
      <w:pPr>
        <w:jc w:val="both"/>
      </w:pPr>
      <w:r>
        <w:t>管理层宣贯使用实际议题，围绕数据为什么存在差异、依据是否足够、由谁判断、需要何种资源和怎样验证展开。通过库存口径、工艺变更、质量整改或共享授权案例，练习区分业务事实、统计结果和专业推断。议题结论同时形成责任和检查安排。</w:t>
      </w:r>
    </w:p>
    <w:p>
      <w:pPr>
        <w:jc w:val="both"/>
      </w:pPr>
      <w:r>
        <w:t>业务岗位宣贯嵌入日常任务，说明字段填写、状态选择、版本使用和错误更正对后续工序、统计及数据集的影响。物料维护讲清同物异码与替代料差异，工艺记录讲清参数条件和实际加工，设备记录讲清报警与故障，质量记录讲清原检、复检和处置。</w:t>
      </w:r>
    </w:p>
    <w:p>
      <w:pPr>
        <w:jc w:val="both"/>
      </w:pPr>
      <w:r>
        <w:t>宣贯材料以短案例、岗位操作卡和常见问题为主，引用当前有效制度及实际对象。岗位操作卡写明触发条件、必需输入、办理动作、检查和异常去向，放置于受控知识库或相应业务入口。材料调整时同步更新引用和生效状态。</w:t>
      </w:r>
    </w:p>
    <w:p>
      <w:pPr>
        <w:pStyle w:val="Heading3"/>
      </w:pPr>
      <w:r>
        <w:t>4.3.2 技术岗位和使用岗位宣贯</w:t>
      </w:r>
    </w:p>
    <w:p>
      <w:pPr>
        <w:jc w:val="both"/>
      </w:pPr>
      <w:r>
        <w:t>技术岗位通过源端变更、字段映射、批量修复、血缘断链及权限错误等案例理解业务约束。强调处理成功与业务正确分别验证，程序、规则和输入版本共同记录。对错误重试、状态不明和部分成功等情况，先核查实际状态后恢复，避免制造重复或不一致结果。</w:t>
      </w:r>
    </w:p>
    <w:p>
      <w:pPr>
        <w:jc w:val="both"/>
      </w:pPr>
      <w:r>
        <w:t>使用岗位通过实际检索、报表、接口和知识问答学习判断适用条件。查看指标时核对对象、时点和计算口径，引用制度时核对有效版本，使用专业结论时核对条件和依据，下载或转交数据时核对授权。模型或系统输出存在疑问时，提交事实和证据供对应岗位复核。</w:t>
      </w:r>
    </w:p>
    <w:p>
      <w:pPr>
        <w:jc w:val="both"/>
      </w:pPr>
      <w:r>
        <w:t>岗位日常交流鼓励提出可以核验的问题，减少只报结论而无对象和条件的反馈。优秀实践依据实际改善整理成规范或案例，保留原始问题、处理方法、验证及适用范围。共享案例不披露无必要的个人信息和受限业务内容。</w:t>
      </w:r>
    </w:p>
    <w:p>
      <w:pPr>
        <w:keepNext/>
        <w:spacing w:line="240" w:lineRule="auto" w:before="16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6048000" cy="3004615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图10_教材体系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048000" cy="300461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t>图4-1 五册教材与课程体系</w:t>
      </w:r>
    </w:p>
    <w:p>
      <w:pPr>
        <w:pStyle w:val="Heading2"/>
      </w:pPr>
      <w:r>
        <w:t>4.4 课程体系与教学安排</w:t>
      </w:r>
    </w:p>
    <w:p>
      <w:pPr>
        <w:pStyle w:val="Heading3"/>
      </w:pPr>
      <w:r>
        <w:t>4.4.1 五册教材的课程组织</w:t>
      </w:r>
    </w:p>
    <w:p>
      <w:pPr>
        <w:jc w:val="both"/>
      </w:pPr>
      <w:r>
        <w:t>培训教材分为治理管理、业务数据、技术实施、质量安全与资产运营、综合实践与能力评价五册，共用文件标识并分别登记分册、课程和版本。每册包含学习目标、岗位任务、制度依据、关键概念、操作练习、异常场景、检查方法及考核要求。教材内容与实际制度和平台配置一致。</w:t>
      </w:r>
    </w:p>
    <w:p>
      <w:pPr>
        <w:jc w:val="both"/>
      </w:pPr>
      <w:r>
        <w:t>课程编号用于教学及记录管理，课程版本随规则和工具变化维护。共同课程面向全部相关岗位，专业课程按职责选择，综合实践由培养对象完成。学员的学习路径记录必修、选修、已完成及需要补训内容，课程参加与能力评价分别登记。</w:t>
      </w:r>
    </w:p>
    <w:p>
      <w:pPr>
        <w:pStyle w:val="Caption"/>
        <w:keepNext/>
      </w:pPr>
      <w:r>
        <w:t>表4-3 五册教材的课程组织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90" w:type="dxa"/>
          <w:bottom w:w="90" w:type="dxa"/>
          <w:left w:w="95" w:type="dxa"/>
          <w:right w:w="95" w:type="dxa"/>
        </w:tblCellMar>
      </w:tblPr>
      <w:tblGrid>
        <w:gridCol w:w="1638"/>
        <w:gridCol w:w="2699"/>
        <w:gridCol w:w="2409"/>
        <w:gridCol w:w="2891"/>
      </w:tblGrid>
      <w:tr>
        <w:trPr>
          <w:cantSplit/>
          <w:tblHeader/>
        </w:trPr>
        <w:tc>
          <w:tcPr>
            <w:tcW w:type="dxa" w:w="1638"/>
            <w:vAlign w:val="center"/>
            <w:shd w:fill="EDF1F3"/>
          </w:tcPr>
          <w:p>
            <w:pPr>
              <w:keepNext/>
              <w:spacing w:line="320" w:lineRule="exact" w:after="0" w:before="0"/>
              <w:ind w:firstLine="0"/>
              <w:jc w:val="center"/>
            </w:pPr>
            <w:r>
              <w:rPr>
                <w:b/>
                <w:sz w:val="21"/>
              </w:rPr>
              <w:t>课程编号</w:t>
            </w:r>
          </w:p>
        </w:tc>
        <w:tc>
          <w:tcPr>
            <w:tcW w:type="dxa" w:w="2699"/>
            <w:vAlign w:val="center"/>
            <w:shd w:fill="EDF1F3"/>
          </w:tcPr>
          <w:p>
            <w:pPr>
              <w:keepNext/>
              <w:spacing w:line="320" w:lineRule="exact" w:after="0" w:before="0"/>
              <w:ind w:firstLine="0"/>
              <w:jc w:val="center"/>
            </w:pPr>
            <w:r>
              <w:rPr>
                <w:b/>
                <w:sz w:val="21"/>
              </w:rPr>
              <w:t>课程内容</w:t>
            </w:r>
          </w:p>
        </w:tc>
        <w:tc>
          <w:tcPr>
            <w:tcW w:type="dxa" w:w="2409"/>
            <w:vAlign w:val="center"/>
            <w:shd w:fill="EDF1F3"/>
          </w:tcPr>
          <w:p>
            <w:pPr>
              <w:keepNext/>
              <w:spacing w:line="320" w:lineRule="exact" w:after="0" w:before="0"/>
              <w:ind w:firstLine="0"/>
              <w:jc w:val="center"/>
            </w:pPr>
            <w:r>
              <w:rPr>
                <w:b/>
                <w:sz w:val="21"/>
              </w:rPr>
              <w:t>主要对象</w:t>
            </w:r>
          </w:p>
        </w:tc>
        <w:tc>
          <w:tcPr>
            <w:tcW w:type="dxa" w:w="2891"/>
            <w:vAlign w:val="center"/>
            <w:shd w:fill="EDF1F3"/>
          </w:tcPr>
          <w:p>
            <w:pPr>
              <w:keepNext/>
              <w:spacing w:line="320" w:lineRule="exact" w:after="0" w:before="0"/>
              <w:ind w:firstLine="0"/>
              <w:jc w:val="center"/>
            </w:pPr>
            <w:r>
              <w:rPr>
                <w:b/>
                <w:sz w:val="21"/>
              </w:rPr>
              <w:t>教学成果</w:t>
            </w:r>
          </w:p>
        </w:tc>
      </w:tr>
      <w:tr>
        <w:trPr>
          <w:cantSplit/>
        </w:trPr>
        <w:tc>
          <w:tcPr>
            <w:tcW w:type="dxa" w:w="1638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KC-01</w:t>
            </w:r>
          </w:p>
        </w:tc>
        <w:tc>
          <w:tcPr>
            <w:tcW w:type="dxa" w:w="2699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项目治理目标与九项规划关系</w:t>
            </w:r>
          </w:p>
        </w:tc>
        <w:tc>
          <w:tcPr>
            <w:tcW w:type="dxa" w:w="2409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管理、业务及培养对象</w:t>
            </w:r>
          </w:p>
        </w:tc>
        <w:tc>
          <w:tcPr>
            <w:tcW w:type="dxa" w:w="2891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能把任务对应到治理目标</w:t>
            </w:r>
          </w:p>
        </w:tc>
      </w:tr>
      <w:tr>
        <w:trPr>
          <w:cantSplit/>
        </w:trPr>
        <w:tc>
          <w:tcPr>
            <w:tcW w:type="dxa" w:w="1638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KC-02</w:t>
            </w:r>
          </w:p>
        </w:tc>
        <w:tc>
          <w:tcPr>
            <w:tcW w:type="dxa" w:w="2699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组织职责授权与协同</w:t>
            </w:r>
          </w:p>
        </w:tc>
        <w:tc>
          <w:tcPr>
            <w:tcW w:type="dxa" w:w="2409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管理及数据管理岗位</w:t>
            </w:r>
          </w:p>
        </w:tc>
        <w:tc>
          <w:tcPr>
            <w:tcW w:type="dxa" w:w="2891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完成事项责任及升级路径</w:t>
            </w:r>
          </w:p>
        </w:tc>
      </w:tr>
      <w:tr>
        <w:trPr>
          <w:cantSplit/>
        </w:trPr>
        <w:tc>
          <w:tcPr>
            <w:tcW w:type="dxa" w:w="1638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KC-03</w:t>
            </w:r>
          </w:p>
        </w:tc>
        <w:tc>
          <w:tcPr>
            <w:tcW w:type="dxa" w:w="2699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制度执行议事与证据</w:t>
            </w:r>
          </w:p>
        </w:tc>
        <w:tc>
          <w:tcPr>
            <w:tcW w:type="dxa" w:w="2409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管理、档案及业务岗位</w:t>
            </w:r>
          </w:p>
        </w:tc>
        <w:tc>
          <w:tcPr>
            <w:tcW w:type="dxa" w:w="2891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形成可执行决议和证据索引</w:t>
            </w:r>
          </w:p>
        </w:tc>
      </w:tr>
      <w:tr>
        <w:trPr>
          <w:cantSplit/>
        </w:trPr>
        <w:tc>
          <w:tcPr>
            <w:tcW w:type="dxa" w:w="1638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KC-04</w:t>
            </w:r>
          </w:p>
        </w:tc>
        <w:tc>
          <w:tcPr>
            <w:tcW w:type="dxa" w:w="2699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业务术语数据元与指标口径</w:t>
            </w:r>
          </w:p>
        </w:tc>
        <w:tc>
          <w:tcPr>
            <w:tcW w:type="dxa" w:w="2409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业务、标准及技术岗位</w:t>
            </w:r>
          </w:p>
        </w:tc>
        <w:tc>
          <w:tcPr>
            <w:tcW w:type="dxa" w:w="2891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完成定义和正反例核查</w:t>
            </w:r>
          </w:p>
        </w:tc>
      </w:tr>
      <w:tr>
        <w:trPr>
          <w:cantSplit/>
        </w:trPr>
        <w:tc>
          <w:tcPr>
            <w:tcW w:type="dxa" w:w="1638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KC-05</w:t>
            </w:r>
          </w:p>
        </w:tc>
        <w:tc>
          <w:tcPr>
            <w:tcW w:type="dxa" w:w="2699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主数据身份与版本维护</w:t>
            </w:r>
          </w:p>
        </w:tc>
        <w:tc>
          <w:tcPr>
            <w:tcW w:type="dxa" w:w="2409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主数据及业务岗位</w:t>
            </w:r>
          </w:p>
        </w:tc>
        <w:tc>
          <w:tcPr>
            <w:tcW w:type="dxa" w:w="2891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完成新增变更和分发验证</w:t>
            </w:r>
          </w:p>
        </w:tc>
      </w:tr>
      <w:tr>
        <w:trPr>
          <w:cantSplit/>
        </w:trPr>
        <w:tc>
          <w:tcPr>
            <w:tcW w:type="dxa" w:w="1638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KC-06</w:t>
            </w:r>
          </w:p>
        </w:tc>
        <w:tc>
          <w:tcPr>
            <w:tcW w:type="dxa" w:w="2699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制造业务链与数据关联</w:t>
            </w:r>
          </w:p>
        </w:tc>
        <w:tc>
          <w:tcPr>
            <w:tcW w:type="dxa" w:w="2409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研发、生产、设备及质量</w:t>
            </w:r>
          </w:p>
        </w:tc>
        <w:tc>
          <w:tcPr>
            <w:tcW w:type="dxa" w:w="2891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完成对象和有效时间关联</w:t>
            </w:r>
          </w:p>
        </w:tc>
      </w:tr>
      <w:tr>
        <w:trPr>
          <w:cantSplit/>
        </w:trPr>
        <w:tc>
          <w:tcPr>
            <w:tcW w:type="dxa" w:w="1638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KC-07</w:t>
            </w:r>
          </w:p>
        </w:tc>
        <w:tc>
          <w:tcPr>
            <w:tcW w:type="dxa" w:w="2699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数据模型与五层架构</w:t>
            </w:r>
          </w:p>
        </w:tc>
        <w:tc>
          <w:tcPr>
            <w:tcW w:type="dxa" w:w="2409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架构、开发及业务骨干</w:t>
            </w:r>
          </w:p>
        </w:tc>
        <w:tc>
          <w:tcPr>
            <w:tcW w:type="dxa" w:w="2891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完成粒度和分层设计检查</w:t>
            </w:r>
          </w:p>
        </w:tc>
      </w:tr>
      <w:tr>
        <w:trPr>
          <w:cantSplit/>
        </w:trPr>
        <w:tc>
          <w:tcPr>
            <w:tcW w:type="dxa" w:w="1638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KC-08</w:t>
            </w:r>
          </w:p>
        </w:tc>
        <w:tc>
          <w:tcPr>
            <w:tcW w:type="dxa" w:w="2699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集成接入与增量对账</w:t>
            </w:r>
          </w:p>
        </w:tc>
        <w:tc>
          <w:tcPr>
            <w:tcW w:type="dxa" w:w="2409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系统、开发及运维</w:t>
            </w:r>
          </w:p>
        </w:tc>
        <w:tc>
          <w:tcPr>
            <w:tcW w:type="dxa" w:w="2891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完成接收核对和异常恢复</w:t>
            </w:r>
          </w:p>
        </w:tc>
      </w:tr>
      <w:tr>
        <w:trPr>
          <w:cantSplit/>
        </w:trPr>
        <w:tc>
          <w:tcPr>
            <w:tcW w:type="dxa" w:w="1638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KC-09</w:t>
            </w:r>
          </w:p>
        </w:tc>
        <w:tc>
          <w:tcPr>
            <w:tcW w:type="dxa" w:w="2699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元数据血缘与变更影响</w:t>
            </w:r>
          </w:p>
        </w:tc>
        <w:tc>
          <w:tcPr>
            <w:tcW w:type="dxa" w:w="2409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技术、数据管理及运营</w:t>
            </w:r>
          </w:p>
        </w:tc>
        <w:tc>
          <w:tcPr>
            <w:tcW w:type="dxa" w:w="2891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完成正反向追溯和影响分析</w:t>
            </w:r>
          </w:p>
        </w:tc>
      </w:tr>
      <w:tr>
        <w:trPr>
          <w:cantSplit/>
        </w:trPr>
        <w:tc>
          <w:tcPr>
            <w:tcW w:type="dxa" w:w="1638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KC-10</w:t>
            </w:r>
          </w:p>
        </w:tc>
        <w:tc>
          <w:tcPr>
            <w:tcW w:type="dxa" w:w="2699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质量规则根因与整改复核</w:t>
            </w:r>
          </w:p>
        </w:tc>
        <w:tc>
          <w:tcPr>
            <w:tcW w:type="dxa" w:w="2409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质量、业务及技术</w:t>
            </w:r>
          </w:p>
        </w:tc>
        <w:tc>
          <w:tcPr>
            <w:tcW w:type="dxa" w:w="2891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完成规则验证和整改证据</w:t>
            </w:r>
          </w:p>
        </w:tc>
      </w:tr>
      <w:tr>
        <w:trPr>
          <w:cantSplit/>
        </w:trPr>
        <w:tc>
          <w:tcPr>
            <w:tcW w:type="dxa" w:w="1638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KC-11</w:t>
            </w:r>
          </w:p>
        </w:tc>
        <w:tc>
          <w:tcPr>
            <w:tcW w:type="dxa" w:w="2699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分级授权敏感处理与审计</w:t>
            </w:r>
          </w:p>
        </w:tc>
        <w:tc>
          <w:tcPr>
            <w:tcW w:type="dxa" w:w="2409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安全、运营及使用岗位</w:t>
            </w:r>
          </w:p>
        </w:tc>
        <w:tc>
          <w:tcPr>
            <w:tcW w:type="dxa" w:w="2891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完成权限配置及拒绝测试</w:t>
            </w:r>
          </w:p>
        </w:tc>
      </w:tr>
      <w:tr>
        <w:trPr>
          <w:cantSplit/>
        </w:trPr>
        <w:tc>
          <w:tcPr>
            <w:tcW w:type="dxa" w:w="1638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KC-12</w:t>
            </w:r>
          </w:p>
        </w:tc>
        <w:tc>
          <w:tcPr>
            <w:tcW w:type="dxa" w:w="2699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目录权利服务与退出</w:t>
            </w:r>
          </w:p>
        </w:tc>
        <w:tc>
          <w:tcPr>
            <w:tcW w:type="dxa" w:w="2409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资产运营、业务及安全</w:t>
            </w:r>
          </w:p>
        </w:tc>
        <w:tc>
          <w:tcPr>
            <w:tcW w:type="dxa" w:w="2891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完成服务申请至到期回收</w:t>
            </w:r>
          </w:p>
        </w:tc>
      </w:tr>
      <w:tr>
        <w:trPr>
          <w:cantSplit/>
        </w:trPr>
        <w:tc>
          <w:tcPr>
            <w:tcW w:type="dxa" w:w="1638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KC-13</w:t>
            </w:r>
          </w:p>
        </w:tc>
        <w:tc>
          <w:tcPr>
            <w:tcW w:type="dxa" w:w="2699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数据集用途质量与比例</w:t>
            </w:r>
          </w:p>
        </w:tc>
        <w:tc>
          <w:tcPr>
            <w:tcW w:type="dxa" w:w="2409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生产、质量及数据管理</w:t>
            </w:r>
          </w:p>
        </w:tc>
        <w:tc>
          <w:tcPr>
            <w:tcW w:type="dxa" w:w="2891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能区分四用途及有效计量</w:t>
            </w:r>
          </w:p>
        </w:tc>
      </w:tr>
      <w:tr>
        <w:trPr>
          <w:cantSplit/>
        </w:trPr>
        <w:tc>
          <w:tcPr>
            <w:tcW w:type="dxa" w:w="1638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KC-14</w:t>
            </w:r>
          </w:p>
        </w:tc>
        <w:tc>
          <w:tcPr>
            <w:tcW w:type="dxa" w:w="2699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场景验证与专业判断</w:t>
            </w:r>
          </w:p>
        </w:tc>
        <w:tc>
          <w:tcPr>
            <w:tcW w:type="dxa" w:w="2409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业务专家及数据岗位</w:t>
            </w:r>
          </w:p>
        </w:tc>
        <w:tc>
          <w:tcPr>
            <w:tcW w:type="dxa" w:w="2891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完成可复现问题及专业复核</w:t>
            </w:r>
          </w:p>
        </w:tc>
      </w:tr>
      <w:tr>
        <w:trPr>
          <w:cantSplit/>
        </w:trPr>
        <w:tc>
          <w:tcPr>
            <w:tcW w:type="dxa" w:w="1638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KC-15</w:t>
            </w:r>
          </w:p>
        </w:tc>
        <w:tc>
          <w:tcPr>
            <w:tcW w:type="dxa" w:w="2699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岗位实操与异常处置</w:t>
            </w:r>
          </w:p>
        </w:tc>
        <w:tc>
          <w:tcPr>
            <w:tcW w:type="dxa" w:w="2409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各执行及接收岗位</w:t>
            </w:r>
          </w:p>
        </w:tc>
        <w:tc>
          <w:tcPr>
            <w:tcW w:type="dxa" w:w="2891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独立完成规定平台作业</w:t>
            </w:r>
          </w:p>
        </w:tc>
      </w:tr>
      <w:tr>
        <w:trPr>
          <w:cantSplit/>
        </w:trPr>
        <w:tc>
          <w:tcPr>
            <w:tcW w:type="dxa" w:w="1638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KC-16</w:t>
            </w:r>
          </w:p>
        </w:tc>
        <w:tc>
          <w:tcPr>
            <w:tcW w:type="dxa" w:w="2699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跨域治理专题与改进评价</w:t>
            </w:r>
          </w:p>
        </w:tc>
        <w:tc>
          <w:tcPr>
            <w:tcW w:type="dxa" w:w="2409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数据管理师培养对象</w:t>
            </w:r>
          </w:p>
        </w:tc>
        <w:tc>
          <w:tcPr>
            <w:tcW w:type="dxa" w:w="2891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完成综合专题及效果复核</w:t>
            </w:r>
          </w:p>
        </w:tc>
      </w:tr>
    </w:tbl>
    <w:p>
      <w:pPr>
        <w:spacing w:after="40" w:line="240" w:lineRule="auto"/>
        <w:ind w:firstLine="0"/>
      </w:pPr>
      <w:r>
        <w:rPr>
          <w:sz w:val="4"/>
        </w:rPr>
      </w:r>
    </w:p>
    <w:p>
      <w:pPr>
        <w:pStyle w:val="Heading3"/>
      </w:pPr>
      <w:r>
        <w:t>4.4.2 阶段计划与教学方式</w:t>
      </w:r>
    </w:p>
    <w:p>
      <w:pPr>
        <w:jc w:val="both"/>
      </w:pPr>
      <w:r>
        <w:t>启动阶段完成学习需求调查和岗位能力基线，组织共同规则及职责宣贯。诊断与规划阶段开展业务术语、对象、制度和模型课程，学员参与真实调查和规则讨论。治理实施阶段围绕实际配置开展主数据、质量、元数据、安全和运营操作，生产验证阶段开展数据集、场景及综合问题课程。</w:t>
      </w:r>
    </w:p>
    <w:p>
      <w:pPr>
        <w:jc w:val="both"/>
      </w:pPr>
      <w:r>
        <w:t>移交前完成岗位独立作业考核及资料接收，未达到要求的安排补训、辅导和复测。运行期根据新任职、制度变更、系统升级和问题复发开展接续培训。每期计划列明课程、对象、前置条件、讲师、环境、时间窗口、实践和评价，纳入统一项目实施计划。</w:t>
      </w:r>
    </w:p>
    <w:p>
      <w:pPr>
        <w:jc w:val="both"/>
      </w:pPr>
      <w:r>
        <w:t>教学采用集中讲解、现场演示、受控实操、跟岗、独立任务及复盘。演示展示完整操作和异常路径，实操由学员本人完成，讲师观察并记录需要帮助的步骤。独立任务阶段按有效权限使用实际或经批准的受控数据，成果经相应专业岗位检查。</w:t>
      </w:r>
    </w:p>
    <w:p>
      <w:pPr>
        <w:pStyle w:val="Caption"/>
        <w:keepNext/>
      </w:pPr>
      <w:r>
        <w:t>表4-4 阶段计划与教学方式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90" w:type="dxa"/>
          <w:bottom w:w="90" w:type="dxa"/>
          <w:left w:w="95" w:type="dxa"/>
          <w:right w:w="95" w:type="dxa"/>
        </w:tblCellMar>
      </w:tblPr>
      <w:tblGrid>
        <w:gridCol w:w="1638"/>
        <w:gridCol w:w="2699"/>
        <w:gridCol w:w="2409"/>
        <w:gridCol w:w="2891"/>
      </w:tblGrid>
      <w:tr>
        <w:trPr>
          <w:cantSplit/>
          <w:tblHeader/>
        </w:trPr>
        <w:tc>
          <w:tcPr>
            <w:tcW w:type="dxa" w:w="1638"/>
            <w:vAlign w:val="center"/>
            <w:shd w:fill="EDF1F3"/>
          </w:tcPr>
          <w:p>
            <w:pPr>
              <w:keepNext/>
              <w:spacing w:line="320" w:lineRule="exact" w:after="0" w:before="0"/>
              <w:ind w:firstLine="0"/>
              <w:jc w:val="center"/>
            </w:pPr>
            <w:r>
              <w:rPr>
                <w:b/>
                <w:sz w:val="21"/>
              </w:rPr>
              <w:t>阶段</w:t>
            </w:r>
          </w:p>
        </w:tc>
        <w:tc>
          <w:tcPr>
            <w:tcW w:type="dxa" w:w="2699"/>
            <w:vAlign w:val="center"/>
            <w:shd w:fill="EDF1F3"/>
          </w:tcPr>
          <w:p>
            <w:pPr>
              <w:keepNext/>
              <w:spacing w:line="320" w:lineRule="exact" w:after="0" w:before="0"/>
              <w:ind w:firstLine="0"/>
              <w:jc w:val="center"/>
            </w:pPr>
            <w:r>
              <w:rPr>
                <w:b/>
                <w:sz w:val="21"/>
              </w:rPr>
              <w:t>重点课程</w:t>
            </w:r>
          </w:p>
        </w:tc>
        <w:tc>
          <w:tcPr>
            <w:tcW w:type="dxa" w:w="2409"/>
            <w:vAlign w:val="center"/>
            <w:shd w:fill="EDF1F3"/>
          </w:tcPr>
          <w:p>
            <w:pPr>
              <w:keepNext/>
              <w:spacing w:line="320" w:lineRule="exact" w:after="0" w:before="0"/>
              <w:ind w:firstLine="0"/>
              <w:jc w:val="center"/>
            </w:pPr>
            <w:r>
              <w:rPr>
                <w:b/>
                <w:sz w:val="21"/>
              </w:rPr>
              <w:t>实践安排</w:t>
            </w:r>
          </w:p>
        </w:tc>
        <w:tc>
          <w:tcPr>
            <w:tcW w:type="dxa" w:w="2891"/>
            <w:vAlign w:val="center"/>
            <w:shd w:fill="EDF1F3"/>
          </w:tcPr>
          <w:p>
            <w:pPr>
              <w:keepNext/>
              <w:spacing w:line="320" w:lineRule="exact" w:after="0" w:before="0"/>
              <w:ind w:firstLine="0"/>
              <w:jc w:val="center"/>
            </w:pPr>
            <w:r>
              <w:rPr>
                <w:b/>
                <w:sz w:val="21"/>
              </w:rPr>
              <w:t>评价及后续</w:t>
            </w:r>
          </w:p>
        </w:tc>
      </w:tr>
      <w:tr>
        <w:trPr>
          <w:cantSplit/>
        </w:trPr>
        <w:tc>
          <w:tcPr>
            <w:tcW w:type="dxa" w:w="1638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启动</w:t>
            </w:r>
          </w:p>
        </w:tc>
        <w:tc>
          <w:tcPr>
            <w:tcW w:type="dxa" w:w="2699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KC-01至KC-03</w:t>
            </w:r>
          </w:p>
        </w:tc>
        <w:tc>
          <w:tcPr>
            <w:tcW w:type="dxa" w:w="2409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角色映射、议题材料和问题登记</w:t>
            </w:r>
          </w:p>
        </w:tc>
        <w:tc>
          <w:tcPr>
            <w:tcW w:type="dxa" w:w="2891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建立基础能力和学习路径</w:t>
            </w:r>
          </w:p>
        </w:tc>
      </w:tr>
      <w:tr>
        <w:trPr>
          <w:cantSplit/>
        </w:trPr>
        <w:tc>
          <w:tcPr>
            <w:tcW w:type="dxa" w:w="1638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诊断规划</w:t>
            </w:r>
          </w:p>
        </w:tc>
        <w:tc>
          <w:tcPr>
            <w:tcW w:type="dxa" w:w="2699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KC-04、KC-06、KC-07</w:t>
            </w:r>
          </w:p>
        </w:tc>
        <w:tc>
          <w:tcPr>
            <w:tcW w:type="dxa" w:w="2409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业务对象调查、口径和模型评审</w:t>
            </w:r>
          </w:p>
        </w:tc>
        <w:tc>
          <w:tcPr>
            <w:tcW w:type="dxa" w:w="2891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检查专业理解与规则表达</w:t>
            </w:r>
          </w:p>
        </w:tc>
      </w:tr>
      <w:tr>
        <w:trPr>
          <w:cantSplit/>
        </w:trPr>
        <w:tc>
          <w:tcPr>
            <w:tcW w:type="dxa" w:w="1638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治理实施</w:t>
            </w:r>
          </w:p>
        </w:tc>
        <w:tc>
          <w:tcPr>
            <w:tcW w:type="dxa" w:w="2699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KC-05、KC-08至KC-12</w:t>
            </w:r>
          </w:p>
        </w:tc>
        <w:tc>
          <w:tcPr>
            <w:tcW w:type="dxa" w:w="2409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配置、检测、血缘和服务办理</w:t>
            </w:r>
          </w:p>
        </w:tc>
        <w:tc>
          <w:tcPr>
            <w:tcW w:type="dxa" w:w="2891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受控实操后独立操作</w:t>
            </w:r>
          </w:p>
        </w:tc>
      </w:tr>
      <w:tr>
        <w:trPr>
          <w:cantSplit/>
        </w:trPr>
        <w:tc>
          <w:tcPr>
            <w:tcW w:type="dxa" w:w="1638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生产验证</w:t>
            </w:r>
          </w:p>
        </w:tc>
        <w:tc>
          <w:tcPr>
            <w:tcW w:type="dxa" w:w="2699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KC-13、KC-14、KC-16</w:t>
            </w:r>
          </w:p>
        </w:tc>
        <w:tc>
          <w:tcPr>
            <w:tcW w:type="dxa" w:w="2409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数据供给、场景问题与综合整改</w:t>
            </w:r>
          </w:p>
        </w:tc>
        <w:tc>
          <w:tcPr>
            <w:tcW w:type="dxa" w:w="2891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核查专业判断和改进效果</w:t>
            </w:r>
          </w:p>
        </w:tc>
      </w:tr>
      <w:tr>
        <w:trPr>
          <w:cantSplit/>
        </w:trPr>
        <w:tc>
          <w:tcPr>
            <w:tcW w:type="dxa" w:w="1638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移交</w:t>
            </w:r>
          </w:p>
        </w:tc>
        <w:tc>
          <w:tcPr>
            <w:tcW w:type="dxa" w:w="2699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KC-15及岗位薄弱课程</w:t>
            </w:r>
          </w:p>
        </w:tc>
        <w:tc>
          <w:tcPr>
            <w:tcW w:type="dxa" w:w="2409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日常作业、异常恢复和资料接收</w:t>
            </w:r>
          </w:p>
        </w:tc>
        <w:tc>
          <w:tcPr>
            <w:tcW w:type="dxa" w:w="2891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完成岗位承接及补训</w:t>
            </w:r>
          </w:p>
        </w:tc>
      </w:tr>
      <w:tr>
        <w:trPr>
          <w:cantSplit/>
        </w:trPr>
        <w:tc>
          <w:tcPr>
            <w:tcW w:type="dxa" w:w="1638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运行维护</w:t>
            </w:r>
          </w:p>
        </w:tc>
        <w:tc>
          <w:tcPr>
            <w:tcW w:type="dxa" w:w="2699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变更课程与新增岗位课程</w:t>
            </w:r>
          </w:p>
        </w:tc>
        <w:tc>
          <w:tcPr>
            <w:tcW w:type="dxa" w:w="2409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新规则、复发问题及替补演练</w:t>
            </w:r>
          </w:p>
        </w:tc>
        <w:tc>
          <w:tcPr>
            <w:tcW w:type="dxa" w:w="2891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更新教材并持续评价</w:t>
            </w:r>
          </w:p>
        </w:tc>
      </w:tr>
    </w:tbl>
    <w:p>
      <w:pPr>
        <w:spacing w:after="40" w:line="240" w:lineRule="auto"/>
        <w:ind w:firstLine="0"/>
      </w:pPr>
      <w:r>
        <w:rPr>
          <w:sz w:val="4"/>
        </w:rPr>
      </w:r>
    </w:p>
    <w:p>
      <w:pPr>
        <w:pStyle w:val="Heading2"/>
      </w:pPr>
      <w:r>
        <w:t>4.5 治理管理与业务数据教材</w:t>
      </w:r>
    </w:p>
    <w:p>
      <w:pPr>
        <w:pStyle w:val="Heading3"/>
      </w:pPr>
      <w:r>
        <w:t>4.5.1 第一册治理管理</w:t>
      </w:r>
    </w:p>
    <w:p>
      <w:pPr>
        <w:jc w:val="both"/>
      </w:pPr>
      <w:r>
        <w:t>第一册以治理事项从提出到完成的过程组织教学。学员先根据业务事实确定事项类型，再识别归口、执行、复核和批准岗位，随后准备输入、处理依赖、形成决定并核查执行结果。通过一项跨域指标争议练习理解战略目标、治理组织和专项规则之间的关系。</w:t>
      </w:r>
    </w:p>
    <w:p>
      <w:pPr>
        <w:jc w:val="both"/>
      </w:pPr>
      <w:r>
        <w:t>职责课程要求学员分别说明业务含义确认、技术实现和质量安全审查的责任，判断系统管理员是否具有业务批准权限，以及多岗位兼任时需要何种独立复核。练习产物为事项责任表和有效授权路径，检查是否存在无人负责、多个主责或自我批准。</w:t>
      </w:r>
    </w:p>
    <w:p>
      <w:pPr>
        <w:jc w:val="both"/>
      </w:pPr>
      <w:r>
        <w:t>议事课程以库存可用量差异为对象，整理不同系统的时间、状态、单位和排除条件，提出需要决策的问题。学员形成的决议应包含采用口径、适用范围、责任、实施和复核条件。讲师根据实际材料检查是否将业务差异误认为技术错误，是否遗漏历史结果处理。</w:t>
      </w:r>
    </w:p>
    <w:p>
      <w:pPr>
        <w:jc w:val="both"/>
      </w:pPr>
      <w:r>
        <w:t>证据课程围绕一个已经执行的任务建立批准、配置、运行、接收及问题关系。学员从任务结论反查原始材料，识别版本不一致、时间不匹配和仅有文件无实际运行的情况。考核要求能提出具体补充核查任务，并保留原有事实及限制。</w:t>
      </w:r>
    </w:p>
    <w:p>
      <w:pPr>
        <w:pStyle w:val="Heading3"/>
      </w:pPr>
      <w:r>
        <w:t>4.5.2 第二册业务数据</w:t>
      </w:r>
    </w:p>
    <w:p>
      <w:pPr>
        <w:jc w:val="both"/>
      </w:pPr>
      <w:r>
        <w:t>第二册围绕物料、产品零件、工件、设备、质量和指标六类对象讲解业务定义及关联。术语课要求学员从具体使用目的出发填写定义、粒度、单位、取值、时间、责任和适用条件，并给出能够判定适用与不适用的实例。定义经业务岗位确认后再进入技术实现。</w:t>
      </w:r>
    </w:p>
    <w:p>
      <w:pPr>
        <w:jc w:val="both"/>
      </w:pPr>
      <w:r>
        <w:t>主数据课处理同名不同物、同物不同码、替代料、图纸修订和设备更换。学员核对业务身份、来源键和历史关系，选择新增、变更、合并、拆分或停用操作，说明对历史单据及订阅系统的影响。练习检查是否保留旧对象及有效期，是否把名称相似误判为同一对象。</w:t>
      </w:r>
    </w:p>
    <w:p>
      <w:pPr>
        <w:jc w:val="both"/>
      </w:pPr>
      <w:r>
        <w:t>制造业务链课程以工件为线索，串联图纸版本、工艺、工序、热处理或焊接过程、检验和返修。学员按业务事件列出必要关联和时间，识别无法从检验回到实际加工条件的断点。解决方案包括补充关系、业务确认、修正映射和回归验证，不能直接生成无依据的关联。</w:t>
      </w:r>
    </w:p>
    <w:p>
      <w:pPr>
        <w:jc w:val="both"/>
      </w:pPr>
      <w:r>
        <w:t>指标课程以库存、生产进度和质量统计为对象，区别发生时间、录入时间、统计截止时间及核算期间。学员在同对象同截点下复算差异，并判断应统一定义还是保留不同业务指标。课程同时讲解分母为零、对象范围变化、历史更正和多组比例汇总的处理。</w:t>
      </w:r>
    </w:p>
    <w:p>
      <w:pPr>
        <w:pStyle w:val="Heading2"/>
      </w:pPr>
      <w:r>
        <w:t>4.6 技术质量安全与运营教材</w:t>
      </w:r>
    </w:p>
    <w:p>
      <w:pPr>
        <w:pStyle w:val="Heading3"/>
      </w:pPr>
      <w:r>
        <w:t>4.6.1 第三册技术实施</w:t>
      </w:r>
    </w:p>
    <w:p>
      <w:pPr>
        <w:jc w:val="both"/>
      </w:pPr>
      <w:r>
        <w:t>第三册从一个业务需求展开数据模型、集成、元数据、血缘和变更。模型课程首先确定一条记录代表什么业务事实，再确定键、时间、维度及关系，最后安排贴源、明细、汇总、维表和应用各层处理。练习要求说明原始事实、公共规则及场景输出分别落在何处。</w:t>
      </w:r>
    </w:p>
    <w:p>
      <w:pPr>
        <w:jc w:val="both"/>
      </w:pPr>
      <w:r>
        <w:t>接入课程使用具有新增、修改、删除或状态变更的受控批次，要求学员核对授权、对象范围、增量标记、数量和关键字段。模拟部分成功、源端短暂不可用和重复重试，观察学员是否先确认状态再恢复。合格结果应保留对账、失败对象、重跑和最终接收记录。</w:t>
      </w:r>
    </w:p>
    <w:p>
      <w:pPr>
        <w:jc w:val="both"/>
      </w:pPr>
      <w:r>
        <w:t>元数据课程要求同时登记业务含义、技术结构和管理条件，完成一个指标到业务明细、一个工件到工艺检验、一个知识条目到原文的追溯。学员对自动识别和人工确认的关系分别记录依据，找出断链及版本错误并提出修正动作。</w:t>
      </w:r>
    </w:p>
    <w:p>
      <w:pPr>
        <w:jc w:val="both"/>
      </w:pPr>
      <w:r>
        <w:t>变更课程围绕字段单位、状态和值域变化开展影响分析。学员查询受影响模型、规则、接口和服务，安排测试、批准、发布及恢复。检查重点为含义变化是否建立新标识或有效版本，历史结果是否仍能正确解释，正式发布是否经过独立复核。</w:t>
      </w:r>
    </w:p>
    <w:p>
      <w:pPr>
        <w:pStyle w:val="Heading3"/>
      </w:pPr>
      <w:r>
        <w:t>4.6.2 第四册质量安全与资产运营</w:t>
      </w:r>
    </w:p>
    <w:p>
      <w:pPr>
        <w:jc w:val="both"/>
      </w:pPr>
      <w:r>
        <w:t>质量课程从业务需求形成规则，分别检查完整、准确、一致、及时、唯一和有效要求。学员为规则提供正常、错误、边界及不适用样本，记录实际命中结果和例外依据。发现缺陷后分析源端记录、转换、关联及使用四类原因，形成整改和独立复核记录。</w:t>
      </w:r>
    </w:p>
    <w:p>
      <w:pPr>
        <w:jc w:val="both"/>
      </w:pPr>
      <w:r>
        <w:t>安全课程通过角色和对象验证用途授权。学员为目录查看、样本预览、文件下载和接口调用设置不同范围，检查到期、撤销、调岗及代理失效后的访问。训练同时核对受控副本和派生成果的处理，授权单关闭与实际权限回收分别验证。</w:t>
      </w:r>
    </w:p>
    <w:p>
      <w:pPr>
        <w:jc w:val="both"/>
      </w:pPr>
      <w:r>
        <w:t>资产运营课程从目录建档开始，核验来源、权利、版本、质量和获取条件，再办理申请、审批、交付、使用反馈和退出。学员应能解释目录可见并不意味着可以下载或重新提供，内部评价结果与具体财务处理分别履行程序。练习产物包括完整目录、授权条件和使用退出记录。</w:t>
      </w:r>
    </w:p>
    <w:p>
      <w:pPr>
        <w:jc w:val="both"/>
      </w:pPr>
      <w:r>
        <w:t>课程将安全分级名称与实际定级依据分开讲解。学员认识L1公开至L5机密五级名称，实际案例依据内容和影响判断并提交有权岗位确认。受控培训材料本身也有访问范围和保存要求，练习结束按照规定回收权限及处理副本。</w:t>
      </w:r>
    </w:p>
    <w:p>
      <w:pPr>
        <w:pStyle w:val="Heading3"/>
      </w:pPr>
      <w:r>
        <w:t>4.6.3 第五册综合实践与能力评价</w:t>
      </w:r>
    </w:p>
    <w:p>
      <w:pPr>
        <w:jc w:val="both"/>
      </w:pPr>
      <w:r>
        <w:t>第五册要求学员将不同课程连接为完整业务任务。综合实践包含需求确认、对象调查、口径、规则实现、质量安全、交付使用和效果复核，每个环节保存实际结果。任务可以采用物料统一、工件追溯、设备事件、库存指标或制度知识等主题，由岗位归口确认适用范围。</w:t>
      </w:r>
    </w:p>
    <w:p>
      <w:pPr>
        <w:jc w:val="both"/>
      </w:pPr>
      <w:r>
        <w:t>数据集课程讲解预训练、指令微调、偏好对齐和基准评测的用途差异，按不同有效计量单元核对规模及比例。学员区分业务来源、加工方式、样本版本和数据用途，识别将Tokens比例代替样本比例、以导入时间代替形成时间等错误。基准数据与训练来源隔离要求通过具体对象关系核查。</w:t>
      </w:r>
    </w:p>
    <w:p>
      <w:pPr>
        <w:jc w:val="both"/>
      </w:pPr>
      <w:r>
        <w:t>场景验证课程要求学员先确定输入、输出、业务条件和评价依据，再分析模型或服务结果。对于专业结论、知识引用或指标计算不符合预期的情况，记录可复现任务并定位问题属于来源、规则、加工、检索、专业判断还是输出。改进后按同协议复测并保留原结果。</w:t>
      </w:r>
    </w:p>
    <w:p>
      <w:pPr>
        <w:jc w:val="both"/>
      </w:pPr>
      <w:r>
        <w:t>评价课程指导学员整理目标、执行、结果、证据、偏差和后续行动，区分已完成事实与计划。综合任务报告应能由另一名合格岗位复现主要结论，指出尚需核验的实际条件，并形成明确责任和检查安排。报告评审结果与后续改进共同纳入个人能力记录。</w:t>
      </w:r>
    </w:p>
    <w:p>
      <w:pPr>
        <w:keepNext/>
        <w:spacing w:line="240" w:lineRule="auto" w:before="16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6048000" cy="1942338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图11_培养路径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048000" cy="194233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t>图4-2 数据管理师培养路径</w:t>
      </w:r>
    </w:p>
    <w:p>
      <w:pPr>
        <w:pStyle w:val="Heading2"/>
      </w:pPr>
      <w:r>
        <w:t>4.7 岗位实操项目与数据管理师培养</w:t>
      </w:r>
    </w:p>
    <w:p>
      <w:pPr>
        <w:pStyle w:val="Heading3"/>
      </w:pPr>
      <w:r>
        <w:t>4.7.1 实操项目安排</w:t>
      </w:r>
    </w:p>
    <w:p>
      <w:pPr>
        <w:jc w:val="both"/>
      </w:pPr>
      <w:r>
        <w:t>实操项目采用甲方批准的业务对象和受控数据，任务难度与岗位职责匹配。每个项目明确前置知识、输入、操作范围、预期成果、评价方法及安全条件。指导阶段可以获得帮助，独立阶段记录实际需要协助的环节，评价时分别反映。</w:t>
      </w:r>
    </w:p>
    <w:p>
      <w:pPr>
        <w:pStyle w:val="Caption"/>
        <w:keepNext/>
      </w:pPr>
      <w:r>
        <w:t>表4-5 实操项目安排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90" w:type="dxa"/>
          <w:bottom w:w="90" w:type="dxa"/>
          <w:left w:w="95" w:type="dxa"/>
          <w:right w:w="95" w:type="dxa"/>
        </w:tblCellMar>
      </w:tblPr>
      <w:tblGrid>
        <w:gridCol w:w="1638"/>
        <w:gridCol w:w="2699"/>
        <w:gridCol w:w="2409"/>
        <w:gridCol w:w="2891"/>
      </w:tblGrid>
      <w:tr>
        <w:trPr>
          <w:cantSplit/>
          <w:tblHeader/>
        </w:trPr>
        <w:tc>
          <w:tcPr>
            <w:tcW w:type="dxa" w:w="1638"/>
            <w:vAlign w:val="center"/>
            <w:shd w:fill="EDF1F3"/>
          </w:tcPr>
          <w:p>
            <w:pPr>
              <w:keepNext/>
              <w:spacing w:line="320" w:lineRule="exact" w:after="0" w:before="0"/>
              <w:ind w:firstLine="0"/>
              <w:jc w:val="center"/>
            </w:pPr>
            <w:r>
              <w:rPr>
                <w:b/>
                <w:sz w:val="21"/>
              </w:rPr>
              <w:t>项目编号</w:t>
            </w:r>
          </w:p>
        </w:tc>
        <w:tc>
          <w:tcPr>
            <w:tcW w:type="dxa" w:w="2699"/>
            <w:vAlign w:val="center"/>
            <w:shd w:fill="EDF1F3"/>
          </w:tcPr>
          <w:p>
            <w:pPr>
              <w:keepNext/>
              <w:spacing w:line="320" w:lineRule="exact" w:after="0" w:before="0"/>
              <w:ind w:firstLine="0"/>
              <w:jc w:val="center"/>
            </w:pPr>
            <w:r>
              <w:rPr>
                <w:b/>
                <w:sz w:val="21"/>
              </w:rPr>
              <w:t>实操主题</w:t>
            </w:r>
          </w:p>
        </w:tc>
        <w:tc>
          <w:tcPr>
            <w:tcW w:type="dxa" w:w="2409"/>
            <w:vAlign w:val="center"/>
            <w:shd w:fill="EDF1F3"/>
          </w:tcPr>
          <w:p>
            <w:pPr>
              <w:keepNext/>
              <w:spacing w:line="320" w:lineRule="exact" w:after="0" w:before="0"/>
              <w:ind w:firstLine="0"/>
              <w:jc w:val="center"/>
            </w:pPr>
            <w:r>
              <w:rPr>
                <w:b/>
                <w:sz w:val="21"/>
              </w:rPr>
              <w:t>学员完成的工作</w:t>
            </w:r>
          </w:p>
        </w:tc>
        <w:tc>
          <w:tcPr>
            <w:tcW w:type="dxa" w:w="2891"/>
            <w:vAlign w:val="center"/>
            <w:shd w:fill="EDF1F3"/>
          </w:tcPr>
          <w:p>
            <w:pPr>
              <w:keepNext/>
              <w:spacing w:line="320" w:lineRule="exact" w:after="0" w:before="0"/>
              <w:ind w:firstLine="0"/>
              <w:jc w:val="center"/>
            </w:pPr>
            <w:r>
              <w:rPr>
                <w:b/>
                <w:sz w:val="21"/>
              </w:rPr>
              <w:t>交付及评价重点</w:t>
            </w:r>
          </w:p>
        </w:tc>
      </w:tr>
      <w:tr>
        <w:trPr>
          <w:cantSplit/>
        </w:trPr>
        <w:tc>
          <w:tcPr>
            <w:tcW w:type="dxa" w:w="1638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SX-01</w:t>
            </w:r>
          </w:p>
        </w:tc>
        <w:tc>
          <w:tcPr>
            <w:tcW w:type="dxa" w:w="2699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物料身份及主数据变更</w:t>
            </w:r>
          </w:p>
        </w:tc>
        <w:tc>
          <w:tcPr>
            <w:tcW w:type="dxa" w:w="2409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比对身份、核查历史、审批变更并分发</w:t>
            </w:r>
          </w:p>
        </w:tc>
        <w:tc>
          <w:tcPr>
            <w:tcW w:type="dxa" w:w="2891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对象正确、历史保留、接收完整</w:t>
            </w:r>
          </w:p>
        </w:tc>
      </w:tr>
      <w:tr>
        <w:trPr>
          <w:cantSplit/>
        </w:trPr>
        <w:tc>
          <w:tcPr>
            <w:tcW w:type="dxa" w:w="1638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SX-02</w:t>
            </w:r>
          </w:p>
        </w:tc>
        <w:tc>
          <w:tcPr>
            <w:tcW w:type="dxa" w:w="2699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工件生产质量追溯</w:t>
            </w:r>
          </w:p>
        </w:tc>
        <w:tc>
          <w:tcPr>
            <w:tcW w:type="dxa" w:w="2409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关联图纸工艺、过程及检验</w:t>
            </w:r>
          </w:p>
        </w:tc>
        <w:tc>
          <w:tcPr>
            <w:tcW w:type="dxa" w:w="2891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版本时间正确，可双向回查</w:t>
            </w:r>
          </w:p>
        </w:tc>
      </w:tr>
      <w:tr>
        <w:trPr>
          <w:cantSplit/>
        </w:trPr>
        <w:tc>
          <w:tcPr>
            <w:tcW w:type="dxa" w:w="1638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SX-03</w:t>
            </w:r>
          </w:p>
        </w:tc>
        <w:tc>
          <w:tcPr>
            <w:tcW w:type="dxa" w:w="2699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库存指标口径确认</w:t>
            </w:r>
          </w:p>
        </w:tc>
        <w:tc>
          <w:tcPr>
            <w:tcW w:type="dxa" w:w="2409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固定时点状态、复算差异并发布</w:t>
            </w:r>
          </w:p>
        </w:tc>
        <w:tc>
          <w:tcPr>
            <w:tcW w:type="dxa" w:w="2891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口径明确、计算可复现</w:t>
            </w:r>
          </w:p>
        </w:tc>
      </w:tr>
      <w:tr>
        <w:trPr>
          <w:cantSplit/>
        </w:trPr>
        <w:tc>
          <w:tcPr>
            <w:tcW w:type="dxa" w:w="1638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SX-04</w:t>
            </w:r>
          </w:p>
        </w:tc>
        <w:tc>
          <w:tcPr>
            <w:tcW w:type="dxa" w:w="2699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设备故障事件治理</w:t>
            </w:r>
          </w:p>
        </w:tc>
        <w:tc>
          <w:tcPr>
            <w:tcW w:type="dxa" w:w="2409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核对测点工况、报警维修及标签</w:t>
            </w:r>
          </w:p>
        </w:tc>
        <w:tc>
          <w:tcPr>
            <w:tcW w:type="dxa" w:w="2891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专业依据充分、事件边界正确</w:t>
            </w:r>
          </w:p>
        </w:tc>
      </w:tr>
      <w:tr>
        <w:trPr>
          <w:cantSplit/>
        </w:trPr>
        <w:tc>
          <w:tcPr>
            <w:tcW w:type="dxa" w:w="1638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SX-05</w:t>
            </w:r>
          </w:p>
        </w:tc>
        <w:tc>
          <w:tcPr>
            <w:tcW w:type="dxa" w:w="2699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质量规则与整改</w:t>
            </w:r>
          </w:p>
        </w:tc>
        <w:tc>
          <w:tcPr>
            <w:tcW w:type="dxa" w:w="2409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配置规则、检查异常、分析并修复</w:t>
            </w:r>
          </w:p>
        </w:tc>
        <w:tc>
          <w:tcPr>
            <w:tcW w:type="dxa" w:w="2891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正反例有效、复核及影响处理完整</w:t>
            </w:r>
          </w:p>
        </w:tc>
      </w:tr>
      <w:tr>
        <w:trPr>
          <w:cantSplit/>
        </w:trPr>
        <w:tc>
          <w:tcPr>
            <w:tcW w:type="dxa" w:w="1638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SX-06</w:t>
            </w:r>
          </w:p>
        </w:tc>
        <w:tc>
          <w:tcPr>
            <w:tcW w:type="dxa" w:w="2699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元数据及变更影响</w:t>
            </w:r>
          </w:p>
        </w:tc>
        <w:tc>
          <w:tcPr>
            <w:tcW w:type="dxa" w:w="2409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采集核验、建立血缘、分析变更</w:t>
            </w:r>
          </w:p>
        </w:tc>
        <w:tc>
          <w:tcPr>
            <w:tcW w:type="dxa" w:w="2891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实际依赖可定位，回归范围正确</w:t>
            </w:r>
          </w:p>
        </w:tc>
      </w:tr>
      <w:tr>
        <w:trPr>
          <w:cantSplit/>
        </w:trPr>
        <w:tc>
          <w:tcPr>
            <w:tcW w:type="dxa" w:w="1638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SX-07</w:t>
            </w:r>
          </w:p>
        </w:tc>
        <w:tc>
          <w:tcPr>
            <w:tcW w:type="dxa" w:w="2699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资源共享及权限退出</w:t>
            </w:r>
          </w:p>
        </w:tc>
        <w:tc>
          <w:tcPr>
            <w:tcW w:type="dxa" w:w="2409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建档、审核、交付、使用和回收</w:t>
            </w:r>
          </w:p>
        </w:tc>
        <w:tc>
          <w:tcPr>
            <w:tcW w:type="dxa" w:w="2891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授权与访问一致，副本得到处理</w:t>
            </w:r>
          </w:p>
        </w:tc>
      </w:tr>
      <w:tr>
        <w:trPr>
          <w:cantSplit/>
        </w:trPr>
        <w:tc>
          <w:tcPr>
            <w:tcW w:type="dxa" w:w="1638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SX-08</w:t>
            </w:r>
          </w:p>
        </w:tc>
        <w:tc>
          <w:tcPr>
            <w:tcW w:type="dxa" w:w="2699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制度知识及版本维护</w:t>
            </w:r>
          </w:p>
        </w:tc>
        <w:tc>
          <w:tcPr>
            <w:tcW w:type="dxa" w:w="2409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登记原文、提取知识、检查引用与权限</w:t>
            </w:r>
          </w:p>
        </w:tc>
        <w:tc>
          <w:tcPr>
            <w:tcW w:type="dxa" w:w="2891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有效依据、条件完整、历史可查</w:t>
            </w:r>
          </w:p>
        </w:tc>
      </w:tr>
    </w:tbl>
    <w:p>
      <w:pPr>
        <w:spacing w:after="40" w:line="240" w:lineRule="auto"/>
        <w:ind w:firstLine="0"/>
      </w:pPr>
      <w:r>
        <w:rPr>
          <w:sz w:val="4"/>
        </w:rPr>
      </w:r>
    </w:p>
    <w:p>
      <w:pPr>
        <w:jc w:val="both"/>
      </w:pPr>
      <w:r>
        <w:t>项目评价从实际成果检查正确性、过程完整性、异常处理和可追溯性。能够在正常路径完成任务但遇到退回、失败或争议无法处理的，补充相应训练后重新考核。正式环境中发生错误时立即按管理流程处理，培训评价不能代替生产质量和安全处置。</w:t>
      </w:r>
    </w:p>
    <w:p>
      <w:pPr>
        <w:pStyle w:val="Heading3"/>
      </w:pPr>
      <w:r>
        <w:t>4.7.2 数据管理师培养路径</w:t>
      </w:r>
    </w:p>
    <w:p>
      <w:pPr>
        <w:jc w:val="both"/>
      </w:pPr>
      <w:r>
        <w:t>培养对象由甲方根据岗位职责和工作需要确定，办公室建立个人培养计划，明确现有基础、拟承担任务、导师、课程和实践项目。知识学习覆盖九项治理规划及其关系，工具训练覆盖实际平台功能，业务训练覆盖所在领域及关键上下游，组织训练覆盖跨域协调和报告。</w:t>
      </w:r>
    </w:p>
    <w:p>
      <w:pPr>
        <w:jc w:val="both"/>
      </w:pPr>
      <w:r>
        <w:t>第一阶段参与调查和规则讨论，完成业务对象、责任、术语及问题记录。导师检查学员是否准确理解业务事实，能否识别缺少的证据和必要确认。第二阶段在指导下完成一项治理工作，练习需求、实现、验证和接收的完整过程，重点纠正操作和记录问题。</w:t>
      </w:r>
    </w:p>
    <w:p>
      <w:pPr>
        <w:jc w:val="both"/>
      </w:pPr>
      <w:r>
        <w:t>第三阶段独立承担岗位任务，导师仅按预定检查点核查结果和风险。学员应能发现异常、定位责任、提出处理并形成完整证据。第四阶段承担跨域专题，协调业务、技术、质量安全和运营岗位，形成实施结果、效果评价及持续改进安排。</w:t>
      </w:r>
    </w:p>
    <w:p>
      <w:pPr>
        <w:jc w:val="both"/>
      </w:pPr>
      <w:r>
        <w:t>培养评价分别记录四类能力的表现和证据，不以课程完成自动认定达到某一外部职业资格或认证等级。涉及外部考试或认证的，按甲方实际需要和相应评价规则另行安排。项目内培养以岗位任务独立承担和治理改进效果为主要判断。</w:t>
      </w:r>
    </w:p>
    <w:p>
      <w:pPr>
        <w:pStyle w:val="Heading3"/>
      </w:pPr>
      <w:r>
        <w:t>4.7.3 导师辅导与实践复盘</w:t>
      </w:r>
    </w:p>
    <w:p>
      <w:pPr>
        <w:jc w:val="both"/>
      </w:pPr>
      <w:r>
        <w:t>导师结合任务进展开展辅导，重点检查定义不清、证据不足、责任遗漏、错误归因和验证不完整等问题。辅导记录注明对象、发现、建议和学员后续动作。避免直接代替学员完成关键任务，独立阶段需要导师介入时如实登记介入原因和范围。</w:t>
      </w:r>
    </w:p>
    <w:p>
      <w:pPr>
        <w:jc w:val="both"/>
      </w:pPr>
      <w:r>
        <w:t>实践复盘由学员说明业务问题、处理选择、实际结果及仍需改进的部分，相关岗位核查专业结论。复盘材料经授权脱敏后可以转为岗位案例，保留适用条件及规则版本。共性问题进入课程、操作规范和平台改进，后续学员使用更新材料。</w:t>
      </w:r>
    </w:p>
    <w:p>
      <w:pPr>
        <w:pStyle w:val="Heading2"/>
      </w:pPr>
      <w:r>
        <w:t>4.8 考核方法与结果应用</w:t>
      </w:r>
    </w:p>
    <w:p>
      <w:pPr>
        <w:pStyle w:val="Heading3"/>
      </w:pPr>
      <w:r>
        <w:t>4.8.1 知识实操与实践评价</w:t>
      </w:r>
    </w:p>
    <w:p>
      <w:pPr>
        <w:jc w:val="both"/>
      </w:pPr>
      <w:r>
        <w:t>项目内岗位培训采用知识考核、操作考核和岗位实践评价，三项分别按百分制记录。综合评价按知识30%、实操50%、岗位实践20%计算；三项分别达到80分且综合不低于80分，并通过适用的关键控制项，判定本次岗位培训考核通过。该标准用于本方案内部培训，与数据集正式质量评测评分分别管理。</w:t>
      </w:r>
    </w:p>
    <w:p>
      <w:pPr>
        <w:jc w:val="both"/>
      </w:pPr>
      <w:r>
        <w:t>知识考核采用情境问答、判断理由和短案例分析，检查是否理解职责、对象、规则和例外。实操考核要求学员本人完成任务，记录正确结果、必要步骤、异常处理和证据。岗位实践评价检查规定时间内实际任务质量及协同表现，由业务及专业岗位根据证据确认。</w:t>
      </w:r>
    </w:p>
    <w:p>
      <w:pPr>
        <w:jc w:val="both"/>
      </w:pPr>
      <w:r>
        <w:t>关键控制项包括遵守有效授权、不越权披露受控数据、保留原始证据、正确核对业务对象和版本、按要求履行独立复核，以及发现重要风险及时采取规定措施。关键控制项未通过的，当前考核暂不判定通过，先完成补训和重新验证。误操作产生实际影响时按正式问题或事件流程处置。</w:t>
      </w:r>
    </w:p>
    <w:p>
      <w:pPr>
        <w:pStyle w:val="Heading3"/>
      </w:pPr>
      <w:r>
        <w:t>4.8.2 评分记录与复测安排</w:t>
      </w:r>
    </w:p>
    <w:p>
      <w:pPr>
        <w:jc w:val="both"/>
      </w:pPr>
      <w:r>
        <w:t>评分依据统一任务和评价表，分别列出检查项、分值、实际结果、扣分理由和证据。不同考核人员使用相同判据，对专业结论有分歧的组织复核。学员可以就事实、操作环境或评分提出复核申请，结果更正保留原分和依据。</w:t>
      </w:r>
    </w:p>
    <w:p>
      <w:pPr>
        <w:jc w:val="both"/>
      </w:pPr>
      <w:r>
        <w:t>补训针对未通过知识点或操作环节安排，复测采用同等难度但不同对象的任务，避免只记住原题步骤。补训和复测结果分别保存，不能覆盖首次结果。反复未通过的，核查基础、教学、环境和岗位适配，调整培养计划或暂缓独立承担相应任务。</w:t>
      </w:r>
    </w:p>
    <w:p>
      <w:pPr>
        <w:jc w:val="both"/>
      </w:pPr>
      <w:r>
        <w:t>培训结果反馈到岗位承接、替补安排和后续学习。具备能力但缺少权限的，按任职授权程序办理；具备权限但能力不足的，按管理要求安排指导和限制范围。课程评价结果用于改进教材、演示和练习，不将个别学员问题直接推定为全体能力情况。</w:t>
      </w:r>
    </w:p>
    <w:p>
      <w:pPr>
        <w:pStyle w:val="Heading2"/>
      </w:pPr>
      <w:r>
        <w:t>4.9 数据管理考核题库</w:t>
      </w:r>
    </w:p>
    <w:p>
      <w:pPr>
        <w:pStyle w:val="Heading3"/>
      </w:pPr>
      <w:r>
        <w:t>4.9.1 题库管理和组卷规则</w:t>
      </w:r>
    </w:p>
    <w:p>
      <w:pPr>
        <w:jc w:val="both"/>
      </w:pPr>
      <w:r>
        <w:t>题库按课程、岗位、能力维度和难度分类，每题登记标识、题型、情境、问题、参考答案、评分点、关键控制及适用规则版本。知识题用于理解判断，操作题用于实际步骤和结果，综合题用于跨域分析与协同。组卷覆盖岗位必需能力，答案和评分细则由相应专业岗位复核。</w:t>
      </w:r>
    </w:p>
    <w:p>
      <w:pPr>
        <w:jc w:val="both"/>
      </w:pPr>
      <w:r>
        <w:t>题目采用受控业务情境，不包含未授权的真实个人或敏感经营信息。题目依据的制度、字段或平台功能变化时及时修订，旧题保留历史考试关联。实际考核避免仅重复教学时已经演示的同一对象，操作题保留必要异常条件以检查独立处理能力。</w:t>
      </w:r>
    </w:p>
    <w:p>
      <w:pPr>
        <w:pStyle w:val="Heading3"/>
      </w:pPr>
      <w:r>
        <w:t>4.9.2 知识判断题及参考答案</w:t>
      </w:r>
    </w:p>
    <w:p>
      <w:pPr>
        <w:jc w:val="both"/>
      </w:pPr>
      <w:r>
        <w:t>KT-01　某字段由系统管理员维护，是否可以据此由系统管理员直接决定该字段的业务定义？参考答案：业务归口岗位确认含义及适用条件，系统管理员按有效定义维护技术配置；应分别核查业务批准和技术执行。评分检查能否区分技术保管与业务责任。</w:t>
      </w:r>
    </w:p>
    <w:p>
      <w:pPr>
        <w:jc w:val="both"/>
      </w:pPr>
      <w:r>
        <w:t>KT-02　两个系统均显示库存数量但数值不同，首次核对需要固定哪些条件？参考答案：同一物料身份、统计时点、库存状态、单位、组织范围和排除条件，并核查更新时差；固定条件后再分析业务阶段或记录及计算错误。只回答统一系统数据不能得到本题通过评价。</w:t>
      </w:r>
    </w:p>
    <w:p>
      <w:pPr>
        <w:jc w:val="both"/>
      </w:pPr>
      <w:r>
        <w:t>KT-03　将历史资料今天导入平台，是否可以把今天作为近三年数据判断依据？参考答案：以实际业务或资料形成时间判断，导入时间单独保留；无法核实形成时间的对象留在有效总体分母，不计入近期数据分子。评分检查能否解释时间证据和统计后果。</w:t>
      </w:r>
    </w:p>
    <w:p>
      <w:pPr>
        <w:jc w:val="both"/>
      </w:pPr>
      <w:r>
        <w:t>KT-04　两个名称相同的物料能否直接合并主数据？参考答案：核查规格、材质、用途、来源键、历史业务及替代关系，由业务归口确认是否为同一对象；合并保留原编码与历史关联。评分检查是否保留对象身份判断和审批步骤。</w:t>
      </w:r>
    </w:p>
    <w:p>
      <w:pPr>
        <w:jc w:val="both"/>
      </w:pPr>
      <w:r>
        <w:t>KT-05　设备报警是否可以直接作为已确认故障标签？参考答案：报警、异常、故障确认和维修属于不同事件，故障标签需要专业岗位依据实际证据判断，保留工况、设备配置和事件边界。评分检查是否理解专业判断及来源关系。</w:t>
      </w:r>
    </w:p>
    <w:p>
      <w:pPr>
        <w:jc w:val="both"/>
      </w:pPr>
      <w:r>
        <w:t>KT-06　质量检查任务显示成功，是否足以证明全部计划对象通过检查？参考答案：继续核对实际处理范围、失败及未检查对象、规则版本和结果；结论只能覆盖实际完成检查的范围。评分检查能否区分程序运行状态与业务检查结论。</w:t>
      </w:r>
    </w:p>
    <w:p>
      <w:pPr>
        <w:jc w:val="both"/>
      </w:pPr>
      <w:r>
        <w:t>KT-07　数据目录可见是否意味着有权下载和再次提供其中内容？参考答案：目录可见、预览、下载、调用和再提供分别受授权约束，使用前核查用途、主体、范围及期限。评分检查权限层次和来源许可是否完整。</w:t>
      </w:r>
    </w:p>
    <w:p>
      <w:pPr>
        <w:jc w:val="both"/>
      </w:pPr>
      <w:r>
        <w:t>KT-08　数据元的业务含义发生实质变化，能否保持原标识而直接覆盖定义？参考答案：应建立新标识或按适用标准明确替代关系，保留历史含义及有效时间，检查系统、指标和使用影响。评分检查历史解释与变更控制。</w:t>
      </w:r>
    </w:p>
    <w:p>
      <w:pPr>
        <w:jc w:val="both"/>
      </w:pPr>
      <w:r>
        <w:t>KT-09　某项比例指标分母为零时应怎样报告？参考答案：登记本期无适用对象及业务原因，核查是否漏纳管，不以满分或100%代替无对象状态。评分检查统计语义及后续核查。</w:t>
      </w:r>
    </w:p>
    <w:p>
      <w:pPr>
        <w:jc w:val="both"/>
      </w:pPr>
      <w:r>
        <w:t>KT-10　已经修复当前异常记录，质量问题是否可以立即关闭？参考答案：检查根因、同类对象、受影响下游以及复测和专业确认，满足规定条件后由相应复核岗位关闭。评分检查是否仅关注表面修正。</w:t>
      </w:r>
    </w:p>
    <w:p>
      <w:pPr>
        <w:jc w:val="both"/>
      </w:pPr>
      <w:r>
        <w:t>KT-11　部门提出紧急使用需要，能否绕过来源许可和有效授权直接导出数据？参考答案：按有效应急授权及公司程序办理，核查用途、范围和保护条件并保留记录；紧急业务需求本身不构成无限访问许可。评分检查授权边界和记录。</w:t>
      </w:r>
    </w:p>
    <w:p>
      <w:pPr>
        <w:jc w:val="both"/>
      </w:pPr>
      <w:r>
        <w:t>KT-12　培训签到完成是否等同于具备独立岗位操作能力？参考答案：签到是过程记录，仍需知识、实操及岗位实践评价，并检查关键控制项；能力与正式任职授权分别确认。评分检查证据与结论对应。</w:t>
      </w:r>
    </w:p>
    <w:p>
      <w:pPr>
        <w:pStyle w:val="Heading3"/>
      </w:pPr>
      <w:r>
        <w:t>4.9.3 岗位操作题及检查要求</w:t>
      </w:r>
    </w:p>
    <w:p>
      <w:pPr>
        <w:jc w:val="both"/>
      </w:pPr>
      <w:r>
        <w:t>KT-13　办理一项物料主数据属性变更。学员应核对申请及当前版本，开展重复和影响检查，提交业务确认及批准，执行受控变更，核对订阅系统接收和历史关联，保存完整记录。检查重点为对象身份、有效期、批准及分发结果；遗漏原对象历史关系属于关键错误。</w:t>
      </w:r>
    </w:p>
    <w:p>
      <w:pPr>
        <w:jc w:val="both"/>
      </w:pPr>
      <w:r>
        <w:t>KT-14　为一项库存指标建立口径卡并复算。学员应填写用途、对象、时点、状态、单位、公式和排除条件，核对源数据和分子分母，复算差异并取得业务确认。评价依据为同条件下结果可复现，差异具有明确解释，口径与实际计算一致。</w:t>
      </w:r>
    </w:p>
    <w:p>
      <w:pPr>
        <w:jc w:val="both"/>
      </w:pPr>
      <w:r>
        <w:t>KT-15　处理一次增量接入部分失败。学员应固定原任务标识，核对已成功、失败和状态不明对象，分析原因及重复风险，按批准范围重跑，完成数量与关键字段对账。评价检查是否盲目重复执行和是否遗漏失败范围。</w:t>
      </w:r>
    </w:p>
    <w:p>
      <w:pPr>
        <w:jc w:val="both"/>
      </w:pPr>
      <w:r>
        <w:t>KT-16　配置并验证一项质量规则。学员应从业务需求形成判定条件，设置适用范围、严重程度和例外，使用正反例及边界数据测试，复核命中结果后提交发布。评价检查规则能否识别实际问题，以及异常是否有明确责任与处理路径。</w:t>
      </w:r>
    </w:p>
    <w:p>
      <w:pPr>
        <w:jc w:val="both"/>
      </w:pPr>
      <w:r>
        <w:t>KT-17　完成一项字段变更影响分析。学员应定位源对象、模型、接口、指标、数据集和服务依赖，核对自动识别与人工确认关系，提出回归范围和恢复安排。评价依据为关键下游未遗漏、版本正确、各接收岗位明确。</w:t>
      </w:r>
    </w:p>
    <w:p>
      <w:pPr>
        <w:jc w:val="both"/>
      </w:pPr>
      <w:r>
        <w:t>KT-18　办理受控资源共享和到期回收。学员应核查用途、权利、质量及安全条件，配置有效权限，验证有权和无权访问，交付后登记使用，到期回收并检查副本处置。权限实际回收和拒绝测试为关键检查项。</w:t>
      </w:r>
    </w:p>
    <w:p>
      <w:pPr>
        <w:jc w:val="both"/>
      </w:pPr>
      <w:r>
        <w:t>KT-19　维护一份制度文件的知识版本。学员应登记文件标识、版本、生效和适用范围，关联原文及条款，更新知识条目和检索条件，分别验证现行、历史及无权访问情形。评价检查引用是否完整、失效内容是否误用及权限是否继承。</w:t>
      </w:r>
    </w:p>
    <w:p>
      <w:pPr>
        <w:jc w:val="both"/>
      </w:pPr>
      <w:r>
        <w:t>KT-20　办理岗位调岗交接。学员应核对对象、待办、审批、问题、资料和权限，确认接任角色和授权，回收原权限并验证新岗位可执行范围。评价检查未完成事项是否连续承接，代理和受控副本是否得到处理。</w:t>
      </w:r>
    </w:p>
    <w:p>
      <w:pPr>
        <w:pStyle w:val="Heading3"/>
      </w:pPr>
      <w:r>
        <w:t>4.9.4 综合案例题及评价要点</w:t>
      </w:r>
    </w:p>
    <w:p>
      <w:pPr>
        <w:jc w:val="both"/>
      </w:pPr>
      <w:r>
        <w:t>KT-21　某工件的检验结论无法与实际加工工艺对应。学员需明确工件、图纸、工艺、工序、检验版本及时间，组织研发、工艺、生产、质量和技术岗位核查，定位来源、关联或版本问题。成果应包括责任分派、修复方案、双向追溯验证及对历史样本的影响处理。评价同时检查业务事实和跨域协同。</w:t>
      </w:r>
    </w:p>
    <w:p>
      <w:pPr>
        <w:jc w:val="both"/>
      </w:pPr>
      <w:r>
        <w:t>KT-22　设备故障数据在模型验证中表现异常。学员需核查设备与测点配置、工况、报警和维修证据、标签及来源家族，区分数据问题、专业判断和验证隔离问题。处理方案应保留原始记录，按专业确认修订后继版本，并通过相同验证协议比较结果。缺少真实故障依据时不能自行补造标签。</w:t>
      </w:r>
    </w:p>
    <w:p>
      <w:pPr>
        <w:jc w:val="both"/>
      </w:pPr>
      <w:r>
        <w:t>KT-23　多个业务部门对同一经营指标提出不同结果。学员需分别整理目的、对象、时间、状态、公式和来源，在统一条件下复算，判断属于不同业务事实还是同一事实的实现偏差。成果应包括口径确认或裁决材料、实施影响、历史处理及培训安排。评价检查是否未经依据简单指定一个系统为正确答案。</w:t>
      </w:r>
    </w:p>
    <w:p>
      <w:pPr>
        <w:jc w:val="both"/>
      </w:pPr>
      <w:r>
        <w:t>KT-24　某治理流程已形成制度但实际事项持续绕行。学员需核查真实流程、授权、平台能力、办理负荷和人员理解，分析绕行原因及风险，提出制度、配置、资源或培训改善。评价依据为措施具有责任、验证及后续检查，并能在真实事项中证明执行改善。</w:t>
      </w:r>
    </w:p>
    <w:p>
      <w:pPr>
        <w:pStyle w:val="Heading2"/>
      </w:pPr>
      <w:r>
        <w:t>4.10 知识共享与案例维护</w:t>
      </w:r>
    </w:p>
    <w:p>
      <w:pPr>
        <w:pStyle w:val="Heading3"/>
      </w:pPr>
      <w:r>
        <w:t>4.10.1 岗位知识库和问题反馈</w:t>
      </w:r>
    </w:p>
    <w:p>
      <w:pPr>
        <w:jc w:val="both"/>
      </w:pPr>
      <w:r>
        <w:t>岗位知识库收录有效制度、术语口径、操作规范、课程、常见问题和已复核案例。每条知识登记名称、内容、来源、适用岗位、版本、生效时间、归口、访问条件和复查时间。知识引用指向有效文件及条款，历史内容标明适用期间。</w:t>
      </w:r>
    </w:p>
    <w:p>
      <w:pPr>
        <w:jc w:val="both"/>
      </w:pPr>
      <w:r>
        <w:t>业务人员提问时登记对象、操作、现象、期望和证据，知识维护岗位先检查是否已有有效答案。已有答案适用时提供具体依据和条件，发现知识缺失或规则争议时转给相应专业岗位。确认后的答复经受控发布成为后续可复用内容，原问题保留关联和反馈。</w:t>
      </w:r>
    </w:p>
    <w:p>
      <w:pPr>
        <w:jc w:val="both"/>
      </w:pPr>
      <w:r>
        <w:t>知识检索或问答结果接受岗位核查，发现引用过期、条件遗漏或权限不当时及时处理。调整后验证关联问题及不同访问身份，防止只修正单条答案而保留同类缺陷。知识更新与制度、规则和平台变化保持同步。</w:t>
      </w:r>
    </w:p>
    <w:p>
      <w:pPr>
        <w:pStyle w:val="Heading3"/>
      </w:pPr>
      <w:r>
        <w:t>4.10.2 案例遴选与推广</w:t>
      </w:r>
    </w:p>
    <w:p>
      <w:pPr>
        <w:jc w:val="both"/>
      </w:pPr>
      <w:r>
        <w:t>案例优先选择跨部门口径、主数据、质量、安全、血缘和服务使用中的实际改善。归口岗位核实业务事实及成果，案例内容包括问题、条件、责任、处理、验证和适用范围。对涉及受限信息的材料进行授权审查及必要脱敏，案例表达聚焦流程和控制，不评价无关个人。</w:t>
      </w:r>
    </w:p>
    <w:p>
      <w:pPr>
        <w:jc w:val="both"/>
      </w:pPr>
      <w:r>
        <w:t>推广采用岗位交流、专题复盘、操作演示和新员工培训等方式。接受岗位应用前核查自身条件是否一致，不能仅因案例效果较好直接复制参数或判据。复用后收集结果和差异，形成适用条件补充或新案例，原版本继续保留。</w:t>
      </w:r>
    </w:p>
    <w:p>
      <w:pPr>
        <w:jc w:val="both"/>
      </w:pPr>
      <w:r>
        <w:t>对主动发现重要风险、提供可靠证据和形成有效改进的实践，按公司制度给予认可。评价关注实际效果和可复用方法，避免以发布文章数、活动次数或签到量替代改善。案例中的问题复发时重新分析条件和执行情况。</w:t>
      </w:r>
    </w:p>
    <w:p>
      <w:pPr>
        <w:keepNext/>
        <w:spacing w:line="240" w:lineRule="auto" w:before="16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6048000" cy="1942338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图12_文化改进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048000" cy="194233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t>图4-3 文化建设与持续改进</w:t>
      </w:r>
    </w:p>
    <w:p>
      <w:pPr>
        <w:pStyle w:val="Heading2"/>
      </w:pPr>
      <w:r>
        <w:t>4.11 文化建设度量与持续支持</w:t>
      </w:r>
    </w:p>
    <w:p>
      <w:pPr>
        <w:pStyle w:val="Heading3"/>
      </w:pPr>
      <w:r>
        <w:t>4.11.1 效果度量和复查</w:t>
      </w:r>
    </w:p>
    <w:p>
      <w:pPr>
        <w:jc w:val="both"/>
      </w:pPr>
      <w:r>
        <w:t>文化建设度量包括岗位覆盖、知识掌握、独立操作、实践完成、规则执行和改进复用。每项结果明确对象、期间及取数依据，新增岗位和人员流动引起的范围变化单独记录。不同岗位按相应课程和任务评价，汇总比例使用一致分子分母重新计算。</w:t>
      </w:r>
    </w:p>
    <w:p>
      <w:pPr>
        <w:pStyle w:val="Caption"/>
        <w:keepNext/>
      </w:pPr>
      <w:r>
        <w:t>表4-6 效果度量和复查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90" w:type="dxa"/>
          <w:bottom w:w="90" w:type="dxa"/>
          <w:left w:w="95" w:type="dxa"/>
          <w:right w:w="95" w:type="dxa"/>
        </w:tblCellMar>
      </w:tblPr>
      <w:tblGrid>
        <w:gridCol w:w="1638"/>
        <w:gridCol w:w="2699"/>
        <w:gridCol w:w="2409"/>
        <w:gridCol w:w="2891"/>
      </w:tblGrid>
      <w:tr>
        <w:trPr>
          <w:cantSplit/>
          <w:tblHeader/>
        </w:trPr>
        <w:tc>
          <w:tcPr>
            <w:tcW w:type="dxa" w:w="1638"/>
            <w:vAlign w:val="center"/>
            <w:shd w:fill="EDF1F3"/>
          </w:tcPr>
          <w:p>
            <w:pPr>
              <w:keepNext/>
              <w:spacing w:line="320" w:lineRule="exact" w:after="0" w:before="0"/>
              <w:ind w:firstLine="0"/>
              <w:jc w:val="center"/>
            </w:pPr>
            <w:r>
              <w:rPr>
                <w:b/>
                <w:sz w:val="21"/>
              </w:rPr>
              <w:t>度量内容</w:t>
            </w:r>
          </w:p>
        </w:tc>
        <w:tc>
          <w:tcPr>
            <w:tcW w:type="dxa" w:w="2699"/>
            <w:vAlign w:val="center"/>
            <w:shd w:fill="EDF1F3"/>
          </w:tcPr>
          <w:p>
            <w:pPr>
              <w:keepNext/>
              <w:spacing w:line="320" w:lineRule="exact" w:after="0" w:before="0"/>
              <w:ind w:firstLine="0"/>
              <w:jc w:val="center"/>
            </w:pPr>
            <w:r>
              <w:rPr>
                <w:b/>
                <w:sz w:val="21"/>
              </w:rPr>
              <w:t>计算或核查方法</w:t>
            </w:r>
          </w:p>
        </w:tc>
        <w:tc>
          <w:tcPr>
            <w:tcW w:type="dxa" w:w="2409"/>
            <w:vAlign w:val="center"/>
            <w:shd w:fill="EDF1F3"/>
          </w:tcPr>
          <w:p>
            <w:pPr>
              <w:keepNext/>
              <w:spacing w:line="320" w:lineRule="exact" w:after="0" w:before="0"/>
              <w:ind w:firstLine="0"/>
              <w:jc w:val="center"/>
            </w:pPr>
            <w:r>
              <w:rPr>
                <w:b/>
                <w:sz w:val="21"/>
              </w:rPr>
              <w:t>证据来源</w:t>
            </w:r>
          </w:p>
        </w:tc>
        <w:tc>
          <w:tcPr>
            <w:tcW w:type="dxa" w:w="2891"/>
            <w:vAlign w:val="center"/>
            <w:shd w:fill="EDF1F3"/>
          </w:tcPr>
          <w:p>
            <w:pPr>
              <w:keepNext/>
              <w:spacing w:line="320" w:lineRule="exact" w:after="0" w:before="0"/>
              <w:ind w:firstLine="0"/>
              <w:jc w:val="center"/>
            </w:pPr>
            <w:r>
              <w:rPr>
                <w:b/>
                <w:sz w:val="21"/>
              </w:rPr>
              <w:t>改善动作</w:t>
            </w:r>
          </w:p>
        </w:tc>
      </w:tr>
      <w:tr>
        <w:trPr>
          <w:cantSplit/>
        </w:trPr>
        <w:tc>
          <w:tcPr>
            <w:tcW w:type="dxa" w:w="1638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岗位培训覆盖</w:t>
            </w:r>
          </w:p>
        </w:tc>
        <w:tc>
          <w:tcPr>
            <w:tcW w:type="dxa" w:w="2699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已完成规定课程岗位数占应培训岗位数</w:t>
            </w:r>
          </w:p>
        </w:tc>
        <w:tc>
          <w:tcPr>
            <w:tcW w:type="dxa" w:w="2409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有效岗位及课程记录</w:t>
            </w:r>
          </w:p>
        </w:tc>
        <w:tc>
          <w:tcPr>
            <w:tcW w:type="dxa" w:w="2891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补齐新任职和遗漏岗位</w:t>
            </w:r>
          </w:p>
        </w:tc>
      </w:tr>
      <w:tr>
        <w:trPr>
          <w:cantSplit/>
        </w:trPr>
        <w:tc>
          <w:tcPr>
            <w:tcW w:type="dxa" w:w="1638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知识掌握</w:t>
            </w:r>
          </w:p>
        </w:tc>
        <w:tc>
          <w:tcPr>
            <w:tcW w:type="dxa" w:w="2699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按岗位必需知识考核并分析错误分布</w:t>
            </w:r>
          </w:p>
        </w:tc>
        <w:tc>
          <w:tcPr>
            <w:tcW w:type="dxa" w:w="2409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答卷、题目版本和评分</w:t>
            </w:r>
          </w:p>
        </w:tc>
        <w:tc>
          <w:tcPr>
            <w:tcW w:type="dxa" w:w="2891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补充难点解释及案例</w:t>
            </w:r>
          </w:p>
        </w:tc>
      </w:tr>
      <w:tr>
        <w:trPr>
          <w:cantSplit/>
        </w:trPr>
        <w:tc>
          <w:tcPr>
            <w:tcW w:type="dxa" w:w="1638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独立操作</w:t>
            </w:r>
          </w:p>
        </w:tc>
        <w:tc>
          <w:tcPr>
            <w:tcW w:type="dxa" w:w="2699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独立通过规定任务的人次占应考核人次</w:t>
            </w:r>
          </w:p>
        </w:tc>
        <w:tc>
          <w:tcPr>
            <w:tcW w:type="dxa" w:w="2409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操作成果和评价记录</w:t>
            </w:r>
          </w:p>
        </w:tc>
        <w:tc>
          <w:tcPr>
            <w:tcW w:type="dxa" w:w="2891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增加实操及异常训练</w:t>
            </w:r>
          </w:p>
        </w:tc>
      </w:tr>
      <w:tr>
        <w:trPr>
          <w:cantSplit/>
        </w:trPr>
        <w:tc>
          <w:tcPr>
            <w:tcW w:type="dxa" w:w="1638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实践改善</w:t>
            </w:r>
          </w:p>
        </w:tc>
        <w:tc>
          <w:tcPr>
            <w:tcW w:type="dxa" w:w="2699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已验证完成的实践项目与后续效果</w:t>
            </w:r>
          </w:p>
        </w:tc>
        <w:tc>
          <w:tcPr>
            <w:tcW w:type="dxa" w:w="2409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项目成果、复核及业务反馈</w:t>
            </w:r>
          </w:p>
        </w:tc>
        <w:tc>
          <w:tcPr>
            <w:tcW w:type="dxa" w:w="2891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调整任务和导师辅导</w:t>
            </w:r>
          </w:p>
        </w:tc>
      </w:tr>
      <w:tr>
        <w:trPr>
          <w:cantSplit/>
        </w:trPr>
        <w:tc>
          <w:tcPr>
            <w:tcW w:type="dxa" w:w="1638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主动问题报告</w:t>
            </w:r>
          </w:p>
        </w:tc>
        <w:tc>
          <w:tcPr>
            <w:tcW w:type="dxa" w:w="2699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可定位且经核实的问题及风险</w:t>
            </w:r>
          </w:p>
        </w:tc>
        <w:tc>
          <w:tcPr>
            <w:tcW w:type="dxa" w:w="2409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问题记录与核查结果</w:t>
            </w:r>
          </w:p>
        </w:tc>
        <w:tc>
          <w:tcPr>
            <w:tcW w:type="dxa" w:w="2891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改善反馈入口和知识支持</w:t>
            </w:r>
          </w:p>
        </w:tc>
      </w:tr>
      <w:tr>
        <w:trPr>
          <w:cantSplit/>
        </w:trPr>
        <w:tc>
          <w:tcPr>
            <w:tcW w:type="dxa" w:w="1638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规则执行</w:t>
            </w:r>
          </w:p>
        </w:tc>
        <w:tc>
          <w:tcPr>
            <w:tcW w:type="dxa" w:w="2699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实际事项按有效规则办理情况</w:t>
            </w:r>
          </w:p>
        </w:tc>
        <w:tc>
          <w:tcPr>
            <w:tcW w:type="dxa" w:w="2409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流程、日志及抽查</w:t>
            </w:r>
          </w:p>
        </w:tc>
        <w:tc>
          <w:tcPr>
            <w:tcW w:type="dxa" w:w="2891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修订制度配置和工作安排</w:t>
            </w:r>
          </w:p>
        </w:tc>
      </w:tr>
      <w:tr>
        <w:trPr>
          <w:cantSplit/>
        </w:trPr>
        <w:tc>
          <w:tcPr>
            <w:tcW w:type="dxa" w:w="1638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案例有效复用</w:t>
            </w:r>
          </w:p>
        </w:tc>
        <w:tc>
          <w:tcPr>
            <w:tcW w:type="dxa" w:w="2699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经适用性核验且实际使用的案例</w:t>
            </w:r>
          </w:p>
        </w:tc>
        <w:tc>
          <w:tcPr>
            <w:tcW w:type="dxa" w:w="2409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复用记录和使用结果</w:t>
            </w:r>
          </w:p>
        </w:tc>
        <w:tc>
          <w:tcPr>
            <w:tcW w:type="dxa" w:w="2891"/>
            <w:vAlign w:val="center"/>
          </w:tcPr>
          <w:p>
            <w:pPr>
              <w:keepNext w:val="0"/>
              <w:spacing w:line="320" w:lineRule="exact" w:after="0" w:before="0"/>
              <w:ind w:firstLine="0"/>
              <w:jc w:val="left"/>
            </w:pPr>
            <w:r>
              <w:rPr>
                <w:b w:val="0"/>
                <w:sz w:val="21"/>
              </w:rPr>
              <w:t>更新条件及推广范围</w:t>
            </w:r>
          </w:p>
        </w:tc>
      </w:tr>
    </w:tbl>
    <w:p>
      <w:pPr>
        <w:spacing w:after="40" w:line="240" w:lineRule="auto"/>
        <w:ind w:firstLine="0"/>
      </w:pPr>
      <w:r>
        <w:rPr>
          <w:sz w:val="4"/>
        </w:rPr>
      </w:r>
    </w:p>
    <w:p>
      <w:pPr>
        <w:jc w:val="both"/>
      </w:pPr>
      <w:r>
        <w:t>检查结果应区分知识不理解、操作不熟练、流程难执行、工具能力不足和资源不充分等原因。培训能够解决的问题安排补训，涉及制度、平台和资源的转入相应治理任务。后续复查实际问题是否减少、处理是否更准确以及岗位能否独立承接。</w:t>
      </w:r>
    </w:p>
    <w:p>
      <w:pPr>
        <w:pStyle w:val="Heading3"/>
      </w:pPr>
      <w:r>
        <w:t>4.11.2 持续支持和人员接续</w:t>
      </w:r>
    </w:p>
    <w:p>
      <w:pPr>
        <w:jc w:val="both"/>
      </w:pPr>
      <w:r>
        <w:t>项目建设和移交期间提供课程答疑、操作辅导、材料更新及实践复核，关键岗位在正式接收前完成必要考核。运行期按照统一质保及技术服务安排继续支持制度、规则和平台变化引起的学习需求，知识库和操作材料持续维护。</w:t>
      </w:r>
    </w:p>
    <w:p>
      <w:pPr>
        <w:jc w:val="both"/>
      </w:pPr>
      <w:r>
        <w:t>新增和调岗人员先完成通用制度及权限课程，再按岗位路径接受专业训练。替补岗位定期参加实际任务或演练，防止名义替补缺少操作能力。人员离岗将个人掌握的必要业务规则、操作经验和在办问题转入受控知识与交接材料。</w:t>
      </w:r>
    </w:p>
    <w:p>
      <w:pPr>
        <w:jc w:val="both"/>
      </w:pPr>
      <w:r>
        <w:t>复杂问题通过业务、技术和专业岗位联合辅导解决，形成可复用处理记录。培训过程中发现源数据或正式流程存在缺陷时，按相应治理程序处理并反馈课程，不通过修改练习材料隐藏真实问题。</w:t>
      </w:r>
    </w:p>
    <w:p>
      <w:pPr>
        <w:pStyle w:val="Heading2"/>
      </w:pPr>
      <w:r>
        <w:t>4.12 方案评审成果交付与修订</w:t>
      </w:r>
    </w:p>
    <w:p>
      <w:pPr>
        <w:pStyle w:val="Heading3"/>
      </w:pPr>
      <w:r>
        <w:t>4.12.1 方案评审和成果检查</w:t>
      </w:r>
    </w:p>
    <w:p>
      <w:pPr>
        <w:jc w:val="both"/>
      </w:pPr>
      <w:r>
        <w:t>方案评审核查对象覆盖、岗位能力、课程、阶段安排、环境、实操、考核、数据管理师培养及持续支持。业务岗位核查案例和专业答案，技术岗位核查操作与平台一致，质量安全岗位核查判据和数据使用，培训及管理岗位核查计划和资源。评审意见逐项处理并保留复核。</w:t>
      </w:r>
    </w:p>
    <w:p>
      <w:pPr>
        <w:jc w:val="both"/>
      </w:pPr>
      <w:r>
        <w:t>交付内容包括文化建设方案、培训计划、五册教材、课程及演示材料、岗位操作资料、题库与评分细则、培训及考核记录、培养实践成果、知识案例及持续支持安排。文件标识与分册、课程和题目版本保持一致，实际运行记录按形成时间和对象归档。</w:t>
      </w:r>
    </w:p>
    <w:p>
      <w:pPr>
        <w:jc w:val="both"/>
      </w:pPr>
      <w:r>
        <w:t>成果检查通过材料审核和实际教学操作共同开展。抽取课程核对制度依据，抽取题目核对答案与评分，抽取岗位执行规定任务，抽取培养专题核对业务结果及证据。发现内容、操作或承接不足时完成补充与重新检查。</w:t>
      </w:r>
    </w:p>
    <w:p>
      <w:pPr>
        <w:pStyle w:val="Heading3"/>
      </w:pPr>
      <w:r>
        <w:t>4.12.2 版本修订及四类成果衔接</w:t>
      </w:r>
    </w:p>
    <w:p>
      <w:pPr>
        <w:jc w:val="both"/>
      </w:pPr>
      <w:r>
        <w:t>制度变化、平台调整、业务对象变化、考核集中错误、实际问题复发和人员职责变化触发教材及方案修订。修订标明内容、原因、依据、适用对象和生效时间，课程、操作卡、题库和知识条目同步检查。旧版培训记录保留原材料及评价依据，后续补训使用当前有效版本。</w:t>
      </w:r>
    </w:p>
    <w:p>
      <w:pPr>
        <w:jc w:val="both"/>
      </w:pPr>
      <w:r>
        <w:t>治理顶层规划确定组织、制度和能力建设方向，组织架构落实岗位与授权，顶层管理制度规定日常程序和操作，文化建设方案通过学习和实践支持岗位执行。四类成果中的对象、职责、规则和版本统一核对，运行反馈进入规划、制度和培训的持续改进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247" w:right="1134" w:bottom="1134" w:left="1134" w:header="51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ind w:firstLine="0"/>
      <w:jc w:val="center"/>
    </w:pPr>
    <w:r>
      <w:t xml:space="preserve">数据治理管理文件　｜　第 </w:t>
    </w:r>
    <w:r/>
    <w:fldSimple w:instr="PAGE"/>
    <w:r>
      <w:t xml:space="preserve"> 页　共 </w:t>
    </w:r>
    <w:r/>
    <w:fldSimple w:instr="NUMPAGES"/>
    <w:r>
      <w:t xml:space="preserve"> 页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ind w:firstLine="0"/>
      <w:jc w:val="center"/>
    </w:pPr>
    <w:r>
      <w:t>矿山装备制造领域高质量数据集建设及场景应用项目配套设施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410" w:lineRule="exact" w:after="40"/>
      <w:ind w:firstLine="480"/>
    </w:pPr>
    <w:rPr>
      <w:rFonts w:ascii="Times New Roman" w:hAnsi="Times New Roman" w:eastAsia="Songti SC"/>
      <w:b w:val="0"/>
      <w:color w:val="000000"/>
      <w:sz w:val="24"/>
      <w:lang w:eastAsia="zh-CN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Songti SC"/>
      <w:b w:val="0"/>
      <w:color w:val="000000"/>
      <w:sz w:val="18"/>
      <w:lang w:eastAsia="zh-CN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Songti SC"/>
      <w:b w:val="0"/>
      <w:color w:val="000000"/>
      <w:sz w:val="18"/>
      <w:lang w:eastAsia="zh-CN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20" w:line="460" w:lineRule="exact"/>
      <w:ind w:firstLine="0"/>
      <w:outlineLvl w:val="0"/>
    </w:pPr>
    <w:rPr>
      <w:rFonts w:ascii="Times New Roman" w:hAnsi="Times New Roman" w:eastAsia="Songti SC"/>
      <w:b/>
      <w:bCs/>
      <w:color w:val="000000"/>
      <w:sz w:val="32"/>
      <w:szCs w:val="28"/>
      <w:lang w:eastAsia="zh-C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120" w:line="400" w:lineRule="exact"/>
      <w:ind w:firstLine="0"/>
      <w:outlineLvl w:val="1"/>
    </w:pPr>
    <w:rPr>
      <w:rFonts w:ascii="Times New Roman" w:hAnsi="Times New Roman" w:eastAsia="Songti SC"/>
      <w:b/>
      <w:bCs/>
      <w:color w:val="000000"/>
      <w:sz w:val="26"/>
      <w:szCs w:val="26"/>
      <w:lang w:eastAsia="zh-C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120" w:line="400" w:lineRule="exact"/>
      <w:ind w:firstLine="0"/>
      <w:outlineLvl w:val="2"/>
    </w:pPr>
    <w:rPr>
      <w:rFonts w:ascii="Times New Roman" w:hAnsi="Times New Roman" w:eastAsia="Songti SC"/>
      <w:b/>
      <w:bCs/>
      <w:color w:val="000000"/>
      <w:sz w:val="24"/>
      <w:lang w:eastAsia="zh-CN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Songti SC"/>
      <w:b/>
      <w:color w:val="000000"/>
      <w:spacing w:val="5"/>
      <w:kern w:val="28"/>
      <w:sz w:val="42"/>
      <w:szCs w:val="52"/>
      <w:lang w:eastAsia="zh-CN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76" w:lineRule="auto" w:after="120"/>
      <w:ind w:firstLine="0"/>
    </w:pPr>
    <w:rPr>
      <w:rFonts w:ascii="Times New Roman" w:hAnsi="Times New Roman" w:eastAsia="Songti SC"/>
      <w:b w:val="0"/>
      <w:bCs/>
      <w:color w:val="000000"/>
      <w:sz w:val="21"/>
      <w:szCs w:val="18"/>
      <w:lang w:eastAsia="zh-CN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Relationship Id="rId19" Type="http://schemas.openxmlformats.org/officeDocument/2006/relationships/image" Target="media/image9.png"/><Relationship Id="rId20" Type="http://schemas.openxmlformats.org/officeDocument/2006/relationships/image" Target="media/image10.png"/><Relationship Id="rId21" Type="http://schemas.openxmlformats.org/officeDocument/2006/relationships/image" Target="media/image11.png"/><Relationship Id="rId22" Type="http://schemas.openxmlformats.org/officeDocument/2006/relationships/image" Target="media/image1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数据治理管理文件</dc:title>
  <dc:subject>矿山装备制造领域高质量数据集建设及场景应用项目配套设施 数据加工生产服务</dc:subject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