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数据战略管理文件</w:t>
      </w:r>
    </w:p>
    <w:p>
      <w:pPr>
        <w:spacing w:line="324" w:lineRule="auto"/>
        <w:ind w:firstLine="0"/>
        <w:jc w:val="center"/>
      </w:pPr>
      <w:r>
        <w:t>矿山装备制造领域高质量数据集建设及场景应用项目配套设施</w:t>
        <w:br/>
        <w:t>数据加工生产服务</w:t>
      </w:r>
    </w:p>
    <w:p>
      <w:pPr>
        <w:spacing w:after="200"/>
      </w:pPr>
      <w:r>
        <w:t>我方围绕矿山装备制造领域的数据治理、数据集建设及场景应用，形成数据战略管理办法、数据战略规划、数据战略实施计划和战略评估报告，明确治理职责、建设目标、资源安排、实施任务、评价方法及持续改进要求，支撑数据战略在业务和技术工作中落实。</w:t>
      </w:r>
    </w:p>
    <w:p>
      <w:pPr>
        <w:spacing w:line="264" w:lineRule="auto"/>
        <w:ind w:firstLine="0"/>
      </w:pPr>
      <w:r>
        <w:rPr>
          <w:b/>
        </w:rPr>
        <w:t>目录</w:t>
      </w:r>
    </w:p>
    <w:p>
      <w:pPr>
        <w:tabs>
          <w:tab w:pos="9411" w:val="right" w:leader="dot"/>
        </w:tabs>
        <w:spacing w:line="300" w:lineRule="exact" w:after="40"/>
        <w:ind w:firstLine="0"/>
      </w:pPr>
      <w:r>
        <w:rPr>
          <w:sz w:val="21"/>
        </w:rPr>
        <w:t>1 数据战略管理办法</w:t>
        <w:tab/>
        <w:t>2</w:t>
      </w:r>
    </w:p>
    <w:p>
      <w:pPr>
        <w:tabs>
          <w:tab w:pos="9411" w:val="right" w:leader="dot"/>
        </w:tabs>
        <w:spacing w:line="300" w:lineRule="exact" w:after="40"/>
        <w:ind w:firstLine="0"/>
      </w:pPr>
      <w:r>
        <w:rPr>
          <w:sz w:val="21"/>
        </w:rPr>
        <w:t>2 数据战略规划</w:t>
        <w:tab/>
        <w:t>16</w:t>
      </w:r>
    </w:p>
    <w:p>
      <w:pPr>
        <w:tabs>
          <w:tab w:pos="9411" w:val="right" w:leader="dot"/>
        </w:tabs>
        <w:spacing w:line="300" w:lineRule="exact" w:after="40"/>
        <w:ind w:firstLine="0"/>
      </w:pPr>
      <w:r>
        <w:rPr>
          <w:sz w:val="21"/>
        </w:rPr>
        <w:t>3 数据战略实施计划</w:t>
        <w:tab/>
        <w:t>33</w:t>
      </w:r>
    </w:p>
    <w:p>
      <w:pPr>
        <w:tabs>
          <w:tab w:pos="9411" w:val="right" w:leader="dot"/>
        </w:tabs>
        <w:spacing w:line="300" w:lineRule="exact" w:after="40"/>
        <w:ind w:firstLine="0"/>
      </w:pPr>
      <w:r>
        <w:rPr>
          <w:sz w:val="21"/>
        </w:rPr>
        <w:t>4 战略评估报告</w:t>
        <w:tab/>
        <w:t>54</w:t>
      </w:r>
    </w:p>
    <w:p>
      <w:r>
        <w:br w:type="page"/>
      </w:r>
    </w:p>
    <w:p>
      <w:pPr>
        <w:pStyle w:val="Heading1"/>
      </w:pPr>
      <w:r>
        <w:t>1 数据战略管理办法</w:t>
      </w:r>
    </w:p>
    <w:p>
      <w:pPr>
        <w:pStyle w:val="Heading2"/>
      </w:pPr>
      <w:r>
        <w:t>1.1 文件管理与适用范围</w:t>
      </w:r>
    </w:p>
    <w:p>
      <w:pPr>
        <w:pStyle w:val="Heading3"/>
      </w:pPr>
      <w:r>
        <w:t>1.1.1 文件标识与管理责任</w:t>
      </w:r>
    </w:p>
    <w:p>
      <w:pPr>
        <w:pStyle w:val="Caption"/>
        <w:keepNext/>
      </w:pPr>
      <w:r>
        <w:t>表1-1 文件标识与管理责任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管理项目</w:t>
            </w:r>
          </w:p>
        </w:tc>
        <w:tc>
          <w:tcPr>
            <w:tcW w:type="dxa" w:w="7228"/>
            <w:vAlign w:val="center"/>
            <w:shd w:fill="EDF1F3"/>
          </w:tcPr>
          <w:p>
            <w:pPr>
              <w:keepNext/>
              <w:spacing w:line="320" w:lineRule="exact" w:after="0" w:before="0"/>
              <w:ind w:firstLine="0"/>
              <w:jc w:val="center"/>
            </w:pPr>
            <w:r>
              <w:rPr>
                <w:b/>
                <w:sz w:val="21"/>
              </w:rPr>
              <w:t>管理内容</w:t>
            </w:r>
          </w:p>
        </w:tc>
      </w:tr>
      <w:tr>
        <w:trPr>
          <w:cantSplit/>
        </w:trPr>
        <w:tc>
          <w:tcPr>
            <w:tcW w:type="dxa" w:w="2409"/>
            <w:vAlign w:val="center"/>
          </w:tcPr>
          <w:p>
            <w:pPr>
              <w:keepNext w:val="0"/>
              <w:spacing w:line="320" w:lineRule="exact" w:after="0" w:before="0"/>
              <w:ind w:firstLine="0"/>
              <w:jc w:val="left"/>
            </w:pPr>
            <w:r>
              <w:rPr>
                <w:b w:val="0"/>
                <w:sz w:val="21"/>
              </w:rPr>
              <w:t>文件名称</w:t>
            </w:r>
          </w:p>
        </w:tc>
        <w:tc>
          <w:tcPr>
            <w:tcW w:type="dxa" w:w="7228"/>
            <w:vAlign w:val="center"/>
          </w:tcPr>
          <w:p>
            <w:pPr>
              <w:keepNext w:val="0"/>
              <w:spacing w:line="320" w:lineRule="exact" w:after="0" w:before="0"/>
              <w:ind w:firstLine="0"/>
              <w:jc w:val="left"/>
            </w:pPr>
            <w:r>
              <w:rPr>
                <w:b w:val="0"/>
                <w:sz w:val="21"/>
              </w:rPr>
              <w:t>数据战略管理办法</w:t>
            </w:r>
          </w:p>
        </w:tc>
      </w:tr>
      <w:tr>
        <w:trPr>
          <w:cantSplit/>
        </w:trPr>
        <w:tc>
          <w:tcPr>
            <w:tcW w:type="dxa" w:w="2409"/>
            <w:vAlign w:val="center"/>
          </w:tcPr>
          <w:p>
            <w:pPr>
              <w:keepNext w:val="0"/>
              <w:spacing w:line="320" w:lineRule="exact" w:after="0" w:before="0"/>
              <w:ind w:firstLine="0"/>
              <w:jc w:val="left"/>
            </w:pPr>
            <w:r>
              <w:rPr>
                <w:b w:val="0"/>
                <w:sz w:val="21"/>
              </w:rPr>
              <w:t>文件标识</w:t>
            </w:r>
          </w:p>
        </w:tc>
        <w:tc>
          <w:tcPr>
            <w:tcW w:type="dxa" w:w="7228"/>
            <w:vAlign w:val="center"/>
          </w:tcPr>
          <w:p>
            <w:pPr>
              <w:keepNext w:val="0"/>
              <w:spacing w:line="320" w:lineRule="exact" w:after="0" w:before="0"/>
              <w:ind w:firstLine="0"/>
              <w:jc w:val="left"/>
            </w:pPr>
            <w:r>
              <w:rPr>
                <w:b w:val="0"/>
                <w:sz w:val="21"/>
              </w:rPr>
              <w:t>GHY26691-GV-01-0001-V1.0</w:t>
            </w:r>
          </w:p>
        </w:tc>
      </w:tr>
      <w:tr>
        <w:trPr>
          <w:cantSplit/>
        </w:trPr>
        <w:tc>
          <w:tcPr>
            <w:tcW w:type="dxa" w:w="2409"/>
            <w:vAlign w:val="center"/>
          </w:tcPr>
          <w:p>
            <w:pPr>
              <w:keepNext w:val="0"/>
              <w:spacing w:line="320" w:lineRule="exact" w:after="0" w:before="0"/>
              <w:ind w:firstLine="0"/>
              <w:jc w:val="left"/>
            </w:pPr>
            <w:r>
              <w:rPr>
                <w:b w:val="0"/>
                <w:sz w:val="21"/>
              </w:rPr>
              <w:t>版本</w:t>
            </w:r>
          </w:p>
        </w:tc>
        <w:tc>
          <w:tcPr>
            <w:tcW w:type="dxa" w:w="7228"/>
            <w:vAlign w:val="center"/>
          </w:tcPr>
          <w:p>
            <w:pPr>
              <w:keepNext w:val="0"/>
              <w:spacing w:line="320" w:lineRule="exact" w:after="0" w:before="0"/>
              <w:ind w:firstLine="0"/>
              <w:jc w:val="left"/>
            </w:pPr>
            <w:r>
              <w:rPr>
                <w:b w:val="0"/>
                <w:sz w:val="21"/>
              </w:rPr>
              <w:t>V1.0</w:t>
            </w:r>
          </w:p>
        </w:tc>
      </w:tr>
      <w:tr>
        <w:trPr>
          <w:cantSplit/>
        </w:trPr>
        <w:tc>
          <w:tcPr>
            <w:tcW w:type="dxa" w:w="2409"/>
            <w:vAlign w:val="center"/>
          </w:tcPr>
          <w:p>
            <w:pPr>
              <w:keepNext w:val="0"/>
              <w:spacing w:line="320" w:lineRule="exact" w:after="0" w:before="0"/>
              <w:ind w:firstLine="0"/>
              <w:jc w:val="left"/>
            </w:pPr>
            <w:r>
              <w:rPr>
                <w:b w:val="0"/>
                <w:sz w:val="21"/>
              </w:rPr>
              <w:t>管理对象</w:t>
            </w:r>
          </w:p>
        </w:tc>
        <w:tc>
          <w:tcPr>
            <w:tcW w:type="dxa" w:w="7228"/>
            <w:vAlign w:val="center"/>
          </w:tcPr>
          <w:p>
            <w:pPr>
              <w:keepNext w:val="0"/>
              <w:spacing w:line="320" w:lineRule="exact" w:after="0" w:before="0"/>
              <w:ind w:firstLine="0"/>
              <w:jc w:val="left"/>
            </w:pPr>
            <w:r>
              <w:rPr>
                <w:b w:val="0"/>
                <w:sz w:val="21"/>
              </w:rPr>
              <w:t>数据战略制定、实施、评估、调整、监督和档案</w:t>
            </w:r>
          </w:p>
        </w:tc>
      </w:tr>
      <w:tr>
        <w:trPr>
          <w:cantSplit/>
        </w:trPr>
        <w:tc>
          <w:tcPr>
            <w:tcW w:type="dxa" w:w="2409"/>
            <w:vAlign w:val="center"/>
          </w:tcPr>
          <w:p>
            <w:pPr>
              <w:keepNext w:val="0"/>
              <w:spacing w:line="320" w:lineRule="exact" w:after="0" w:before="0"/>
              <w:ind w:firstLine="0"/>
              <w:jc w:val="left"/>
            </w:pPr>
            <w:r>
              <w:rPr>
                <w:b w:val="0"/>
                <w:sz w:val="21"/>
              </w:rPr>
              <w:t>适用组织</w:t>
            </w:r>
          </w:p>
        </w:tc>
        <w:tc>
          <w:tcPr>
            <w:tcW w:type="dxa" w:w="7228"/>
            <w:vAlign w:val="center"/>
          </w:tcPr>
          <w:p>
            <w:pPr>
              <w:keepNext w:val="0"/>
              <w:spacing w:line="320" w:lineRule="exact" w:after="0" w:before="0"/>
              <w:ind w:firstLine="0"/>
              <w:jc w:val="left"/>
            </w:pPr>
            <w:r>
              <w:rPr>
                <w:b w:val="0"/>
                <w:sz w:val="21"/>
              </w:rPr>
              <w:t>公司承担数据产生、管理、加工、使用和监督职责的部门及所属单位</w:t>
            </w:r>
          </w:p>
        </w:tc>
      </w:tr>
      <w:tr>
        <w:trPr>
          <w:cantSplit/>
        </w:trPr>
        <w:tc>
          <w:tcPr>
            <w:tcW w:type="dxa" w:w="2409"/>
            <w:vAlign w:val="center"/>
          </w:tcPr>
          <w:p>
            <w:pPr>
              <w:keepNext w:val="0"/>
              <w:spacing w:line="320" w:lineRule="exact" w:after="0" w:before="0"/>
              <w:ind w:firstLine="0"/>
              <w:jc w:val="left"/>
            </w:pPr>
            <w:r>
              <w:rPr>
                <w:b w:val="0"/>
                <w:sz w:val="21"/>
              </w:rPr>
              <w:t>编制归口</w:t>
            </w:r>
          </w:p>
        </w:tc>
        <w:tc>
          <w:tcPr>
            <w:tcW w:type="dxa" w:w="7228"/>
            <w:vAlign w:val="center"/>
          </w:tcPr>
          <w:p>
            <w:pPr>
              <w:keepNext w:val="0"/>
              <w:spacing w:line="320" w:lineRule="exact" w:after="0" w:before="0"/>
              <w:ind w:firstLine="0"/>
              <w:jc w:val="left"/>
            </w:pPr>
            <w:r>
              <w:rPr>
                <w:b w:val="0"/>
                <w:sz w:val="21"/>
              </w:rPr>
              <w:t>公司数据治理管理层组织，我方承担方案编制、实施支撑和成果交付</w:t>
            </w:r>
          </w:p>
        </w:tc>
      </w:tr>
      <w:tr>
        <w:trPr>
          <w:cantSplit/>
        </w:trPr>
        <w:tc>
          <w:tcPr>
            <w:tcW w:type="dxa" w:w="2409"/>
            <w:vAlign w:val="center"/>
          </w:tcPr>
          <w:p>
            <w:pPr>
              <w:keepNext w:val="0"/>
              <w:spacing w:line="320" w:lineRule="exact" w:after="0" w:before="0"/>
              <w:ind w:firstLine="0"/>
              <w:jc w:val="left"/>
            </w:pPr>
            <w:r>
              <w:rPr>
                <w:b w:val="0"/>
                <w:sz w:val="21"/>
              </w:rPr>
              <w:t>审核职责</w:t>
            </w:r>
          </w:p>
        </w:tc>
        <w:tc>
          <w:tcPr>
            <w:tcW w:type="dxa" w:w="7228"/>
            <w:vAlign w:val="center"/>
          </w:tcPr>
          <w:p>
            <w:pPr>
              <w:keepNext w:val="0"/>
              <w:spacing w:line="320" w:lineRule="exact" w:after="0" w:before="0"/>
              <w:ind w:firstLine="0"/>
              <w:jc w:val="left"/>
            </w:pPr>
            <w:r>
              <w:rPr>
                <w:b w:val="0"/>
                <w:sz w:val="21"/>
              </w:rPr>
              <w:t>业务、信息化、质量、安全及相关资源管理职能按职责审核</w:t>
            </w:r>
          </w:p>
        </w:tc>
      </w:tr>
      <w:tr>
        <w:trPr>
          <w:cantSplit/>
        </w:trPr>
        <w:tc>
          <w:tcPr>
            <w:tcW w:type="dxa" w:w="2409"/>
            <w:vAlign w:val="center"/>
          </w:tcPr>
          <w:p>
            <w:pPr>
              <w:keepNext w:val="0"/>
              <w:spacing w:line="320" w:lineRule="exact" w:after="0" w:before="0"/>
              <w:ind w:firstLine="0"/>
              <w:jc w:val="left"/>
            </w:pPr>
            <w:r>
              <w:rPr>
                <w:b w:val="0"/>
                <w:sz w:val="21"/>
              </w:rPr>
              <w:t>批准职责</w:t>
            </w:r>
          </w:p>
        </w:tc>
        <w:tc>
          <w:tcPr>
            <w:tcW w:type="dxa" w:w="7228"/>
            <w:vAlign w:val="center"/>
          </w:tcPr>
          <w:p>
            <w:pPr>
              <w:keepNext w:val="0"/>
              <w:spacing w:line="320" w:lineRule="exact" w:after="0" w:before="0"/>
              <w:ind w:firstLine="0"/>
              <w:jc w:val="left"/>
            </w:pPr>
            <w:r>
              <w:rPr>
                <w:b w:val="0"/>
                <w:sz w:val="21"/>
              </w:rPr>
              <w:t>公司具有相应权限的决策层</w:t>
            </w:r>
          </w:p>
        </w:tc>
      </w:tr>
      <w:tr>
        <w:trPr>
          <w:cantSplit/>
        </w:trPr>
        <w:tc>
          <w:tcPr>
            <w:tcW w:type="dxa" w:w="2409"/>
            <w:vAlign w:val="center"/>
          </w:tcPr>
          <w:p>
            <w:pPr>
              <w:keepNext w:val="0"/>
              <w:spacing w:line="320" w:lineRule="exact" w:after="0" w:before="0"/>
              <w:ind w:firstLine="0"/>
              <w:jc w:val="left"/>
            </w:pPr>
            <w:r>
              <w:rPr>
                <w:b w:val="0"/>
                <w:sz w:val="21"/>
              </w:rPr>
              <w:t>生效条件</w:t>
            </w:r>
          </w:p>
        </w:tc>
        <w:tc>
          <w:tcPr>
            <w:tcW w:type="dxa" w:w="7228"/>
            <w:vAlign w:val="center"/>
          </w:tcPr>
          <w:p>
            <w:pPr>
              <w:keepNext w:val="0"/>
              <w:spacing w:line="320" w:lineRule="exact" w:after="0" w:before="0"/>
              <w:ind w:firstLine="0"/>
              <w:jc w:val="left"/>
            </w:pPr>
            <w:r>
              <w:rPr>
                <w:b w:val="0"/>
                <w:sz w:val="21"/>
              </w:rPr>
              <w:t>完成会签和批准，按公司文件发布程序登记生效日期</w:t>
            </w:r>
          </w:p>
        </w:tc>
      </w:tr>
      <w:tr>
        <w:trPr>
          <w:cantSplit/>
        </w:trPr>
        <w:tc>
          <w:tcPr>
            <w:tcW w:type="dxa" w:w="2409"/>
            <w:vAlign w:val="center"/>
          </w:tcPr>
          <w:p>
            <w:pPr>
              <w:keepNext w:val="0"/>
              <w:spacing w:line="320" w:lineRule="exact" w:after="0" w:before="0"/>
              <w:ind w:firstLine="0"/>
              <w:jc w:val="left"/>
            </w:pPr>
            <w:r>
              <w:rPr>
                <w:b w:val="0"/>
                <w:sz w:val="21"/>
              </w:rPr>
              <w:t>复审安排</w:t>
            </w:r>
          </w:p>
        </w:tc>
        <w:tc>
          <w:tcPr>
            <w:tcW w:type="dxa" w:w="7228"/>
            <w:vAlign w:val="center"/>
          </w:tcPr>
          <w:p>
            <w:pPr>
              <w:keepNext w:val="0"/>
              <w:spacing w:line="320" w:lineRule="exact" w:after="0" w:before="0"/>
              <w:ind w:firstLine="0"/>
              <w:jc w:val="left"/>
            </w:pPr>
            <w:r>
              <w:rPr>
                <w:b w:val="0"/>
                <w:sz w:val="21"/>
              </w:rPr>
              <w:t>年度复审，重大业务变化或重要偏差发生时专项复审</w:t>
            </w:r>
          </w:p>
        </w:tc>
      </w:tr>
    </w:tbl>
    <w:p>
      <w:pPr>
        <w:spacing w:after="40" w:line="240" w:lineRule="auto"/>
        <w:ind w:firstLine="0"/>
      </w:pPr>
      <w:r>
        <w:rPr>
          <w:sz w:val="4"/>
        </w:rPr>
      </w:r>
    </w:p>
    <w:p>
      <w:pPr>
        <w:jc w:val="both"/>
      </w:pPr>
      <w:r>
        <w:t>本办法所称公司为宁夏天地奔牛实业集团有限公司。数据治理决策层、管理层和执行层按公司批准的治理组织架构履行职责；岗位授权记录与本办法共同管理。职能调整后及时维护责任对应关系，具体执行事项始终落实到有效授权岗位。</w:t>
      </w:r>
    </w:p>
    <w:p>
      <w:pPr>
        <w:jc w:val="both"/>
      </w:pPr>
      <w:r>
        <w:t>数据战略管理文件采用统一登记规则。管理办法、战略规划、实施计划和战略评估报告分别使用 GHY26691-GV-01-0001、GHY26691-GV-01-0002、GHY26691-GV-01-0003、GHY26691-GV-01-0004 作为文件主标识。GV 表示治理文件，01 表示数据战略域，末四位为域内顺序号。主标识与版本分别记录，战略评估报告另登记评价期次和评价区间，同一期修订保留原报告及替代关系。</w:t>
      </w:r>
    </w:p>
    <w:p>
      <w:pPr>
        <w:pStyle w:val="Heading3"/>
      </w:pPr>
      <w:r>
        <w:t>1.1.2 管理范围与制度衔接</w:t>
      </w:r>
    </w:p>
    <w:p>
      <w:pPr>
        <w:jc w:val="both"/>
      </w:pPr>
      <w:r>
        <w:t>第一条　为明确数据管理目标、组织战略实施并持续检查执行成效，建立数据战略制定、实施、评估和迭代管理机制。数据战略围绕矿山装备制造业务确定数据需求，以业务规则、数据责任、实际供给和使用结果形成管理依据，支撑数据管理能力成熟度三级建设及项目约定成果交付。</w:t>
      </w:r>
    </w:p>
    <w:p>
      <w:pPr>
        <w:jc w:val="both"/>
      </w:pPr>
      <w:r>
        <w:t>第二条　本办法适用于公司数据战略及其派生目标、任务、资源和评价活动，覆盖人力资源、研发设计、生产制造、仓储物流、财务管理、设备管理、采购管理、营销管理、质量管理九个业务域。数据集加工生产、质量评测、治理实施和场景验证任务纳入战略执行统筹，各专项作业继续执行对应的操作规范和验收要求。</w:t>
      </w:r>
    </w:p>
    <w:p>
      <w:pPr>
        <w:jc w:val="both"/>
      </w:pPr>
      <w:r>
        <w:t>第三条　公司现行预算、采购、信息化建设、安全、保密、档案和人力资源制度继续适用。数据战略审批解决建设目标、任务优先级和资源配置事项，具体采购、支付、岗位任命及数据授权依照相应权限办理。涉及多个审批事项时建立关联记录，审批主体分别对其权限范围内的事项作出决定。</w:t>
      </w:r>
    </w:p>
    <w:p>
      <w:pPr>
        <w:jc w:val="both"/>
      </w:pPr>
      <w:r>
        <w:t>第四条　项目合同、技术协议和批准的建设范围构成战略执行约束。四大数据集、治理规划成果、平台能力、评测服务和场景验证要求逐项登记。目标调整、任务拆分及资源优化均应保持合同约定范围和质量条件，重大变更按项目变更及公司治理程序共同办理。</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 name="Picture 1"/>
            <wp:cNvGraphicFramePr>
              <a:graphicFrameLocks noChangeAspect="1"/>
            </wp:cNvGraphicFramePr>
            <a:graphic>
              <a:graphicData uri="http://schemas.openxmlformats.org/drawingml/2006/picture">
                <pic:pic>
                  <pic:nvPicPr>
                    <pic:cNvPr id="0" name="图1_文件关系.png"/>
                    <pic:cNvPicPr/>
                  </pic:nvPicPr>
                  <pic:blipFill>
                    <a:blip r:embed="rId11"/>
                    <a:stretch>
                      <a:fillRect/>
                    </a:stretch>
                  </pic:blipFill>
                  <pic:spPr>
                    <a:xfrm>
                      <a:off x="0" y="0"/>
                      <a:ext cx="6048000" cy="2477354"/>
                    </a:xfrm>
                    <a:prstGeom prst="rect"/>
                  </pic:spPr>
                </pic:pic>
              </a:graphicData>
            </a:graphic>
          </wp:inline>
        </w:drawing>
      </w:r>
    </w:p>
    <w:p>
      <w:pPr>
        <w:pStyle w:val="Caption"/>
        <w:jc w:val="center"/>
      </w:pPr>
      <w:r>
        <w:t>图1-1 数据战略文件关系</w:t>
      </w:r>
    </w:p>
    <w:p>
      <w:pPr>
        <w:pStyle w:val="Heading2"/>
      </w:pPr>
      <w:r>
        <w:t>1.2 目标管理原则与术语</w:t>
      </w:r>
    </w:p>
    <w:p>
      <w:pPr>
        <w:pStyle w:val="Heading3"/>
      </w:pPr>
      <w:r>
        <w:t>1.2.1 目标及任务定义</w:t>
      </w:r>
    </w:p>
    <w:p>
      <w:pPr>
        <w:jc w:val="both"/>
      </w:pPr>
      <w:r>
        <w:t>第五条　数据战略是公司在明确期间内对数据管理愿景、重点任务、资源投入、实施路线及评价方法的总体安排。战略目标应能关联具体业务对象和管理成果，记录目标来源、责任、衡量方法及完成时点。战略目标包含项目约定的硬性指标和结合现状基线确定的持续改善指标，两类指标分别管理。</w:t>
      </w:r>
    </w:p>
    <w:p>
      <w:pPr>
        <w:jc w:val="both"/>
      </w:pPr>
      <w:r>
        <w:t>第六条　工作包是具有明确输入、责任、成果和验收条件的执行单元。工作包规模以成果能够独立检查、责任能够落实、依赖能够识别为划分依据；持续运行任务按周期形成检查结果，跨周期建设任务设置可验证的中间成果。拆分后的任务保留共同的上级目标和原始范围，汇总统计按唯一成果计量。</w:t>
      </w:r>
    </w:p>
    <w:p>
      <w:pPr>
        <w:jc w:val="both"/>
      </w:pPr>
      <w:r>
        <w:t>第七条　现状基线是按照批准口径从实际对象和记录中测得的起始状态。基线至少包含范围、时间、来源、计量单位、取数方法、原始数值和复核记录。诊断推断、业务判断和已测数据分别登记；尚不具备取数条件的指标建立基线采集任务，采集状态进入计划跟踪。</w:t>
      </w:r>
    </w:p>
    <w:p>
      <w:pPr>
        <w:jc w:val="both"/>
      </w:pPr>
      <w:r>
        <w:t>第八条　战略评价证据包括已批准文件、实际配置、任务运行记录、数据检测结果、业务使用记录、资源投入记录和复核意见。证据与对象、版本、时间及责任岗位关联。仅具备建设方案时记录为方案成果，完成配置时记录为配置成果，经过实际运行验证后方可记录为运行能力。</w:t>
      </w:r>
    </w:p>
    <w:p>
      <w:pPr>
        <w:pStyle w:val="Heading3"/>
      </w:pPr>
      <w:r>
        <w:t>1.2.2 目标设定与计算控制</w:t>
      </w:r>
    </w:p>
    <w:p>
      <w:pPr>
        <w:jc w:val="both"/>
      </w:pPr>
      <w:r>
        <w:t>第九条　项目规模、交付范围、质量安全要求及终验时限按合同和招标要求执行。四大数据集十六项用途净量分别达到目标，规模以完成规定加工、质检、验证及评测后可交付的有效量计算。各用途之间按原计量单位登记，领域之间分别检查，补足损耗所需的采集和加工任务纳入实施计划。</w:t>
      </w:r>
    </w:p>
    <w:p>
      <w:pPr>
        <w:jc w:val="both"/>
      </w:pPr>
      <w:r>
        <w:t>第十条　持续改善目标结合业务需求、现状诊断及资源条件评审确定。质量改善、流程耗时、数据复用和业务使用等指标应明确适用条件及取数来源。效率目标以相同业务范围、任务复杂度和计时边界进行比较；资源使用目标结合完成成果评价，保留业务增长、设备变化和数据规模变化的影响。</w:t>
      </w:r>
    </w:p>
    <w:p>
      <w:pPr>
        <w:jc w:val="both"/>
      </w:pPr>
      <w:r>
        <w:t>第十一条　目标卡中记录分子、分母、去重键、排除项、时间窗口、数据版本、计量单位及异常处理。目标或口径变更须评估可比性，保留原口径结果和新口径结果。用于验收的硬性指标采用实际计算值判定，显示时的四舍五入仅用于阅读。</w:t>
      </w:r>
    </w:p>
    <w:p>
      <w:pPr>
        <w:jc w:val="both"/>
      </w:pPr>
      <w:r>
        <w:t>第十二条　目标完成状态以实际证据确认。已批准任务进入实施，已形成成果进入检查，通过检查进入交付或运行。存在未完成条件的成果登记具体缺项及责任，统计时保留应完成对象，按实际状态计算进展。范围调整需有批准依据，历史范围及其执行结果继续保留。</w:t>
      </w:r>
    </w:p>
    <w:p>
      <w:pPr>
        <w:pStyle w:val="Caption"/>
        <w:keepNext/>
      </w:pPr>
      <w:r>
        <w:t>表1-2 目标设定与计算控制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目标类别</w:t>
            </w:r>
          </w:p>
        </w:tc>
        <w:tc>
          <w:tcPr>
            <w:tcW w:type="dxa" w:w="2699"/>
            <w:vAlign w:val="center"/>
            <w:shd w:fill="EDF1F3"/>
          </w:tcPr>
          <w:p>
            <w:pPr>
              <w:keepNext/>
              <w:spacing w:line="320" w:lineRule="exact" w:after="0" w:before="0"/>
              <w:ind w:firstLine="0"/>
              <w:jc w:val="center"/>
            </w:pPr>
            <w:r>
              <w:rPr>
                <w:b/>
                <w:sz w:val="21"/>
              </w:rPr>
              <w:t>设定依据</w:t>
            </w:r>
          </w:p>
        </w:tc>
        <w:tc>
          <w:tcPr>
            <w:tcW w:type="dxa" w:w="2409"/>
            <w:vAlign w:val="center"/>
            <w:shd w:fill="EDF1F3"/>
          </w:tcPr>
          <w:p>
            <w:pPr>
              <w:keepNext/>
              <w:spacing w:line="320" w:lineRule="exact" w:after="0" w:before="0"/>
              <w:ind w:firstLine="0"/>
              <w:jc w:val="center"/>
            </w:pPr>
            <w:r>
              <w:rPr>
                <w:b/>
                <w:sz w:val="21"/>
              </w:rPr>
              <w:t>主要记录</w:t>
            </w:r>
          </w:p>
        </w:tc>
        <w:tc>
          <w:tcPr>
            <w:tcW w:type="dxa" w:w="2891"/>
            <w:vAlign w:val="center"/>
            <w:shd w:fill="EDF1F3"/>
          </w:tcPr>
          <w:p>
            <w:pPr>
              <w:keepNext/>
              <w:spacing w:line="320" w:lineRule="exact" w:after="0" w:before="0"/>
              <w:ind w:firstLine="0"/>
              <w:jc w:val="center"/>
            </w:pPr>
            <w:r>
              <w:rPr>
                <w:b/>
                <w:sz w:val="21"/>
              </w:rPr>
              <w:t>判定责任</w:t>
            </w:r>
          </w:p>
        </w:tc>
      </w:tr>
      <w:tr>
        <w:trPr>
          <w:cantSplit/>
        </w:trPr>
        <w:tc>
          <w:tcPr>
            <w:tcW w:type="dxa" w:w="1638"/>
            <w:vAlign w:val="center"/>
          </w:tcPr>
          <w:p>
            <w:pPr>
              <w:keepNext w:val="0"/>
              <w:spacing w:line="320" w:lineRule="exact" w:after="0" w:before="0"/>
              <w:ind w:firstLine="0"/>
              <w:jc w:val="left"/>
            </w:pPr>
            <w:r>
              <w:rPr>
                <w:b w:val="0"/>
                <w:sz w:val="21"/>
              </w:rPr>
              <w:t>合同交付目标</w:t>
            </w:r>
          </w:p>
        </w:tc>
        <w:tc>
          <w:tcPr>
            <w:tcW w:type="dxa" w:w="2699"/>
            <w:vAlign w:val="center"/>
          </w:tcPr>
          <w:p>
            <w:pPr>
              <w:keepNext w:val="0"/>
              <w:spacing w:line="320" w:lineRule="exact" w:after="0" w:before="0"/>
              <w:ind w:firstLine="0"/>
              <w:jc w:val="left"/>
            </w:pPr>
            <w:r>
              <w:rPr>
                <w:b w:val="0"/>
                <w:sz w:val="21"/>
              </w:rPr>
              <w:t>招标要求、合同和技术协议</w:t>
            </w:r>
          </w:p>
        </w:tc>
        <w:tc>
          <w:tcPr>
            <w:tcW w:type="dxa" w:w="2409"/>
            <w:vAlign w:val="center"/>
          </w:tcPr>
          <w:p>
            <w:pPr>
              <w:keepNext w:val="0"/>
              <w:spacing w:line="320" w:lineRule="exact" w:after="0" w:before="0"/>
              <w:ind w:firstLine="0"/>
              <w:jc w:val="left"/>
            </w:pPr>
            <w:r>
              <w:rPr>
                <w:b w:val="0"/>
                <w:sz w:val="21"/>
              </w:rPr>
              <w:t>原始要求、成果清单、检查标准</w:t>
            </w:r>
          </w:p>
        </w:tc>
        <w:tc>
          <w:tcPr>
            <w:tcW w:type="dxa" w:w="2891"/>
            <w:vAlign w:val="center"/>
          </w:tcPr>
          <w:p>
            <w:pPr>
              <w:keepNext w:val="0"/>
              <w:spacing w:line="320" w:lineRule="exact" w:after="0" w:before="0"/>
              <w:ind w:firstLine="0"/>
              <w:jc w:val="left"/>
            </w:pPr>
            <w:r>
              <w:rPr>
                <w:b w:val="0"/>
                <w:sz w:val="21"/>
              </w:rPr>
              <w:t>项目验收组织及对应业务责任人</w:t>
            </w:r>
          </w:p>
        </w:tc>
      </w:tr>
      <w:tr>
        <w:trPr>
          <w:cantSplit/>
        </w:trPr>
        <w:tc>
          <w:tcPr>
            <w:tcW w:type="dxa" w:w="1638"/>
            <w:vAlign w:val="center"/>
          </w:tcPr>
          <w:p>
            <w:pPr>
              <w:keepNext w:val="0"/>
              <w:spacing w:line="320" w:lineRule="exact" w:after="0" w:before="0"/>
              <w:ind w:firstLine="0"/>
              <w:jc w:val="left"/>
            </w:pPr>
            <w:r>
              <w:rPr>
                <w:b w:val="0"/>
                <w:sz w:val="21"/>
              </w:rPr>
              <w:t>能力建设目标</w:t>
            </w:r>
          </w:p>
        </w:tc>
        <w:tc>
          <w:tcPr>
            <w:tcW w:type="dxa" w:w="2699"/>
            <w:vAlign w:val="center"/>
          </w:tcPr>
          <w:p>
            <w:pPr>
              <w:keepNext w:val="0"/>
              <w:spacing w:line="320" w:lineRule="exact" w:after="0" w:before="0"/>
              <w:ind w:firstLine="0"/>
              <w:jc w:val="left"/>
            </w:pPr>
            <w:r>
              <w:rPr>
                <w:b w:val="0"/>
                <w:sz w:val="21"/>
              </w:rPr>
              <w:t>适用评估模型及现状差距</w:t>
            </w:r>
          </w:p>
        </w:tc>
        <w:tc>
          <w:tcPr>
            <w:tcW w:type="dxa" w:w="2409"/>
            <w:vAlign w:val="center"/>
          </w:tcPr>
          <w:p>
            <w:pPr>
              <w:keepNext w:val="0"/>
              <w:spacing w:line="320" w:lineRule="exact" w:after="0" w:before="0"/>
              <w:ind w:firstLine="0"/>
              <w:jc w:val="left"/>
            </w:pPr>
            <w:r>
              <w:rPr>
                <w:b w:val="0"/>
                <w:sz w:val="21"/>
              </w:rPr>
              <w:t>要求映射、能力差距、运行证据</w:t>
            </w:r>
          </w:p>
        </w:tc>
        <w:tc>
          <w:tcPr>
            <w:tcW w:type="dxa" w:w="2891"/>
            <w:vAlign w:val="center"/>
          </w:tcPr>
          <w:p>
            <w:pPr>
              <w:keepNext w:val="0"/>
              <w:spacing w:line="320" w:lineRule="exact" w:after="0" w:before="0"/>
              <w:ind w:firstLine="0"/>
              <w:jc w:val="left"/>
            </w:pPr>
            <w:r>
              <w:rPr>
                <w:b w:val="0"/>
                <w:sz w:val="21"/>
              </w:rPr>
              <w:t>数据治理管理层与评估相关岗位</w:t>
            </w:r>
          </w:p>
        </w:tc>
      </w:tr>
      <w:tr>
        <w:trPr>
          <w:cantSplit/>
        </w:trPr>
        <w:tc>
          <w:tcPr>
            <w:tcW w:type="dxa" w:w="1638"/>
            <w:vAlign w:val="center"/>
          </w:tcPr>
          <w:p>
            <w:pPr>
              <w:keepNext w:val="0"/>
              <w:spacing w:line="320" w:lineRule="exact" w:after="0" w:before="0"/>
              <w:ind w:firstLine="0"/>
              <w:jc w:val="left"/>
            </w:pPr>
            <w:r>
              <w:rPr>
                <w:b w:val="0"/>
                <w:sz w:val="21"/>
              </w:rPr>
              <w:t>数据供给目标</w:t>
            </w:r>
          </w:p>
        </w:tc>
        <w:tc>
          <w:tcPr>
            <w:tcW w:type="dxa" w:w="2699"/>
            <w:vAlign w:val="center"/>
          </w:tcPr>
          <w:p>
            <w:pPr>
              <w:keepNext w:val="0"/>
              <w:spacing w:line="320" w:lineRule="exact" w:after="0" w:before="0"/>
              <w:ind w:firstLine="0"/>
              <w:jc w:val="left"/>
            </w:pPr>
            <w:r>
              <w:rPr>
                <w:b w:val="0"/>
                <w:sz w:val="21"/>
              </w:rPr>
              <w:t>四大数据集及场景需求</w:t>
            </w:r>
          </w:p>
        </w:tc>
        <w:tc>
          <w:tcPr>
            <w:tcW w:type="dxa" w:w="2409"/>
            <w:vAlign w:val="center"/>
          </w:tcPr>
          <w:p>
            <w:pPr>
              <w:keepNext w:val="0"/>
              <w:spacing w:line="320" w:lineRule="exact" w:after="0" w:before="0"/>
              <w:ind w:firstLine="0"/>
              <w:jc w:val="left"/>
            </w:pPr>
            <w:r>
              <w:rPr>
                <w:b w:val="0"/>
                <w:sz w:val="21"/>
              </w:rPr>
              <w:t>净量、质量、模态、时间和使用条件</w:t>
            </w:r>
          </w:p>
        </w:tc>
        <w:tc>
          <w:tcPr>
            <w:tcW w:type="dxa" w:w="2891"/>
            <w:vAlign w:val="center"/>
          </w:tcPr>
          <w:p>
            <w:pPr>
              <w:keepNext w:val="0"/>
              <w:spacing w:line="320" w:lineRule="exact" w:after="0" w:before="0"/>
              <w:ind w:firstLine="0"/>
              <w:jc w:val="left"/>
            </w:pPr>
            <w:r>
              <w:rPr>
                <w:b w:val="0"/>
                <w:sz w:val="21"/>
              </w:rPr>
              <w:t>数据生产、质量及业务复核岗位</w:t>
            </w:r>
          </w:p>
        </w:tc>
      </w:tr>
      <w:tr>
        <w:trPr>
          <w:cantSplit/>
        </w:trPr>
        <w:tc>
          <w:tcPr>
            <w:tcW w:type="dxa" w:w="1638"/>
            <w:vAlign w:val="center"/>
          </w:tcPr>
          <w:p>
            <w:pPr>
              <w:keepNext w:val="0"/>
              <w:spacing w:line="320" w:lineRule="exact" w:after="0" w:before="0"/>
              <w:ind w:firstLine="0"/>
              <w:jc w:val="left"/>
            </w:pPr>
            <w:r>
              <w:rPr>
                <w:b w:val="0"/>
                <w:sz w:val="21"/>
              </w:rPr>
              <w:t>流程改善目标</w:t>
            </w:r>
          </w:p>
        </w:tc>
        <w:tc>
          <w:tcPr>
            <w:tcW w:type="dxa" w:w="2699"/>
            <w:vAlign w:val="center"/>
          </w:tcPr>
          <w:p>
            <w:pPr>
              <w:keepNext w:val="0"/>
              <w:spacing w:line="320" w:lineRule="exact" w:after="0" w:before="0"/>
              <w:ind w:firstLine="0"/>
              <w:jc w:val="left"/>
            </w:pPr>
            <w:r>
              <w:rPr>
                <w:b w:val="0"/>
                <w:sz w:val="21"/>
              </w:rPr>
              <w:t>已核验基线和业务需要</w:t>
            </w:r>
          </w:p>
        </w:tc>
        <w:tc>
          <w:tcPr>
            <w:tcW w:type="dxa" w:w="2409"/>
            <w:vAlign w:val="center"/>
          </w:tcPr>
          <w:p>
            <w:pPr>
              <w:keepNext w:val="0"/>
              <w:spacing w:line="320" w:lineRule="exact" w:after="0" w:before="0"/>
              <w:ind w:firstLine="0"/>
              <w:jc w:val="left"/>
            </w:pPr>
            <w:r>
              <w:rPr>
                <w:b w:val="0"/>
                <w:sz w:val="21"/>
              </w:rPr>
              <w:t>起止事件、对象范围、实际耗时</w:t>
            </w:r>
          </w:p>
        </w:tc>
        <w:tc>
          <w:tcPr>
            <w:tcW w:type="dxa" w:w="2891"/>
            <w:vAlign w:val="center"/>
          </w:tcPr>
          <w:p>
            <w:pPr>
              <w:keepNext w:val="0"/>
              <w:spacing w:line="320" w:lineRule="exact" w:after="0" w:before="0"/>
              <w:ind w:firstLine="0"/>
              <w:jc w:val="left"/>
            </w:pPr>
            <w:r>
              <w:rPr>
                <w:b w:val="0"/>
                <w:sz w:val="21"/>
              </w:rPr>
              <w:t>流程归口与指标复核岗位</w:t>
            </w:r>
          </w:p>
        </w:tc>
      </w:tr>
      <w:tr>
        <w:trPr>
          <w:cantSplit/>
        </w:trPr>
        <w:tc>
          <w:tcPr>
            <w:tcW w:type="dxa" w:w="1638"/>
            <w:vAlign w:val="center"/>
          </w:tcPr>
          <w:p>
            <w:pPr>
              <w:keepNext w:val="0"/>
              <w:spacing w:line="320" w:lineRule="exact" w:after="0" w:before="0"/>
              <w:ind w:firstLine="0"/>
              <w:jc w:val="left"/>
            </w:pPr>
            <w:r>
              <w:rPr>
                <w:b w:val="0"/>
                <w:sz w:val="21"/>
              </w:rPr>
              <w:t>资源效率目标</w:t>
            </w:r>
          </w:p>
        </w:tc>
        <w:tc>
          <w:tcPr>
            <w:tcW w:type="dxa" w:w="2699"/>
            <w:vAlign w:val="center"/>
          </w:tcPr>
          <w:p>
            <w:pPr>
              <w:keepNext w:val="0"/>
              <w:spacing w:line="320" w:lineRule="exact" w:after="0" w:before="0"/>
              <w:ind w:firstLine="0"/>
              <w:jc w:val="left"/>
            </w:pPr>
            <w:r>
              <w:rPr>
                <w:b w:val="0"/>
                <w:sz w:val="21"/>
              </w:rPr>
              <w:t>任务负荷及投入记录</w:t>
            </w:r>
          </w:p>
        </w:tc>
        <w:tc>
          <w:tcPr>
            <w:tcW w:type="dxa" w:w="2409"/>
            <w:vAlign w:val="center"/>
          </w:tcPr>
          <w:p>
            <w:pPr>
              <w:keepNext w:val="0"/>
              <w:spacing w:line="320" w:lineRule="exact" w:after="0" w:before="0"/>
              <w:ind w:firstLine="0"/>
              <w:jc w:val="left"/>
            </w:pPr>
            <w:r>
              <w:rPr>
                <w:b w:val="0"/>
                <w:sz w:val="21"/>
              </w:rPr>
              <w:t>工时、资源使用、返工及成果</w:t>
            </w:r>
          </w:p>
        </w:tc>
        <w:tc>
          <w:tcPr>
            <w:tcW w:type="dxa" w:w="2891"/>
            <w:vAlign w:val="center"/>
          </w:tcPr>
          <w:p>
            <w:pPr>
              <w:keepNext w:val="0"/>
              <w:spacing w:line="320" w:lineRule="exact" w:after="0" w:before="0"/>
              <w:ind w:firstLine="0"/>
              <w:jc w:val="left"/>
            </w:pPr>
            <w:r>
              <w:rPr>
                <w:b w:val="0"/>
                <w:sz w:val="21"/>
              </w:rPr>
              <w:t>资源归口与项目管理岗位</w:t>
            </w:r>
          </w:p>
        </w:tc>
      </w:tr>
      <w:tr>
        <w:trPr>
          <w:cantSplit/>
        </w:trPr>
        <w:tc>
          <w:tcPr>
            <w:tcW w:type="dxa" w:w="1638"/>
            <w:vAlign w:val="center"/>
          </w:tcPr>
          <w:p>
            <w:pPr>
              <w:keepNext w:val="0"/>
              <w:spacing w:line="320" w:lineRule="exact" w:after="0" w:before="0"/>
              <w:ind w:firstLine="0"/>
              <w:jc w:val="left"/>
            </w:pPr>
            <w:r>
              <w:rPr>
                <w:b w:val="0"/>
                <w:sz w:val="21"/>
              </w:rPr>
              <w:t>持续运行目标</w:t>
            </w:r>
          </w:p>
        </w:tc>
        <w:tc>
          <w:tcPr>
            <w:tcW w:type="dxa" w:w="2699"/>
            <w:vAlign w:val="center"/>
          </w:tcPr>
          <w:p>
            <w:pPr>
              <w:keepNext w:val="0"/>
              <w:spacing w:line="320" w:lineRule="exact" w:after="0" w:before="0"/>
              <w:ind w:firstLine="0"/>
              <w:jc w:val="left"/>
            </w:pPr>
            <w:r>
              <w:rPr>
                <w:b w:val="0"/>
                <w:sz w:val="21"/>
              </w:rPr>
              <w:t>岗位职责和服务要求</w:t>
            </w:r>
          </w:p>
        </w:tc>
        <w:tc>
          <w:tcPr>
            <w:tcW w:type="dxa" w:w="2409"/>
            <w:vAlign w:val="center"/>
          </w:tcPr>
          <w:p>
            <w:pPr>
              <w:keepNext w:val="0"/>
              <w:spacing w:line="320" w:lineRule="exact" w:after="0" w:before="0"/>
              <w:ind w:firstLine="0"/>
              <w:jc w:val="left"/>
            </w:pPr>
            <w:r>
              <w:rPr>
                <w:b w:val="0"/>
                <w:sz w:val="21"/>
              </w:rPr>
              <w:t>操作、异常、维护及使用反馈</w:t>
            </w:r>
          </w:p>
        </w:tc>
        <w:tc>
          <w:tcPr>
            <w:tcW w:type="dxa" w:w="2891"/>
            <w:vAlign w:val="center"/>
          </w:tcPr>
          <w:p>
            <w:pPr>
              <w:keepNext w:val="0"/>
              <w:spacing w:line="320" w:lineRule="exact" w:after="0" w:before="0"/>
              <w:ind w:firstLine="0"/>
              <w:jc w:val="left"/>
            </w:pPr>
            <w:r>
              <w:rPr>
                <w:b w:val="0"/>
                <w:sz w:val="21"/>
              </w:rPr>
              <w:t>运行责任岗位及治理管理层</w:t>
            </w:r>
          </w:p>
        </w:tc>
      </w:tr>
    </w:tbl>
    <w:p>
      <w:pPr>
        <w:spacing w:after="40" w:line="240" w:lineRule="auto"/>
        <w:ind w:firstLine="0"/>
      </w:pPr>
      <w:r>
        <w:rPr>
          <w:sz w:val="4"/>
        </w:rPr>
      </w:r>
    </w:p>
    <w:p>
      <w:pPr>
        <w:pStyle w:val="Heading2"/>
      </w:pPr>
      <w:r>
        <w:t>1.3 治理职责与授权</w:t>
      </w:r>
    </w:p>
    <w:p>
      <w:pPr>
        <w:pStyle w:val="Heading3"/>
      </w:pPr>
      <w:r>
        <w:t>1.3.1 决策层与管理层职责</w:t>
      </w:r>
    </w:p>
    <w:p>
      <w:pPr>
        <w:jc w:val="both"/>
      </w:pPr>
      <w:r>
        <w:t>第十三条　数据治理决策层审议数据战略管理办法和战略规划，批准需要公司层面统筹的目标、重大任务及资源安排；审议重要偏差、跨部门争议和重大风险处置方案；确认战略评估结论及后续迭代方向。议事结论明确事项、责任、时点、约束及反馈方式，形成可下达的决议。</w:t>
      </w:r>
    </w:p>
    <w:p>
      <w:pPr>
        <w:jc w:val="both"/>
      </w:pPr>
      <w:r>
        <w:t>第十四条　数据治理管理层组织现状诊断、需求归集、文件编制及会签，维护战略目标、任务、指标、风险和变更台账。管理层对任务间的依赖关系进行协调，核对资源到位情况和阶段成果，组织月度检查、阶段评价、年度综合评价及重大事项专项评价，向决策层提交事实和处理建议。</w:t>
      </w:r>
    </w:p>
    <w:p>
      <w:pPr>
        <w:jc w:val="both"/>
      </w:pPr>
      <w:r>
        <w:t>第十五条　决策层与管理层权限通过授权清单落实。管理层可在批准目标、预算和里程碑范围内协调作业顺序及日常资源；涉及合同承诺、企业级目标、关键节点、安全边界或新增重大投入的事项，提交具有相应权限的决策主体审批。授权范围变化应同步通知受影响的任务负责人。</w:t>
      </w:r>
    </w:p>
    <w:p>
      <w:pPr>
        <w:jc w:val="both"/>
      </w:pPr>
      <w:r>
        <w:t>第十六条　议事材料由提请岗位准备，至少包括当前情况、证据、可选措施、影响分析及建议。会议前向有审核职责的岗位提供完整材料；未取得必要意见的事项继续补充审核。紧急事项可按公司应急议事程序处理，决定和实际操作及时补充登记，保留原始时间及批准关系。</w:t>
      </w:r>
    </w:p>
    <w:p>
      <w:pPr>
        <w:pStyle w:val="Heading3"/>
      </w:pPr>
      <w:r>
        <w:t>1.3.2 执行层与专业审核职责</w:t>
      </w:r>
    </w:p>
    <w:p>
      <w:pPr>
        <w:jc w:val="both"/>
      </w:pPr>
      <w:r>
        <w:t>第十七条　业务部门对归口业务事实、对象定义、状态含义、适用规则和使用需求负责。业务数据专责维护本域需求与任务记录，组织取证和专业核验，确认交付成果是否满足实际使用条件。涉及多个部门的同一业务链，由管理层明确牵头岗位，各配合岗位对其承担的对象和审核事项负责。</w:t>
      </w:r>
    </w:p>
    <w:p>
      <w:pPr>
        <w:jc w:val="both"/>
      </w:pPr>
      <w:r>
        <w:t>第十八条　信息化及数据技术岗位负责系统调查、资源定位、接口接入、模型设计、作业配置和运行记录。技术岗位将业务规则转化为可执行配置，保留配置与制度条款的对应关系，组织测试、发布、变更和运行维护。数据错误涉及业务事实时交由业务岗位核实，规则执行问题由技术岗位定位修正。</w:t>
      </w:r>
    </w:p>
    <w:p>
      <w:pPr>
        <w:jc w:val="both"/>
      </w:pPr>
      <w:r>
        <w:t>第十九条　质量岗位核定检查方法、样本、判据及复核安排，独立核验成果完整性和实际质量。安全岗位核定数据分类分级、访问范围、敏感处理、外部使用和风险处置要求。财务、采购、人力和档案等职能按现行制度审核涉及本职能的资源、费用、人员及材料管理事项。</w:t>
      </w:r>
    </w:p>
    <w:p>
      <w:pPr>
        <w:jc w:val="both"/>
      </w:pPr>
      <w:r>
        <w:t>第二十条　我方承担项目范围内的文件编制、技术实施、数据加工生产、评测组织、验证支撑、培训及交付责任，配置满足建设要求的人员和工具。甲方承担企业业务事实及内部授权事项的确认职责。我方将所需资料、审核条件和配合窗口提前纳入计划，持续推动依赖事项落实，并对自身应完成事项提交实际成果和验证记录。</w:t>
      </w:r>
    </w:p>
    <w:p>
      <w:pPr>
        <w:jc w:val="both"/>
      </w:pPr>
      <w:r>
        <w:t>第二十一条　每项任务设一名牵头责任岗位，可设置多个配合及复核岗位。职责尚未明确时由治理管理层先承担协调责任，登记暂定牵头和定责期限；任务继续纳入总体进度与风险统计。责任争议与成果完成分别处理，争议结论形成后保留责任调整记录。</w:t>
      </w:r>
    </w:p>
    <w:p>
      <w:pPr>
        <w:pStyle w:val="Caption"/>
        <w:keepNext/>
      </w:pPr>
      <w:r>
        <w:t>表1-3 执行层与专业审核职责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事项</w:t>
            </w:r>
          </w:p>
        </w:tc>
        <w:tc>
          <w:tcPr>
            <w:tcW w:type="dxa" w:w="2699"/>
            <w:vAlign w:val="center"/>
            <w:shd w:fill="EDF1F3"/>
          </w:tcPr>
          <w:p>
            <w:pPr>
              <w:keepNext/>
              <w:spacing w:line="320" w:lineRule="exact" w:after="0" w:before="0"/>
              <w:ind w:firstLine="0"/>
              <w:jc w:val="center"/>
            </w:pPr>
            <w:r>
              <w:rPr>
                <w:b/>
                <w:sz w:val="21"/>
              </w:rPr>
              <w:t>牵头组织</w:t>
            </w:r>
          </w:p>
        </w:tc>
        <w:tc>
          <w:tcPr>
            <w:tcW w:type="dxa" w:w="2409"/>
            <w:vAlign w:val="center"/>
            <w:shd w:fill="EDF1F3"/>
          </w:tcPr>
          <w:p>
            <w:pPr>
              <w:keepNext/>
              <w:spacing w:line="320" w:lineRule="exact" w:after="0" w:before="0"/>
              <w:ind w:firstLine="0"/>
              <w:jc w:val="center"/>
            </w:pPr>
            <w:r>
              <w:rPr>
                <w:b/>
                <w:sz w:val="21"/>
              </w:rPr>
              <w:t>必要参与</w:t>
            </w:r>
          </w:p>
        </w:tc>
        <w:tc>
          <w:tcPr>
            <w:tcW w:type="dxa" w:w="2891"/>
            <w:vAlign w:val="center"/>
            <w:shd w:fill="EDF1F3"/>
          </w:tcPr>
          <w:p>
            <w:pPr>
              <w:keepNext/>
              <w:spacing w:line="320" w:lineRule="exact" w:after="0" w:before="0"/>
              <w:ind w:firstLine="0"/>
              <w:jc w:val="center"/>
            </w:pPr>
            <w:r>
              <w:rPr>
                <w:b/>
                <w:sz w:val="21"/>
              </w:rPr>
              <w:t>决策或确认依据</w:t>
            </w:r>
          </w:p>
        </w:tc>
      </w:tr>
      <w:tr>
        <w:trPr>
          <w:cantSplit/>
        </w:trPr>
        <w:tc>
          <w:tcPr>
            <w:tcW w:type="dxa" w:w="1638"/>
            <w:vAlign w:val="center"/>
          </w:tcPr>
          <w:p>
            <w:pPr>
              <w:keepNext w:val="0"/>
              <w:spacing w:line="320" w:lineRule="exact" w:after="0" w:before="0"/>
              <w:ind w:firstLine="0"/>
              <w:jc w:val="left"/>
            </w:pPr>
            <w:r>
              <w:rPr>
                <w:b w:val="0"/>
                <w:sz w:val="21"/>
              </w:rPr>
              <w:t>战略规划制定</w:t>
            </w:r>
          </w:p>
        </w:tc>
        <w:tc>
          <w:tcPr>
            <w:tcW w:type="dxa" w:w="2699"/>
            <w:vAlign w:val="center"/>
          </w:tcPr>
          <w:p>
            <w:pPr>
              <w:keepNext w:val="0"/>
              <w:spacing w:line="320" w:lineRule="exact" w:after="0" w:before="0"/>
              <w:ind w:firstLine="0"/>
              <w:jc w:val="left"/>
            </w:pPr>
            <w:r>
              <w:rPr>
                <w:b w:val="0"/>
                <w:sz w:val="21"/>
              </w:rPr>
              <w:t>治理管理层</w:t>
            </w:r>
          </w:p>
        </w:tc>
        <w:tc>
          <w:tcPr>
            <w:tcW w:type="dxa" w:w="2409"/>
            <w:vAlign w:val="center"/>
          </w:tcPr>
          <w:p>
            <w:pPr>
              <w:keepNext w:val="0"/>
              <w:spacing w:line="320" w:lineRule="exact" w:after="0" w:before="0"/>
              <w:ind w:firstLine="0"/>
              <w:jc w:val="left"/>
            </w:pPr>
            <w:r>
              <w:rPr>
                <w:b w:val="0"/>
                <w:sz w:val="21"/>
              </w:rPr>
              <w:t>九业务域及技术、资源职能</w:t>
            </w:r>
          </w:p>
        </w:tc>
        <w:tc>
          <w:tcPr>
            <w:tcW w:type="dxa" w:w="2891"/>
            <w:vAlign w:val="center"/>
          </w:tcPr>
          <w:p>
            <w:pPr>
              <w:keepNext w:val="0"/>
              <w:spacing w:line="320" w:lineRule="exact" w:after="0" w:before="0"/>
              <w:ind w:firstLine="0"/>
              <w:jc w:val="left"/>
            </w:pPr>
            <w:r>
              <w:rPr>
                <w:b w:val="0"/>
                <w:sz w:val="21"/>
              </w:rPr>
              <w:t>诊断报告、场景需求、目标和资源方案</w:t>
            </w:r>
          </w:p>
        </w:tc>
      </w:tr>
      <w:tr>
        <w:trPr>
          <w:cantSplit/>
        </w:trPr>
        <w:tc>
          <w:tcPr>
            <w:tcW w:type="dxa" w:w="1638"/>
            <w:vAlign w:val="center"/>
          </w:tcPr>
          <w:p>
            <w:pPr>
              <w:keepNext w:val="0"/>
              <w:spacing w:line="320" w:lineRule="exact" w:after="0" w:before="0"/>
              <w:ind w:firstLine="0"/>
              <w:jc w:val="left"/>
            </w:pPr>
            <w:r>
              <w:rPr>
                <w:b w:val="0"/>
                <w:sz w:val="21"/>
              </w:rPr>
              <w:t>业务定义争议</w:t>
            </w:r>
          </w:p>
        </w:tc>
        <w:tc>
          <w:tcPr>
            <w:tcW w:type="dxa" w:w="2699"/>
            <w:vAlign w:val="center"/>
          </w:tcPr>
          <w:p>
            <w:pPr>
              <w:keepNext w:val="0"/>
              <w:spacing w:line="320" w:lineRule="exact" w:after="0" w:before="0"/>
              <w:ind w:firstLine="0"/>
              <w:jc w:val="left"/>
            </w:pPr>
            <w:r>
              <w:rPr>
                <w:b w:val="0"/>
                <w:sz w:val="21"/>
              </w:rPr>
              <w:t>业务归口与治理管理层</w:t>
            </w:r>
          </w:p>
        </w:tc>
        <w:tc>
          <w:tcPr>
            <w:tcW w:type="dxa" w:w="2409"/>
            <w:vAlign w:val="center"/>
          </w:tcPr>
          <w:p>
            <w:pPr>
              <w:keepNext w:val="0"/>
              <w:spacing w:line="320" w:lineRule="exact" w:after="0" w:before="0"/>
              <w:ind w:firstLine="0"/>
              <w:jc w:val="left"/>
            </w:pPr>
            <w:r>
              <w:rPr>
                <w:b w:val="0"/>
                <w:sz w:val="21"/>
              </w:rPr>
              <w:t>来源和使用部门</w:t>
            </w:r>
          </w:p>
        </w:tc>
        <w:tc>
          <w:tcPr>
            <w:tcW w:type="dxa" w:w="2891"/>
            <w:vAlign w:val="center"/>
          </w:tcPr>
          <w:p>
            <w:pPr>
              <w:keepNext w:val="0"/>
              <w:spacing w:line="320" w:lineRule="exact" w:after="0" w:before="0"/>
              <w:ind w:firstLine="0"/>
              <w:jc w:val="left"/>
            </w:pPr>
            <w:r>
              <w:rPr>
                <w:b w:val="0"/>
                <w:sz w:val="21"/>
              </w:rPr>
              <w:t>业务依据、历史版本、实际交易或生产记录</w:t>
            </w:r>
          </w:p>
        </w:tc>
      </w:tr>
      <w:tr>
        <w:trPr>
          <w:cantSplit/>
        </w:trPr>
        <w:tc>
          <w:tcPr>
            <w:tcW w:type="dxa" w:w="1638"/>
            <w:vAlign w:val="center"/>
          </w:tcPr>
          <w:p>
            <w:pPr>
              <w:keepNext w:val="0"/>
              <w:spacing w:line="320" w:lineRule="exact" w:after="0" w:before="0"/>
              <w:ind w:firstLine="0"/>
              <w:jc w:val="left"/>
            </w:pPr>
            <w:r>
              <w:rPr>
                <w:b w:val="0"/>
                <w:sz w:val="21"/>
              </w:rPr>
              <w:t>数据接口接入</w:t>
            </w:r>
          </w:p>
        </w:tc>
        <w:tc>
          <w:tcPr>
            <w:tcW w:type="dxa" w:w="2699"/>
            <w:vAlign w:val="center"/>
          </w:tcPr>
          <w:p>
            <w:pPr>
              <w:keepNext w:val="0"/>
              <w:spacing w:line="320" w:lineRule="exact" w:after="0" w:before="0"/>
              <w:ind w:firstLine="0"/>
              <w:jc w:val="left"/>
            </w:pPr>
            <w:r>
              <w:rPr>
                <w:b w:val="0"/>
                <w:sz w:val="21"/>
              </w:rPr>
              <w:t>信息化及实施岗位</w:t>
            </w:r>
          </w:p>
        </w:tc>
        <w:tc>
          <w:tcPr>
            <w:tcW w:type="dxa" w:w="2409"/>
            <w:vAlign w:val="center"/>
          </w:tcPr>
          <w:p>
            <w:pPr>
              <w:keepNext w:val="0"/>
              <w:spacing w:line="320" w:lineRule="exact" w:after="0" w:before="0"/>
              <w:ind w:firstLine="0"/>
              <w:jc w:val="left"/>
            </w:pPr>
            <w:r>
              <w:rPr>
                <w:b w:val="0"/>
                <w:sz w:val="21"/>
              </w:rPr>
              <w:t>源系统、安全、使用岗位</w:t>
            </w:r>
          </w:p>
        </w:tc>
        <w:tc>
          <w:tcPr>
            <w:tcW w:type="dxa" w:w="2891"/>
            <w:vAlign w:val="center"/>
          </w:tcPr>
          <w:p>
            <w:pPr>
              <w:keepNext w:val="0"/>
              <w:spacing w:line="320" w:lineRule="exact" w:after="0" w:before="0"/>
              <w:ind w:firstLine="0"/>
              <w:jc w:val="left"/>
            </w:pPr>
            <w:r>
              <w:rPr>
                <w:b w:val="0"/>
                <w:sz w:val="21"/>
              </w:rPr>
              <w:t>授权、对象清单、接口协议和测试</w:t>
            </w:r>
          </w:p>
        </w:tc>
      </w:tr>
      <w:tr>
        <w:trPr>
          <w:cantSplit/>
        </w:trPr>
        <w:tc>
          <w:tcPr>
            <w:tcW w:type="dxa" w:w="1638"/>
            <w:vAlign w:val="center"/>
          </w:tcPr>
          <w:p>
            <w:pPr>
              <w:keepNext w:val="0"/>
              <w:spacing w:line="320" w:lineRule="exact" w:after="0" w:before="0"/>
              <w:ind w:firstLine="0"/>
              <w:jc w:val="left"/>
            </w:pPr>
            <w:r>
              <w:rPr>
                <w:b w:val="0"/>
                <w:sz w:val="21"/>
              </w:rPr>
              <w:t>质量规则发布</w:t>
            </w:r>
          </w:p>
        </w:tc>
        <w:tc>
          <w:tcPr>
            <w:tcW w:type="dxa" w:w="2699"/>
            <w:vAlign w:val="center"/>
          </w:tcPr>
          <w:p>
            <w:pPr>
              <w:keepNext w:val="0"/>
              <w:spacing w:line="320" w:lineRule="exact" w:after="0" w:before="0"/>
              <w:ind w:firstLine="0"/>
              <w:jc w:val="left"/>
            </w:pPr>
            <w:r>
              <w:rPr>
                <w:b w:val="0"/>
                <w:sz w:val="21"/>
              </w:rPr>
              <w:t>质量及业务岗位</w:t>
            </w:r>
          </w:p>
        </w:tc>
        <w:tc>
          <w:tcPr>
            <w:tcW w:type="dxa" w:w="2409"/>
            <w:vAlign w:val="center"/>
          </w:tcPr>
          <w:p>
            <w:pPr>
              <w:keepNext w:val="0"/>
              <w:spacing w:line="320" w:lineRule="exact" w:after="0" w:before="0"/>
              <w:ind w:firstLine="0"/>
              <w:jc w:val="left"/>
            </w:pPr>
            <w:r>
              <w:rPr>
                <w:b w:val="0"/>
                <w:sz w:val="21"/>
              </w:rPr>
              <w:t>数据技术、加工及运行岗位</w:t>
            </w:r>
          </w:p>
        </w:tc>
        <w:tc>
          <w:tcPr>
            <w:tcW w:type="dxa" w:w="2891"/>
            <w:vAlign w:val="center"/>
          </w:tcPr>
          <w:p>
            <w:pPr>
              <w:keepNext w:val="0"/>
              <w:spacing w:line="320" w:lineRule="exact" w:after="0" w:before="0"/>
              <w:ind w:firstLine="0"/>
              <w:jc w:val="left"/>
            </w:pPr>
            <w:r>
              <w:rPr>
                <w:b w:val="0"/>
                <w:sz w:val="21"/>
              </w:rPr>
              <w:t>业务判据、样本验证、影响分析</w:t>
            </w:r>
          </w:p>
        </w:tc>
      </w:tr>
      <w:tr>
        <w:trPr>
          <w:cantSplit/>
        </w:trPr>
        <w:tc>
          <w:tcPr>
            <w:tcW w:type="dxa" w:w="1638"/>
            <w:vAlign w:val="center"/>
          </w:tcPr>
          <w:p>
            <w:pPr>
              <w:keepNext w:val="0"/>
              <w:spacing w:line="320" w:lineRule="exact" w:after="0" w:before="0"/>
              <w:ind w:firstLine="0"/>
              <w:jc w:val="left"/>
            </w:pPr>
            <w:r>
              <w:rPr>
                <w:b w:val="0"/>
                <w:sz w:val="21"/>
              </w:rPr>
              <w:t>资源调整</w:t>
            </w:r>
          </w:p>
        </w:tc>
        <w:tc>
          <w:tcPr>
            <w:tcW w:type="dxa" w:w="2699"/>
            <w:vAlign w:val="center"/>
          </w:tcPr>
          <w:p>
            <w:pPr>
              <w:keepNext w:val="0"/>
              <w:spacing w:line="320" w:lineRule="exact" w:after="0" w:before="0"/>
              <w:ind w:firstLine="0"/>
              <w:jc w:val="left"/>
            </w:pPr>
            <w:r>
              <w:rPr>
                <w:b w:val="0"/>
                <w:sz w:val="21"/>
              </w:rPr>
              <w:t>项目管理与资源归口</w:t>
            </w:r>
          </w:p>
        </w:tc>
        <w:tc>
          <w:tcPr>
            <w:tcW w:type="dxa" w:w="2409"/>
            <w:vAlign w:val="center"/>
          </w:tcPr>
          <w:p>
            <w:pPr>
              <w:keepNext w:val="0"/>
              <w:spacing w:line="320" w:lineRule="exact" w:after="0" w:before="0"/>
              <w:ind w:firstLine="0"/>
              <w:jc w:val="left"/>
            </w:pPr>
            <w:r>
              <w:rPr>
                <w:b w:val="0"/>
                <w:sz w:val="21"/>
              </w:rPr>
              <w:t>受影响任务负责人</w:t>
            </w:r>
          </w:p>
        </w:tc>
        <w:tc>
          <w:tcPr>
            <w:tcW w:type="dxa" w:w="2891"/>
            <w:vAlign w:val="center"/>
          </w:tcPr>
          <w:p>
            <w:pPr>
              <w:keepNext w:val="0"/>
              <w:spacing w:line="320" w:lineRule="exact" w:after="0" w:before="0"/>
              <w:ind w:firstLine="0"/>
              <w:jc w:val="left"/>
            </w:pPr>
            <w:r>
              <w:rPr>
                <w:b w:val="0"/>
                <w:sz w:val="21"/>
              </w:rPr>
              <w:t>工作量、关键依赖、容量和预算约束</w:t>
            </w:r>
          </w:p>
        </w:tc>
      </w:tr>
      <w:tr>
        <w:trPr>
          <w:cantSplit/>
        </w:trPr>
        <w:tc>
          <w:tcPr>
            <w:tcW w:type="dxa" w:w="1638"/>
            <w:vAlign w:val="center"/>
          </w:tcPr>
          <w:p>
            <w:pPr>
              <w:keepNext w:val="0"/>
              <w:spacing w:line="320" w:lineRule="exact" w:after="0" w:before="0"/>
              <w:ind w:firstLine="0"/>
              <w:jc w:val="left"/>
            </w:pPr>
            <w:r>
              <w:rPr>
                <w:b w:val="0"/>
                <w:sz w:val="21"/>
              </w:rPr>
              <w:t>重大风险处置</w:t>
            </w:r>
          </w:p>
        </w:tc>
        <w:tc>
          <w:tcPr>
            <w:tcW w:type="dxa" w:w="2699"/>
            <w:vAlign w:val="center"/>
          </w:tcPr>
          <w:p>
            <w:pPr>
              <w:keepNext w:val="0"/>
              <w:spacing w:line="320" w:lineRule="exact" w:after="0" w:before="0"/>
              <w:ind w:firstLine="0"/>
              <w:jc w:val="left"/>
            </w:pPr>
            <w:r>
              <w:rPr>
                <w:b w:val="0"/>
                <w:sz w:val="21"/>
              </w:rPr>
              <w:t>治理管理层</w:t>
            </w:r>
          </w:p>
        </w:tc>
        <w:tc>
          <w:tcPr>
            <w:tcW w:type="dxa" w:w="2409"/>
            <w:vAlign w:val="center"/>
          </w:tcPr>
          <w:p>
            <w:pPr>
              <w:keepNext w:val="0"/>
              <w:spacing w:line="320" w:lineRule="exact" w:after="0" w:before="0"/>
              <w:ind w:firstLine="0"/>
              <w:jc w:val="left"/>
            </w:pPr>
            <w:r>
              <w:rPr>
                <w:b w:val="0"/>
                <w:sz w:val="21"/>
              </w:rPr>
              <w:t>安全、业务及技术岗位</w:t>
            </w:r>
          </w:p>
        </w:tc>
        <w:tc>
          <w:tcPr>
            <w:tcW w:type="dxa" w:w="2891"/>
            <w:vAlign w:val="center"/>
          </w:tcPr>
          <w:p>
            <w:pPr>
              <w:keepNext w:val="0"/>
              <w:spacing w:line="320" w:lineRule="exact" w:after="0" w:before="0"/>
              <w:ind w:firstLine="0"/>
              <w:jc w:val="left"/>
            </w:pPr>
            <w:r>
              <w:rPr>
                <w:b w:val="0"/>
                <w:sz w:val="21"/>
              </w:rPr>
              <w:t>风险证据、影响范围和处置方案</w:t>
            </w:r>
          </w:p>
        </w:tc>
      </w:tr>
      <w:tr>
        <w:trPr>
          <w:cantSplit/>
        </w:trPr>
        <w:tc>
          <w:tcPr>
            <w:tcW w:type="dxa" w:w="1638"/>
            <w:vAlign w:val="center"/>
          </w:tcPr>
          <w:p>
            <w:pPr>
              <w:keepNext w:val="0"/>
              <w:spacing w:line="320" w:lineRule="exact" w:after="0" w:before="0"/>
              <w:ind w:firstLine="0"/>
              <w:jc w:val="left"/>
            </w:pPr>
            <w:r>
              <w:rPr>
                <w:b w:val="0"/>
                <w:sz w:val="21"/>
              </w:rPr>
              <w:t>成果验收</w:t>
            </w:r>
          </w:p>
        </w:tc>
        <w:tc>
          <w:tcPr>
            <w:tcW w:type="dxa" w:w="2699"/>
            <w:vAlign w:val="center"/>
          </w:tcPr>
          <w:p>
            <w:pPr>
              <w:keepNext w:val="0"/>
              <w:spacing w:line="320" w:lineRule="exact" w:after="0" w:before="0"/>
              <w:ind w:firstLine="0"/>
              <w:jc w:val="left"/>
            </w:pPr>
            <w:r>
              <w:rPr>
                <w:b w:val="0"/>
                <w:sz w:val="21"/>
              </w:rPr>
              <w:t>授权验收组织</w:t>
            </w:r>
          </w:p>
        </w:tc>
        <w:tc>
          <w:tcPr>
            <w:tcW w:type="dxa" w:w="2409"/>
            <w:vAlign w:val="center"/>
          </w:tcPr>
          <w:p>
            <w:pPr>
              <w:keepNext w:val="0"/>
              <w:spacing w:line="320" w:lineRule="exact" w:after="0" w:before="0"/>
              <w:ind w:firstLine="0"/>
              <w:jc w:val="left"/>
            </w:pPr>
            <w:r>
              <w:rPr>
                <w:b w:val="0"/>
                <w:sz w:val="21"/>
              </w:rPr>
              <w:t>业务、质量、技术及档案岗位</w:t>
            </w:r>
          </w:p>
        </w:tc>
        <w:tc>
          <w:tcPr>
            <w:tcW w:type="dxa" w:w="2891"/>
            <w:vAlign w:val="center"/>
          </w:tcPr>
          <w:p>
            <w:pPr>
              <w:keepNext w:val="0"/>
              <w:spacing w:line="320" w:lineRule="exact" w:after="0" w:before="0"/>
              <w:ind w:firstLine="0"/>
              <w:jc w:val="left"/>
            </w:pPr>
            <w:r>
              <w:rPr>
                <w:b w:val="0"/>
                <w:sz w:val="21"/>
              </w:rPr>
              <w:t>合同条件、实际成果和检验记录</w:t>
            </w:r>
          </w:p>
        </w:tc>
      </w:tr>
      <w:tr>
        <w:trPr>
          <w:cantSplit/>
        </w:trPr>
        <w:tc>
          <w:tcPr>
            <w:tcW w:type="dxa" w:w="1638"/>
            <w:vAlign w:val="center"/>
          </w:tcPr>
          <w:p>
            <w:pPr>
              <w:keepNext w:val="0"/>
              <w:spacing w:line="320" w:lineRule="exact" w:after="0" w:before="0"/>
              <w:ind w:firstLine="0"/>
              <w:jc w:val="left"/>
            </w:pPr>
            <w:r>
              <w:rPr>
                <w:b w:val="0"/>
                <w:sz w:val="21"/>
              </w:rPr>
              <w:t>战略迭代</w:t>
            </w:r>
          </w:p>
        </w:tc>
        <w:tc>
          <w:tcPr>
            <w:tcW w:type="dxa" w:w="2699"/>
            <w:vAlign w:val="center"/>
          </w:tcPr>
          <w:p>
            <w:pPr>
              <w:keepNext w:val="0"/>
              <w:spacing w:line="320" w:lineRule="exact" w:after="0" w:before="0"/>
              <w:ind w:firstLine="0"/>
              <w:jc w:val="left"/>
            </w:pPr>
            <w:r>
              <w:rPr>
                <w:b w:val="0"/>
                <w:sz w:val="21"/>
              </w:rPr>
              <w:t>治理决策层</w:t>
            </w:r>
          </w:p>
        </w:tc>
        <w:tc>
          <w:tcPr>
            <w:tcW w:type="dxa" w:w="2409"/>
            <w:vAlign w:val="center"/>
          </w:tcPr>
          <w:p>
            <w:pPr>
              <w:keepNext w:val="0"/>
              <w:spacing w:line="320" w:lineRule="exact" w:after="0" w:before="0"/>
              <w:ind w:firstLine="0"/>
              <w:jc w:val="left"/>
            </w:pPr>
            <w:r>
              <w:rPr>
                <w:b w:val="0"/>
                <w:sz w:val="21"/>
              </w:rPr>
              <w:t>管理层及有关责任岗位</w:t>
            </w:r>
          </w:p>
        </w:tc>
        <w:tc>
          <w:tcPr>
            <w:tcW w:type="dxa" w:w="2891"/>
            <w:vAlign w:val="center"/>
          </w:tcPr>
          <w:p>
            <w:pPr>
              <w:keepNext w:val="0"/>
              <w:spacing w:line="320" w:lineRule="exact" w:after="0" w:before="0"/>
              <w:ind w:firstLine="0"/>
              <w:jc w:val="left"/>
            </w:pPr>
            <w:r>
              <w:rPr>
                <w:b w:val="0"/>
                <w:sz w:val="21"/>
              </w:rPr>
              <w:t>评估报告、整改结果和新需求</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2" name="Picture 2"/>
            <wp:cNvGraphicFramePr>
              <a:graphicFrameLocks noChangeAspect="1"/>
            </wp:cNvGraphicFramePr>
            <a:graphic>
              <a:graphicData uri="http://schemas.openxmlformats.org/drawingml/2006/picture">
                <pic:pic>
                  <pic:nvPicPr>
                    <pic:cNvPr id="0" name="图2_责任体系.png"/>
                    <pic:cNvPicPr/>
                  </pic:nvPicPr>
                  <pic:blipFill>
                    <a:blip r:embed="rId12"/>
                    <a:stretch>
                      <a:fillRect/>
                    </a:stretch>
                  </pic:blipFill>
                  <pic:spPr>
                    <a:xfrm>
                      <a:off x="0" y="0"/>
                      <a:ext cx="6048000" cy="2477354"/>
                    </a:xfrm>
                    <a:prstGeom prst="rect"/>
                  </pic:spPr>
                </pic:pic>
              </a:graphicData>
            </a:graphic>
          </wp:inline>
        </w:drawing>
      </w:r>
    </w:p>
    <w:p>
      <w:pPr>
        <w:pStyle w:val="Caption"/>
        <w:jc w:val="center"/>
      </w:pPr>
      <w:r>
        <w:t>图1-2 数据战略责任体系</w:t>
      </w:r>
    </w:p>
    <w:p>
      <w:pPr>
        <w:pStyle w:val="Heading2"/>
      </w:pPr>
      <w:r>
        <w:t>1.4 战略制定与批准</w:t>
      </w:r>
    </w:p>
    <w:p>
      <w:pPr>
        <w:pStyle w:val="Heading3"/>
      </w:pPr>
      <w:r>
        <w:t>1.4.1 编制输入及事实核验</w:t>
      </w:r>
    </w:p>
    <w:p>
      <w:pPr>
        <w:jc w:val="both"/>
      </w:pPr>
      <w:r>
        <w:t>第二十二条　战略制定以企业业务目标、数据治理现状诊断、高质量数据集验证场景数据需求、系统与资源调查、适用标准及项目要求为输入。现状诊断按适用的数据管理能力成熟度模型逐项建立要求与证据关系，并分别检查组织、制度、流程、工具和实际运行。评估模型的版本及过渡要求进入依据清单，发布前复核有效性。</w:t>
      </w:r>
    </w:p>
    <w:p>
      <w:pPr>
        <w:jc w:val="both"/>
      </w:pPr>
      <w:r>
        <w:t>第二十三条　业务需求按对象、用途、使用岗位、数据条件、期望输出和判断依据描述。需求涉及安全生产、质量判定和重要经营事项时增加专业复核要求。多个需求使用相同对象、字典或接口时归并共性基础任务，保留各使用场景的差异条件和验收责任。</w:t>
      </w:r>
    </w:p>
    <w:p>
      <w:pPr>
        <w:jc w:val="both"/>
      </w:pPr>
      <w:r>
        <w:t>第二十四条　来源调查覆盖项目涉及的十七套系统及经授权的业务资料。系统名称、实际实例、模块、存储对象、历史范围及接口条件分别登记。来源可访问与数据可用于加工生产分别审查，权利、许可和敏感限制与内容一并传递。调查形成的缺口按证据状态记录，纳入补证或治理任务。</w:t>
      </w:r>
    </w:p>
    <w:p>
      <w:pPr>
        <w:jc w:val="both"/>
      </w:pPr>
      <w:r>
        <w:t>第二十五条　管理层组织目标论证时，对每项目标核查业务必要性、完成条件、资源安排和验收方法。重点分析对象关系、时间覆盖、历史版本和实际供给能力对数据集建设的影响。供给缺口按真实采集、历史资料恢复、规则治理、标注及受控合成增强等措施安排，基准评测数据保持真实来源和独立隔离。</w:t>
      </w:r>
    </w:p>
    <w:p>
      <w:pPr>
        <w:pStyle w:val="Heading3"/>
      </w:pPr>
      <w:r>
        <w:t>1.4.2 征求意见与正式发布</w:t>
      </w:r>
    </w:p>
    <w:p>
      <w:pPr>
        <w:jc w:val="both"/>
      </w:pPr>
      <w:r>
        <w:t>第二十六条　战略文件起草后向责任部门和受影响岗位征求意见。意见登记提出对象、具体问题、事实依据、建议及处理结论。涉及业务定义、权限、资源或验收条件的意见应取得有权岗位确认；不同意见尚未解决时保留争议及影响分析，提交相应决策层处理。</w:t>
      </w:r>
    </w:p>
    <w:p>
      <w:pPr>
        <w:jc w:val="both"/>
      </w:pPr>
      <w:r>
        <w:t>第二十七条　战略规划报批材料包括正式文本、目标清单、重点任务清单、资源计划、路线图、风险清单及会签处理记录。审核逐项检查目标与任务、任务与资源、资源与时间、时间与交付之间的关系，确认关键任务有输入、有负责人、有可检查的成果。</w:t>
      </w:r>
    </w:p>
    <w:p>
      <w:pPr>
        <w:jc w:val="both"/>
      </w:pPr>
      <w:r>
        <w:t>第二十八条　批准后登记文件主标识、版本、生效日期、批准记录、保管位置和访问范围。配套实施计划引用确切版本，将目标分解到工作包及阶段节点。文件分发到承担执行、审核、使用和监督职责的岗位；岗位按职责接收与确认，旧版本保留查询状态并标明被替代关系。</w:t>
      </w:r>
    </w:p>
    <w:p>
      <w:pPr>
        <w:jc w:val="both"/>
      </w:pPr>
      <w:r>
        <w:t>第二十九条　宣贯以岗位实际任务组织。决策层掌握目标、资源及重大事项权限，管理层掌握任务跟踪、指标计算和问题升级，执行层掌握输入、操作、检查和记录要求。培训应通过实际任务演练核查理解，发现理解差异时修订材料并补充培训，将结果纳入岗位承接记录。</w:t>
      </w:r>
    </w:p>
    <w:p>
      <w:pPr>
        <w:pStyle w:val="Heading2"/>
      </w:pPr>
      <w:r>
        <w:t>1.5 任务分解与实施控制</w:t>
      </w:r>
    </w:p>
    <w:p>
      <w:pPr>
        <w:pStyle w:val="Heading3"/>
      </w:pPr>
      <w:r>
        <w:t>1.5.1 工作包下达与依赖确认</w:t>
      </w:r>
    </w:p>
    <w:p>
      <w:pPr>
        <w:jc w:val="both"/>
      </w:pPr>
      <w:r>
        <w:t>第三十条　实施计划按企业级目标、业务域或专题任务、可验收工作包三级分解。工作包登记目标编号、成果名称、对象范围、前置输入、实施动作、责任岗位、配合岗位、计划起止、资源及验收方法。每项合同成果至少对应一个明确工作包，多个工作包共同形成成果时登记合并检查关系。</w:t>
      </w:r>
    </w:p>
    <w:p>
      <w:pPr>
        <w:jc w:val="both"/>
      </w:pPr>
      <w:r>
        <w:t>第三十一条　前置依赖包括业务确认、数据授权、来源交付、环境、规则、模型、工具和批准事项。输出岗位提交内容、版本、质量和交付时间，输入岗位确认可接收条件。依赖交付采用明确清单和验证动作，重要依赖在计划中预留复核与问题修正时间。</w:t>
      </w:r>
    </w:p>
    <w:p>
      <w:pPr>
        <w:jc w:val="both"/>
      </w:pPr>
      <w:r>
        <w:t>第三十二条　工作包下达前完成责任与资源确认。负责人核对目标、范围、时点和验收条件，发现条件不足时提交影响及解决方案。已到期开工但输入未满足的任务登记受阻状态，记录受阻起点、影响天数、相关前置任务和临时措施，并继续反映在总体进度偏差中。</w:t>
      </w:r>
    </w:p>
    <w:p>
      <w:pPr>
        <w:jc w:val="both"/>
      </w:pPr>
      <w:r>
        <w:t>第三十三条　跨部门工作优先处理共性对象和规则。物料、产品、图纸、工单、工件、批次、炉次、焊缝、设备及检验对象建立受控对应关系，业务状态与时间语义同步确认。涉及多系统同名字段时分别核查含义和权威来源，形成可验证的映射后再开展规模加工。</w:t>
      </w:r>
    </w:p>
    <w:p>
      <w:pPr>
        <w:pStyle w:val="Heading3"/>
      </w:pPr>
      <w:r>
        <w:t>1.5.2 过程检查及成果确认</w:t>
      </w:r>
    </w:p>
    <w:p>
      <w:pPr>
        <w:jc w:val="both"/>
      </w:pPr>
      <w:r>
        <w:t>第三十四条　执行岗位按工作包记录实际投入、处理范围、形成成果和异常事项。平台实施任务保留配置和运行验证，制度建设任务保留批准文件及执行记录，数据生产任务保留来源、加工、质检和净量记录，评价任务保留原始数据、计算过程及复核结论。记录随实际工作形成。</w:t>
      </w:r>
    </w:p>
    <w:p>
      <w:pPr>
        <w:jc w:val="both"/>
      </w:pPr>
      <w:r>
        <w:t>第三十五条　我方组织周度跟踪，治理管理层组织月度检查。周度跟踪核对完成事项、受阻任务、下周安排及近期风险；月度检查核对目标进展、资源投入、成果质量及里程碑预测。关键风险按实际影响即时升级，处理时效与项目风险管理安排衔接。</w:t>
      </w:r>
    </w:p>
    <w:p>
      <w:pPr>
        <w:jc w:val="both"/>
      </w:pPr>
      <w:r>
        <w:t>第三十六条　工作包提交验收时，同时提交成果、范围清单、自检记录、问题处理及必要的使用材料。复核岗位按预先确认的验收条件检查，业务岗位验证成果可用性。通过后更新完成状态与实际日期；未通过时登记具体缺陷、修改责任和复核安排，保留原提交版本和检验结果。</w:t>
      </w:r>
    </w:p>
    <w:p>
      <w:pPr>
        <w:jc w:val="both"/>
      </w:pPr>
      <w:r>
        <w:t>第三十七条　完成状态不替代持续运行责任。已交付的目录、规则、接口和服务继续明确维护岗位、更新触发、异常处理和检查周期。后续使用中发现问题时关联原成果和工作包，按影响启动修正、回归验证或战略评估，保留已交付版本及后继关系。</w:t>
      </w:r>
    </w:p>
    <w:p>
      <w:pPr>
        <w:pStyle w:val="Caption"/>
        <w:keepNext/>
      </w:pPr>
      <w:r>
        <w:t>表1-4 过程检查及成果确认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任务状态</w:t>
            </w:r>
          </w:p>
        </w:tc>
        <w:tc>
          <w:tcPr>
            <w:tcW w:type="dxa" w:w="2699"/>
            <w:vAlign w:val="center"/>
            <w:shd w:fill="EDF1F3"/>
          </w:tcPr>
          <w:p>
            <w:pPr>
              <w:keepNext/>
              <w:spacing w:line="320" w:lineRule="exact" w:after="0" w:before="0"/>
              <w:ind w:firstLine="0"/>
              <w:jc w:val="center"/>
            </w:pPr>
            <w:r>
              <w:rPr>
                <w:b/>
                <w:sz w:val="21"/>
              </w:rPr>
              <w:t>进入条件</w:t>
            </w:r>
          </w:p>
        </w:tc>
        <w:tc>
          <w:tcPr>
            <w:tcW w:type="dxa" w:w="2409"/>
            <w:vAlign w:val="center"/>
            <w:shd w:fill="EDF1F3"/>
          </w:tcPr>
          <w:p>
            <w:pPr>
              <w:keepNext/>
              <w:spacing w:line="320" w:lineRule="exact" w:after="0" w:before="0"/>
              <w:ind w:firstLine="0"/>
              <w:jc w:val="center"/>
            </w:pPr>
            <w:r>
              <w:rPr>
                <w:b/>
                <w:sz w:val="21"/>
              </w:rPr>
              <w:t>必备记录</w:t>
            </w:r>
          </w:p>
        </w:tc>
        <w:tc>
          <w:tcPr>
            <w:tcW w:type="dxa" w:w="2891"/>
            <w:vAlign w:val="center"/>
            <w:shd w:fill="EDF1F3"/>
          </w:tcPr>
          <w:p>
            <w:pPr>
              <w:keepNext/>
              <w:spacing w:line="320" w:lineRule="exact" w:after="0" w:before="0"/>
              <w:ind w:firstLine="0"/>
              <w:jc w:val="center"/>
            </w:pPr>
            <w:r>
              <w:rPr>
                <w:b/>
                <w:sz w:val="21"/>
              </w:rPr>
              <w:t>后续处理</w:t>
            </w:r>
          </w:p>
        </w:tc>
      </w:tr>
      <w:tr>
        <w:trPr>
          <w:cantSplit/>
        </w:trPr>
        <w:tc>
          <w:tcPr>
            <w:tcW w:type="dxa" w:w="1638"/>
            <w:vAlign w:val="center"/>
          </w:tcPr>
          <w:p>
            <w:pPr>
              <w:keepNext w:val="0"/>
              <w:spacing w:line="320" w:lineRule="exact" w:after="0" w:before="0"/>
              <w:ind w:firstLine="0"/>
              <w:jc w:val="left"/>
            </w:pPr>
            <w:r>
              <w:rPr>
                <w:b w:val="0"/>
                <w:sz w:val="21"/>
              </w:rPr>
              <w:t>已登记</w:t>
            </w:r>
          </w:p>
        </w:tc>
        <w:tc>
          <w:tcPr>
            <w:tcW w:type="dxa" w:w="2699"/>
            <w:vAlign w:val="center"/>
          </w:tcPr>
          <w:p>
            <w:pPr>
              <w:keepNext w:val="0"/>
              <w:spacing w:line="320" w:lineRule="exact" w:after="0" w:before="0"/>
              <w:ind w:firstLine="0"/>
              <w:jc w:val="left"/>
            </w:pPr>
            <w:r>
              <w:rPr>
                <w:b w:val="0"/>
                <w:sz w:val="21"/>
              </w:rPr>
              <w:t>需求或目标已进入任务清单</w:t>
            </w:r>
          </w:p>
        </w:tc>
        <w:tc>
          <w:tcPr>
            <w:tcW w:type="dxa" w:w="2409"/>
            <w:vAlign w:val="center"/>
          </w:tcPr>
          <w:p>
            <w:pPr>
              <w:keepNext w:val="0"/>
              <w:spacing w:line="320" w:lineRule="exact" w:after="0" w:before="0"/>
              <w:ind w:firstLine="0"/>
              <w:jc w:val="left"/>
            </w:pPr>
            <w:r>
              <w:rPr>
                <w:b w:val="0"/>
                <w:sz w:val="21"/>
              </w:rPr>
              <w:t>来源、范围、牵头及初步成果</w:t>
            </w:r>
          </w:p>
        </w:tc>
        <w:tc>
          <w:tcPr>
            <w:tcW w:type="dxa" w:w="2891"/>
            <w:vAlign w:val="center"/>
          </w:tcPr>
          <w:p>
            <w:pPr>
              <w:keepNext w:val="0"/>
              <w:spacing w:line="320" w:lineRule="exact" w:after="0" w:before="0"/>
              <w:ind w:firstLine="0"/>
              <w:jc w:val="left"/>
            </w:pPr>
            <w:r>
              <w:rPr>
                <w:b w:val="0"/>
                <w:sz w:val="21"/>
              </w:rPr>
              <w:t>完成输入和资源确认</w:t>
            </w:r>
          </w:p>
        </w:tc>
      </w:tr>
      <w:tr>
        <w:trPr>
          <w:cantSplit/>
        </w:trPr>
        <w:tc>
          <w:tcPr>
            <w:tcW w:type="dxa" w:w="1638"/>
            <w:vAlign w:val="center"/>
          </w:tcPr>
          <w:p>
            <w:pPr>
              <w:keepNext w:val="0"/>
              <w:spacing w:line="320" w:lineRule="exact" w:after="0" w:before="0"/>
              <w:ind w:firstLine="0"/>
              <w:jc w:val="left"/>
            </w:pPr>
            <w:r>
              <w:rPr>
                <w:b w:val="0"/>
                <w:sz w:val="21"/>
              </w:rPr>
              <w:t>已下达</w:t>
            </w:r>
          </w:p>
        </w:tc>
        <w:tc>
          <w:tcPr>
            <w:tcW w:type="dxa" w:w="2699"/>
            <w:vAlign w:val="center"/>
          </w:tcPr>
          <w:p>
            <w:pPr>
              <w:keepNext w:val="0"/>
              <w:spacing w:line="320" w:lineRule="exact" w:after="0" w:before="0"/>
              <w:ind w:firstLine="0"/>
              <w:jc w:val="left"/>
            </w:pPr>
            <w:r>
              <w:rPr>
                <w:b w:val="0"/>
                <w:sz w:val="21"/>
              </w:rPr>
              <w:t>目标、责任、时间及验收条件确认</w:t>
            </w:r>
          </w:p>
        </w:tc>
        <w:tc>
          <w:tcPr>
            <w:tcW w:type="dxa" w:w="2409"/>
            <w:vAlign w:val="center"/>
          </w:tcPr>
          <w:p>
            <w:pPr>
              <w:keepNext w:val="0"/>
              <w:spacing w:line="320" w:lineRule="exact" w:after="0" w:before="0"/>
              <w:ind w:firstLine="0"/>
              <w:jc w:val="left"/>
            </w:pPr>
            <w:r>
              <w:rPr>
                <w:b w:val="0"/>
                <w:sz w:val="21"/>
              </w:rPr>
              <w:t>批准计划、下达记录、依赖清单</w:t>
            </w:r>
          </w:p>
        </w:tc>
        <w:tc>
          <w:tcPr>
            <w:tcW w:type="dxa" w:w="2891"/>
            <w:vAlign w:val="center"/>
          </w:tcPr>
          <w:p>
            <w:pPr>
              <w:keepNext w:val="0"/>
              <w:spacing w:line="320" w:lineRule="exact" w:after="0" w:before="0"/>
              <w:ind w:firstLine="0"/>
              <w:jc w:val="left"/>
            </w:pPr>
            <w:r>
              <w:rPr>
                <w:b w:val="0"/>
                <w:sz w:val="21"/>
              </w:rPr>
              <w:t>按批准条件启动</w:t>
            </w:r>
          </w:p>
        </w:tc>
      </w:tr>
      <w:tr>
        <w:trPr>
          <w:cantSplit/>
        </w:trPr>
        <w:tc>
          <w:tcPr>
            <w:tcW w:type="dxa" w:w="1638"/>
            <w:vAlign w:val="center"/>
          </w:tcPr>
          <w:p>
            <w:pPr>
              <w:keepNext w:val="0"/>
              <w:spacing w:line="320" w:lineRule="exact" w:after="0" w:before="0"/>
              <w:ind w:firstLine="0"/>
              <w:jc w:val="left"/>
            </w:pPr>
            <w:r>
              <w:rPr>
                <w:b w:val="0"/>
                <w:sz w:val="21"/>
              </w:rPr>
              <w:t>实施中</w:t>
            </w:r>
          </w:p>
        </w:tc>
        <w:tc>
          <w:tcPr>
            <w:tcW w:type="dxa" w:w="2699"/>
            <w:vAlign w:val="center"/>
          </w:tcPr>
          <w:p>
            <w:pPr>
              <w:keepNext w:val="0"/>
              <w:spacing w:line="320" w:lineRule="exact" w:after="0" w:before="0"/>
              <w:ind w:firstLine="0"/>
              <w:jc w:val="left"/>
            </w:pPr>
            <w:r>
              <w:rPr>
                <w:b w:val="0"/>
                <w:sz w:val="21"/>
              </w:rPr>
              <w:t>输入具备且开始实际作业</w:t>
            </w:r>
          </w:p>
        </w:tc>
        <w:tc>
          <w:tcPr>
            <w:tcW w:type="dxa" w:w="2409"/>
            <w:vAlign w:val="center"/>
          </w:tcPr>
          <w:p>
            <w:pPr>
              <w:keepNext w:val="0"/>
              <w:spacing w:line="320" w:lineRule="exact" w:after="0" w:before="0"/>
              <w:ind w:firstLine="0"/>
              <w:jc w:val="left"/>
            </w:pPr>
            <w:r>
              <w:rPr>
                <w:b w:val="0"/>
                <w:sz w:val="21"/>
              </w:rPr>
              <w:t>工作记录、实际投入及阶段产物</w:t>
            </w:r>
          </w:p>
        </w:tc>
        <w:tc>
          <w:tcPr>
            <w:tcW w:type="dxa" w:w="2891"/>
            <w:vAlign w:val="center"/>
          </w:tcPr>
          <w:p>
            <w:pPr>
              <w:keepNext w:val="0"/>
              <w:spacing w:line="320" w:lineRule="exact" w:after="0" w:before="0"/>
              <w:ind w:firstLine="0"/>
              <w:jc w:val="left"/>
            </w:pPr>
            <w:r>
              <w:rPr>
                <w:b w:val="0"/>
                <w:sz w:val="21"/>
              </w:rPr>
              <w:t>持续检查与报告</w:t>
            </w:r>
          </w:p>
        </w:tc>
      </w:tr>
      <w:tr>
        <w:trPr>
          <w:cantSplit/>
        </w:trPr>
        <w:tc>
          <w:tcPr>
            <w:tcW w:type="dxa" w:w="1638"/>
            <w:vAlign w:val="center"/>
          </w:tcPr>
          <w:p>
            <w:pPr>
              <w:keepNext w:val="0"/>
              <w:spacing w:line="320" w:lineRule="exact" w:after="0" w:before="0"/>
              <w:ind w:firstLine="0"/>
              <w:jc w:val="left"/>
            </w:pPr>
            <w:r>
              <w:rPr>
                <w:b w:val="0"/>
                <w:sz w:val="21"/>
              </w:rPr>
              <w:t>受阻</w:t>
            </w:r>
          </w:p>
        </w:tc>
        <w:tc>
          <w:tcPr>
            <w:tcW w:type="dxa" w:w="2699"/>
            <w:vAlign w:val="center"/>
          </w:tcPr>
          <w:p>
            <w:pPr>
              <w:keepNext w:val="0"/>
              <w:spacing w:line="320" w:lineRule="exact" w:after="0" w:before="0"/>
              <w:ind w:firstLine="0"/>
              <w:jc w:val="left"/>
            </w:pPr>
            <w:r>
              <w:rPr>
                <w:b w:val="0"/>
                <w:sz w:val="21"/>
              </w:rPr>
              <w:t>必要输入或环境不满足</w:t>
            </w:r>
          </w:p>
        </w:tc>
        <w:tc>
          <w:tcPr>
            <w:tcW w:type="dxa" w:w="2409"/>
            <w:vAlign w:val="center"/>
          </w:tcPr>
          <w:p>
            <w:pPr>
              <w:keepNext w:val="0"/>
              <w:spacing w:line="320" w:lineRule="exact" w:after="0" w:before="0"/>
              <w:ind w:firstLine="0"/>
              <w:jc w:val="left"/>
            </w:pPr>
            <w:r>
              <w:rPr>
                <w:b w:val="0"/>
                <w:sz w:val="21"/>
              </w:rPr>
              <w:t>阻塞证据、影响及消除安排</w:t>
            </w:r>
          </w:p>
        </w:tc>
        <w:tc>
          <w:tcPr>
            <w:tcW w:type="dxa" w:w="2891"/>
            <w:vAlign w:val="center"/>
          </w:tcPr>
          <w:p>
            <w:pPr>
              <w:keepNext w:val="0"/>
              <w:spacing w:line="320" w:lineRule="exact" w:after="0" w:before="0"/>
              <w:ind w:firstLine="0"/>
              <w:jc w:val="left"/>
            </w:pPr>
            <w:r>
              <w:rPr>
                <w:b w:val="0"/>
                <w:sz w:val="21"/>
              </w:rPr>
              <w:t>跟踪恢复并更新预测</w:t>
            </w:r>
          </w:p>
        </w:tc>
      </w:tr>
      <w:tr>
        <w:trPr>
          <w:cantSplit/>
        </w:trPr>
        <w:tc>
          <w:tcPr>
            <w:tcW w:type="dxa" w:w="1638"/>
            <w:vAlign w:val="center"/>
          </w:tcPr>
          <w:p>
            <w:pPr>
              <w:keepNext w:val="0"/>
              <w:spacing w:line="320" w:lineRule="exact" w:after="0" w:before="0"/>
              <w:ind w:firstLine="0"/>
              <w:jc w:val="left"/>
            </w:pPr>
            <w:r>
              <w:rPr>
                <w:b w:val="0"/>
                <w:sz w:val="21"/>
              </w:rPr>
              <w:t>待验收</w:t>
            </w:r>
          </w:p>
        </w:tc>
        <w:tc>
          <w:tcPr>
            <w:tcW w:type="dxa" w:w="2699"/>
            <w:vAlign w:val="center"/>
          </w:tcPr>
          <w:p>
            <w:pPr>
              <w:keepNext w:val="0"/>
              <w:spacing w:line="320" w:lineRule="exact" w:after="0" w:before="0"/>
              <w:ind w:firstLine="0"/>
              <w:jc w:val="left"/>
            </w:pPr>
            <w:r>
              <w:rPr>
                <w:b w:val="0"/>
                <w:sz w:val="21"/>
              </w:rPr>
              <w:t>成果及自检材料完整提交</w:t>
            </w:r>
          </w:p>
        </w:tc>
        <w:tc>
          <w:tcPr>
            <w:tcW w:type="dxa" w:w="2409"/>
            <w:vAlign w:val="center"/>
          </w:tcPr>
          <w:p>
            <w:pPr>
              <w:keepNext w:val="0"/>
              <w:spacing w:line="320" w:lineRule="exact" w:after="0" w:before="0"/>
              <w:ind w:firstLine="0"/>
              <w:jc w:val="left"/>
            </w:pPr>
            <w:r>
              <w:rPr>
                <w:b w:val="0"/>
                <w:sz w:val="21"/>
              </w:rPr>
              <w:t>成果版本、自检、问题记录</w:t>
            </w:r>
          </w:p>
        </w:tc>
        <w:tc>
          <w:tcPr>
            <w:tcW w:type="dxa" w:w="2891"/>
            <w:vAlign w:val="center"/>
          </w:tcPr>
          <w:p>
            <w:pPr>
              <w:keepNext w:val="0"/>
              <w:spacing w:line="320" w:lineRule="exact" w:after="0" w:before="0"/>
              <w:ind w:firstLine="0"/>
              <w:jc w:val="left"/>
            </w:pPr>
            <w:r>
              <w:rPr>
                <w:b w:val="0"/>
                <w:sz w:val="21"/>
              </w:rPr>
              <w:t>独立检查与业务验证</w:t>
            </w:r>
          </w:p>
        </w:tc>
      </w:tr>
      <w:tr>
        <w:trPr>
          <w:cantSplit/>
        </w:trPr>
        <w:tc>
          <w:tcPr>
            <w:tcW w:type="dxa" w:w="1638"/>
            <w:vAlign w:val="center"/>
          </w:tcPr>
          <w:p>
            <w:pPr>
              <w:keepNext w:val="0"/>
              <w:spacing w:line="320" w:lineRule="exact" w:after="0" w:before="0"/>
              <w:ind w:firstLine="0"/>
              <w:jc w:val="left"/>
            </w:pPr>
            <w:r>
              <w:rPr>
                <w:b w:val="0"/>
                <w:sz w:val="21"/>
              </w:rPr>
              <w:t>整改中</w:t>
            </w:r>
          </w:p>
        </w:tc>
        <w:tc>
          <w:tcPr>
            <w:tcW w:type="dxa" w:w="2699"/>
            <w:vAlign w:val="center"/>
          </w:tcPr>
          <w:p>
            <w:pPr>
              <w:keepNext w:val="0"/>
              <w:spacing w:line="320" w:lineRule="exact" w:after="0" w:before="0"/>
              <w:ind w:firstLine="0"/>
              <w:jc w:val="left"/>
            </w:pPr>
            <w:r>
              <w:rPr>
                <w:b w:val="0"/>
                <w:sz w:val="21"/>
              </w:rPr>
              <w:t>验收或运行发现缺陷</w:t>
            </w:r>
          </w:p>
        </w:tc>
        <w:tc>
          <w:tcPr>
            <w:tcW w:type="dxa" w:w="2409"/>
            <w:vAlign w:val="center"/>
          </w:tcPr>
          <w:p>
            <w:pPr>
              <w:keepNext w:val="0"/>
              <w:spacing w:line="320" w:lineRule="exact" w:after="0" w:before="0"/>
              <w:ind w:firstLine="0"/>
              <w:jc w:val="left"/>
            </w:pPr>
            <w:r>
              <w:rPr>
                <w:b w:val="0"/>
                <w:sz w:val="21"/>
              </w:rPr>
              <w:t>缺陷、原因、修正与复核安排</w:t>
            </w:r>
          </w:p>
        </w:tc>
        <w:tc>
          <w:tcPr>
            <w:tcW w:type="dxa" w:w="2891"/>
            <w:vAlign w:val="center"/>
          </w:tcPr>
          <w:p>
            <w:pPr>
              <w:keepNext w:val="0"/>
              <w:spacing w:line="320" w:lineRule="exact" w:after="0" w:before="0"/>
              <w:ind w:firstLine="0"/>
              <w:jc w:val="left"/>
            </w:pPr>
            <w:r>
              <w:rPr>
                <w:b w:val="0"/>
                <w:sz w:val="21"/>
              </w:rPr>
              <w:t>完成整改后重新检查</w:t>
            </w:r>
          </w:p>
        </w:tc>
      </w:tr>
      <w:tr>
        <w:trPr>
          <w:cantSplit/>
        </w:trPr>
        <w:tc>
          <w:tcPr>
            <w:tcW w:type="dxa" w:w="1638"/>
            <w:vAlign w:val="center"/>
          </w:tcPr>
          <w:p>
            <w:pPr>
              <w:keepNext w:val="0"/>
              <w:spacing w:line="320" w:lineRule="exact" w:after="0" w:before="0"/>
              <w:ind w:firstLine="0"/>
              <w:jc w:val="left"/>
            </w:pPr>
            <w:r>
              <w:rPr>
                <w:b w:val="0"/>
                <w:sz w:val="21"/>
              </w:rPr>
              <w:t>已完成</w:t>
            </w:r>
          </w:p>
        </w:tc>
        <w:tc>
          <w:tcPr>
            <w:tcW w:type="dxa" w:w="2699"/>
            <w:vAlign w:val="center"/>
          </w:tcPr>
          <w:p>
            <w:pPr>
              <w:keepNext w:val="0"/>
              <w:spacing w:line="320" w:lineRule="exact" w:after="0" w:before="0"/>
              <w:ind w:firstLine="0"/>
              <w:jc w:val="left"/>
            </w:pPr>
            <w:r>
              <w:rPr>
                <w:b w:val="0"/>
                <w:sz w:val="21"/>
              </w:rPr>
              <w:t>规定成果与验收条件全部满足</w:t>
            </w:r>
          </w:p>
        </w:tc>
        <w:tc>
          <w:tcPr>
            <w:tcW w:type="dxa" w:w="2409"/>
            <w:vAlign w:val="center"/>
          </w:tcPr>
          <w:p>
            <w:pPr>
              <w:keepNext w:val="0"/>
              <w:spacing w:line="320" w:lineRule="exact" w:after="0" w:before="0"/>
              <w:ind w:firstLine="0"/>
              <w:jc w:val="left"/>
            </w:pPr>
            <w:r>
              <w:rPr>
                <w:b w:val="0"/>
                <w:sz w:val="21"/>
              </w:rPr>
              <w:t>验收记录、实际日期、移交责任</w:t>
            </w:r>
          </w:p>
        </w:tc>
        <w:tc>
          <w:tcPr>
            <w:tcW w:type="dxa" w:w="2891"/>
            <w:vAlign w:val="center"/>
          </w:tcPr>
          <w:p>
            <w:pPr>
              <w:keepNext w:val="0"/>
              <w:spacing w:line="320" w:lineRule="exact" w:after="0" w:before="0"/>
              <w:ind w:firstLine="0"/>
              <w:jc w:val="left"/>
            </w:pPr>
            <w:r>
              <w:rPr>
                <w:b w:val="0"/>
                <w:sz w:val="21"/>
              </w:rPr>
              <w:t>纳入运行和效果评价</w:t>
            </w:r>
          </w:p>
        </w:tc>
      </w:tr>
      <w:tr>
        <w:trPr>
          <w:cantSplit/>
        </w:trPr>
        <w:tc>
          <w:tcPr>
            <w:tcW w:type="dxa" w:w="1638"/>
            <w:vAlign w:val="center"/>
          </w:tcPr>
          <w:p>
            <w:pPr>
              <w:keepNext w:val="0"/>
              <w:spacing w:line="320" w:lineRule="exact" w:after="0" w:before="0"/>
              <w:ind w:firstLine="0"/>
              <w:jc w:val="left"/>
            </w:pPr>
            <w:r>
              <w:rPr>
                <w:b w:val="0"/>
                <w:sz w:val="21"/>
              </w:rPr>
              <w:t>已变更</w:t>
            </w:r>
          </w:p>
        </w:tc>
        <w:tc>
          <w:tcPr>
            <w:tcW w:type="dxa" w:w="2699"/>
            <w:vAlign w:val="center"/>
          </w:tcPr>
          <w:p>
            <w:pPr>
              <w:keepNext w:val="0"/>
              <w:spacing w:line="320" w:lineRule="exact" w:after="0" w:before="0"/>
              <w:ind w:firstLine="0"/>
              <w:jc w:val="left"/>
            </w:pPr>
            <w:r>
              <w:rPr>
                <w:b w:val="0"/>
                <w:sz w:val="21"/>
              </w:rPr>
              <w:t>获得有效变更批准</w:t>
            </w:r>
          </w:p>
        </w:tc>
        <w:tc>
          <w:tcPr>
            <w:tcW w:type="dxa" w:w="2409"/>
            <w:vAlign w:val="center"/>
          </w:tcPr>
          <w:p>
            <w:pPr>
              <w:keepNext w:val="0"/>
              <w:spacing w:line="320" w:lineRule="exact" w:after="0" w:before="0"/>
              <w:ind w:firstLine="0"/>
              <w:jc w:val="left"/>
            </w:pPr>
            <w:r>
              <w:rPr>
                <w:b w:val="0"/>
                <w:sz w:val="21"/>
              </w:rPr>
              <w:t>原任务、变更依据及后继任务</w:t>
            </w:r>
          </w:p>
        </w:tc>
        <w:tc>
          <w:tcPr>
            <w:tcW w:type="dxa" w:w="2891"/>
            <w:vAlign w:val="center"/>
          </w:tcPr>
          <w:p>
            <w:pPr>
              <w:keepNext w:val="0"/>
              <w:spacing w:line="320" w:lineRule="exact" w:after="0" w:before="0"/>
              <w:ind w:firstLine="0"/>
              <w:jc w:val="left"/>
            </w:pPr>
            <w:r>
              <w:rPr>
                <w:b w:val="0"/>
                <w:sz w:val="21"/>
              </w:rPr>
              <w:t>保留历史并跟踪新安排</w:t>
            </w:r>
          </w:p>
        </w:tc>
      </w:tr>
    </w:tbl>
    <w:p>
      <w:pPr>
        <w:spacing w:after="40" w:line="240" w:lineRule="auto"/>
        <w:ind w:firstLine="0"/>
      </w:pPr>
      <w:r>
        <w:rPr>
          <w:sz w:val="4"/>
        </w:rPr>
      </w:r>
    </w:p>
    <w:p>
      <w:pPr>
        <w:pStyle w:val="Heading2"/>
      </w:pPr>
      <w:r>
        <w:t>1.6 资源与费用管理</w:t>
      </w:r>
    </w:p>
    <w:p>
      <w:pPr>
        <w:pStyle w:val="Heading3"/>
      </w:pPr>
      <w:r>
        <w:t>1.6.1 人员及专业能力保障</w:t>
      </w:r>
    </w:p>
    <w:p>
      <w:pPr>
        <w:jc w:val="both"/>
      </w:pPr>
      <w:r>
        <w:t>第三十八条　资源计划按任务负荷核定岗位、投入阶段、可用时间和替补安排。业务专家重点参与规则定义、标签审核、专业评测和问题裁决，技术岗位承担架构、接入、规则实现和运行，质量安全岗位承担独立检查与风险控制。高负荷节点提前预约专业审核时间，避免成果集中提交后长期等待。</w:t>
      </w:r>
    </w:p>
    <w:p>
      <w:pPr>
        <w:jc w:val="both"/>
      </w:pPr>
      <w:r>
        <w:t>第三十九条　关键岗位变更前完成任务、材料、权限、问题及后续计划交接。紧急替换时由所属管理岗位指定临时承接人，按同等职责完成交接复核。离岗权限按安全流程收回，历史审批和运行记录保留原责任身份，新增操作记录实际接任身份。</w:t>
      </w:r>
    </w:p>
    <w:p>
      <w:pPr>
        <w:jc w:val="both"/>
      </w:pPr>
      <w:r>
        <w:t>第四十条　人员工作量以对象规模、处理复杂度、样本难度、返工情况和检查要求测算。容量测算先选取具有代表性的任务实测，再估算规模投入；简单样本和困难样本分别统计。资源使用报告同时记录计划与实际工时，识别重复处理、等待和返工的原因，形成改进动作。</w:t>
      </w:r>
    </w:p>
    <w:p>
      <w:pPr>
        <w:pStyle w:val="Heading3"/>
      </w:pPr>
      <w:r>
        <w:t>1.6.2 环境与采购投入控制</w:t>
      </w:r>
    </w:p>
    <w:p>
      <w:pPr>
        <w:jc w:val="both"/>
      </w:pPr>
      <w:r>
        <w:t>第四十一条　计算、存储、网络及软件资源按数据全流程测算。原始内容、加工中间结果、发布数据、模型实验、日志、备份和档案分别登记容量，计入版本保留、增长及恢复需要。资源测算的基础数据与假设保存，实际利用率定期复核，发现关键资源不足时提前调整任务和供给安排。</w:t>
      </w:r>
    </w:p>
    <w:p>
      <w:pPr>
        <w:jc w:val="both"/>
      </w:pPr>
      <w:r>
        <w:t>第四十二条　资源使用应满足甲方内网与数据安全要求。原始业务数据、敏感证据、训练和评测材料按批准范围在受控环境使用，账号和权限与岗位任务关联。临时实验、生产处理、独立评测及正式发布分别登记运行范围，环境复用前完成权限、残留数据和版本检查。</w:t>
      </w:r>
    </w:p>
    <w:p>
      <w:pPr>
        <w:jc w:val="both"/>
      </w:pPr>
      <w:r>
        <w:t>第四十三条　预算及采购事项按公司现行制度办理，资源建议以实际工作量和可核查配置为依据。战略管理台账登记计划投入、批准额度、实际使用及差异原因，分别反映人员、平台资源、第三方评测、能力评估和培训等投入。预算调整审查对目标、时点和交付的影响。</w:t>
      </w:r>
    </w:p>
    <w:p>
      <w:pPr>
        <w:jc w:val="both"/>
      </w:pPr>
      <w:r>
        <w:t>第四十四条　合同范围内所需工具、许可、实施和服务资源由我方按约定保障。数据集加工生产专项智能工具链按九类二十五项工具组织，数据集运营平台按采购清单十六个功能模块落实，使用节点和许可数量满足不限使用要求。战略资源统筹与项目采购、配置和验收台账关联。</w:t>
      </w:r>
    </w:p>
    <w:p>
      <w:pPr>
        <w:pStyle w:val="Heading2"/>
      </w:pPr>
      <w:r>
        <w:t>1.7 常态化战略评估</w:t>
      </w:r>
    </w:p>
    <w:p>
      <w:pPr>
        <w:pStyle w:val="Heading3"/>
      </w:pPr>
      <w:r>
        <w:t>1.7.1 评价频率与评价范围</w:t>
      </w:r>
    </w:p>
    <w:p>
      <w:pPr>
        <w:jc w:val="both"/>
      </w:pPr>
      <w:r>
        <w:t>第四十五条　常态化评价采用月度进展检查、阶段成果评价和年度综合评价，重大业务变化、重大数据事件或关键目标偏差发生时开展专项评价。月度检查服务于近期纠偏，阶段评价服务于里程碑判断，年度评价服务于后续目标及资源优化。评价日历与总体实施计划统一管理。</w:t>
      </w:r>
    </w:p>
    <w:p>
      <w:pPr>
        <w:jc w:val="both"/>
      </w:pPr>
      <w:r>
        <w:t>第四十六条　评价覆盖目标任务、管理执行、数据供给、平台使用、资产运营和能力提升。各维度分别选择能反映实际执行的指标与证据，既检查形成的文件和配置，也检查实际使用、异常处置及维护责任。数据集正式质量评测按专门方案执行，战略评价引用其正式结论并保持版本一致。</w:t>
      </w:r>
    </w:p>
    <w:p>
      <w:pPr>
        <w:jc w:val="both"/>
      </w:pPr>
      <w:r>
        <w:t>第四十七条　评价开始前冻结评价范围、统计区间、目标版本及口径。采集人员保留原始数据、取数配置和对象清单，复核人员检查完整性和重复计量。存在证据不足、范围不完整或结果争议时记录具体问题，补充核验后作出相应结论，必要时调整评价时间并报告影响。</w:t>
      </w:r>
    </w:p>
    <w:p>
      <w:pPr>
        <w:pStyle w:val="Heading3"/>
      </w:pPr>
      <w:r>
        <w:t>1.7.2 偏差分析及结论确认</w:t>
      </w:r>
    </w:p>
    <w:p>
      <w:pPr>
        <w:jc w:val="both"/>
      </w:pPr>
      <w:r>
        <w:t>第四十八条　偏差分别从目标完成、时间进展、资源投入和实际效果分析。目标偏差按原始要求与实际达成对照，时间偏差按原批准日期与当前预测对照，资源偏差按工作量和已完成成果解释，效果偏差结合实际使用条件分析。多个指标涉及同一问题时合并根因和整改动作，分别保留受影响指标。</w:t>
      </w:r>
    </w:p>
    <w:p>
      <w:pPr>
        <w:jc w:val="both"/>
      </w:pPr>
      <w:r>
        <w:t>第四十九条　偏差原因分为输入供给、业务规则、技术实现、资源组织、执行质量和外部条件等类别。归因应说明具体对象、发生时间、直接原因、管理原因及影响链路。将责任事实与原因分析分别记录，跨部门问题通过联合核查形成处理安排，必要时由管理层组织裁决。</w:t>
      </w:r>
    </w:p>
    <w:p>
      <w:pPr>
        <w:jc w:val="both"/>
      </w:pPr>
      <w:r>
        <w:t>第五十条　评估报告由编制岗位汇总，数据责任岗位核对事实，独立复核岗位核对计算及证据，治理管理层组织评审。涉及企业级目标、重大投入或关键里程碑的调整建议提交决策层审议。评价结论和决议分别登记，保留采集、复核、评审和批准记录。</w:t>
      </w:r>
    </w:p>
    <w:p>
      <w:pPr>
        <w:jc w:val="both"/>
      </w:pPr>
      <w:r>
        <w:t>第五十一条　评价结论转为可执行事项，明确责任、措施、期限、投入及验证方式。下一评价周期首先检查前期措施的落实和实际效果，再评价当期进展。长期反复出现的问题开展专项分析，检查规则、责任、来源或技术方案是否需要调整，并以重新运行或实际业务使用验证结果。</w:t>
      </w:r>
    </w:p>
    <w:p>
      <w:pPr>
        <w:pStyle w:val="Heading2"/>
      </w:pPr>
      <w:r>
        <w:t>1.8 风险分级与异常处置</w:t>
      </w:r>
    </w:p>
    <w:p>
      <w:pPr>
        <w:pStyle w:val="Heading3"/>
      </w:pPr>
      <w:r>
        <w:t>1.8.1 风险识别及升级条件</w:t>
      </w:r>
    </w:p>
    <w:p>
      <w:pPr>
        <w:jc w:val="both"/>
      </w:pPr>
      <w:r>
        <w:t>第五十二条　风险台账同时登记发生概率、影响范围、证据、预警条件、责任岗位和处置措施。风险等级综合考虑安全、合规、合同指标、业务连续性及里程碑影响。已发生的问题转入问题处置，同时保留对应风险和影响记录，动态更新风险判断。</w:t>
      </w:r>
    </w:p>
    <w:p>
      <w:pPr>
        <w:jc w:val="both"/>
      </w:pPr>
      <w:r>
        <w:t>第五十三条　涉及敏感数据越权、来源许可不明、关键业务事实错误、独立评测数据污染、重要成果缺失或终验节点明显受影响时，启动专项处置。首先控制受影响的数据、作业或交付，随后核实范围和原因，组织责任岗位实施修正并完成复核。安全事件按公司安全管理与项目应急流程同步处理。</w:t>
      </w:r>
    </w:p>
    <w:p>
      <w:pPr>
        <w:jc w:val="both"/>
      </w:pPr>
      <w:r>
        <w:t>第五十四条　一般作业偏差由任务负责人组织解决，跨部门或跨工作包影响由治理管理层协调，涉及企业级目标和重大资源的事项提交决策层。升级材料应使接收岗位能够直接判断影响和可选措施，包含已采取动作、剩余问题、所需决定及最迟决策窗口。</w:t>
      </w:r>
    </w:p>
    <w:p>
      <w:pPr>
        <w:pStyle w:val="Heading3"/>
      </w:pPr>
      <w:r>
        <w:t>1.8.2 应急调整与恢复验证</w:t>
      </w:r>
    </w:p>
    <w:p>
      <w:pPr>
        <w:jc w:val="both"/>
      </w:pPr>
      <w:r>
        <w:t>第五十五条　来源暂不可用时核查原因及恢复时间，采用经授权的历史快照、分批提取或替代接入安排，登记范围差异。关键业务条件缺失时优先补充真实资料和确认依据，受影响数据保留隔离状态。采用替代方案前完成业务、安全、质量及时间影响分析。</w:t>
      </w:r>
    </w:p>
    <w:p>
      <w:pPr>
        <w:jc w:val="both"/>
      </w:pPr>
      <w:r>
        <w:t>第五十六条　重大规则或配置错误修正后，对同源、同规则及派生对象扩大检查，恢复前完成代表性任务回归和必要的全量验证。恢复记录包括原异常、修正版本、验证范围、结果和批准，关联正式发布及后续监控。已发布成果受影响时按授权范围通知实际使用岗位并跟踪更新。</w:t>
      </w:r>
    </w:p>
    <w:p>
      <w:pPr>
        <w:pStyle w:val="Heading2"/>
      </w:pPr>
      <w:r>
        <w:t>1.9 战略变更与版本控制</w:t>
      </w:r>
    </w:p>
    <w:p>
      <w:pPr>
        <w:pStyle w:val="Heading3"/>
      </w:pPr>
      <w:r>
        <w:t>1.9.1 变更分类及影响分析</w:t>
      </w:r>
    </w:p>
    <w:p>
      <w:pPr>
        <w:jc w:val="both"/>
      </w:pPr>
      <w:r>
        <w:t>第五十七条　战略变更按目标、范围、任务、资源、指标口径和实施顺序分类。变更申请明确当前版本、触发事实、拟修改内容、受影响成果、替代方案及实施条件。涉及多个文件的同一变更建立统一编号，分别列出管理办法、规划、计划、指标卡和平台配置的修改事项。</w:t>
      </w:r>
    </w:p>
    <w:p>
      <w:pPr>
        <w:jc w:val="both"/>
      </w:pPr>
      <w:r>
        <w:t>第五十八条　影响分析沿目标到任务、任务到对象、对象到接口和规则、规则到数据集及场景使用逐层展开。重点检查净量、模态、时间比例、来源权利、质量判据、模型验证、运行服务和能力评估证据的变化。现行成果仍在使用时明确兼容、切换、回退和通知方案。</w:t>
      </w:r>
    </w:p>
    <w:p>
      <w:pPr>
        <w:jc w:val="both"/>
      </w:pPr>
      <w:r>
        <w:t>第五十九条　变更按原事项批准权限或更高权限审核。批准记录明确实施范围、生效时间、责任和检查条件。未完成批准前按有效版本执行；确需紧急控制风险的，依据应急授权实施临时措施并形成实际操作记录，后续补充正式变更审查。</w:t>
      </w:r>
    </w:p>
    <w:p>
      <w:pPr>
        <w:pStyle w:val="Heading3"/>
      </w:pPr>
      <w:r>
        <w:t>1.9.2 文件修订与生效管理</w:t>
      </w:r>
    </w:p>
    <w:p>
      <w:pPr>
        <w:jc w:val="both"/>
      </w:pPr>
      <w:r>
        <w:t>第六十条　内容含义、目标条件、职责权限或重要流程发生变化时递增主版本；文字勘误及不改变含义的资料完善递增次版本。每次修订登记变更原因、条款位置、影响对象、评审、批准和生效时间，保留旧版本及适用期间。文件主标识持续沿用，名称或范围实质变化时按文件管理规则建立新标识与替代关系。</w:t>
      </w:r>
    </w:p>
    <w:p>
      <w:pPr>
        <w:jc w:val="both"/>
      </w:pPr>
      <w:r>
        <w:t>第六十一条　战略评估报告按期次独立保存。报告结论修正时重新履行事实核对、计算复核和批准程序，修订报告关联原报告及更正原因。修改文件排版和修改评价事实分别登记，查询时能够识别当时采用的目标、数据及报告版本。</w:t>
      </w:r>
    </w:p>
    <w:p>
      <w:pPr>
        <w:jc w:val="both"/>
      </w:pPr>
      <w:r>
        <w:t>第六十二条　发布岗位核对文件与配套清单一致，向受影响岗位发出生效通知。责任岗位确认已接收并完成执行准备，涉及系统规则的同步完成配置发布和验证。变更生效后检查旧规则停用、在途任务处理及后续记录，发现遗漏及时修正。</w:t>
      </w:r>
    </w:p>
    <w:p>
      <w:pPr>
        <w:pStyle w:val="Caption"/>
        <w:keepNext/>
      </w:pPr>
      <w:r>
        <w:t>表1-5 文件修订与生效管理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变更事项</w:t>
            </w:r>
          </w:p>
        </w:tc>
        <w:tc>
          <w:tcPr>
            <w:tcW w:type="dxa" w:w="2699"/>
            <w:vAlign w:val="center"/>
            <w:shd w:fill="EDF1F3"/>
          </w:tcPr>
          <w:p>
            <w:pPr>
              <w:keepNext/>
              <w:spacing w:line="320" w:lineRule="exact" w:after="0" w:before="0"/>
              <w:ind w:firstLine="0"/>
              <w:jc w:val="center"/>
            </w:pPr>
            <w:r>
              <w:rPr>
                <w:b/>
                <w:sz w:val="21"/>
              </w:rPr>
              <w:t>重点影响分析</w:t>
            </w:r>
          </w:p>
        </w:tc>
        <w:tc>
          <w:tcPr>
            <w:tcW w:type="dxa" w:w="2409"/>
            <w:vAlign w:val="center"/>
            <w:shd w:fill="EDF1F3"/>
          </w:tcPr>
          <w:p>
            <w:pPr>
              <w:keepNext/>
              <w:spacing w:line="320" w:lineRule="exact" w:after="0" w:before="0"/>
              <w:ind w:firstLine="0"/>
              <w:jc w:val="center"/>
            </w:pPr>
            <w:r>
              <w:rPr>
                <w:b/>
                <w:sz w:val="21"/>
              </w:rPr>
              <w:t>必要审核</w:t>
            </w:r>
          </w:p>
        </w:tc>
        <w:tc>
          <w:tcPr>
            <w:tcW w:type="dxa" w:w="2891"/>
            <w:vAlign w:val="center"/>
            <w:shd w:fill="EDF1F3"/>
          </w:tcPr>
          <w:p>
            <w:pPr>
              <w:keepNext/>
              <w:spacing w:line="320" w:lineRule="exact" w:after="0" w:before="0"/>
              <w:ind w:firstLine="0"/>
              <w:jc w:val="center"/>
            </w:pPr>
            <w:r>
              <w:rPr>
                <w:b/>
                <w:sz w:val="21"/>
              </w:rPr>
              <w:t>生效验证</w:t>
            </w:r>
          </w:p>
        </w:tc>
      </w:tr>
      <w:tr>
        <w:trPr>
          <w:cantSplit/>
        </w:trPr>
        <w:tc>
          <w:tcPr>
            <w:tcW w:type="dxa" w:w="1638"/>
            <w:vAlign w:val="center"/>
          </w:tcPr>
          <w:p>
            <w:pPr>
              <w:keepNext w:val="0"/>
              <w:spacing w:line="320" w:lineRule="exact" w:after="0" w:before="0"/>
              <w:ind w:firstLine="0"/>
              <w:jc w:val="left"/>
            </w:pPr>
            <w:r>
              <w:rPr>
                <w:b w:val="0"/>
                <w:sz w:val="21"/>
              </w:rPr>
              <w:t>战略目标调整</w:t>
            </w:r>
          </w:p>
        </w:tc>
        <w:tc>
          <w:tcPr>
            <w:tcW w:type="dxa" w:w="2699"/>
            <w:vAlign w:val="center"/>
          </w:tcPr>
          <w:p>
            <w:pPr>
              <w:keepNext w:val="0"/>
              <w:spacing w:line="320" w:lineRule="exact" w:after="0" w:before="0"/>
              <w:ind w:firstLine="0"/>
              <w:jc w:val="left"/>
            </w:pPr>
            <w:r>
              <w:rPr>
                <w:b w:val="0"/>
                <w:sz w:val="21"/>
              </w:rPr>
              <w:t>合同指标、业务需要、后续任务</w:t>
            </w:r>
          </w:p>
        </w:tc>
        <w:tc>
          <w:tcPr>
            <w:tcW w:type="dxa" w:w="2409"/>
            <w:vAlign w:val="center"/>
          </w:tcPr>
          <w:p>
            <w:pPr>
              <w:keepNext w:val="0"/>
              <w:spacing w:line="320" w:lineRule="exact" w:after="0" w:before="0"/>
              <w:ind w:firstLine="0"/>
              <w:jc w:val="left"/>
            </w:pPr>
            <w:r>
              <w:rPr>
                <w:b w:val="0"/>
                <w:sz w:val="21"/>
              </w:rPr>
              <w:t>治理决策层及相关业务职能</w:t>
            </w:r>
          </w:p>
        </w:tc>
        <w:tc>
          <w:tcPr>
            <w:tcW w:type="dxa" w:w="2891"/>
            <w:vAlign w:val="center"/>
          </w:tcPr>
          <w:p>
            <w:pPr>
              <w:keepNext w:val="0"/>
              <w:spacing w:line="320" w:lineRule="exact" w:after="0" w:before="0"/>
              <w:ind w:firstLine="0"/>
              <w:jc w:val="left"/>
            </w:pPr>
            <w:r>
              <w:rPr>
                <w:b w:val="0"/>
                <w:sz w:val="21"/>
              </w:rPr>
              <w:t>规划、指标卡、计划同步</w:t>
            </w:r>
          </w:p>
        </w:tc>
      </w:tr>
      <w:tr>
        <w:trPr>
          <w:cantSplit/>
        </w:trPr>
        <w:tc>
          <w:tcPr>
            <w:tcW w:type="dxa" w:w="1638"/>
            <w:vAlign w:val="center"/>
          </w:tcPr>
          <w:p>
            <w:pPr>
              <w:keepNext w:val="0"/>
              <w:spacing w:line="320" w:lineRule="exact" w:after="0" w:before="0"/>
              <w:ind w:firstLine="0"/>
              <w:jc w:val="left"/>
            </w:pPr>
            <w:r>
              <w:rPr>
                <w:b w:val="0"/>
                <w:sz w:val="21"/>
              </w:rPr>
              <w:t>工作包拆并</w:t>
            </w:r>
          </w:p>
        </w:tc>
        <w:tc>
          <w:tcPr>
            <w:tcW w:type="dxa" w:w="2699"/>
            <w:vAlign w:val="center"/>
          </w:tcPr>
          <w:p>
            <w:pPr>
              <w:keepNext w:val="0"/>
              <w:spacing w:line="320" w:lineRule="exact" w:after="0" w:before="0"/>
              <w:ind w:firstLine="0"/>
              <w:jc w:val="left"/>
            </w:pPr>
            <w:r>
              <w:rPr>
                <w:b w:val="0"/>
                <w:sz w:val="21"/>
              </w:rPr>
              <w:t>原范围、成果计数、依赖和责任</w:t>
            </w:r>
          </w:p>
        </w:tc>
        <w:tc>
          <w:tcPr>
            <w:tcW w:type="dxa" w:w="2409"/>
            <w:vAlign w:val="center"/>
          </w:tcPr>
          <w:p>
            <w:pPr>
              <w:keepNext w:val="0"/>
              <w:spacing w:line="320" w:lineRule="exact" w:after="0" w:before="0"/>
              <w:ind w:firstLine="0"/>
              <w:jc w:val="left"/>
            </w:pPr>
            <w:r>
              <w:rPr>
                <w:b w:val="0"/>
                <w:sz w:val="21"/>
              </w:rPr>
              <w:t>治理管理层与受影响岗位</w:t>
            </w:r>
          </w:p>
        </w:tc>
        <w:tc>
          <w:tcPr>
            <w:tcW w:type="dxa" w:w="2891"/>
            <w:vAlign w:val="center"/>
          </w:tcPr>
          <w:p>
            <w:pPr>
              <w:keepNext w:val="0"/>
              <w:spacing w:line="320" w:lineRule="exact" w:after="0" w:before="0"/>
              <w:ind w:firstLine="0"/>
              <w:jc w:val="left"/>
            </w:pPr>
            <w:r>
              <w:rPr>
                <w:b w:val="0"/>
                <w:sz w:val="21"/>
              </w:rPr>
              <w:t>原任务可追溯，成果无遗漏</w:t>
            </w:r>
          </w:p>
        </w:tc>
      </w:tr>
      <w:tr>
        <w:trPr>
          <w:cantSplit/>
        </w:trPr>
        <w:tc>
          <w:tcPr>
            <w:tcW w:type="dxa" w:w="1638"/>
            <w:vAlign w:val="center"/>
          </w:tcPr>
          <w:p>
            <w:pPr>
              <w:keepNext w:val="0"/>
              <w:spacing w:line="320" w:lineRule="exact" w:after="0" w:before="0"/>
              <w:ind w:firstLine="0"/>
              <w:jc w:val="left"/>
            </w:pPr>
            <w:r>
              <w:rPr>
                <w:b w:val="0"/>
                <w:sz w:val="21"/>
              </w:rPr>
              <w:t>资源配置调整</w:t>
            </w:r>
          </w:p>
        </w:tc>
        <w:tc>
          <w:tcPr>
            <w:tcW w:type="dxa" w:w="2699"/>
            <w:vAlign w:val="center"/>
          </w:tcPr>
          <w:p>
            <w:pPr>
              <w:keepNext w:val="0"/>
              <w:spacing w:line="320" w:lineRule="exact" w:after="0" w:before="0"/>
              <w:ind w:firstLine="0"/>
              <w:jc w:val="left"/>
            </w:pPr>
            <w:r>
              <w:rPr>
                <w:b w:val="0"/>
                <w:sz w:val="21"/>
              </w:rPr>
              <w:t>负荷、关键路径、费用和能力</w:t>
            </w:r>
          </w:p>
        </w:tc>
        <w:tc>
          <w:tcPr>
            <w:tcW w:type="dxa" w:w="2409"/>
            <w:vAlign w:val="center"/>
          </w:tcPr>
          <w:p>
            <w:pPr>
              <w:keepNext w:val="0"/>
              <w:spacing w:line="320" w:lineRule="exact" w:after="0" w:before="0"/>
              <w:ind w:firstLine="0"/>
              <w:jc w:val="left"/>
            </w:pPr>
            <w:r>
              <w:rPr>
                <w:b w:val="0"/>
                <w:sz w:val="21"/>
              </w:rPr>
              <w:t>资源归口及相应授权主体</w:t>
            </w:r>
          </w:p>
        </w:tc>
        <w:tc>
          <w:tcPr>
            <w:tcW w:type="dxa" w:w="2891"/>
            <w:vAlign w:val="center"/>
          </w:tcPr>
          <w:p>
            <w:pPr>
              <w:keepNext w:val="0"/>
              <w:spacing w:line="320" w:lineRule="exact" w:after="0" w:before="0"/>
              <w:ind w:firstLine="0"/>
              <w:jc w:val="left"/>
            </w:pPr>
            <w:r>
              <w:rPr>
                <w:b w:val="0"/>
                <w:sz w:val="21"/>
              </w:rPr>
              <w:t>资源到位并通过运行验证</w:t>
            </w:r>
          </w:p>
        </w:tc>
      </w:tr>
      <w:tr>
        <w:trPr>
          <w:cantSplit/>
        </w:trPr>
        <w:tc>
          <w:tcPr>
            <w:tcW w:type="dxa" w:w="1638"/>
            <w:vAlign w:val="center"/>
          </w:tcPr>
          <w:p>
            <w:pPr>
              <w:keepNext w:val="0"/>
              <w:spacing w:line="320" w:lineRule="exact" w:after="0" w:before="0"/>
              <w:ind w:firstLine="0"/>
              <w:jc w:val="left"/>
            </w:pPr>
            <w:r>
              <w:rPr>
                <w:b w:val="0"/>
                <w:sz w:val="21"/>
              </w:rPr>
              <w:t>数据口径调整</w:t>
            </w:r>
          </w:p>
        </w:tc>
        <w:tc>
          <w:tcPr>
            <w:tcW w:type="dxa" w:w="2699"/>
            <w:vAlign w:val="center"/>
          </w:tcPr>
          <w:p>
            <w:pPr>
              <w:keepNext w:val="0"/>
              <w:spacing w:line="320" w:lineRule="exact" w:after="0" w:before="0"/>
              <w:ind w:firstLine="0"/>
              <w:jc w:val="left"/>
            </w:pPr>
            <w:r>
              <w:rPr>
                <w:b w:val="0"/>
                <w:sz w:val="21"/>
              </w:rPr>
              <w:t>历史可比性、模型、报表和卡片</w:t>
            </w:r>
          </w:p>
        </w:tc>
        <w:tc>
          <w:tcPr>
            <w:tcW w:type="dxa" w:w="2409"/>
            <w:vAlign w:val="center"/>
          </w:tcPr>
          <w:p>
            <w:pPr>
              <w:keepNext w:val="0"/>
              <w:spacing w:line="320" w:lineRule="exact" w:after="0" w:before="0"/>
              <w:ind w:firstLine="0"/>
              <w:jc w:val="left"/>
            </w:pPr>
            <w:r>
              <w:rPr>
                <w:b w:val="0"/>
                <w:sz w:val="21"/>
              </w:rPr>
              <w:t>业务归口、质量及技术岗位</w:t>
            </w:r>
          </w:p>
        </w:tc>
        <w:tc>
          <w:tcPr>
            <w:tcW w:type="dxa" w:w="2891"/>
            <w:vAlign w:val="center"/>
          </w:tcPr>
          <w:p>
            <w:pPr>
              <w:keepNext w:val="0"/>
              <w:spacing w:line="320" w:lineRule="exact" w:after="0" w:before="0"/>
              <w:ind w:firstLine="0"/>
              <w:jc w:val="left"/>
            </w:pPr>
            <w:r>
              <w:rPr>
                <w:b w:val="0"/>
                <w:sz w:val="21"/>
              </w:rPr>
              <w:t>新旧口径对照和独立复算</w:t>
            </w:r>
          </w:p>
        </w:tc>
      </w:tr>
      <w:tr>
        <w:trPr>
          <w:cantSplit/>
        </w:trPr>
        <w:tc>
          <w:tcPr>
            <w:tcW w:type="dxa" w:w="1638"/>
            <w:vAlign w:val="center"/>
          </w:tcPr>
          <w:p>
            <w:pPr>
              <w:keepNext w:val="0"/>
              <w:spacing w:line="320" w:lineRule="exact" w:after="0" w:before="0"/>
              <w:ind w:firstLine="0"/>
              <w:jc w:val="left"/>
            </w:pPr>
            <w:r>
              <w:rPr>
                <w:b w:val="0"/>
                <w:sz w:val="21"/>
              </w:rPr>
              <w:t>来源或授权变化</w:t>
            </w:r>
          </w:p>
        </w:tc>
        <w:tc>
          <w:tcPr>
            <w:tcW w:type="dxa" w:w="2699"/>
            <w:vAlign w:val="center"/>
          </w:tcPr>
          <w:p>
            <w:pPr>
              <w:keepNext w:val="0"/>
              <w:spacing w:line="320" w:lineRule="exact" w:after="0" w:before="0"/>
              <w:ind w:firstLine="0"/>
              <w:jc w:val="left"/>
            </w:pPr>
            <w:r>
              <w:rPr>
                <w:b w:val="0"/>
                <w:sz w:val="21"/>
              </w:rPr>
              <w:t>权利、敏感、使用范围及派生物</w:t>
            </w:r>
          </w:p>
        </w:tc>
        <w:tc>
          <w:tcPr>
            <w:tcW w:type="dxa" w:w="2409"/>
            <w:vAlign w:val="center"/>
          </w:tcPr>
          <w:p>
            <w:pPr>
              <w:keepNext w:val="0"/>
              <w:spacing w:line="320" w:lineRule="exact" w:after="0" w:before="0"/>
              <w:ind w:firstLine="0"/>
              <w:jc w:val="left"/>
            </w:pPr>
            <w:r>
              <w:rPr>
                <w:b w:val="0"/>
                <w:sz w:val="21"/>
              </w:rPr>
              <w:t>业务、安全及相关权利审核岗位</w:t>
            </w:r>
          </w:p>
        </w:tc>
        <w:tc>
          <w:tcPr>
            <w:tcW w:type="dxa" w:w="2891"/>
            <w:vAlign w:val="center"/>
          </w:tcPr>
          <w:p>
            <w:pPr>
              <w:keepNext w:val="0"/>
              <w:spacing w:line="320" w:lineRule="exact" w:after="0" w:before="0"/>
              <w:ind w:firstLine="0"/>
              <w:jc w:val="left"/>
            </w:pPr>
            <w:r>
              <w:rPr>
                <w:b w:val="0"/>
                <w:sz w:val="21"/>
              </w:rPr>
              <w:t>授权生效，派生范围同步处理</w:t>
            </w:r>
          </w:p>
        </w:tc>
      </w:tr>
      <w:tr>
        <w:trPr>
          <w:cantSplit/>
        </w:trPr>
        <w:tc>
          <w:tcPr>
            <w:tcW w:type="dxa" w:w="1638"/>
            <w:vAlign w:val="center"/>
          </w:tcPr>
          <w:p>
            <w:pPr>
              <w:keepNext w:val="0"/>
              <w:spacing w:line="320" w:lineRule="exact" w:after="0" w:before="0"/>
              <w:ind w:firstLine="0"/>
              <w:jc w:val="left"/>
            </w:pPr>
            <w:r>
              <w:rPr>
                <w:b w:val="0"/>
                <w:sz w:val="21"/>
              </w:rPr>
              <w:t>质量规则变化</w:t>
            </w:r>
          </w:p>
        </w:tc>
        <w:tc>
          <w:tcPr>
            <w:tcW w:type="dxa" w:w="2699"/>
            <w:vAlign w:val="center"/>
          </w:tcPr>
          <w:p>
            <w:pPr>
              <w:keepNext w:val="0"/>
              <w:spacing w:line="320" w:lineRule="exact" w:after="0" w:before="0"/>
              <w:ind w:firstLine="0"/>
              <w:jc w:val="left"/>
            </w:pPr>
            <w:r>
              <w:rPr>
                <w:b w:val="0"/>
                <w:sz w:val="21"/>
              </w:rPr>
              <w:t>阈值、误报漏报及受影响对象</w:t>
            </w:r>
          </w:p>
        </w:tc>
        <w:tc>
          <w:tcPr>
            <w:tcW w:type="dxa" w:w="2409"/>
            <w:vAlign w:val="center"/>
          </w:tcPr>
          <w:p>
            <w:pPr>
              <w:keepNext w:val="0"/>
              <w:spacing w:line="320" w:lineRule="exact" w:after="0" w:before="0"/>
              <w:ind w:firstLine="0"/>
              <w:jc w:val="left"/>
            </w:pPr>
            <w:r>
              <w:rPr>
                <w:b w:val="0"/>
                <w:sz w:val="21"/>
              </w:rPr>
              <w:t>质量、业务与实施岗位</w:t>
            </w:r>
          </w:p>
        </w:tc>
        <w:tc>
          <w:tcPr>
            <w:tcW w:type="dxa" w:w="2891"/>
            <w:vAlign w:val="center"/>
          </w:tcPr>
          <w:p>
            <w:pPr>
              <w:keepNext w:val="0"/>
              <w:spacing w:line="320" w:lineRule="exact" w:after="0" w:before="0"/>
              <w:ind w:firstLine="0"/>
              <w:jc w:val="left"/>
            </w:pPr>
            <w:r>
              <w:rPr>
                <w:b w:val="0"/>
                <w:sz w:val="21"/>
              </w:rPr>
              <w:t>样本验证和相应范围重检</w:t>
            </w:r>
          </w:p>
        </w:tc>
      </w:tr>
      <w:tr>
        <w:trPr>
          <w:cantSplit/>
        </w:trPr>
        <w:tc>
          <w:tcPr>
            <w:tcW w:type="dxa" w:w="1638"/>
            <w:vAlign w:val="center"/>
          </w:tcPr>
          <w:p>
            <w:pPr>
              <w:keepNext w:val="0"/>
              <w:spacing w:line="320" w:lineRule="exact" w:after="0" w:before="0"/>
              <w:ind w:firstLine="0"/>
              <w:jc w:val="left"/>
            </w:pPr>
            <w:r>
              <w:rPr>
                <w:b w:val="0"/>
                <w:sz w:val="21"/>
              </w:rPr>
              <w:t>文件文字勘误</w:t>
            </w:r>
          </w:p>
        </w:tc>
        <w:tc>
          <w:tcPr>
            <w:tcW w:type="dxa" w:w="2699"/>
            <w:vAlign w:val="center"/>
          </w:tcPr>
          <w:p>
            <w:pPr>
              <w:keepNext w:val="0"/>
              <w:spacing w:line="320" w:lineRule="exact" w:after="0" w:before="0"/>
              <w:ind w:firstLine="0"/>
              <w:jc w:val="left"/>
            </w:pPr>
            <w:r>
              <w:rPr>
                <w:b w:val="0"/>
                <w:sz w:val="21"/>
              </w:rPr>
              <w:t>是否改变含义、引用与编号</w:t>
            </w:r>
          </w:p>
        </w:tc>
        <w:tc>
          <w:tcPr>
            <w:tcW w:type="dxa" w:w="2409"/>
            <w:vAlign w:val="center"/>
          </w:tcPr>
          <w:p>
            <w:pPr>
              <w:keepNext w:val="0"/>
              <w:spacing w:line="320" w:lineRule="exact" w:after="0" w:before="0"/>
              <w:ind w:firstLine="0"/>
              <w:jc w:val="left"/>
            </w:pPr>
            <w:r>
              <w:rPr>
                <w:b w:val="0"/>
                <w:sz w:val="21"/>
              </w:rPr>
              <w:t>文件归口复核</w:t>
            </w:r>
          </w:p>
        </w:tc>
        <w:tc>
          <w:tcPr>
            <w:tcW w:type="dxa" w:w="2891"/>
            <w:vAlign w:val="center"/>
          </w:tcPr>
          <w:p>
            <w:pPr>
              <w:keepNext w:val="0"/>
              <w:spacing w:line="320" w:lineRule="exact" w:after="0" w:before="0"/>
              <w:ind w:firstLine="0"/>
              <w:jc w:val="left"/>
            </w:pPr>
            <w:r>
              <w:rPr>
                <w:b w:val="0"/>
                <w:sz w:val="21"/>
              </w:rPr>
              <w:t>文本正确且引用可定位</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3" name="Picture 3"/>
            <wp:cNvGraphicFramePr>
              <a:graphicFrameLocks noChangeAspect="1"/>
            </wp:cNvGraphicFramePr>
            <a:graphic>
              <a:graphicData uri="http://schemas.openxmlformats.org/drawingml/2006/picture">
                <pic:pic>
                  <pic:nvPicPr>
                    <pic:cNvPr id="0" name="图3_变更管理.png"/>
                    <pic:cNvPicPr/>
                  </pic:nvPicPr>
                  <pic:blipFill>
                    <a:blip r:embed="rId13"/>
                    <a:stretch>
                      <a:fillRect/>
                    </a:stretch>
                  </pic:blipFill>
                  <pic:spPr>
                    <a:xfrm>
                      <a:off x="0" y="0"/>
                      <a:ext cx="6048000" cy="1942338"/>
                    </a:xfrm>
                    <a:prstGeom prst="rect"/>
                  </pic:spPr>
                </pic:pic>
              </a:graphicData>
            </a:graphic>
          </wp:inline>
        </w:drawing>
      </w:r>
    </w:p>
    <w:p>
      <w:pPr>
        <w:pStyle w:val="Caption"/>
        <w:jc w:val="center"/>
      </w:pPr>
      <w:r>
        <w:t>图1-3 战略变更与验证程序</w:t>
      </w:r>
    </w:p>
    <w:p>
      <w:pPr>
        <w:pStyle w:val="Heading2"/>
      </w:pPr>
      <w:r>
        <w:t>1.10 档案与记录管理</w:t>
      </w:r>
    </w:p>
    <w:p>
      <w:pPr>
        <w:pStyle w:val="Heading3"/>
      </w:pPr>
      <w:r>
        <w:t>1.10.1 记录字段与校验</w:t>
      </w:r>
    </w:p>
    <w:p>
      <w:pPr>
        <w:jc w:val="both"/>
      </w:pPr>
      <w:r>
        <w:t>第六十三条　战略档案按文件、目标、任务、指标、风险、变更和评估建立关联索引。记录标识唯一，时间采用实际形成时间，状态变化保留操作人和依据。档案保存期限、访问和销毁依照公司档案与安全制度执行，正式评价所需原始证据纳入受控保存。</w:t>
      </w:r>
    </w:p>
    <w:p>
      <w:pPr>
        <w:jc w:val="both"/>
      </w:pPr>
      <w:r>
        <w:t>第六十四条　电子记录应能够导出、查询和复核。核心字段缺失时提示责任岗位补充，状态变为已批准、已完成或已关闭前校验相应依据。附件摘要、版本和存储位置一并登记，定期检查链接、访问权限和文件可读性。迁移保留原标识及历史关系，并完成抽样恢复和数量对账。</w:t>
      </w:r>
    </w:p>
    <w:p>
      <w:pPr>
        <w:pStyle w:val="Caption"/>
        <w:keepNext/>
      </w:pPr>
      <w:r>
        <w:t>表1-6 记录字段与校验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记录字段</w:t>
            </w:r>
          </w:p>
        </w:tc>
        <w:tc>
          <w:tcPr>
            <w:tcW w:type="dxa" w:w="2699"/>
            <w:vAlign w:val="center"/>
            <w:shd w:fill="EDF1F3"/>
          </w:tcPr>
          <w:p>
            <w:pPr>
              <w:keepNext/>
              <w:spacing w:line="320" w:lineRule="exact" w:after="0" w:before="0"/>
              <w:ind w:firstLine="0"/>
              <w:jc w:val="center"/>
            </w:pPr>
            <w:r>
              <w:rPr>
                <w:b/>
                <w:sz w:val="21"/>
              </w:rPr>
              <w:t>类型与要求</w:t>
            </w:r>
          </w:p>
        </w:tc>
        <w:tc>
          <w:tcPr>
            <w:tcW w:type="dxa" w:w="2409"/>
            <w:vAlign w:val="center"/>
            <w:shd w:fill="EDF1F3"/>
          </w:tcPr>
          <w:p>
            <w:pPr>
              <w:keepNext/>
              <w:spacing w:line="320" w:lineRule="exact" w:after="0" w:before="0"/>
              <w:ind w:firstLine="0"/>
              <w:jc w:val="center"/>
            </w:pPr>
            <w:r>
              <w:rPr>
                <w:b/>
                <w:sz w:val="21"/>
              </w:rPr>
              <w:t>校验规则</w:t>
            </w:r>
          </w:p>
        </w:tc>
        <w:tc>
          <w:tcPr>
            <w:tcW w:type="dxa" w:w="2891"/>
            <w:vAlign w:val="center"/>
            <w:shd w:fill="EDF1F3"/>
          </w:tcPr>
          <w:p>
            <w:pPr>
              <w:keepNext/>
              <w:spacing w:line="320" w:lineRule="exact" w:after="0" w:before="0"/>
              <w:ind w:firstLine="0"/>
              <w:jc w:val="center"/>
            </w:pPr>
            <w:r>
              <w:rPr>
                <w:b/>
                <w:sz w:val="21"/>
              </w:rPr>
              <w:t>形成环节</w:t>
            </w:r>
          </w:p>
        </w:tc>
      </w:tr>
      <w:tr>
        <w:trPr>
          <w:cantSplit/>
        </w:trPr>
        <w:tc>
          <w:tcPr>
            <w:tcW w:type="dxa" w:w="1638"/>
            <w:vAlign w:val="center"/>
          </w:tcPr>
          <w:p>
            <w:pPr>
              <w:keepNext w:val="0"/>
              <w:spacing w:line="320" w:lineRule="exact" w:after="0" w:before="0"/>
              <w:ind w:firstLine="0"/>
              <w:jc w:val="left"/>
            </w:pPr>
            <w:r>
              <w:rPr>
                <w:b w:val="0"/>
                <w:sz w:val="21"/>
              </w:rPr>
              <w:t>记录标识</w:t>
            </w:r>
          </w:p>
        </w:tc>
        <w:tc>
          <w:tcPr>
            <w:tcW w:type="dxa" w:w="2699"/>
            <w:vAlign w:val="center"/>
          </w:tcPr>
          <w:p>
            <w:pPr>
              <w:keepNext w:val="0"/>
              <w:spacing w:line="320" w:lineRule="exact" w:after="0" w:before="0"/>
              <w:ind w:firstLine="0"/>
              <w:jc w:val="left"/>
            </w:pPr>
            <w:r>
              <w:rPr>
                <w:b w:val="0"/>
                <w:sz w:val="21"/>
              </w:rPr>
              <w:t>文本，必填，唯一</w:t>
            </w:r>
          </w:p>
        </w:tc>
        <w:tc>
          <w:tcPr>
            <w:tcW w:type="dxa" w:w="2409"/>
            <w:vAlign w:val="center"/>
          </w:tcPr>
          <w:p>
            <w:pPr>
              <w:keepNext w:val="0"/>
              <w:spacing w:line="320" w:lineRule="exact" w:after="0" w:before="0"/>
              <w:ind w:firstLine="0"/>
              <w:jc w:val="left"/>
            </w:pPr>
            <w:r>
              <w:rPr>
                <w:b w:val="0"/>
                <w:sz w:val="21"/>
              </w:rPr>
              <w:t>同一对象持续沿用，拆并登记前后继</w:t>
            </w:r>
          </w:p>
        </w:tc>
        <w:tc>
          <w:tcPr>
            <w:tcW w:type="dxa" w:w="2891"/>
            <w:vAlign w:val="center"/>
          </w:tcPr>
          <w:p>
            <w:pPr>
              <w:keepNext w:val="0"/>
              <w:spacing w:line="320" w:lineRule="exact" w:after="0" w:before="0"/>
              <w:ind w:firstLine="0"/>
              <w:jc w:val="left"/>
            </w:pPr>
            <w:r>
              <w:rPr>
                <w:b w:val="0"/>
                <w:sz w:val="21"/>
              </w:rPr>
              <w:t>首次登记</w:t>
            </w:r>
          </w:p>
        </w:tc>
      </w:tr>
      <w:tr>
        <w:trPr>
          <w:cantSplit/>
        </w:trPr>
        <w:tc>
          <w:tcPr>
            <w:tcW w:type="dxa" w:w="1638"/>
            <w:vAlign w:val="center"/>
          </w:tcPr>
          <w:p>
            <w:pPr>
              <w:keepNext w:val="0"/>
              <w:spacing w:line="320" w:lineRule="exact" w:after="0" w:before="0"/>
              <w:ind w:firstLine="0"/>
              <w:jc w:val="left"/>
            </w:pPr>
            <w:r>
              <w:rPr>
                <w:b w:val="0"/>
                <w:sz w:val="21"/>
              </w:rPr>
              <w:t>对象类别</w:t>
            </w:r>
          </w:p>
        </w:tc>
        <w:tc>
          <w:tcPr>
            <w:tcW w:type="dxa" w:w="2699"/>
            <w:vAlign w:val="center"/>
          </w:tcPr>
          <w:p>
            <w:pPr>
              <w:keepNext w:val="0"/>
              <w:spacing w:line="320" w:lineRule="exact" w:after="0" w:before="0"/>
              <w:ind w:firstLine="0"/>
              <w:jc w:val="left"/>
            </w:pPr>
            <w:r>
              <w:rPr>
                <w:b w:val="0"/>
                <w:sz w:val="21"/>
              </w:rPr>
              <w:t>枚举，必填</w:t>
            </w:r>
          </w:p>
        </w:tc>
        <w:tc>
          <w:tcPr>
            <w:tcW w:type="dxa" w:w="2409"/>
            <w:vAlign w:val="center"/>
          </w:tcPr>
          <w:p>
            <w:pPr>
              <w:keepNext w:val="0"/>
              <w:spacing w:line="320" w:lineRule="exact" w:after="0" w:before="0"/>
              <w:ind w:firstLine="0"/>
              <w:jc w:val="left"/>
            </w:pPr>
            <w:r>
              <w:rPr>
                <w:b w:val="0"/>
                <w:sz w:val="21"/>
              </w:rPr>
              <w:t>文件、目标、任务、指标、风险、变更、评价</w:t>
            </w:r>
          </w:p>
        </w:tc>
        <w:tc>
          <w:tcPr>
            <w:tcW w:type="dxa" w:w="2891"/>
            <w:vAlign w:val="center"/>
          </w:tcPr>
          <w:p>
            <w:pPr>
              <w:keepNext w:val="0"/>
              <w:spacing w:line="320" w:lineRule="exact" w:after="0" w:before="0"/>
              <w:ind w:firstLine="0"/>
              <w:jc w:val="left"/>
            </w:pPr>
            <w:r>
              <w:rPr>
                <w:b w:val="0"/>
                <w:sz w:val="21"/>
              </w:rPr>
              <w:t>首次登记</w:t>
            </w:r>
          </w:p>
        </w:tc>
      </w:tr>
      <w:tr>
        <w:trPr>
          <w:cantSplit/>
        </w:trPr>
        <w:tc>
          <w:tcPr>
            <w:tcW w:type="dxa" w:w="1638"/>
            <w:vAlign w:val="center"/>
          </w:tcPr>
          <w:p>
            <w:pPr>
              <w:keepNext w:val="0"/>
              <w:spacing w:line="320" w:lineRule="exact" w:after="0" w:before="0"/>
              <w:ind w:firstLine="0"/>
              <w:jc w:val="left"/>
            </w:pPr>
            <w:r>
              <w:rPr>
                <w:b w:val="0"/>
                <w:sz w:val="21"/>
              </w:rPr>
              <w:t>关联对象</w:t>
            </w:r>
          </w:p>
        </w:tc>
        <w:tc>
          <w:tcPr>
            <w:tcW w:type="dxa" w:w="2699"/>
            <w:vAlign w:val="center"/>
          </w:tcPr>
          <w:p>
            <w:pPr>
              <w:keepNext w:val="0"/>
              <w:spacing w:line="320" w:lineRule="exact" w:after="0" w:before="0"/>
              <w:ind w:firstLine="0"/>
              <w:jc w:val="left"/>
            </w:pPr>
            <w:r>
              <w:rPr>
                <w:b w:val="0"/>
                <w:sz w:val="21"/>
              </w:rPr>
              <w:t>标识列表，按依赖必填</w:t>
            </w:r>
          </w:p>
        </w:tc>
        <w:tc>
          <w:tcPr>
            <w:tcW w:type="dxa" w:w="2409"/>
            <w:vAlign w:val="center"/>
          </w:tcPr>
          <w:p>
            <w:pPr>
              <w:keepNext w:val="0"/>
              <w:spacing w:line="320" w:lineRule="exact" w:after="0" w:before="0"/>
              <w:ind w:firstLine="0"/>
              <w:jc w:val="left"/>
            </w:pPr>
            <w:r>
              <w:rPr>
                <w:b w:val="0"/>
                <w:sz w:val="21"/>
              </w:rPr>
              <w:t>引用对象存在，版本和关系类型明确</w:t>
            </w:r>
          </w:p>
        </w:tc>
        <w:tc>
          <w:tcPr>
            <w:tcW w:type="dxa" w:w="2891"/>
            <w:vAlign w:val="center"/>
          </w:tcPr>
          <w:p>
            <w:pPr>
              <w:keepNext w:val="0"/>
              <w:spacing w:line="320" w:lineRule="exact" w:after="0" w:before="0"/>
              <w:ind w:firstLine="0"/>
              <w:jc w:val="left"/>
            </w:pPr>
            <w:r>
              <w:rPr>
                <w:b w:val="0"/>
                <w:sz w:val="21"/>
              </w:rPr>
              <w:t>任务下达及变更</w:t>
            </w:r>
          </w:p>
        </w:tc>
      </w:tr>
      <w:tr>
        <w:trPr>
          <w:cantSplit/>
        </w:trPr>
        <w:tc>
          <w:tcPr>
            <w:tcW w:type="dxa" w:w="1638"/>
            <w:vAlign w:val="center"/>
          </w:tcPr>
          <w:p>
            <w:pPr>
              <w:keepNext w:val="0"/>
              <w:spacing w:line="320" w:lineRule="exact" w:after="0" w:before="0"/>
              <w:ind w:firstLine="0"/>
              <w:jc w:val="left"/>
            </w:pPr>
            <w:r>
              <w:rPr>
                <w:b w:val="0"/>
                <w:sz w:val="21"/>
              </w:rPr>
              <w:t>业务范围</w:t>
            </w:r>
          </w:p>
        </w:tc>
        <w:tc>
          <w:tcPr>
            <w:tcW w:type="dxa" w:w="2699"/>
            <w:vAlign w:val="center"/>
          </w:tcPr>
          <w:p>
            <w:pPr>
              <w:keepNext w:val="0"/>
              <w:spacing w:line="320" w:lineRule="exact" w:after="0" w:before="0"/>
              <w:ind w:firstLine="0"/>
              <w:jc w:val="left"/>
            </w:pPr>
            <w:r>
              <w:rPr>
                <w:b w:val="0"/>
                <w:sz w:val="21"/>
              </w:rPr>
              <w:t>业务域和对象清单，必填</w:t>
            </w:r>
          </w:p>
        </w:tc>
        <w:tc>
          <w:tcPr>
            <w:tcW w:type="dxa" w:w="2409"/>
            <w:vAlign w:val="center"/>
          </w:tcPr>
          <w:p>
            <w:pPr>
              <w:keepNext w:val="0"/>
              <w:spacing w:line="320" w:lineRule="exact" w:after="0" w:before="0"/>
              <w:ind w:firstLine="0"/>
              <w:jc w:val="left"/>
            </w:pPr>
            <w:r>
              <w:rPr>
                <w:b w:val="0"/>
                <w:sz w:val="21"/>
              </w:rPr>
              <w:t>与批准范围一致，可定位实际对象</w:t>
            </w:r>
          </w:p>
        </w:tc>
        <w:tc>
          <w:tcPr>
            <w:tcW w:type="dxa" w:w="2891"/>
            <w:vAlign w:val="center"/>
          </w:tcPr>
          <w:p>
            <w:pPr>
              <w:keepNext w:val="0"/>
              <w:spacing w:line="320" w:lineRule="exact" w:after="0" w:before="0"/>
              <w:ind w:firstLine="0"/>
              <w:jc w:val="left"/>
            </w:pPr>
            <w:r>
              <w:rPr>
                <w:b w:val="0"/>
                <w:sz w:val="21"/>
              </w:rPr>
              <w:t>需求及计划确认</w:t>
            </w:r>
          </w:p>
        </w:tc>
      </w:tr>
      <w:tr>
        <w:trPr>
          <w:cantSplit/>
        </w:trPr>
        <w:tc>
          <w:tcPr>
            <w:tcW w:type="dxa" w:w="1638"/>
            <w:vAlign w:val="center"/>
          </w:tcPr>
          <w:p>
            <w:pPr>
              <w:keepNext w:val="0"/>
              <w:spacing w:line="320" w:lineRule="exact" w:after="0" w:before="0"/>
              <w:ind w:firstLine="0"/>
              <w:jc w:val="left"/>
            </w:pPr>
            <w:r>
              <w:rPr>
                <w:b w:val="0"/>
                <w:sz w:val="21"/>
              </w:rPr>
              <w:t>责任岗位</w:t>
            </w:r>
          </w:p>
        </w:tc>
        <w:tc>
          <w:tcPr>
            <w:tcW w:type="dxa" w:w="2699"/>
            <w:vAlign w:val="center"/>
          </w:tcPr>
          <w:p>
            <w:pPr>
              <w:keepNext w:val="0"/>
              <w:spacing w:line="320" w:lineRule="exact" w:after="0" w:before="0"/>
              <w:ind w:firstLine="0"/>
              <w:jc w:val="left"/>
            </w:pPr>
            <w:r>
              <w:rPr>
                <w:b w:val="0"/>
                <w:sz w:val="21"/>
              </w:rPr>
              <w:t>有效授权岗位，必填</w:t>
            </w:r>
          </w:p>
        </w:tc>
        <w:tc>
          <w:tcPr>
            <w:tcW w:type="dxa" w:w="2409"/>
            <w:vAlign w:val="center"/>
          </w:tcPr>
          <w:p>
            <w:pPr>
              <w:keepNext w:val="0"/>
              <w:spacing w:line="320" w:lineRule="exact" w:after="0" w:before="0"/>
              <w:ind w:firstLine="0"/>
              <w:jc w:val="left"/>
            </w:pPr>
            <w:r>
              <w:rPr>
                <w:b w:val="0"/>
                <w:sz w:val="21"/>
              </w:rPr>
              <w:t>牵头、执行、复核和批准角色分别登记</w:t>
            </w:r>
          </w:p>
        </w:tc>
        <w:tc>
          <w:tcPr>
            <w:tcW w:type="dxa" w:w="2891"/>
            <w:vAlign w:val="center"/>
          </w:tcPr>
          <w:p>
            <w:pPr>
              <w:keepNext w:val="0"/>
              <w:spacing w:line="320" w:lineRule="exact" w:after="0" w:before="0"/>
              <w:ind w:firstLine="0"/>
              <w:jc w:val="left"/>
            </w:pPr>
            <w:r>
              <w:rPr>
                <w:b w:val="0"/>
                <w:sz w:val="21"/>
              </w:rPr>
              <w:t>责任确认</w:t>
            </w:r>
          </w:p>
        </w:tc>
      </w:tr>
      <w:tr>
        <w:trPr>
          <w:cantSplit/>
        </w:trPr>
        <w:tc>
          <w:tcPr>
            <w:tcW w:type="dxa" w:w="1638"/>
            <w:vAlign w:val="center"/>
          </w:tcPr>
          <w:p>
            <w:pPr>
              <w:keepNext w:val="0"/>
              <w:spacing w:line="320" w:lineRule="exact" w:after="0" w:before="0"/>
              <w:ind w:firstLine="0"/>
              <w:jc w:val="left"/>
            </w:pPr>
            <w:r>
              <w:rPr>
                <w:b w:val="0"/>
                <w:sz w:val="21"/>
              </w:rPr>
              <w:t>计划时间</w:t>
            </w:r>
          </w:p>
        </w:tc>
        <w:tc>
          <w:tcPr>
            <w:tcW w:type="dxa" w:w="2699"/>
            <w:vAlign w:val="center"/>
          </w:tcPr>
          <w:p>
            <w:pPr>
              <w:keepNext w:val="0"/>
              <w:spacing w:line="320" w:lineRule="exact" w:after="0" w:before="0"/>
              <w:ind w:firstLine="0"/>
              <w:jc w:val="left"/>
            </w:pPr>
            <w:r>
              <w:rPr>
                <w:b w:val="0"/>
                <w:sz w:val="21"/>
              </w:rPr>
              <w:t>日期或节点，必填</w:t>
            </w:r>
          </w:p>
        </w:tc>
        <w:tc>
          <w:tcPr>
            <w:tcW w:type="dxa" w:w="2409"/>
            <w:vAlign w:val="center"/>
          </w:tcPr>
          <w:p>
            <w:pPr>
              <w:keepNext w:val="0"/>
              <w:spacing w:line="320" w:lineRule="exact" w:after="0" w:before="0"/>
              <w:ind w:firstLine="0"/>
              <w:jc w:val="left"/>
            </w:pPr>
            <w:r>
              <w:rPr>
                <w:b w:val="0"/>
                <w:sz w:val="21"/>
              </w:rPr>
              <w:t>起止合理，依赖及里程碑约束满足</w:t>
            </w:r>
          </w:p>
        </w:tc>
        <w:tc>
          <w:tcPr>
            <w:tcW w:type="dxa" w:w="2891"/>
            <w:vAlign w:val="center"/>
          </w:tcPr>
          <w:p>
            <w:pPr>
              <w:keepNext w:val="0"/>
              <w:spacing w:line="320" w:lineRule="exact" w:after="0" w:before="0"/>
              <w:ind w:firstLine="0"/>
              <w:jc w:val="left"/>
            </w:pPr>
            <w:r>
              <w:rPr>
                <w:b w:val="0"/>
                <w:sz w:val="21"/>
              </w:rPr>
              <w:t>计划批准</w:t>
            </w:r>
          </w:p>
        </w:tc>
      </w:tr>
      <w:tr>
        <w:trPr>
          <w:cantSplit/>
        </w:trPr>
        <w:tc>
          <w:tcPr>
            <w:tcW w:type="dxa" w:w="1638"/>
            <w:vAlign w:val="center"/>
          </w:tcPr>
          <w:p>
            <w:pPr>
              <w:keepNext w:val="0"/>
              <w:spacing w:line="320" w:lineRule="exact" w:after="0" w:before="0"/>
              <w:ind w:firstLine="0"/>
              <w:jc w:val="left"/>
            </w:pPr>
            <w:r>
              <w:rPr>
                <w:b w:val="0"/>
                <w:sz w:val="21"/>
              </w:rPr>
              <w:t>实际时间</w:t>
            </w:r>
          </w:p>
        </w:tc>
        <w:tc>
          <w:tcPr>
            <w:tcW w:type="dxa" w:w="2699"/>
            <w:vAlign w:val="center"/>
          </w:tcPr>
          <w:p>
            <w:pPr>
              <w:keepNext w:val="0"/>
              <w:spacing w:line="320" w:lineRule="exact" w:after="0" w:before="0"/>
              <w:ind w:firstLine="0"/>
              <w:jc w:val="left"/>
            </w:pPr>
            <w:r>
              <w:rPr>
                <w:b w:val="0"/>
                <w:sz w:val="21"/>
              </w:rPr>
              <w:t>实际事件时间，发生后必填</w:t>
            </w:r>
          </w:p>
        </w:tc>
        <w:tc>
          <w:tcPr>
            <w:tcW w:type="dxa" w:w="2409"/>
            <w:vAlign w:val="center"/>
          </w:tcPr>
          <w:p>
            <w:pPr>
              <w:keepNext w:val="0"/>
              <w:spacing w:line="320" w:lineRule="exact" w:after="0" w:before="0"/>
              <w:ind w:firstLine="0"/>
              <w:jc w:val="left"/>
            </w:pPr>
            <w:r>
              <w:rPr>
                <w:b w:val="0"/>
                <w:sz w:val="21"/>
              </w:rPr>
              <w:t>与运行、提交、审核记录相符</w:t>
            </w:r>
          </w:p>
        </w:tc>
        <w:tc>
          <w:tcPr>
            <w:tcW w:type="dxa" w:w="2891"/>
            <w:vAlign w:val="center"/>
          </w:tcPr>
          <w:p>
            <w:pPr>
              <w:keepNext w:val="0"/>
              <w:spacing w:line="320" w:lineRule="exact" w:after="0" w:before="0"/>
              <w:ind w:firstLine="0"/>
              <w:jc w:val="left"/>
            </w:pPr>
            <w:r>
              <w:rPr>
                <w:b w:val="0"/>
                <w:sz w:val="21"/>
              </w:rPr>
              <w:t>实施及验收</w:t>
            </w:r>
          </w:p>
        </w:tc>
      </w:tr>
      <w:tr>
        <w:trPr>
          <w:cantSplit/>
        </w:trPr>
        <w:tc>
          <w:tcPr>
            <w:tcW w:type="dxa" w:w="1638"/>
            <w:vAlign w:val="center"/>
          </w:tcPr>
          <w:p>
            <w:pPr>
              <w:keepNext w:val="0"/>
              <w:spacing w:line="320" w:lineRule="exact" w:after="0" w:before="0"/>
              <w:ind w:firstLine="0"/>
              <w:jc w:val="left"/>
            </w:pPr>
            <w:r>
              <w:rPr>
                <w:b w:val="0"/>
                <w:sz w:val="21"/>
              </w:rPr>
              <w:t>当前状态</w:t>
            </w:r>
          </w:p>
        </w:tc>
        <w:tc>
          <w:tcPr>
            <w:tcW w:type="dxa" w:w="2699"/>
            <w:vAlign w:val="center"/>
          </w:tcPr>
          <w:p>
            <w:pPr>
              <w:keepNext w:val="0"/>
              <w:spacing w:line="320" w:lineRule="exact" w:after="0" w:before="0"/>
              <w:ind w:firstLine="0"/>
              <w:jc w:val="left"/>
            </w:pPr>
            <w:r>
              <w:rPr>
                <w:b w:val="0"/>
                <w:sz w:val="21"/>
              </w:rPr>
              <w:t>受控枚举，必填</w:t>
            </w:r>
          </w:p>
        </w:tc>
        <w:tc>
          <w:tcPr>
            <w:tcW w:type="dxa" w:w="2409"/>
            <w:vAlign w:val="center"/>
          </w:tcPr>
          <w:p>
            <w:pPr>
              <w:keepNext w:val="0"/>
              <w:spacing w:line="320" w:lineRule="exact" w:after="0" w:before="0"/>
              <w:ind w:firstLine="0"/>
              <w:jc w:val="left"/>
            </w:pPr>
            <w:r>
              <w:rPr>
                <w:b w:val="0"/>
                <w:sz w:val="21"/>
              </w:rPr>
              <w:t>状态迁移具有相应条件和证据</w:t>
            </w:r>
          </w:p>
        </w:tc>
        <w:tc>
          <w:tcPr>
            <w:tcW w:type="dxa" w:w="2891"/>
            <w:vAlign w:val="center"/>
          </w:tcPr>
          <w:p>
            <w:pPr>
              <w:keepNext w:val="0"/>
              <w:spacing w:line="320" w:lineRule="exact" w:after="0" w:before="0"/>
              <w:ind w:firstLine="0"/>
              <w:jc w:val="left"/>
            </w:pPr>
            <w:r>
              <w:rPr>
                <w:b w:val="0"/>
                <w:sz w:val="21"/>
              </w:rPr>
              <w:t>全过程</w:t>
            </w:r>
          </w:p>
        </w:tc>
      </w:tr>
      <w:tr>
        <w:trPr>
          <w:cantSplit/>
        </w:trPr>
        <w:tc>
          <w:tcPr>
            <w:tcW w:type="dxa" w:w="1638"/>
            <w:vAlign w:val="center"/>
          </w:tcPr>
          <w:p>
            <w:pPr>
              <w:keepNext w:val="0"/>
              <w:spacing w:line="320" w:lineRule="exact" w:after="0" w:before="0"/>
              <w:ind w:firstLine="0"/>
              <w:jc w:val="left"/>
            </w:pPr>
            <w:r>
              <w:rPr>
                <w:b w:val="0"/>
                <w:sz w:val="21"/>
              </w:rPr>
              <w:t>成果与证据</w:t>
            </w:r>
          </w:p>
        </w:tc>
        <w:tc>
          <w:tcPr>
            <w:tcW w:type="dxa" w:w="2699"/>
            <w:vAlign w:val="center"/>
          </w:tcPr>
          <w:p>
            <w:pPr>
              <w:keepNext w:val="0"/>
              <w:spacing w:line="320" w:lineRule="exact" w:after="0" w:before="0"/>
              <w:ind w:firstLine="0"/>
              <w:jc w:val="left"/>
            </w:pPr>
            <w:r>
              <w:rPr>
                <w:b w:val="0"/>
                <w:sz w:val="21"/>
              </w:rPr>
              <w:t>文件或记录索引，按状态必填</w:t>
            </w:r>
          </w:p>
        </w:tc>
        <w:tc>
          <w:tcPr>
            <w:tcW w:type="dxa" w:w="2409"/>
            <w:vAlign w:val="center"/>
          </w:tcPr>
          <w:p>
            <w:pPr>
              <w:keepNext w:val="0"/>
              <w:spacing w:line="320" w:lineRule="exact" w:after="0" w:before="0"/>
              <w:ind w:firstLine="0"/>
              <w:jc w:val="left"/>
            </w:pPr>
            <w:r>
              <w:rPr>
                <w:b w:val="0"/>
                <w:sz w:val="21"/>
              </w:rPr>
              <w:t>版本、摘要、权限和可读性有效</w:t>
            </w:r>
          </w:p>
        </w:tc>
        <w:tc>
          <w:tcPr>
            <w:tcW w:type="dxa" w:w="2891"/>
            <w:vAlign w:val="center"/>
          </w:tcPr>
          <w:p>
            <w:pPr>
              <w:keepNext w:val="0"/>
              <w:spacing w:line="320" w:lineRule="exact" w:after="0" w:before="0"/>
              <w:ind w:firstLine="0"/>
              <w:jc w:val="left"/>
            </w:pPr>
            <w:r>
              <w:rPr>
                <w:b w:val="0"/>
                <w:sz w:val="21"/>
              </w:rPr>
              <w:t>实施及复核</w:t>
            </w:r>
          </w:p>
        </w:tc>
      </w:tr>
      <w:tr>
        <w:trPr>
          <w:cantSplit/>
        </w:trPr>
        <w:tc>
          <w:tcPr>
            <w:tcW w:type="dxa" w:w="1638"/>
            <w:vAlign w:val="center"/>
          </w:tcPr>
          <w:p>
            <w:pPr>
              <w:keepNext w:val="0"/>
              <w:spacing w:line="320" w:lineRule="exact" w:after="0" w:before="0"/>
              <w:ind w:firstLine="0"/>
              <w:jc w:val="left"/>
            </w:pPr>
            <w:r>
              <w:rPr>
                <w:b w:val="0"/>
                <w:sz w:val="21"/>
              </w:rPr>
              <w:t>变更依据</w:t>
            </w:r>
          </w:p>
        </w:tc>
        <w:tc>
          <w:tcPr>
            <w:tcW w:type="dxa" w:w="2699"/>
            <w:vAlign w:val="center"/>
          </w:tcPr>
          <w:p>
            <w:pPr>
              <w:keepNext w:val="0"/>
              <w:spacing w:line="320" w:lineRule="exact" w:after="0" w:before="0"/>
              <w:ind w:firstLine="0"/>
              <w:jc w:val="left"/>
            </w:pPr>
            <w:r>
              <w:rPr>
                <w:b w:val="0"/>
                <w:sz w:val="21"/>
              </w:rPr>
              <w:t>变更编号，发生变更时必填</w:t>
            </w:r>
          </w:p>
        </w:tc>
        <w:tc>
          <w:tcPr>
            <w:tcW w:type="dxa" w:w="2409"/>
            <w:vAlign w:val="center"/>
          </w:tcPr>
          <w:p>
            <w:pPr>
              <w:keepNext w:val="0"/>
              <w:spacing w:line="320" w:lineRule="exact" w:after="0" w:before="0"/>
              <w:ind w:firstLine="0"/>
              <w:jc w:val="left"/>
            </w:pPr>
            <w:r>
              <w:rPr>
                <w:b w:val="0"/>
                <w:sz w:val="21"/>
              </w:rPr>
              <w:t>对应有效批准，保留原值</w:t>
            </w:r>
          </w:p>
        </w:tc>
        <w:tc>
          <w:tcPr>
            <w:tcW w:type="dxa" w:w="2891"/>
            <w:vAlign w:val="center"/>
          </w:tcPr>
          <w:p>
            <w:pPr>
              <w:keepNext w:val="0"/>
              <w:spacing w:line="320" w:lineRule="exact" w:after="0" w:before="0"/>
              <w:ind w:firstLine="0"/>
              <w:jc w:val="left"/>
            </w:pPr>
            <w:r>
              <w:rPr>
                <w:b w:val="0"/>
                <w:sz w:val="21"/>
              </w:rPr>
              <w:t>变更实施</w:t>
            </w:r>
          </w:p>
        </w:tc>
      </w:tr>
      <w:tr>
        <w:trPr>
          <w:cantSplit/>
        </w:trPr>
        <w:tc>
          <w:tcPr>
            <w:tcW w:type="dxa" w:w="1638"/>
            <w:vAlign w:val="center"/>
          </w:tcPr>
          <w:p>
            <w:pPr>
              <w:keepNext w:val="0"/>
              <w:spacing w:line="320" w:lineRule="exact" w:after="0" w:before="0"/>
              <w:ind w:firstLine="0"/>
              <w:jc w:val="left"/>
            </w:pPr>
            <w:r>
              <w:rPr>
                <w:b w:val="0"/>
                <w:sz w:val="21"/>
              </w:rPr>
              <w:t>复核结论</w:t>
            </w:r>
          </w:p>
        </w:tc>
        <w:tc>
          <w:tcPr>
            <w:tcW w:type="dxa" w:w="2699"/>
            <w:vAlign w:val="center"/>
          </w:tcPr>
          <w:p>
            <w:pPr>
              <w:keepNext w:val="0"/>
              <w:spacing w:line="320" w:lineRule="exact" w:after="0" w:before="0"/>
              <w:ind w:firstLine="0"/>
              <w:jc w:val="left"/>
            </w:pPr>
            <w:r>
              <w:rPr>
                <w:b w:val="0"/>
                <w:sz w:val="21"/>
              </w:rPr>
              <w:t>结论及依据，复核后必填</w:t>
            </w:r>
          </w:p>
        </w:tc>
        <w:tc>
          <w:tcPr>
            <w:tcW w:type="dxa" w:w="2409"/>
            <w:vAlign w:val="center"/>
          </w:tcPr>
          <w:p>
            <w:pPr>
              <w:keepNext w:val="0"/>
              <w:spacing w:line="320" w:lineRule="exact" w:after="0" w:before="0"/>
              <w:ind w:firstLine="0"/>
              <w:jc w:val="left"/>
            </w:pPr>
            <w:r>
              <w:rPr>
                <w:b w:val="0"/>
                <w:sz w:val="21"/>
              </w:rPr>
              <w:t>结论与事实、判据和权限一致</w:t>
            </w:r>
          </w:p>
        </w:tc>
        <w:tc>
          <w:tcPr>
            <w:tcW w:type="dxa" w:w="2891"/>
            <w:vAlign w:val="center"/>
          </w:tcPr>
          <w:p>
            <w:pPr>
              <w:keepNext w:val="0"/>
              <w:spacing w:line="320" w:lineRule="exact" w:after="0" w:before="0"/>
              <w:ind w:firstLine="0"/>
              <w:jc w:val="left"/>
            </w:pPr>
            <w:r>
              <w:rPr>
                <w:b w:val="0"/>
                <w:sz w:val="21"/>
              </w:rPr>
              <w:t>检查及评价</w:t>
            </w:r>
          </w:p>
        </w:tc>
      </w:tr>
      <w:tr>
        <w:trPr>
          <w:cantSplit/>
        </w:trPr>
        <w:tc>
          <w:tcPr>
            <w:tcW w:type="dxa" w:w="1638"/>
            <w:vAlign w:val="center"/>
          </w:tcPr>
          <w:p>
            <w:pPr>
              <w:keepNext w:val="0"/>
              <w:spacing w:line="320" w:lineRule="exact" w:after="0" w:before="0"/>
              <w:ind w:firstLine="0"/>
              <w:jc w:val="left"/>
            </w:pPr>
            <w:r>
              <w:rPr>
                <w:b w:val="0"/>
                <w:sz w:val="21"/>
              </w:rPr>
              <w:t>后续动作</w:t>
            </w:r>
          </w:p>
        </w:tc>
        <w:tc>
          <w:tcPr>
            <w:tcW w:type="dxa" w:w="2699"/>
            <w:vAlign w:val="center"/>
          </w:tcPr>
          <w:p>
            <w:pPr>
              <w:keepNext w:val="0"/>
              <w:spacing w:line="320" w:lineRule="exact" w:after="0" w:before="0"/>
              <w:ind w:firstLine="0"/>
              <w:jc w:val="left"/>
            </w:pPr>
            <w:r>
              <w:rPr>
                <w:b w:val="0"/>
                <w:sz w:val="21"/>
              </w:rPr>
              <w:t>责任、时点、验证方式</w:t>
            </w:r>
          </w:p>
        </w:tc>
        <w:tc>
          <w:tcPr>
            <w:tcW w:type="dxa" w:w="2409"/>
            <w:vAlign w:val="center"/>
          </w:tcPr>
          <w:p>
            <w:pPr>
              <w:keepNext w:val="0"/>
              <w:spacing w:line="320" w:lineRule="exact" w:after="0" w:before="0"/>
              <w:ind w:firstLine="0"/>
              <w:jc w:val="left"/>
            </w:pPr>
            <w:r>
              <w:rPr>
                <w:b w:val="0"/>
                <w:sz w:val="21"/>
              </w:rPr>
              <w:t>未完成或有偏差时形成执行事项</w:t>
            </w:r>
          </w:p>
        </w:tc>
        <w:tc>
          <w:tcPr>
            <w:tcW w:type="dxa" w:w="2891"/>
            <w:vAlign w:val="center"/>
          </w:tcPr>
          <w:p>
            <w:pPr>
              <w:keepNext w:val="0"/>
              <w:spacing w:line="320" w:lineRule="exact" w:after="0" w:before="0"/>
              <w:ind w:firstLine="0"/>
              <w:jc w:val="left"/>
            </w:pPr>
            <w:r>
              <w:rPr>
                <w:b w:val="0"/>
                <w:sz w:val="21"/>
              </w:rPr>
              <w:t>问题处理</w:t>
            </w:r>
          </w:p>
        </w:tc>
      </w:tr>
    </w:tbl>
    <w:p>
      <w:pPr>
        <w:spacing w:after="40" w:line="240" w:lineRule="auto"/>
        <w:ind w:firstLine="0"/>
      </w:pPr>
      <w:r>
        <w:rPr>
          <w:sz w:val="4"/>
        </w:rPr>
      </w:r>
    </w:p>
    <w:p>
      <w:pPr>
        <w:pStyle w:val="Heading3"/>
      </w:pPr>
      <w:r>
        <w:t>1.10.2 证据保管与权限</w:t>
      </w:r>
    </w:p>
    <w:p>
      <w:pPr>
        <w:jc w:val="both"/>
      </w:pPr>
      <w:r>
        <w:t>第六十五条　一般管理文件与含敏感业务数据的证据分别确定访问范围。战略材料沿用 L1 公开、L2 内部、L3 重要、L4 敏感、L5 机密的分类分级口径，具体等级依内容和影响判定；附有更高等级数据的文件按相应要求管控。对外提供材料经审批和必要处理后形成独立版本，原始证据继续受控保存。</w:t>
      </w:r>
    </w:p>
    <w:p>
      <w:pPr>
        <w:jc w:val="both"/>
      </w:pPr>
      <w:r>
        <w:t>第六十六条　归档材料保留审批、执行、检查和修订关系，实际记录缺失时登记缺口并组织补证，补充材料注明实际形成时间及依据。备份恢复定期验证文件完整、引用可用及权限正确。销毁按批准清单执行，涉及在途评估、争议或必要保留事项时先完成相应保留审查。</w:t>
      </w:r>
    </w:p>
    <w:p>
      <w:pPr>
        <w:pStyle w:val="Heading2"/>
      </w:pPr>
      <w:r>
        <w:t>1.11 监督检查与持续改进</w:t>
      </w:r>
    </w:p>
    <w:p>
      <w:pPr>
        <w:pStyle w:val="Heading3"/>
      </w:pPr>
      <w:r>
        <w:t>1.11.1 执行监督与责任核验</w:t>
      </w:r>
    </w:p>
    <w:p>
      <w:pPr>
        <w:jc w:val="both"/>
      </w:pPr>
      <w:r>
        <w:t>第六十七条　治理管理层检查职责是否履行、计划是否执行、数据是否真实、问题是否处理及成果是否继续使用。检查从目标抽查任务和证据，也从实际数据、日志和业务使用反查对应目标。发现指标口径变化、重复计量、未经批准变更或完成状态失实时，核实范围并组织纠正。</w:t>
      </w:r>
    </w:p>
    <w:p>
      <w:pPr>
        <w:jc w:val="both"/>
      </w:pPr>
      <w:r>
        <w:t>第六十八条　监督结果按公司管理制度与岗位职责运用。考核指标采用已批准口径，任务受阻、范围变化及资源调整均保留事实，评价责任时分别核查各岗位可控制的事项。通过整改解决当前问题，通过规则、培训和流程调整减少同类问题复发，后续周期核验改进效果。</w:t>
      </w:r>
    </w:p>
    <w:p>
      <w:pPr>
        <w:pStyle w:val="Heading3"/>
      </w:pPr>
      <w:r>
        <w:t>1.11.2 办法复审与交接</w:t>
      </w:r>
    </w:p>
    <w:p>
      <w:pPr>
        <w:jc w:val="both"/>
      </w:pPr>
      <w:r>
        <w:t>第六十九条　本办法至少每年组织一次适用性复审。复审检查组织权限、战略周期、业务范围、评价方法、文件关联和实际执行中的困难，形成保留、修订或废止建议。重大业务调整、治理组织变化、重要标准变化或监督发现系统性问题时及时启动专项复审。</w:t>
      </w:r>
    </w:p>
    <w:p>
      <w:pPr>
        <w:jc w:val="both"/>
      </w:pPr>
      <w:r>
        <w:t>第七十条　项目移交时完成战略文件、任务台账、指标口径、运行证据、未完事项及维护责任交接。接收岗位完成一次目标追溯、一次指标复算和一次变更流程演练，确认能够使用现有材料开展后续管理。质量保证和技术服务安排与项目合同及总体服务计划衔接。</w:t>
      </w:r>
    </w:p>
    <w:p>
      <w:pPr>
        <w:pStyle w:val="Heading1"/>
        <w:pageBreakBefore/>
      </w:pPr>
      <w:r>
        <w:t>2 数据战略规划</w:t>
      </w:r>
    </w:p>
    <w:p>
      <w:pPr>
        <w:pStyle w:val="Heading2"/>
      </w:pPr>
      <w:r>
        <w:t>2.1 文件管理与规划范围</w:t>
      </w:r>
    </w:p>
    <w:p>
      <w:pPr>
        <w:pStyle w:val="Heading3"/>
      </w:pPr>
      <w:r>
        <w:t>2.1.1 文件标识与批准机制</w:t>
      </w:r>
    </w:p>
    <w:p>
      <w:pPr>
        <w:pStyle w:val="Caption"/>
        <w:keepNext/>
      </w:pPr>
      <w:r>
        <w:t>表2-1 文件标识与批准机制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管理项目</w:t>
            </w:r>
          </w:p>
        </w:tc>
        <w:tc>
          <w:tcPr>
            <w:tcW w:type="dxa" w:w="7228"/>
            <w:vAlign w:val="center"/>
            <w:shd w:fill="EDF1F3"/>
          </w:tcPr>
          <w:p>
            <w:pPr>
              <w:keepNext/>
              <w:spacing w:line="320" w:lineRule="exact" w:after="0" w:before="0"/>
              <w:ind w:firstLine="0"/>
              <w:jc w:val="center"/>
            </w:pPr>
            <w:r>
              <w:rPr>
                <w:b/>
                <w:sz w:val="21"/>
              </w:rPr>
              <w:t>管理内容</w:t>
            </w:r>
          </w:p>
        </w:tc>
      </w:tr>
      <w:tr>
        <w:trPr>
          <w:cantSplit/>
        </w:trPr>
        <w:tc>
          <w:tcPr>
            <w:tcW w:type="dxa" w:w="2409"/>
            <w:vAlign w:val="center"/>
          </w:tcPr>
          <w:p>
            <w:pPr>
              <w:keepNext w:val="0"/>
              <w:spacing w:line="320" w:lineRule="exact" w:after="0" w:before="0"/>
              <w:ind w:firstLine="0"/>
              <w:jc w:val="left"/>
            </w:pPr>
            <w:r>
              <w:rPr>
                <w:b w:val="0"/>
                <w:sz w:val="21"/>
              </w:rPr>
              <w:t>文件名称</w:t>
            </w:r>
          </w:p>
        </w:tc>
        <w:tc>
          <w:tcPr>
            <w:tcW w:type="dxa" w:w="7228"/>
            <w:vAlign w:val="center"/>
          </w:tcPr>
          <w:p>
            <w:pPr>
              <w:keepNext w:val="0"/>
              <w:spacing w:line="320" w:lineRule="exact" w:after="0" w:before="0"/>
              <w:ind w:firstLine="0"/>
              <w:jc w:val="left"/>
            </w:pPr>
            <w:r>
              <w:rPr>
                <w:b w:val="0"/>
                <w:sz w:val="21"/>
              </w:rPr>
              <w:t>数据战略规划</w:t>
            </w:r>
          </w:p>
        </w:tc>
      </w:tr>
      <w:tr>
        <w:trPr>
          <w:cantSplit/>
        </w:trPr>
        <w:tc>
          <w:tcPr>
            <w:tcW w:type="dxa" w:w="2409"/>
            <w:vAlign w:val="center"/>
          </w:tcPr>
          <w:p>
            <w:pPr>
              <w:keepNext w:val="0"/>
              <w:spacing w:line="320" w:lineRule="exact" w:after="0" w:before="0"/>
              <w:ind w:firstLine="0"/>
              <w:jc w:val="left"/>
            </w:pPr>
            <w:r>
              <w:rPr>
                <w:b w:val="0"/>
                <w:sz w:val="21"/>
              </w:rPr>
              <w:t>文件标识</w:t>
            </w:r>
          </w:p>
        </w:tc>
        <w:tc>
          <w:tcPr>
            <w:tcW w:type="dxa" w:w="7228"/>
            <w:vAlign w:val="center"/>
          </w:tcPr>
          <w:p>
            <w:pPr>
              <w:keepNext w:val="0"/>
              <w:spacing w:line="320" w:lineRule="exact" w:after="0" w:before="0"/>
              <w:ind w:firstLine="0"/>
              <w:jc w:val="left"/>
            </w:pPr>
            <w:r>
              <w:rPr>
                <w:b w:val="0"/>
                <w:sz w:val="21"/>
              </w:rPr>
              <w:t>GHY26691-GV-01-0002-V1.0</w:t>
            </w:r>
          </w:p>
        </w:tc>
      </w:tr>
      <w:tr>
        <w:trPr>
          <w:cantSplit/>
        </w:trPr>
        <w:tc>
          <w:tcPr>
            <w:tcW w:type="dxa" w:w="2409"/>
            <w:vAlign w:val="center"/>
          </w:tcPr>
          <w:p>
            <w:pPr>
              <w:keepNext w:val="0"/>
              <w:spacing w:line="320" w:lineRule="exact" w:after="0" w:before="0"/>
              <w:ind w:firstLine="0"/>
              <w:jc w:val="left"/>
            </w:pPr>
            <w:r>
              <w:rPr>
                <w:b w:val="0"/>
                <w:sz w:val="21"/>
              </w:rPr>
              <w:t>版本</w:t>
            </w:r>
          </w:p>
        </w:tc>
        <w:tc>
          <w:tcPr>
            <w:tcW w:type="dxa" w:w="7228"/>
            <w:vAlign w:val="center"/>
          </w:tcPr>
          <w:p>
            <w:pPr>
              <w:keepNext w:val="0"/>
              <w:spacing w:line="320" w:lineRule="exact" w:after="0" w:before="0"/>
              <w:ind w:firstLine="0"/>
              <w:jc w:val="left"/>
            </w:pPr>
            <w:r>
              <w:rPr>
                <w:b w:val="0"/>
                <w:sz w:val="21"/>
              </w:rPr>
              <w:t>V1.0</w:t>
            </w:r>
          </w:p>
        </w:tc>
      </w:tr>
      <w:tr>
        <w:trPr>
          <w:cantSplit/>
        </w:trPr>
        <w:tc>
          <w:tcPr>
            <w:tcW w:type="dxa" w:w="2409"/>
            <w:vAlign w:val="center"/>
          </w:tcPr>
          <w:p>
            <w:pPr>
              <w:keepNext w:val="0"/>
              <w:spacing w:line="320" w:lineRule="exact" w:after="0" w:before="0"/>
              <w:ind w:firstLine="0"/>
              <w:jc w:val="left"/>
            </w:pPr>
            <w:r>
              <w:rPr>
                <w:b w:val="0"/>
                <w:sz w:val="21"/>
              </w:rPr>
              <w:t>上位管理文件</w:t>
            </w:r>
          </w:p>
        </w:tc>
        <w:tc>
          <w:tcPr>
            <w:tcW w:type="dxa" w:w="7228"/>
            <w:vAlign w:val="center"/>
          </w:tcPr>
          <w:p>
            <w:pPr>
              <w:keepNext w:val="0"/>
              <w:spacing w:line="320" w:lineRule="exact" w:after="0" w:before="0"/>
              <w:ind w:firstLine="0"/>
              <w:jc w:val="left"/>
            </w:pPr>
            <w:r>
              <w:rPr>
                <w:b w:val="0"/>
                <w:sz w:val="21"/>
              </w:rPr>
              <w:t>数据战略管理办法 GHY26691-GV-01-0001</w:t>
            </w:r>
          </w:p>
        </w:tc>
      </w:tr>
      <w:tr>
        <w:trPr>
          <w:cantSplit/>
        </w:trPr>
        <w:tc>
          <w:tcPr>
            <w:tcW w:type="dxa" w:w="2409"/>
            <w:vAlign w:val="center"/>
          </w:tcPr>
          <w:p>
            <w:pPr>
              <w:keepNext w:val="0"/>
              <w:spacing w:line="320" w:lineRule="exact" w:after="0" w:before="0"/>
              <w:ind w:firstLine="0"/>
              <w:jc w:val="left"/>
            </w:pPr>
            <w:r>
              <w:rPr>
                <w:b w:val="0"/>
                <w:sz w:val="21"/>
              </w:rPr>
              <w:t>规划范围</w:t>
            </w:r>
          </w:p>
        </w:tc>
        <w:tc>
          <w:tcPr>
            <w:tcW w:type="dxa" w:w="7228"/>
            <w:vAlign w:val="center"/>
          </w:tcPr>
          <w:p>
            <w:pPr>
              <w:keepNext w:val="0"/>
              <w:spacing w:line="320" w:lineRule="exact" w:after="0" w:before="0"/>
              <w:ind w:firstLine="0"/>
              <w:jc w:val="left"/>
            </w:pPr>
            <w:r>
              <w:rPr>
                <w:b w:val="0"/>
                <w:sz w:val="21"/>
              </w:rPr>
              <w:t>九业务域治理及四大数据集建设、运营、评测和场景验证的数据支撑</w:t>
            </w:r>
          </w:p>
        </w:tc>
      </w:tr>
      <w:tr>
        <w:trPr>
          <w:cantSplit/>
        </w:trPr>
        <w:tc>
          <w:tcPr>
            <w:tcW w:type="dxa" w:w="2409"/>
            <w:vAlign w:val="center"/>
          </w:tcPr>
          <w:p>
            <w:pPr>
              <w:keepNext w:val="0"/>
              <w:spacing w:line="320" w:lineRule="exact" w:after="0" w:before="0"/>
              <w:ind w:firstLine="0"/>
              <w:jc w:val="left"/>
            </w:pPr>
            <w:r>
              <w:rPr>
                <w:b w:val="0"/>
                <w:sz w:val="21"/>
              </w:rPr>
              <w:t>规划周期</w:t>
            </w:r>
          </w:p>
        </w:tc>
        <w:tc>
          <w:tcPr>
            <w:tcW w:type="dxa" w:w="7228"/>
            <w:vAlign w:val="center"/>
          </w:tcPr>
          <w:p>
            <w:pPr>
              <w:keepNext w:val="0"/>
              <w:spacing w:line="320" w:lineRule="exact" w:after="0" w:before="0"/>
              <w:ind w:firstLine="0"/>
              <w:jc w:val="left"/>
            </w:pPr>
            <w:r>
              <w:rPr>
                <w:b w:val="0"/>
                <w:sz w:val="21"/>
              </w:rPr>
              <w:t>项目启动至最终验收，衔接验收后的持续运行与服务</w:t>
            </w:r>
          </w:p>
        </w:tc>
      </w:tr>
      <w:tr>
        <w:trPr>
          <w:cantSplit/>
        </w:trPr>
        <w:tc>
          <w:tcPr>
            <w:tcW w:type="dxa" w:w="2409"/>
            <w:vAlign w:val="center"/>
          </w:tcPr>
          <w:p>
            <w:pPr>
              <w:keepNext w:val="0"/>
              <w:spacing w:line="320" w:lineRule="exact" w:after="0" w:before="0"/>
              <w:ind w:firstLine="0"/>
              <w:jc w:val="left"/>
            </w:pPr>
            <w:r>
              <w:rPr>
                <w:b w:val="0"/>
                <w:sz w:val="21"/>
              </w:rPr>
              <w:t>编制组织</w:t>
            </w:r>
          </w:p>
        </w:tc>
        <w:tc>
          <w:tcPr>
            <w:tcW w:type="dxa" w:w="7228"/>
            <w:vAlign w:val="center"/>
          </w:tcPr>
          <w:p>
            <w:pPr>
              <w:keepNext w:val="0"/>
              <w:spacing w:line="320" w:lineRule="exact" w:after="0" w:before="0"/>
              <w:ind w:firstLine="0"/>
              <w:jc w:val="left"/>
            </w:pPr>
            <w:r>
              <w:rPr>
                <w:b w:val="0"/>
                <w:sz w:val="21"/>
              </w:rPr>
              <w:t>治理管理层组织业务、技术、质量、安全及资源职能共同编制</w:t>
            </w:r>
          </w:p>
        </w:tc>
      </w:tr>
      <w:tr>
        <w:trPr>
          <w:cantSplit/>
        </w:trPr>
        <w:tc>
          <w:tcPr>
            <w:tcW w:type="dxa" w:w="2409"/>
            <w:vAlign w:val="center"/>
          </w:tcPr>
          <w:p>
            <w:pPr>
              <w:keepNext w:val="0"/>
              <w:spacing w:line="320" w:lineRule="exact" w:after="0" w:before="0"/>
              <w:ind w:firstLine="0"/>
              <w:jc w:val="left"/>
            </w:pPr>
            <w:r>
              <w:rPr>
                <w:b w:val="0"/>
                <w:sz w:val="21"/>
              </w:rPr>
              <w:t>批准主体</w:t>
            </w:r>
          </w:p>
        </w:tc>
        <w:tc>
          <w:tcPr>
            <w:tcW w:type="dxa" w:w="7228"/>
            <w:vAlign w:val="center"/>
          </w:tcPr>
          <w:p>
            <w:pPr>
              <w:keepNext w:val="0"/>
              <w:spacing w:line="320" w:lineRule="exact" w:after="0" w:before="0"/>
              <w:ind w:firstLine="0"/>
              <w:jc w:val="left"/>
            </w:pPr>
            <w:r>
              <w:rPr>
                <w:b w:val="0"/>
                <w:sz w:val="21"/>
              </w:rPr>
              <w:t>公司具有相应权限的数据治理决策层</w:t>
            </w:r>
          </w:p>
        </w:tc>
      </w:tr>
      <w:tr>
        <w:trPr>
          <w:cantSplit/>
        </w:trPr>
        <w:tc>
          <w:tcPr>
            <w:tcW w:type="dxa" w:w="2409"/>
            <w:vAlign w:val="center"/>
          </w:tcPr>
          <w:p>
            <w:pPr>
              <w:keepNext w:val="0"/>
              <w:spacing w:line="320" w:lineRule="exact" w:after="0" w:before="0"/>
              <w:ind w:firstLine="0"/>
              <w:jc w:val="left"/>
            </w:pPr>
            <w:r>
              <w:rPr>
                <w:b w:val="0"/>
                <w:sz w:val="21"/>
              </w:rPr>
              <w:t>执行载体</w:t>
            </w:r>
          </w:p>
        </w:tc>
        <w:tc>
          <w:tcPr>
            <w:tcW w:type="dxa" w:w="7228"/>
            <w:vAlign w:val="center"/>
          </w:tcPr>
          <w:p>
            <w:pPr>
              <w:keepNext w:val="0"/>
              <w:spacing w:line="320" w:lineRule="exact" w:after="0" w:before="0"/>
              <w:ind w:firstLine="0"/>
              <w:jc w:val="left"/>
            </w:pPr>
            <w:r>
              <w:rPr>
                <w:b w:val="0"/>
                <w:sz w:val="21"/>
              </w:rPr>
              <w:t>数据战略实施计划、目标卡、工作包及资源计划</w:t>
            </w:r>
          </w:p>
        </w:tc>
      </w:tr>
      <w:tr>
        <w:trPr>
          <w:cantSplit/>
        </w:trPr>
        <w:tc>
          <w:tcPr>
            <w:tcW w:type="dxa" w:w="2409"/>
            <w:vAlign w:val="center"/>
          </w:tcPr>
          <w:p>
            <w:pPr>
              <w:keepNext w:val="0"/>
              <w:spacing w:line="320" w:lineRule="exact" w:after="0" w:before="0"/>
              <w:ind w:firstLine="0"/>
              <w:jc w:val="left"/>
            </w:pPr>
            <w:r>
              <w:rPr>
                <w:b w:val="0"/>
                <w:sz w:val="21"/>
              </w:rPr>
              <w:t>修订安排</w:t>
            </w:r>
          </w:p>
        </w:tc>
        <w:tc>
          <w:tcPr>
            <w:tcW w:type="dxa" w:w="7228"/>
            <w:vAlign w:val="center"/>
          </w:tcPr>
          <w:p>
            <w:pPr>
              <w:keepNext w:val="0"/>
              <w:spacing w:line="320" w:lineRule="exact" w:after="0" w:before="0"/>
              <w:ind w:firstLine="0"/>
              <w:jc w:val="left"/>
            </w:pPr>
            <w:r>
              <w:rPr>
                <w:b w:val="0"/>
                <w:sz w:val="21"/>
              </w:rPr>
              <w:t>阶段评价和年度综合评价后复审，重大变化时专项调整</w:t>
            </w:r>
          </w:p>
        </w:tc>
      </w:tr>
    </w:tbl>
    <w:p>
      <w:pPr>
        <w:spacing w:after="40" w:line="240" w:lineRule="auto"/>
        <w:ind w:firstLine="0"/>
      </w:pPr>
      <w:r>
        <w:rPr>
          <w:sz w:val="4"/>
        </w:rPr>
      </w:r>
    </w:p>
    <w:p>
      <w:pPr>
        <w:jc w:val="both"/>
      </w:pPr>
      <w:r>
        <w:t>规划面向矿山装备制造全业务链，将数据治理要求转化为可执行的责任、规则、数据供给和使用服务。建设目标是形成持续供给、质量可核验、来源可追溯、使用可控制和成效可评价的数据管理能力，支撑项目约定的数据集加工生产、质量评测及场景验证。</w:t>
      </w:r>
    </w:p>
    <w:p>
      <w:pPr>
        <w:jc w:val="both"/>
      </w:pPr>
      <w:r>
        <w:t>规划与数据治理顶层设计、分层架构、资产管理和专项质量安全规划共同实施。项目涉及的标准、质量、安全、生存周期、应用流通等规则在相应专项文件中明确，战略规划对其建设顺序、资源依赖、目标和检查节点作统一安排。公司业务规则与技术配置建立对应关系，使正式文件、平台运行和业务操作保持一致。</w:t>
      </w:r>
    </w:p>
    <w:p>
      <w:pPr>
        <w:pStyle w:val="Heading3"/>
      </w:pPr>
      <w:r>
        <w:t>2.1.2 规划边界与阶段成果</w:t>
      </w:r>
    </w:p>
    <w:p>
      <w:pPr>
        <w:jc w:val="both"/>
      </w:pPr>
      <w:r>
        <w:t>组织范围覆盖九个业务域及相关所属单位，数据范围覆盖结构化业务数据、图纸图像、工艺与技术文件、制度合同、设备时序、视频及实际业务中的其他适用数据。业务域用于落实治理责任，数据集领域用于组织供给，两者通过实际对象和需求建立多对多关系。每项治理成果均明确其服务的来源、数据集或使用场景。</w:t>
      </w:r>
    </w:p>
    <w:p>
      <w:pPr>
        <w:jc w:val="both"/>
      </w:pPr>
      <w:r>
        <w:t>规划成果形成战略目标、重点任务、资源计划、实施路线和评价机制五项具体安排。数据战略管理办法提供治理程序，实施计划落实工作包及节点，战略评估报告检查执行偏差和实际效果。四份文件共用目标与任务标识，分别保存适用版本和批准记录，后续调整保持连贯。</w:t>
      </w:r>
    </w:p>
    <w:p>
      <w:pPr>
        <w:pStyle w:val="Heading2"/>
      </w:pPr>
      <w:r>
        <w:t>2.2 业务需求与现状基线</w:t>
      </w:r>
    </w:p>
    <w:p>
      <w:pPr>
        <w:pStyle w:val="Heading3"/>
      </w:pPr>
      <w:r>
        <w:t>2.2.1 全域现状调查</w:t>
      </w:r>
    </w:p>
    <w:p>
      <w:pPr>
        <w:jc w:val="both"/>
      </w:pPr>
      <w:r>
        <w:t>现状调查沿业务活动和系统存储双向开展。业务岗位列出实际产生、审核和使用的数据对象，技术岗位核对数据库、文件服务、接口和作业中的实际资源；治理岗位合并清单，识别来源、范围或含义尚未一致的对象。资料分散于系统、共享目录和纸质记录时分别登记载体及责任，按授权完成受控接收和必要的数字化处理。</w:t>
      </w:r>
    </w:p>
    <w:p>
      <w:pPr>
        <w:jc w:val="both"/>
      </w:pPr>
      <w:r>
        <w:t>调查从组织、制度、流程、工具和实际运行五方面取证。组织检查职责和授权，制度检查发布与适用，流程检查实际审批和异常处理，工具检查配置与执行，运行检查使用结果及维护。各项结论绑定证据时间和业务范围，形成可以支持战略决策的现状诊断报告。</w:t>
      </w:r>
    </w:p>
    <w:p>
      <w:pPr>
        <w:jc w:val="both"/>
      </w:pPr>
      <w:r>
        <w:t>数据管理能力建设采用适用的 GB/T 36073《数据管理能力成熟度评估模型》及正式评估要求，建立版本、要求、责任和证据映射。规划按照招标要求覆盖九大能力域，具体评估项按适用标准及评估口径核对。现状评价与正式成熟度结论分别管理，能力提升任务由实际差距及其业务影响确定。</w:t>
      </w:r>
    </w:p>
    <w:p>
      <w:pPr>
        <w:pStyle w:val="Heading3"/>
      </w:pPr>
      <w:r>
        <w:t>2.2.2 基线测量与供给分类</w:t>
      </w:r>
    </w:p>
    <w:p>
      <w:pPr>
        <w:jc w:val="both"/>
      </w:pPr>
      <w:r>
        <w:t>基线测量先确定对象总体，再选择取数方式。可自动获得的范围、数量、更新时间、字段缺失和重复情况按批准规则统计；专业含义、来源权利和可用性通过业务及专业人员核查。抽样结论注明范围和局限，已确认问题按实际对象登记。相同资源被多个系统引用时保留主标识及来源关系，数量和覆盖统计按约定单位去重。</w:t>
      </w:r>
    </w:p>
    <w:p>
      <w:pPr>
        <w:jc w:val="both"/>
      </w:pPr>
      <w:r>
        <w:t>供给状态按直接可用、治理后可用、需要补充和受限使用四类管理。直接可用对象仍需完成入场和质量检查；治理后可用对象明确转换、映射、清洗和标注任务；需要补充对象明确真实来源和获取计划；受限使用对象明确许可、敏感或业务条件，完成相应确认后方可进入规定用途。状态变化有检查依据，并同步到需求和生产计划。</w:t>
      </w:r>
    </w:p>
    <w:p>
      <w:pPr>
        <w:pStyle w:val="Caption"/>
        <w:keepNext/>
      </w:pPr>
      <w:r>
        <w:t>表2-2 基线测量与供给分类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基线对象</w:t>
            </w:r>
          </w:p>
        </w:tc>
        <w:tc>
          <w:tcPr>
            <w:tcW w:type="dxa" w:w="2699"/>
            <w:vAlign w:val="center"/>
            <w:shd w:fill="EDF1F3"/>
          </w:tcPr>
          <w:p>
            <w:pPr>
              <w:keepNext/>
              <w:spacing w:line="320" w:lineRule="exact" w:after="0" w:before="0"/>
              <w:ind w:firstLine="0"/>
              <w:jc w:val="center"/>
            </w:pPr>
            <w:r>
              <w:rPr>
                <w:b/>
                <w:sz w:val="21"/>
              </w:rPr>
              <w:t>测量内容</w:t>
            </w:r>
          </w:p>
        </w:tc>
        <w:tc>
          <w:tcPr>
            <w:tcW w:type="dxa" w:w="2409"/>
            <w:vAlign w:val="center"/>
            <w:shd w:fill="EDF1F3"/>
          </w:tcPr>
          <w:p>
            <w:pPr>
              <w:keepNext/>
              <w:spacing w:line="320" w:lineRule="exact" w:after="0" w:before="0"/>
              <w:ind w:firstLine="0"/>
              <w:jc w:val="center"/>
            </w:pPr>
            <w:r>
              <w:rPr>
                <w:b/>
                <w:sz w:val="21"/>
              </w:rPr>
              <w:t>主要证据</w:t>
            </w:r>
          </w:p>
        </w:tc>
        <w:tc>
          <w:tcPr>
            <w:tcW w:type="dxa" w:w="2891"/>
            <w:vAlign w:val="center"/>
            <w:shd w:fill="EDF1F3"/>
          </w:tcPr>
          <w:p>
            <w:pPr>
              <w:keepNext/>
              <w:spacing w:line="320" w:lineRule="exact" w:after="0" w:before="0"/>
              <w:ind w:firstLine="0"/>
              <w:jc w:val="center"/>
            </w:pPr>
            <w:r>
              <w:rPr>
                <w:b/>
                <w:sz w:val="21"/>
              </w:rPr>
              <w:t>转化的执行任务</w:t>
            </w:r>
          </w:p>
        </w:tc>
      </w:tr>
      <w:tr>
        <w:trPr>
          <w:cantSplit/>
        </w:trPr>
        <w:tc>
          <w:tcPr>
            <w:tcW w:type="dxa" w:w="1638"/>
            <w:vAlign w:val="center"/>
          </w:tcPr>
          <w:p>
            <w:pPr>
              <w:keepNext w:val="0"/>
              <w:spacing w:line="320" w:lineRule="exact" w:after="0" w:before="0"/>
              <w:ind w:firstLine="0"/>
              <w:jc w:val="left"/>
            </w:pPr>
            <w:r>
              <w:rPr>
                <w:b w:val="0"/>
                <w:sz w:val="21"/>
              </w:rPr>
              <w:t>组织与责任</w:t>
            </w:r>
          </w:p>
        </w:tc>
        <w:tc>
          <w:tcPr>
            <w:tcW w:type="dxa" w:w="2699"/>
            <w:vAlign w:val="center"/>
          </w:tcPr>
          <w:p>
            <w:pPr>
              <w:keepNext w:val="0"/>
              <w:spacing w:line="320" w:lineRule="exact" w:after="0" w:before="0"/>
              <w:ind w:firstLine="0"/>
              <w:jc w:val="left"/>
            </w:pPr>
            <w:r>
              <w:rPr>
                <w:b w:val="0"/>
                <w:sz w:val="21"/>
              </w:rPr>
              <w:t>业务归口、技术维护、审批和复核</w:t>
            </w:r>
          </w:p>
        </w:tc>
        <w:tc>
          <w:tcPr>
            <w:tcW w:type="dxa" w:w="2409"/>
            <w:vAlign w:val="center"/>
          </w:tcPr>
          <w:p>
            <w:pPr>
              <w:keepNext w:val="0"/>
              <w:spacing w:line="320" w:lineRule="exact" w:after="0" w:before="0"/>
              <w:ind w:firstLine="0"/>
              <w:jc w:val="left"/>
            </w:pPr>
            <w:r>
              <w:rPr>
                <w:b w:val="0"/>
                <w:sz w:val="21"/>
              </w:rPr>
              <w:t>组织文件、岗位授权、实际记录</w:t>
            </w:r>
          </w:p>
        </w:tc>
        <w:tc>
          <w:tcPr>
            <w:tcW w:type="dxa" w:w="2891"/>
            <w:vAlign w:val="center"/>
          </w:tcPr>
          <w:p>
            <w:pPr>
              <w:keepNext w:val="0"/>
              <w:spacing w:line="320" w:lineRule="exact" w:after="0" w:before="0"/>
              <w:ind w:firstLine="0"/>
              <w:jc w:val="left"/>
            </w:pPr>
            <w:r>
              <w:rPr>
                <w:b w:val="0"/>
                <w:sz w:val="21"/>
              </w:rPr>
              <w:t>职责补全、授权维护和交接</w:t>
            </w:r>
          </w:p>
        </w:tc>
      </w:tr>
      <w:tr>
        <w:trPr>
          <w:cantSplit/>
        </w:trPr>
        <w:tc>
          <w:tcPr>
            <w:tcW w:type="dxa" w:w="1638"/>
            <w:vAlign w:val="center"/>
          </w:tcPr>
          <w:p>
            <w:pPr>
              <w:keepNext w:val="0"/>
              <w:spacing w:line="320" w:lineRule="exact" w:after="0" w:before="0"/>
              <w:ind w:firstLine="0"/>
              <w:jc w:val="left"/>
            </w:pPr>
            <w:r>
              <w:rPr>
                <w:b w:val="0"/>
                <w:sz w:val="21"/>
              </w:rPr>
              <w:t>资源范围</w:t>
            </w:r>
          </w:p>
        </w:tc>
        <w:tc>
          <w:tcPr>
            <w:tcW w:type="dxa" w:w="2699"/>
            <w:vAlign w:val="center"/>
          </w:tcPr>
          <w:p>
            <w:pPr>
              <w:keepNext w:val="0"/>
              <w:spacing w:line="320" w:lineRule="exact" w:after="0" w:before="0"/>
              <w:ind w:firstLine="0"/>
              <w:jc w:val="left"/>
            </w:pPr>
            <w:r>
              <w:rPr>
                <w:b w:val="0"/>
                <w:sz w:val="21"/>
              </w:rPr>
              <w:t>系统对象、文件、历史区间及更新</w:t>
            </w:r>
          </w:p>
        </w:tc>
        <w:tc>
          <w:tcPr>
            <w:tcW w:type="dxa" w:w="2409"/>
            <w:vAlign w:val="center"/>
          </w:tcPr>
          <w:p>
            <w:pPr>
              <w:keepNext w:val="0"/>
              <w:spacing w:line="320" w:lineRule="exact" w:after="0" w:before="0"/>
              <w:ind w:firstLine="0"/>
              <w:jc w:val="left"/>
            </w:pPr>
            <w:r>
              <w:rPr>
                <w:b w:val="0"/>
                <w:sz w:val="21"/>
              </w:rPr>
              <w:t>资源清单、存储定位和运行记录</w:t>
            </w:r>
          </w:p>
        </w:tc>
        <w:tc>
          <w:tcPr>
            <w:tcW w:type="dxa" w:w="2891"/>
            <w:vAlign w:val="center"/>
          </w:tcPr>
          <w:p>
            <w:pPr>
              <w:keepNext w:val="0"/>
              <w:spacing w:line="320" w:lineRule="exact" w:after="0" w:before="0"/>
              <w:ind w:firstLine="0"/>
              <w:jc w:val="left"/>
            </w:pPr>
            <w:r>
              <w:rPr>
                <w:b w:val="0"/>
                <w:sz w:val="21"/>
              </w:rPr>
              <w:t>盘点补充、目录和来源登记</w:t>
            </w:r>
          </w:p>
        </w:tc>
      </w:tr>
      <w:tr>
        <w:trPr>
          <w:cantSplit/>
        </w:trPr>
        <w:tc>
          <w:tcPr>
            <w:tcW w:type="dxa" w:w="1638"/>
            <w:vAlign w:val="center"/>
          </w:tcPr>
          <w:p>
            <w:pPr>
              <w:keepNext w:val="0"/>
              <w:spacing w:line="320" w:lineRule="exact" w:after="0" w:before="0"/>
              <w:ind w:firstLine="0"/>
              <w:jc w:val="left"/>
            </w:pPr>
            <w:r>
              <w:rPr>
                <w:b w:val="0"/>
                <w:sz w:val="21"/>
              </w:rPr>
              <w:t>业务定义</w:t>
            </w:r>
          </w:p>
        </w:tc>
        <w:tc>
          <w:tcPr>
            <w:tcW w:type="dxa" w:w="2699"/>
            <w:vAlign w:val="center"/>
          </w:tcPr>
          <w:p>
            <w:pPr>
              <w:keepNext w:val="0"/>
              <w:spacing w:line="320" w:lineRule="exact" w:after="0" w:before="0"/>
              <w:ind w:firstLine="0"/>
              <w:jc w:val="left"/>
            </w:pPr>
            <w:r>
              <w:rPr>
                <w:b w:val="0"/>
                <w:sz w:val="21"/>
              </w:rPr>
              <w:t>对象粒度、状态、时间及单位</w:t>
            </w:r>
          </w:p>
        </w:tc>
        <w:tc>
          <w:tcPr>
            <w:tcW w:type="dxa" w:w="2409"/>
            <w:vAlign w:val="center"/>
          </w:tcPr>
          <w:p>
            <w:pPr>
              <w:keepNext w:val="0"/>
              <w:spacing w:line="320" w:lineRule="exact" w:after="0" w:before="0"/>
              <w:ind w:firstLine="0"/>
              <w:jc w:val="left"/>
            </w:pPr>
            <w:r>
              <w:rPr>
                <w:b w:val="0"/>
                <w:sz w:val="21"/>
              </w:rPr>
              <w:t>业务制度、表单、字典和样本</w:t>
            </w:r>
          </w:p>
        </w:tc>
        <w:tc>
          <w:tcPr>
            <w:tcW w:type="dxa" w:w="2891"/>
            <w:vAlign w:val="center"/>
          </w:tcPr>
          <w:p>
            <w:pPr>
              <w:keepNext w:val="0"/>
              <w:spacing w:line="320" w:lineRule="exact" w:after="0" w:before="0"/>
              <w:ind w:firstLine="0"/>
              <w:jc w:val="left"/>
            </w:pPr>
            <w:r>
              <w:rPr>
                <w:b w:val="0"/>
                <w:sz w:val="21"/>
              </w:rPr>
              <w:t>术语、主数据及映射治理</w:t>
            </w:r>
          </w:p>
        </w:tc>
      </w:tr>
      <w:tr>
        <w:trPr>
          <w:cantSplit/>
        </w:trPr>
        <w:tc>
          <w:tcPr>
            <w:tcW w:type="dxa" w:w="1638"/>
            <w:vAlign w:val="center"/>
          </w:tcPr>
          <w:p>
            <w:pPr>
              <w:keepNext w:val="0"/>
              <w:spacing w:line="320" w:lineRule="exact" w:after="0" w:before="0"/>
              <w:ind w:firstLine="0"/>
              <w:jc w:val="left"/>
            </w:pPr>
            <w:r>
              <w:rPr>
                <w:b w:val="0"/>
                <w:sz w:val="21"/>
              </w:rPr>
              <w:t>数据质量</w:t>
            </w:r>
          </w:p>
        </w:tc>
        <w:tc>
          <w:tcPr>
            <w:tcW w:type="dxa" w:w="2699"/>
            <w:vAlign w:val="center"/>
          </w:tcPr>
          <w:p>
            <w:pPr>
              <w:keepNext w:val="0"/>
              <w:spacing w:line="320" w:lineRule="exact" w:after="0" w:before="0"/>
              <w:ind w:firstLine="0"/>
              <w:jc w:val="left"/>
            </w:pPr>
            <w:r>
              <w:rPr>
                <w:b w:val="0"/>
                <w:sz w:val="21"/>
              </w:rPr>
              <w:t>完整、准确、一致及实际可用性</w:t>
            </w:r>
          </w:p>
        </w:tc>
        <w:tc>
          <w:tcPr>
            <w:tcW w:type="dxa" w:w="2409"/>
            <w:vAlign w:val="center"/>
          </w:tcPr>
          <w:p>
            <w:pPr>
              <w:keepNext w:val="0"/>
              <w:spacing w:line="320" w:lineRule="exact" w:after="0" w:before="0"/>
              <w:ind w:firstLine="0"/>
              <w:jc w:val="left"/>
            </w:pPr>
            <w:r>
              <w:rPr>
                <w:b w:val="0"/>
                <w:sz w:val="21"/>
              </w:rPr>
              <w:t>检测结果、业务核对和问题记录</w:t>
            </w:r>
          </w:p>
        </w:tc>
        <w:tc>
          <w:tcPr>
            <w:tcW w:type="dxa" w:w="2891"/>
            <w:vAlign w:val="center"/>
          </w:tcPr>
          <w:p>
            <w:pPr>
              <w:keepNext w:val="0"/>
              <w:spacing w:line="320" w:lineRule="exact" w:after="0" w:before="0"/>
              <w:ind w:firstLine="0"/>
              <w:jc w:val="left"/>
            </w:pPr>
            <w:r>
              <w:rPr>
                <w:b w:val="0"/>
                <w:sz w:val="21"/>
              </w:rPr>
              <w:t>规则落地、源头修正和复核</w:t>
            </w:r>
          </w:p>
        </w:tc>
      </w:tr>
      <w:tr>
        <w:trPr>
          <w:cantSplit/>
        </w:trPr>
        <w:tc>
          <w:tcPr>
            <w:tcW w:type="dxa" w:w="1638"/>
            <w:vAlign w:val="center"/>
          </w:tcPr>
          <w:p>
            <w:pPr>
              <w:keepNext w:val="0"/>
              <w:spacing w:line="320" w:lineRule="exact" w:after="0" w:before="0"/>
              <w:ind w:firstLine="0"/>
              <w:jc w:val="left"/>
            </w:pPr>
            <w:r>
              <w:rPr>
                <w:b w:val="0"/>
                <w:sz w:val="21"/>
              </w:rPr>
              <w:t>安全与权利</w:t>
            </w:r>
          </w:p>
        </w:tc>
        <w:tc>
          <w:tcPr>
            <w:tcW w:type="dxa" w:w="2699"/>
            <w:vAlign w:val="center"/>
          </w:tcPr>
          <w:p>
            <w:pPr>
              <w:keepNext w:val="0"/>
              <w:spacing w:line="320" w:lineRule="exact" w:after="0" w:before="0"/>
              <w:ind w:firstLine="0"/>
              <w:jc w:val="left"/>
            </w:pPr>
            <w:r>
              <w:rPr>
                <w:b w:val="0"/>
                <w:sz w:val="21"/>
              </w:rPr>
              <w:t>敏感等级、授权、许可和使用限制</w:t>
            </w:r>
          </w:p>
        </w:tc>
        <w:tc>
          <w:tcPr>
            <w:tcW w:type="dxa" w:w="2409"/>
            <w:vAlign w:val="center"/>
          </w:tcPr>
          <w:p>
            <w:pPr>
              <w:keepNext w:val="0"/>
              <w:spacing w:line="320" w:lineRule="exact" w:after="0" w:before="0"/>
              <w:ind w:firstLine="0"/>
              <w:jc w:val="left"/>
            </w:pPr>
            <w:r>
              <w:rPr>
                <w:b w:val="0"/>
                <w:sz w:val="21"/>
              </w:rPr>
              <w:t>审批、合同及安全检查</w:t>
            </w:r>
          </w:p>
        </w:tc>
        <w:tc>
          <w:tcPr>
            <w:tcW w:type="dxa" w:w="2891"/>
            <w:vAlign w:val="center"/>
          </w:tcPr>
          <w:p>
            <w:pPr>
              <w:keepNext w:val="0"/>
              <w:spacing w:line="320" w:lineRule="exact" w:after="0" w:before="0"/>
              <w:ind w:firstLine="0"/>
              <w:jc w:val="left"/>
            </w:pPr>
            <w:r>
              <w:rPr>
                <w:b w:val="0"/>
                <w:sz w:val="21"/>
              </w:rPr>
              <w:t>受控接入、脱敏和权限配置</w:t>
            </w:r>
          </w:p>
        </w:tc>
      </w:tr>
      <w:tr>
        <w:trPr>
          <w:cantSplit/>
        </w:trPr>
        <w:tc>
          <w:tcPr>
            <w:tcW w:type="dxa" w:w="1638"/>
            <w:vAlign w:val="center"/>
          </w:tcPr>
          <w:p>
            <w:pPr>
              <w:keepNext w:val="0"/>
              <w:spacing w:line="320" w:lineRule="exact" w:after="0" w:before="0"/>
              <w:ind w:firstLine="0"/>
              <w:jc w:val="left"/>
            </w:pPr>
            <w:r>
              <w:rPr>
                <w:b w:val="0"/>
                <w:sz w:val="21"/>
              </w:rPr>
              <w:t>场景供给</w:t>
            </w:r>
          </w:p>
        </w:tc>
        <w:tc>
          <w:tcPr>
            <w:tcW w:type="dxa" w:w="2699"/>
            <w:vAlign w:val="center"/>
          </w:tcPr>
          <w:p>
            <w:pPr>
              <w:keepNext w:val="0"/>
              <w:spacing w:line="320" w:lineRule="exact" w:after="0" w:before="0"/>
              <w:ind w:firstLine="0"/>
              <w:jc w:val="left"/>
            </w:pPr>
            <w:r>
              <w:rPr>
                <w:b w:val="0"/>
                <w:sz w:val="21"/>
              </w:rPr>
              <w:t>必需输入、数量、代表性及缺口</w:t>
            </w:r>
          </w:p>
        </w:tc>
        <w:tc>
          <w:tcPr>
            <w:tcW w:type="dxa" w:w="2409"/>
            <w:vAlign w:val="center"/>
          </w:tcPr>
          <w:p>
            <w:pPr>
              <w:keepNext w:val="0"/>
              <w:spacing w:line="320" w:lineRule="exact" w:after="0" w:before="0"/>
              <w:ind w:firstLine="0"/>
              <w:jc w:val="left"/>
            </w:pPr>
            <w:r>
              <w:rPr>
                <w:b w:val="0"/>
                <w:sz w:val="21"/>
              </w:rPr>
              <w:t>需求清单、样本核验和验证记录</w:t>
            </w:r>
          </w:p>
        </w:tc>
        <w:tc>
          <w:tcPr>
            <w:tcW w:type="dxa" w:w="2891"/>
            <w:vAlign w:val="center"/>
          </w:tcPr>
          <w:p>
            <w:pPr>
              <w:keepNext w:val="0"/>
              <w:spacing w:line="320" w:lineRule="exact" w:after="0" w:before="0"/>
              <w:ind w:firstLine="0"/>
              <w:jc w:val="left"/>
            </w:pPr>
            <w:r>
              <w:rPr>
                <w:b w:val="0"/>
                <w:sz w:val="21"/>
              </w:rPr>
              <w:t>数据补齐、标注及质量验证</w:t>
            </w:r>
          </w:p>
        </w:tc>
      </w:tr>
      <w:tr>
        <w:trPr>
          <w:cantSplit/>
        </w:trPr>
        <w:tc>
          <w:tcPr>
            <w:tcW w:type="dxa" w:w="1638"/>
            <w:vAlign w:val="center"/>
          </w:tcPr>
          <w:p>
            <w:pPr>
              <w:keepNext w:val="0"/>
              <w:spacing w:line="320" w:lineRule="exact" w:after="0" w:before="0"/>
              <w:ind w:firstLine="0"/>
              <w:jc w:val="left"/>
            </w:pPr>
            <w:r>
              <w:rPr>
                <w:b w:val="0"/>
                <w:sz w:val="21"/>
              </w:rPr>
              <w:t>平台与运行</w:t>
            </w:r>
          </w:p>
        </w:tc>
        <w:tc>
          <w:tcPr>
            <w:tcW w:type="dxa" w:w="2699"/>
            <w:vAlign w:val="center"/>
          </w:tcPr>
          <w:p>
            <w:pPr>
              <w:keepNext w:val="0"/>
              <w:spacing w:line="320" w:lineRule="exact" w:after="0" w:before="0"/>
              <w:ind w:firstLine="0"/>
              <w:jc w:val="left"/>
            </w:pPr>
            <w:r>
              <w:rPr>
                <w:b w:val="0"/>
                <w:sz w:val="21"/>
              </w:rPr>
              <w:t>已有能力、配置、日志和维护</w:t>
            </w:r>
          </w:p>
        </w:tc>
        <w:tc>
          <w:tcPr>
            <w:tcW w:type="dxa" w:w="2409"/>
            <w:vAlign w:val="center"/>
          </w:tcPr>
          <w:p>
            <w:pPr>
              <w:keepNext w:val="0"/>
              <w:spacing w:line="320" w:lineRule="exact" w:after="0" w:before="0"/>
              <w:ind w:firstLine="0"/>
              <w:jc w:val="left"/>
            </w:pPr>
            <w:r>
              <w:rPr>
                <w:b w:val="0"/>
                <w:sz w:val="21"/>
              </w:rPr>
              <w:t>配置、操作、工单和使用反馈</w:t>
            </w:r>
          </w:p>
        </w:tc>
        <w:tc>
          <w:tcPr>
            <w:tcW w:type="dxa" w:w="2891"/>
            <w:vAlign w:val="center"/>
          </w:tcPr>
          <w:p>
            <w:pPr>
              <w:keepNext w:val="0"/>
              <w:spacing w:line="320" w:lineRule="exact" w:after="0" w:before="0"/>
              <w:ind w:firstLine="0"/>
              <w:jc w:val="left"/>
            </w:pPr>
            <w:r>
              <w:rPr>
                <w:b w:val="0"/>
                <w:sz w:val="21"/>
              </w:rPr>
              <w:t>平台实施、联调和运行承接</w:t>
            </w:r>
          </w:p>
        </w:tc>
      </w:tr>
      <w:tr>
        <w:trPr>
          <w:cantSplit/>
        </w:trPr>
        <w:tc>
          <w:tcPr>
            <w:tcW w:type="dxa" w:w="1638"/>
            <w:vAlign w:val="center"/>
          </w:tcPr>
          <w:p>
            <w:pPr>
              <w:keepNext w:val="0"/>
              <w:spacing w:line="320" w:lineRule="exact" w:after="0" w:before="0"/>
              <w:ind w:firstLine="0"/>
              <w:jc w:val="left"/>
            </w:pPr>
            <w:r>
              <w:rPr>
                <w:b w:val="0"/>
                <w:sz w:val="21"/>
              </w:rPr>
              <w:t>资源负荷</w:t>
            </w:r>
          </w:p>
        </w:tc>
        <w:tc>
          <w:tcPr>
            <w:tcW w:type="dxa" w:w="2699"/>
            <w:vAlign w:val="center"/>
          </w:tcPr>
          <w:p>
            <w:pPr>
              <w:keepNext w:val="0"/>
              <w:spacing w:line="320" w:lineRule="exact" w:after="0" w:before="0"/>
              <w:ind w:firstLine="0"/>
              <w:jc w:val="left"/>
            </w:pPr>
            <w:r>
              <w:rPr>
                <w:b w:val="0"/>
                <w:sz w:val="21"/>
              </w:rPr>
              <w:t>人员、计算、存储及审核窗口</w:t>
            </w:r>
          </w:p>
        </w:tc>
        <w:tc>
          <w:tcPr>
            <w:tcW w:type="dxa" w:w="2409"/>
            <w:vAlign w:val="center"/>
          </w:tcPr>
          <w:p>
            <w:pPr>
              <w:keepNext w:val="0"/>
              <w:spacing w:line="320" w:lineRule="exact" w:after="0" w:before="0"/>
              <w:ind w:firstLine="0"/>
              <w:jc w:val="left"/>
            </w:pPr>
            <w:r>
              <w:rPr>
                <w:b w:val="0"/>
                <w:sz w:val="21"/>
              </w:rPr>
              <w:t>实测吞吐、工时和容量记录</w:t>
            </w:r>
          </w:p>
        </w:tc>
        <w:tc>
          <w:tcPr>
            <w:tcW w:type="dxa" w:w="2891"/>
            <w:vAlign w:val="center"/>
          </w:tcPr>
          <w:p>
            <w:pPr>
              <w:keepNext w:val="0"/>
              <w:spacing w:line="320" w:lineRule="exact" w:after="0" w:before="0"/>
              <w:ind w:firstLine="0"/>
              <w:jc w:val="left"/>
            </w:pPr>
            <w:r>
              <w:rPr>
                <w:b w:val="0"/>
                <w:sz w:val="21"/>
              </w:rPr>
              <w:t>资源配置和批次排期</w:t>
            </w:r>
          </w:p>
        </w:tc>
      </w:tr>
    </w:tbl>
    <w:p>
      <w:pPr>
        <w:spacing w:after="40" w:line="240" w:lineRule="auto"/>
        <w:ind w:firstLine="0"/>
      </w:pPr>
      <w:r>
        <w:rPr>
          <w:sz w:val="4"/>
        </w:rPr>
      </w:r>
    </w:p>
    <w:p>
      <w:pPr>
        <w:pStyle w:val="Heading2"/>
      </w:pPr>
      <w:r>
        <w:t>2.3 战略目标及度量体系</w:t>
      </w:r>
    </w:p>
    <w:p>
      <w:pPr>
        <w:pStyle w:val="Heading3"/>
      </w:pPr>
      <w:r>
        <w:t>2.3.1 企业级目标与业务域目标</w:t>
      </w:r>
    </w:p>
    <w:p>
      <w:pPr>
        <w:jc w:val="both"/>
      </w:pPr>
      <w:r>
        <w:t>企业级目标由能力建设、全域治理、数据供给、使用服务和持续运行组成。能力建设以制度、流程、工具和运行证据形成相互支撑的管理能力；全域治理形成九业务域责任清单、资源清单及共性规则；数据供给完成四大数据集及各用途净量；使用服务支撑经营指标、共享申请和十一个验证场景；持续运行形成岗位承接和定期评价机制。</w:t>
      </w:r>
    </w:p>
    <w:p>
      <w:pPr>
        <w:jc w:val="both"/>
      </w:pPr>
      <w:r>
        <w:t>业务域目标以具体对象为单位分解。研发设计关注产品、图纸、工艺及版本关系；生产制造关注订单、工单、工序、工件和实际执行；质量管理关注检验依据、结果及复检处置；采购、仓储和营销关注需求、到货、库存、合同及交付；设备、财务和人力资源分别落实测点履历、核算口径及岗位授权。跨域目标设置统一牵头和配合责任。</w:t>
      </w:r>
    </w:p>
    <w:p>
      <w:pPr>
        <w:pStyle w:val="Caption"/>
        <w:keepNext/>
      </w:pPr>
      <w:r>
        <w:t>表2-3 企业级目标与业务域目标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目标编号</w:t>
            </w:r>
          </w:p>
        </w:tc>
        <w:tc>
          <w:tcPr>
            <w:tcW w:type="dxa" w:w="2699"/>
            <w:vAlign w:val="center"/>
            <w:shd w:fill="EDF1F3"/>
          </w:tcPr>
          <w:p>
            <w:pPr>
              <w:keepNext/>
              <w:spacing w:line="320" w:lineRule="exact" w:after="0" w:before="0"/>
              <w:ind w:firstLine="0"/>
              <w:jc w:val="center"/>
            </w:pPr>
            <w:r>
              <w:rPr>
                <w:b/>
                <w:sz w:val="21"/>
              </w:rPr>
              <w:t>战略目标</w:t>
            </w:r>
          </w:p>
        </w:tc>
        <w:tc>
          <w:tcPr>
            <w:tcW w:type="dxa" w:w="2409"/>
            <w:vAlign w:val="center"/>
            <w:shd w:fill="EDF1F3"/>
          </w:tcPr>
          <w:p>
            <w:pPr>
              <w:keepNext/>
              <w:spacing w:line="320" w:lineRule="exact" w:after="0" w:before="0"/>
              <w:ind w:firstLine="0"/>
              <w:jc w:val="center"/>
            </w:pPr>
            <w:r>
              <w:rPr>
                <w:b/>
                <w:sz w:val="21"/>
              </w:rPr>
              <w:t>目标完成条件</w:t>
            </w:r>
          </w:p>
        </w:tc>
        <w:tc>
          <w:tcPr>
            <w:tcW w:type="dxa" w:w="2891"/>
            <w:vAlign w:val="center"/>
            <w:shd w:fill="EDF1F3"/>
          </w:tcPr>
          <w:p>
            <w:pPr>
              <w:keepNext/>
              <w:spacing w:line="320" w:lineRule="exact" w:after="0" w:before="0"/>
              <w:ind w:firstLine="0"/>
              <w:jc w:val="center"/>
            </w:pPr>
            <w:r>
              <w:rPr>
                <w:b/>
                <w:sz w:val="21"/>
              </w:rPr>
              <w:t>评价依据</w:t>
            </w:r>
          </w:p>
        </w:tc>
      </w:tr>
      <w:tr>
        <w:trPr>
          <w:cantSplit/>
        </w:trPr>
        <w:tc>
          <w:tcPr>
            <w:tcW w:type="dxa" w:w="1638"/>
            <w:vAlign w:val="center"/>
          </w:tcPr>
          <w:p>
            <w:pPr>
              <w:keepNext w:val="0"/>
              <w:spacing w:line="320" w:lineRule="exact" w:after="0" w:before="0"/>
              <w:ind w:firstLine="0"/>
              <w:jc w:val="left"/>
            </w:pPr>
            <w:r>
              <w:rPr>
                <w:b w:val="0"/>
                <w:sz w:val="21"/>
              </w:rPr>
              <w:t>SG-01</w:t>
            </w:r>
          </w:p>
        </w:tc>
        <w:tc>
          <w:tcPr>
            <w:tcW w:type="dxa" w:w="2699"/>
            <w:vAlign w:val="center"/>
          </w:tcPr>
          <w:p>
            <w:pPr>
              <w:keepNext w:val="0"/>
              <w:spacing w:line="320" w:lineRule="exact" w:after="0" w:before="0"/>
              <w:ind w:firstLine="0"/>
              <w:jc w:val="left"/>
            </w:pPr>
            <w:r>
              <w:rPr>
                <w:b w:val="0"/>
                <w:sz w:val="21"/>
              </w:rPr>
              <w:t>形成持续运行的治理责任体系</w:t>
            </w:r>
          </w:p>
        </w:tc>
        <w:tc>
          <w:tcPr>
            <w:tcW w:type="dxa" w:w="2409"/>
            <w:vAlign w:val="center"/>
          </w:tcPr>
          <w:p>
            <w:pPr>
              <w:keepNext w:val="0"/>
              <w:spacing w:line="320" w:lineRule="exact" w:after="0" w:before="0"/>
              <w:ind w:firstLine="0"/>
              <w:jc w:val="left"/>
            </w:pPr>
            <w:r>
              <w:rPr>
                <w:b w:val="0"/>
                <w:sz w:val="21"/>
              </w:rPr>
              <w:t>决策、管理和执行职责落实，议事与协同实际运行</w:t>
            </w:r>
          </w:p>
        </w:tc>
        <w:tc>
          <w:tcPr>
            <w:tcW w:type="dxa" w:w="2891"/>
            <w:vAlign w:val="center"/>
          </w:tcPr>
          <w:p>
            <w:pPr>
              <w:keepNext w:val="0"/>
              <w:spacing w:line="320" w:lineRule="exact" w:after="0" w:before="0"/>
              <w:ind w:firstLine="0"/>
              <w:jc w:val="left"/>
            </w:pPr>
            <w:r>
              <w:rPr>
                <w:b w:val="0"/>
                <w:sz w:val="21"/>
              </w:rPr>
              <w:t>组织授权、任务执行、问题处理及岗位交接</w:t>
            </w:r>
          </w:p>
        </w:tc>
      </w:tr>
      <w:tr>
        <w:trPr>
          <w:cantSplit/>
        </w:trPr>
        <w:tc>
          <w:tcPr>
            <w:tcW w:type="dxa" w:w="1638"/>
            <w:vAlign w:val="center"/>
          </w:tcPr>
          <w:p>
            <w:pPr>
              <w:keepNext w:val="0"/>
              <w:spacing w:line="320" w:lineRule="exact" w:after="0" w:before="0"/>
              <w:ind w:firstLine="0"/>
              <w:jc w:val="left"/>
            </w:pPr>
            <w:r>
              <w:rPr>
                <w:b w:val="0"/>
                <w:sz w:val="21"/>
              </w:rPr>
              <w:t>SG-02</w:t>
            </w:r>
          </w:p>
        </w:tc>
        <w:tc>
          <w:tcPr>
            <w:tcW w:type="dxa" w:w="2699"/>
            <w:vAlign w:val="center"/>
          </w:tcPr>
          <w:p>
            <w:pPr>
              <w:keepNext w:val="0"/>
              <w:spacing w:line="320" w:lineRule="exact" w:after="0" w:before="0"/>
              <w:ind w:firstLine="0"/>
              <w:jc w:val="left"/>
            </w:pPr>
            <w:r>
              <w:rPr>
                <w:b w:val="0"/>
                <w:sz w:val="21"/>
              </w:rPr>
              <w:t>形成可定位的数据资源基础</w:t>
            </w:r>
          </w:p>
        </w:tc>
        <w:tc>
          <w:tcPr>
            <w:tcW w:type="dxa" w:w="2409"/>
            <w:vAlign w:val="center"/>
          </w:tcPr>
          <w:p>
            <w:pPr>
              <w:keepNext w:val="0"/>
              <w:spacing w:line="320" w:lineRule="exact" w:after="0" w:before="0"/>
              <w:ind w:firstLine="0"/>
              <w:jc w:val="left"/>
            </w:pPr>
            <w:r>
              <w:rPr>
                <w:b w:val="0"/>
                <w:sz w:val="21"/>
              </w:rPr>
              <w:t>九业务域与十七套系统调查完整，目录可用</w:t>
            </w:r>
          </w:p>
        </w:tc>
        <w:tc>
          <w:tcPr>
            <w:tcW w:type="dxa" w:w="2891"/>
            <w:vAlign w:val="center"/>
          </w:tcPr>
          <w:p>
            <w:pPr>
              <w:keepNext w:val="0"/>
              <w:spacing w:line="320" w:lineRule="exact" w:after="0" w:before="0"/>
              <w:ind w:firstLine="0"/>
              <w:jc w:val="left"/>
            </w:pPr>
            <w:r>
              <w:rPr>
                <w:b w:val="0"/>
                <w:sz w:val="21"/>
              </w:rPr>
              <w:t>资源清单、来源定位、覆盖复核与目录使用</w:t>
            </w:r>
          </w:p>
        </w:tc>
      </w:tr>
      <w:tr>
        <w:trPr>
          <w:cantSplit/>
        </w:trPr>
        <w:tc>
          <w:tcPr>
            <w:tcW w:type="dxa" w:w="1638"/>
            <w:vAlign w:val="center"/>
          </w:tcPr>
          <w:p>
            <w:pPr>
              <w:keepNext w:val="0"/>
              <w:spacing w:line="320" w:lineRule="exact" w:after="0" w:before="0"/>
              <w:ind w:firstLine="0"/>
              <w:jc w:val="left"/>
            </w:pPr>
            <w:r>
              <w:rPr>
                <w:b w:val="0"/>
                <w:sz w:val="21"/>
              </w:rPr>
              <w:t>SG-03</w:t>
            </w:r>
          </w:p>
        </w:tc>
        <w:tc>
          <w:tcPr>
            <w:tcW w:type="dxa" w:w="2699"/>
            <w:vAlign w:val="center"/>
          </w:tcPr>
          <w:p>
            <w:pPr>
              <w:keepNext w:val="0"/>
              <w:spacing w:line="320" w:lineRule="exact" w:after="0" w:before="0"/>
              <w:ind w:firstLine="0"/>
              <w:jc w:val="left"/>
            </w:pPr>
            <w:r>
              <w:rPr>
                <w:b w:val="0"/>
                <w:sz w:val="21"/>
              </w:rPr>
              <w:t>形成一致的业务定义及关联</w:t>
            </w:r>
          </w:p>
        </w:tc>
        <w:tc>
          <w:tcPr>
            <w:tcW w:type="dxa" w:w="2409"/>
            <w:vAlign w:val="center"/>
          </w:tcPr>
          <w:p>
            <w:pPr>
              <w:keepNext w:val="0"/>
              <w:spacing w:line="320" w:lineRule="exact" w:after="0" w:before="0"/>
              <w:ind w:firstLine="0"/>
              <w:jc w:val="left"/>
            </w:pPr>
            <w:r>
              <w:rPr>
                <w:b w:val="0"/>
                <w:sz w:val="21"/>
              </w:rPr>
              <w:t>核心对象、术语、主数据与关系按批准规则运行</w:t>
            </w:r>
          </w:p>
        </w:tc>
        <w:tc>
          <w:tcPr>
            <w:tcW w:type="dxa" w:w="2891"/>
            <w:vAlign w:val="center"/>
          </w:tcPr>
          <w:p>
            <w:pPr>
              <w:keepNext w:val="0"/>
              <w:spacing w:line="320" w:lineRule="exact" w:after="0" w:before="0"/>
              <w:ind w:firstLine="0"/>
              <w:jc w:val="left"/>
            </w:pPr>
            <w:r>
              <w:rPr>
                <w:b w:val="0"/>
                <w:sz w:val="21"/>
              </w:rPr>
              <w:t>字典、映射、版本、对账及业务核验</w:t>
            </w:r>
          </w:p>
        </w:tc>
      </w:tr>
      <w:tr>
        <w:trPr>
          <w:cantSplit/>
        </w:trPr>
        <w:tc>
          <w:tcPr>
            <w:tcW w:type="dxa" w:w="1638"/>
            <w:vAlign w:val="center"/>
          </w:tcPr>
          <w:p>
            <w:pPr>
              <w:keepNext w:val="0"/>
              <w:spacing w:line="320" w:lineRule="exact" w:after="0" w:before="0"/>
              <w:ind w:firstLine="0"/>
              <w:jc w:val="left"/>
            </w:pPr>
            <w:r>
              <w:rPr>
                <w:b w:val="0"/>
                <w:sz w:val="21"/>
              </w:rPr>
              <w:t>SG-04</w:t>
            </w:r>
          </w:p>
        </w:tc>
        <w:tc>
          <w:tcPr>
            <w:tcW w:type="dxa" w:w="2699"/>
            <w:vAlign w:val="center"/>
          </w:tcPr>
          <w:p>
            <w:pPr>
              <w:keepNext w:val="0"/>
              <w:spacing w:line="320" w:lineRule="exact" w:after="0" w:before="0"/>
              <w:ind w:firstLine="0"/>
              <w:jc w:val="left"/>
            </w:pPr>
            <w:r>
              <w:rPr>
                <w:b w:val="0"/>
                <w:sz w:val="21"/>
              </w:rPr>
              <w:t>形成可执行的质量安全规则</w:t>
            </w:r>
          </w:p>
        </w:tc>
        <w:tc>
          <w:tcPr>
            <w:tcW w:type="dxa" w:w="2409"/>
            <w:vAlign w:val="center"/>
          </w:tcPr>
          <w:p>
            <w:pPr>
              <w:keepNext w:val="0"/>
              <w:spacing w:line="320" w:lineRule="exact" w:after="0" w:before="0"/>
              <w:ind w:firstLine="0"/>
              <w:jc w:val="left"/>
            </w:pPr>
            <w:r>
              <w:rPr>
                <w:b w:val="0"/>
                <w:sz w:val="21"/>
              </w:rPr>
              <w:t>规则配置有效，异常可以定位、整改及复核</w:t>
            </w:r>
          </w:p>
        </w:tc>
        <w:tc>
          <w:tcPr>
            <w:tcW w:type="dxa" w:w="2891"/>
            <w:vAlign w:val="center"/>
          </w:tcPr>
          <w:p>
            <w:pPr>
              <w:keepNext w:val="0"/>
              <w:spacing w:line="320" w:lineRule="exact" w:after="0" w:before="0"/>
              <w:ind w:firstLine="0"/>
              <w:jc w:val="left"/>
            </w:pPr>
            <w:r>
              <w:rPr>
                <w:b w:val="0"/>
                <w:sz w:val="21"/>
              </w:rPr>
              <w:t>检测、权限、审计、问题和复测记录</w:t>
            </w:r>
          </w:p>
        </w:tc>
      </w:tr>
      <w:tr>
        <w:trPr>
          <w:cantSplit/>
        </w:trPr>
        <w:tc>
          <w:tcPr>
            <w:tcW w:type="dxa" w:w="1638"/>
            <w:vAlign w:val="center"/>
          </w:tcPr>
          <w:p>
            <w:pPr>
              <w:keepNext w:val="0"/>
              <w:spacing w:line="320" w:lineRule="exact" w:after="0" w:before="0"/>
              <w:ind w:firstLine="0"/>
              <w:jc w:val="left"/>
            </w:pPr>
            <w:r>
              <w:rPr>
                <w:b w:val="0"/>
                <w:sz w:val="21"/>
              </w:rPr>
              <w:t>SG-05</w:t>
            </w:r>
          </w:p>
        </w:tc>
        <w:tc>
          <w:tcPr>
            <w:tcW w:type="dxa" w:w="2699"/>
            <w:vAlign w:val="center"/>
          </w:tcPr>
          <w:p>
            <w:pPr>
              <w:keepNext w:val="0"/>
              <w:spacing w:line="320" w:lineRule="exact" w:after="0" w:before="0"/>
              <w:ind w:firstLine="0"/>
              <w:jc w:val="left"/>
            </w:pPr>
            <w:r>
              <w:rPr>
                <w:b w:val="0"/>
                <w:sz w:val="21"/>
              </w:rPr>
              <w:t>完成四大数据集供给</w:t>
            </w:r>
          </w:p>
        </w:tc>
        <w:tc>
          <w:tcPr>
            <w:tcW w:type="dxa" w:w="2409"/>
            <w:vAlign w:val="center"/>
          </w:tcPr>
          <w:p>
            <w:pPr>
              <w:keepNext w:val="0"/>
              <w:spacing w:line="320" w:lineRule="exact" w:after="0" w:before="0"/>
              <w:ind w:firstLine="0"/>
              <w:jc w:val="left"/>
            </w:pPr>
            <w:r>
              <w:rPr>
                <w:b w:val="0"/>
                <w:sz w:val="21"/>
              </w:rPr>
              <w:t>十六项净量分别满足，质量及比例符合要求</w:t>
            </w:r>
          </w:p>
        </w:tc>
        <w:tc>
          <w:tcPr>
            <w:tcW w:type="dxa" w:w="2891"/>
            <w:vAlign w:val="center"/>
          </w:tcPr>
          <w:p>
            <w:pPr>
              <w:keepNext w:val="0"/>
              <w:spacing w:line="320" w:lineRule="exact" w:after="0" w:before="0"/>
              <w:ind w:firstLine="0"/>
              <w:jc w:val="left"/>
            </w:pPr>
            <w:r>
              <w:rPr>
                <w:b w:val="0"/>
                <w:sz w:val="21"/>
              </w:rPr>
              <w:t>生产台账、数据卡、质检验证和正式评测</w:t>
            </w:r>
          </w:p>
        </w:tc>
      </w:tr>
      <w:tr>
        <w:trPr>
          <w:cantSplit/>
        </w:trPr>
        <w:tc>
          <w:tcPr>
            <w:tcW w:type="dxa" w:w="1638"/>
            <w:vAlign w:val="center"/>
          </w:tcPr>
          <w:p>
            <w:pPr>
              <w:keepNext w:val="0"/>
              <w:spacing w:line="320" w:lineRule="exact" w:after="0" w:before="0"/>
              <w:ind w:firstLine="0"/>
              <w:jc w:val="left"/>
            </w:pPr>
            <w:r>
              <w:rPr>
                <w:b w:val="0"/>
                <w:sz w:val="21"/>
              </w:rPr>
              <w:t>SG-06</w:t>
            </w:r>
          </w:p>
        </w:tc>
        <w:tc>
          <w:tcPr>
            <w:tcW w:type="dxa" w:w="2699"/>
            <w:vAlign w:val="center"/>
          </w:tcPr>
          <w:p>
            <w:pPr>
              <w:keepNext w:val="0"/>
              <w:spacing w:line="320" w:lineRule="exact" w:after="0" w:before="0"/>
              <w:ind w:firstLine="0"/>
              <w:jc w:val="left"/>
            </w:pPr>
            <w:r>
              <w:rPr>
                <w:b w:val="0"/>
                <w:sz w:val="21"/>
              </w:rPr>
              <w:t>支撑十一场景数据验证</w:t>
            </w:r>
          </w:p>
        </w:tc>
        <w:tc>
          <w:tcPr>
            <w:tcW w:type="dxa" w:w="2409"/>
            <w:vAlign w:val="center"/>
          </w:tcPr>
          <w:p>
            <w:pPr>
              <w:keepNext w:val="0"/>
              <w:spacing w:line="320" w:lineRule="exact" w:after="0" w:before="0"/>
              <w:ind w:firstLine="0"/>
              <w:jc w:val="left"/>
            </w:pPr>
            <w:r>
              <w:rPr>
                <w:b w:val="0"/>
                <w:sz w:val="21"/>
              </w:rPr>
              <w:t>场景输入、协议、结果和改进记录齐备</w:t>
            </w:r>
          </w:p>
        </w:tc>
        <w:tc>
          <w:tcPr>
            <w:tcW w:type="dxa" w:w="2891"/>
            <w:vAlign w:val="center"/>
          </w:tcPr>
          <w:p>
            <w:pPr>
              <w:keepNext w:val="0"/>
              <w:spacing w:line="320" w:lineRule="exact" w:after="0" w:before="0"/>
              <w:ind w:firstLine="0"/>
              <w:jc w:val="left"/>
            </w:pPr>
            <w:r>
              <w:rPr>
                <w:b w:val="0"/>
                <w:sz w:val="21"/>
              </w:rPr>
              <w:t>场景需求、数据版本、验证及问题处理</w:t>
            </w:r>
          </w:p>
        </w:tc>
      </w:tr>
      <w:tr>
        <w:trPr>
          <w:cantSplit/>
        </w:trPr>
        <w:tc>
          <w:tcPr>
            <w:tcW w:type="dxa" w:w="1638"/>
            <w:vAlign w:val="center"/>
          </w:tcPr>
          <w:p>
            <w:pPr>
              <w:keepNext w:val="0"/>
              <w:spacing w:line="320" w:lineRule="exact" w:after="0" w:before="0"/>
              <w:ind w:firstLine="0"/>
              <w:jc w:val="left"/>
            </w:pPr>
            <w:r>
              <w:rPr>
                <w:b w:val="0"/>
                <w:sz w:val="21"/>
              </w:rPr>
              <w:t>SG-07</w:t>
            </w:r>
          </w:p>
        </w:tc>
        <w:tc>
          <w:tcPr>
            <w:tcW w:type="dxa" w:w="2699"/>
            <w:vAlign w:val="center"/>
          </w:tcPr>
          <w:p>
            <w:pPr>
              <w:keepNext w:val="0"/>
              <w:spacing w:line="320" w:lineRule="exact" w:after="0" w:before="0"/>
              <w:ind w:firstLine="0"/>
              <w:jc w:val="left"/>
            </w:pPr>
            <w:r>
              <w:rPr>
                <w:b w:val="0"/>
                <w:sz w:val="21"/>
              </w:rPr>
              <w:t>建立资产目录及共享运营</w:t>
            </w:r>
          </w:p>
        </w:tc>
        <w:tc>
          <w:tcPr>
            <w:tcW w:type="dxa" w:w="2409"/>
            <w:vAlign w:val="center"/>
          </w:tcPr>
          <w:p>
            <w:pPr>
              <w:keepNext w:val="0"/>
              <w:spacing w:line="320" w:lineRule="exact" w:after="0" w:before="0"/>
              <w:ind w:firstLine="0"/>
              <w:jc w:val="left"/>
            </w:pPr>
            <w:r>
              <w:rPr>
                <w:b w:val="0"/>
                <w:sz w:val="21"/>
              </w:rPr>
              <w:t>资源可申请、可授权、可使用、可追溯</w:t>
            </w:r>
          </w:p>
        </w:tc>
        <w:tc>
          <w:tcPr>
            <w:tcW w:type="dxa" w:w="2891"/>
            <w:vAlign w:val="center"/>
          </w:tcPr>
          <w:p>
            <w:pPr>
              <w:keepNext w:val="0"/>
              <w:spacing w:line="320" w:lineRule="exact" w:after="0" w:before="0"/>
              <w:ind w:firstLine="0"/>
              <w:jc w:val="left"/>
            </w:pPr>
            <w:r>
              <w:rPr>
                <w:b w:val="0"/>
                <w:sz w:val="21"/>
              </w:rPr>
              <w:t>权利、目录、审批、调用及使用评价</w:t>
            </w:r>
          </w:p>
        </w:tc>
      </w:tr>
      <w:tr>
        <w:trPr>
          <w:cantSplit/>
        </w:trPr>
        <w:tc>
          <w:tcPr>
            <w:tcW w:type="dxa" w:w="1638"/>
            <w:vAlign w:val="center"/>
          </w:tcPr>
          <w:p>
            <w:pPr>
              <w:keepNext w:val="0"/>
              <w:spacing w:line="320" w:lineRule="exact" w:after="0" w:before="0"/>
              <w:ind w:firstLine="0"/>
              <w:jc w:val="left"/>
            </w:pPr>
            <w:r>
              <w:rPr>
                <w:b w:val="0"/>
                <w:sz w:val="21"/>
              </w:rPr>
              <w:t>SG-08</w:t>
            </w:r>
          </w:p>
        </w:tc>
        <w:tc>
          <w:tcPr>
            <w:tcW w:type="dxa" w:w="2699"/>
            <w:vAlign w:val="center"/>
          </w:tcPr>
          <w:p>
            <w:pPr>
              <w:keepNext w:val="0"/>
              <w:spacing w:line="320" w:lineRule="exact" w:after="0" w:before="0"/>
              <w:ind w:firstLine="0"/>
              <w:jc w:val="left"/>
            </w:pPr>
            <w:r>
              <w:rPr>
                <w:b w:val="0"/>
                <w:sz w:val="21"/>
              </w:rPr>
              <w:t>形成能力评估及维护机制</w:t>
            </w:r>
          </w:p>
        </w:tc>
        <w:tc>
          <w:tcPr>
            <w:tcW w:type="dxa" w:w="2409"/>
            <w:vAlign w:val="center"/>
          </w:tcPr>
          <w:p>
            <w:pPr>
              <w:keepNext w:val="0"/>
              <w:spacing w:line="320" w:lineRule="exact" w:after="0" w:before="0"/>
              <w:ind w:firstLine="0"/>
              <w:jc w:val="left"/>
            </w:pPr>
            <w:r>
              <w:rPr>
                <w:b w:val="0"/>
                <w:sz w:val="21"/>
              </w:rPr>
              <w:t>实际证据支撑三级能力建设，岗位完成承接</w:t>
            </w:r>
          </w:p>
        </w:tc>
        <w:tc>
          <w:tcPr>
            <w:tcW w:type="dxa" w:w="2891"/>
            <w:vAlign w:val="center"/>
          </w:tcPr>
          <w:p>
            <w:pPr>
              <w:keepNext w:val="0"/>
              <w:spacing w:line="320" w:lineRule="exact" w:after="0" w:before="0"/>
              <w:ind w:firstLine="0"/>
              <w:jc w:val="left"/>
            </w:pPr>
            <w:r>
              <w:rPr>
                <w:b w:val="0"/>
                <w:sz w:val="21"/>
              </w:rPr>
              <w:t>自查、评估整改、培训实践和服务档案</w:t>
            </w:r>
          </w:p>
        </w:tc>
      </w:tr>
    </w:tbl>
    <w:p>
      <w:pPr>
        <w:spacing w:after="40" w:line="240" w:lineRule="auto"/>
        <w:ind w:firstLine="0"/>
      </w:pPr>
      <w:r>
        <w:rPr>
          <w:sz w:val="4"/>
        </w:rPr>
      </w:r>
    </w:p>
    <w:p>
      <w:pPr>
        <w:pStyle w:val="Heading3"/>
      </w:pPr>
      <w:r>
        <w:t>2.3.2 硬性指标与改善指标</w:t>
      </w:r>
    </w:p>
    <w:p>
      <w:pPr>
        <w:jc w:val="both"/>
      </w:pPr>
      <w:r>
        <w:t>四大数据集的预训练、指令微调、偏好对齐和基准评测用途分别建立数量目标，按正式交付有效量核定。预训练按 Token 计量，指令按完整任务条数计量，偏好按完整比较组计量，基准按独立真实题目计量。计量工具、版本和去重规则冻结后用于各轮统计，来源性质、增强方式和用途分别登记。</w:t>
      </w:r>
    </w:p>
    <w:p>
      <w:pPr>
        <w:pStyle w:val="Caption"/>
        <w:keepNext/>
      </w:pPr>
      <w:r>
        <w:t>表2-4 硬性指标与改善指标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数据集领域</w:t>
            </w:r>
          </w:p>
        </w:tc>
        <w:tc>
          <w:tcPr>
            <w:tcW w:type="dxa" w:w="2120"/>
            <w:vAlign w:val="center"/>
            <w:shd w:fill="EDF1F3"/>
          </w:tcPr>
          <w:p>
            <w:pPr>
              <w:keepNext/>
              <w:spacing w:line="320" w:lineRule="exact" w:after="0" w:before="0"/>
              <w:ind w:firstLine="0"/>
              <w:jc w:val="center"/>
            </w:pPr>
            <w:r>
              <w:rPr>
                <w:b/>
                <w:sz w:val="21"/>
              </w:rPr>
              <w:t>预训练亿 Token</w:t>
            </w:r>
          </w:p>
        </w:tc>
        <w:tc>
          <w:tcPr>
            <w:tcW w:type="dxa" w:w="1928"/>
            <w:vAlign w:val="center"/>
            <w:shd w:fill="EDF1F3"/>
          </w:tcPr>
          <w:p>
            <w:pPr>
              <w:keepNext/>
              <w:spacing w:line="320" w:lineRule="exact" w:after="0" w:before="0"/>
              <w:ind w:firstLine="0"/>
              <w:jc w:val="center"/>
            </w:pPr>
            <w:r>
              <w:rPr>
                <w:b/>
                <w:sz w:val="21"/>
              </w:rPr>
              <w:t>指令微调万条</w:t>
            </w:r>
          </w:p>
        </w:tc>
        <w:tc>
          <w:tcPr>
            <w:tcW w:type="dxa" w:w="1928"/>
            <w:vAlign w:val="center"/>
            <w:shd w:fill="EDF1F3"/>
          </w:tcPr>
          <w:p>
            <w:pPr>
              <w:keepNext/>
              <w:spacing w:line="320" w:lineRule="exact" w:after="0" w:before="0"/>
              <w:ind w:firstLine="0"/>
              <w:jc w:val="center"/>
            </w:pPr>
            <w:r>
              <w:rPr>
                <w:b/>
                <w:sz w:val="21"/>
              </w:rPr>
              <w:t>偏好对齐万组</w:t>
            </w:r>
          </w:p>
        </w:tc>
        <w:tc>
          <w:tcPr>
            <w:tcW w:type="dxa" w:w="1928"/>
            <w:vAlign w:val="center"/>
            <w:shd w:fill="EDF1F3"/>
          </w:tcPr>
          <w:p>
            <w:pPr>
              <w:keepNext/>
              <w:spacing w:line="320" w:lineRule="exact" w:after="0" w:before="0"/>
              <w:ind w:firstLine="0"/>
              <w:jc w:val="center"/>
            </w:pPr>
            <w:r>
              <w:rPr>
                <w:b/>
                <w:sz w:val="21"/>
              </w:rPr>
              <w:t>基准评测万条</w:t>
            </w:r>
          </w:p>
        </w:tc>
      </w:tr>
      <w:tr>
        <w:trPr>
          <w:cantSplit/>
        </w:trPr>
        <w:tc>
          <w:tcPr>
            <w:tcW w:type="dxa" w:w="1735"/>
            <w:vAlign w:val="center"/>
          </w:tcPr>
          <w:p>
            <w:pPr>
              <w:keepNext w:val="0"/>
              <w:spacing w:line="320" w:lineRule="exact" w:after="0" w:before="0"/>
              <w:ind w:firstLine="0"/>
              <w:jc w:val="left"/>
            </w:pPr>
            <w:r>
              <w:rPr>
                <w:b w:val="0"/>
                <w:sz w:val="21"/>
              </w:rPr>
              <w:t>供需计划</w:t>
            </w:r>
          </w:p>
        </w:tc>
        <w:tc>
          <w:tcPr>
            <w:tcW w:type="dxa" w:w="2120"/>
            <w:vAlign w:val="center"/>
          </w:tcPr>
          <w:p>
            <w:pPr>
              <w:keepNext w:val="0"/>
              <w:spacing w:line="320" w:lineRule="exact" w:after="0" w:before="0"/>
              <w:ind w:firstLine="0"/>
              <w:jc w:val="center"/>
            </w:pPr>
            <w:r>
              <w:rPr>
                <w:b w:val="0"/>
                <w:sz w:val="21"/>
              </w:rPr>
              <w:t>276</w:t>
            </w:r>
          </w:p>
        </w:tc>
        <w:tc>
          <w:tcPr>
            <w:tcW w:type="dxa" w:w="1928"/>
            <w:vAlign w:val="center"/>
          </w:tcPr>
          <w:p>
            <w:pPr>
              <w:keepNext w:val="0"/>
              <w:spacing w:line="320" w:lineRule="exact" w:after="0" w:before="0"/>
              <w:ind w:firstLine="0"/>
              <w:jc w:val="center"/>
            </w:pPr>
            <w:r>
              <w:rPr>
                <w:b w:val="0"/>
                <w:sz w:val="21"/>
              </w:rPr>
              <w:t>40</w:t>
            </w:r>
          </w:p>
        </w:tc>
        <w:tc>
          <w:tcPr>
            <w:tcW w:type="dxa" w:w="1928"/>
            <w:vAlign w:val="center"/>
          </w:tcPr>
          <w:p>
            <w:pPr>
              <w:keepNext w:val="0"/>
              <w:spacing w:line="320" w:lineRule="exact" w:after="0" w:before="0"/>
              <w:ind w:firstLine="0"/>
              <w:jc w:val="center"/>
            </w:pPr>
            <w:r>
              <w:rPr>
                <w:b w:val="0"/>
                <w:sz w:val="21"/>
              </w:rPr>
              <w:t>3.2</w:t>
            </w:r>
          </w:p>
        </w:tc>
        <w:tc>
          <w:tcPr>
            <w:tcW w:type="dxa" w:w="1928"/>
            <w:vAlign w:val="center"/>
          </w:tcPr>
          <w:p>
            <w:pPr>
              <w:keepNext w:val="0"/>
              <w:spacing w:line="320" w:lineRule="exact" w:after="0" w:before="0"/>
              <w:ind w:firstLine="0"/>
              <w:jc w:val="center"/>
            </w:pPr>
            <w:r>
              <w:rPr>
                <w:b w:val="0"/>
                <w:sz w:val="21"/>
              </w:rPr>
              <w:t>0.4</w:t>
            </w:r>
          </w:p>
        </w:tc>
      </w:tr>
      <w:tr>
        <w:trPr>
          <w:cantSplit/>
        </w:trPr>
        <w:tc>
          <w:tcPr>
            <w:tcW w:type="dxa" w:w="1735"/>
            <w:vAlign w:val="center"/>
          </w:tcPr>
          <w:p>
            <w:pPr>
              <w:keepNext w:val="0"/>
              <w:spacing w:line="320" w:lineRule="exact" w:after="0" w:before="0"/>
              <w:ind w:firstLine="0"/>
              <w:jc w:val="left"/>
            </w:pPr>
            <w:r>
              <w:rPr>
                <w:b w:val="0"/>
                <w:sz w:val="21"/>
              </w:rPr>
              <w:t>产品工艺设计</w:t>
            </w:r>
          </w:p>
        </w:tc>
        <w:tc>
          <w:tcPr>
            <w:tcW w:type="dxa" w:w="2120"/>
            <w:vAlign w:val="center"/>
          </w:tcPr>
          <w:p>
            <w:pPr>
              <w:keepNext w:val="0"/>
              <w:spacing w:line="320" w:lineRule="exact" w:after="0" w:before="0"/>
              <w:ind w:firstLine="0"/>
              <w:jc w:val="center"/>
            </w:pPr>
            <w:r>
              <w:rPr>
                <w:b w:val="0"/>
                <w:sz w:val="21"/>
              </w:rPr>
              <w:t>70</w:t>
            </w:r>
          </w:p>
        </w:tc>
        <w:tc>
          <w:tcPr>
            <w:tcW w:type="dxa" w:w="1928"/>
            <w:vAlign w:val="center"/>
          </w:tcPr>
          <w:p>
            <w:pPr>
              <w:keepNext w:val="0"/>
              <w:spacing w:line="320" w:lineRule="exact" w:after="0" w:before="0"/>
              <w:ind w:firstLine="0"/>
              <w:jc w:val="center"/>
            </w:pPr>
            <w:r>
              <w:rPr>
                <w:b w:val="0"/>
                <w:sz w:val="21"/>
              </w:rPr>
              <w:t>10</w:t>
            </w:r>
          </w:p>
        </w:tc>
        <w:tc>
          <w:tcPr>
            <w:tcW w:type="dxa" w:w="1928"/>
            <w:vAlign w:val="center"/>
          </w:tcPr>
          <w:p>
            <w:pPr>
              <w:keepNext w:val="0"/>
              <w:spacing w:line="320" w:lineRule="exact" w:after="0" w:before="0"/>
              <w:ind w:firstLine="0"/>
              <w:jc w:val="center"/>
            </w:pPr>
            <w:r>
              <w:rPr>
                <w:b w:val="0"/>
                <w:sz w:val="21"/>
              </w:rPr>
              <w:t>0.8</w:t>
            </w:r>
          </w:p>
        </w:tc>
        <w:tc>
          <w:tcPr>
            <w:tcW w:type="dxa" w:w="1928"/>
            <w:vAlign w:val="center"/>
          </w:tcPr>
          <w:p>
            <w:pPr>
              <w:keepNext w:val="0"/>
              <w:spacing w:line="320" w:lineRule="exact" w:after="0" w:before="0"/>
              <w:ind w:firstLine="0"/>
              <w:jc w:val="center"/>
            </w:pPr>
            <w:r>
              <w:rPr>
                <w:b w:val="0"/>
                <w:sz w:val="21"/>
              </w:rPr>
              <w:t>0.1</w:t>
            </w:r>
          </w:p>
        </w:tc>
      </w:tr>
      <w:tr>
        <w:trPr>
          <w:cantSplit/>
        </w:trPr>
        <w:tc>
          <w:tcPr>
            <w:tcW w:type="dxa" w:w="1735"/>
            <w:vAlign w:val="center"/>
          </w:tcPr>
          <w:p>
            <w:pPr>
              <w:keepNext w:val="0"/>
              <w:spacing w:line="320" w:lineRule="exact" w:after="0" w:before="0"/>
              <w:ind w:firstLine="0"/>
              <w:jc w:val="left"/>
            </w:pPr>
            <w:r>
              <w:rPr>
                <w:b w:val="0"/>
                <w:sz w:val="21"/>
              </w:rPr>
              <w:t>制造过程</w:t>
            </w:r>
          </w:p>
        </w:tc>
        <w:tc>
          <w:tcPr>
            <w:tcW w:type="dxa" w:w="2120"/>
            <w:vAlign w:val="center"/>
          </w:tcPr>
          <w:p>
            <w:pPr>
              <w:keepNext w:val="0"/>
              <w:spacing w:line="320" w:lineRule="exact" w:after="0" w:before="0"/>
              <w:ind w:firstLine="0"/>
              <w:jc w:val="center"/>
            </w:pPr>
            <w:r>
              <w:rPr>
                <w:b w:val="0"/>
                <w:sz w:val="21"/>
              </w:rPr>
              <w:t>105</w:t>
            </w:r>
          </w:p>
        </w:tc>
        <w:tc>
          <w:tcPr>
            <w:tcW w:type="dxa" w:w="1928"/>
            <w:vAlign w:val="center"/>
          </w:tcPr>
          <w:p>
            <w:pPr>
              <w:keepNext w:val="0"/>
              <w:spacing w:line="320" w:lineRule="exact" w:after="0" w:before="0"/>
              <w:ind w:firstLine="0"/>
              <w:jc w:val="center"/>
            </w:pPr>
            <w:r>
              <w:rPr>
                <w:b w:val="0"/>
                <w:sz w:val="21"/>
              </w:rPr>
              <w:t>15</w:t>
            </w:r>
          </w:p>
        </w:tc>
        <w:tc>
          <w:tcPr>
            <w:tcW w:type="dxa" w:w="1928"/>
            <w:vAlign w:val="center"/>
          </w:tcPr>
          <w:p>
            <w:pPr>
              <w:keepNext w:val="0"/>
              <w:spacing w:line="320" w:lineRule="exact" w:after="0" w:before="0"/>
              <w:ind w:firstLine="0"/>
              <w:jc w:val="center"/>
            </w:pPr>
            <w:r>
              <w:rPr>
                <w:b w:val="0"/>
                <w:sz w:val="21"/>
              </w:rPr>
              <w:t>1</w:t>
            </w:r>
          </w:p>
        </w:tc>
        <w:tc>
          <w:tcPr>
            <w:tcW w:type="dxa" w:w="1928"/>
            <w:vAlign w:val="center"/>
          </w:tcPr>
          <w:p>
            <w:pPr>
              <w:keepNext w:val="0"/>
              <w:spacing w:line="320" w:lineRule="exact" w:after="0" w:before="0"/>
              <w:ind w:firstLine="0"/>
              <w:jc w:val="center"/>
            </w:pPr>
            <w:r>
              <w:rPr>
                <w:b w:val="0"/>
                <w:sz w:val="21"/>
              </w:rPr>
              <w:t>0.2</w:t>
            </w:r>
          </w:p>
        </w:tc>
      </w:tr>
      <w:tr>
        <w:trPr>
          <w:cantSplit/>
        </w:trPr>
        <w:tc>
          <w:tcPr>
            <w:tcW w:type="dxa" w:w="1735"/>
            <w:vAlign w:val="center"/>
          </w:tcPr>
          <w:p>
            <w:pPr>
              <w:keepNext w:val="0"/>
              <w:spacing w:line="320" w:lineRule="exact" w:after="0" w:before="0"/>
              <w:ind w:firstLine="0"/>
              <w:jc w:val="left"/>
            </w:pPr>
            <w:r>
              <w:rPr>
                <w:b w:val="0"/>
                <w:sz w:val="21"/>
              </w:rPr>
              <w:t>产品质量</w:t>
            </w:r>
          </w:p>
        </w:tc>
        <w:tc>
          <w:tcPr>
            <w:tcW w:type="dxa" w:w="2120"/>
            <w:vAlign w:val="center"/>
          </w:tcPr>
          <w:p>
            <w:pPr>
              <w:keepNext w:val="0"/>
              <w:spacing w:line="320" w:lineRule="exact" w:after="0" w:before="0"/>
              <w:ind w:firstLine="0"/>
              <w:jc w:val="center"/>
            </w:pPr>
            <w:r>
              <w:rPr>
                <w:b w:val="0"/>
                <w:sz w:val="21"/>
              </w:rPr>
              <w:t>164</w:t>
            </w:r>
          </w:p>
        </w:tc>
        <w:tc>
          <w:tcPr>
            <w:tcW w:type="dxa" w:w="1928"/>
            <w:vAlign w:val="center"/>
          </w:tcPr>
          <w:p>
            <w:pPr>
              <w:keepNext w:val="0"/>
              <w:spacing w:line="320" w:lineRule="exact" w:after="0" w:before="0"/>
              <w:ind w:firstLine="0"/>
              <w:jc w:val="center"/>
            </w:pPr>
            <w:r>
              <w:rPr>
                <w:b w:val="0"/>
                <w:sz w:val="21"/>
              </w:rPr>
              <w:t>24</w:t>
            </w:r>
          </w:p>
        </w:tc>
        <w:tc>
          <w:tcPr>
            <w:tcW w:type="dxa" w:w="1928"/>
            <w:vAlign w:val="center"/>
          </w:tcPr>
          <w:p>
            <w:pPr>
              <w:keepNext w:val="0"/>
              <w:spacing w:line="320" w:lineRule="exact" w:after="0" w:before="0"/>
              <w:ind w:firstLine="0"/>
              <w:jc w:val="center"/>
            </w:pPr>
            <w:r>
              <w:rPr>
                <w:b w:val="0"/>
                <w:sz w:val="21"/>
              </w:rPr>
              <w:t>1.6</w:t>
            </w:r>
          </w:p>
        </w:tc>
        <w:tc>
          <w:tcPr>
            <w:tcW w:type="dxa" w:w="1928"/>
            <w:vAlign w:val="center"/>
          </w:tcPr>
          <w:p>
            <w:pPr>
              <w:keepNext w:val="0"/>
              <w:spacing w:line="320" w:lineRule="exact" w:after="0" w:before="0"/>
              <w:ind w:firstLine="0"/>
              <w:jc w:val="center"/>
            </w:pPr>
            <w:r>
              <w:rPr>
                <w:b w:val="0"/>
                <w:sz w:val="21"/>
              </w:rPr>
              <w:t>0.25</w:t>
            </w:r>
          </w:p>
        </w:tc>
      </w:tr>
      <w:tr>
        <w:trPr>
          <w:cantSplit/>
        </w:trPr>
        <w:tc>
          <w:tcPr>
            <w:tcW w:type="dxa" w:w="1735"/>
            <w:vAlign w:val="center"/>
          </w:tcPr>
          <w:p>
            <w:pPr>
              <w:keepNext w:val="0"/>
              <w:spacing w:line="320" w:lineRule="exact" w:after="0" w:before="0"/>
              <w:ind w:firstLine="0"/>
              <w:jc w:val="left"/>
            </w:pPr>
            <w:r>
              <w:rPr>
                <w:b w:val="0"/>
                <w:sz w:val="21"/>
              </w:rPr>
              <w:t>合计</w:t>
            </w:r>
          </w:p>
        </w:tc>
        <w:tc>
          <w:tcPr>
            <w:tcW w:type="dxa" w:w="2120"/>
            <w:vAlign w:val="center"/>
          </w:tcPr>
          <w:p>
            <w:pPr>
              <w:keepNext w:val="0"/>
              <w:spacing w:line="320" w:lineRule="exact" w:after="0" w:before="0"/>
              <w:ind w:firstLine="0"/>
              <w:jc w:val="center"/>
            </w:pPr>
            <w:r>
              <w:rPr>
                <w:b w:val="0"/>
                <w:sz w:val="21"/>
              </w:rPr>
              <w:t>615</w:t>
            </w:r>
          </w:p>
        </w:tc>
        <w:tc>
          <w:tcPr>
            <w:tcW w:type="dxa" w:w="1928"/>
            <w:vAlign w:val="center"/>
          </w:tcPr>
          <w:p>
            <w:pPr>
              <w:keepNext w:val="0"/>
              <w:spacing w:line="320" w:lineRule="exact" w:after="0" w:before="0"/>
              <w:ind w:firstLine="0"/>
              <w:jc w:val="center"/>
            </w:pPr>
            <w:r>
              <w:rPr>
                <w:b w:val="0"/>
                <w:sz w:val="21"/>
              </w:rPr>
              <w:t>89</w:t>
            </w:r>
          </w:p>
        </w:tc>
        <w:tc>
          <w:tcPr>
            <w:tcW w:type="dxa" w:w="1928"/>
            <w:vAlign w:val="center"/>
          </w:tcPr>
          <w:p>
            <w:pPr>
              <w:keepNext w:val="0"/>
              <w:spacing w:line="320" w:lineRule="exact" w:after="0" w:before="0"/>
              <w:ind w:firstLine="0"/>
              <w:jc w:val="center"/>
            </w:pPr>
            <w:r>
              <w:rPr>
                <w:b w:val="0"/>
                <w:sz w:val="21"/>
              </w:rPr>
              <w:t>6.6</w:t>
            </w:r>
          </w:p>
        </w:tc>
        <w:tc>
          <w:tcPr>
            <w:tcW w:type="dxa" w:w="1928"/>
            <w:vAlign w:val="center"/>
          </w:tcPr>
          <w:p>
            <w:pPr>
              <w:keepNext w:val="0"/>
              <w:spacing w:line="320" w:lineRule="exact" w:after="0" w:before="0"/>
              <w:ind w:firstLine="0"/>
              <w:jc w:val="center"/>
            </w:pPr>
            <w:r>
              <w:rPr>
                <w:b w:val="0"/>
                <w:sz w:val="21"/>
              </w:rPr>
              <w:t>0.95</w:t>
            </w:r>
          </w:p>
        </w:tc>
      </w:tr>
    </w:tbl>
    <w:p>
      <w:pPr>
        <w:spacing w:after="40" w:line="240" w:lineRule="auto"/>
        <w:ind w:firstLine="0"/>
      </w:pPr>
      <w:r>
        <w:rPr>
          <w:sz w:val="4"/>
        </w:rPr>
      </w:r>
    </w:p>
    <w:p>
      <w:pPr>
        <w:jc w:val="both"/>
      </w:pPr>
      <w:r>
        <w:t>项目数据模态覆盖文本、图像、时序和视频，每个领域不少于三种有效模态，多模态条数占比和近三年条数占比分别不低于40%。比例统计采用正式有效记录，预训练纳入有效语义记录，指令采用完整任务，偏好采用完整组，基准采用完整题目。近三年从实际发布日期倒推36个自然月，以业务或资料实际形成时间认定；时间未核实记录保留在分母，完成核实后按事实计入相应区间。</w:t>
      </w:r>
    </w:p>
    <w:p>
      <w:pPr>
        <w:jc w:val="both"/>
      </w:pPr>
      <w:r>
        <w:t>预训练的合成与增强来源内容合并去重后不超过有效 Token 的20%；指令微调整体合成来源不超过45%，真实数据充足任务不超过30%，推理与长尾任务不超过60%，并同时服从整体上限；偏好组包含合成回答及其派生内容的，计入合成来源组，比例不超过50%；基准评测采用独立真实数据，合成比例为零，保持原始任务难度和来源家族隔离。</w:t>
      </w:r>
    </w:p>
    <w:p>
      <w:pPr>
        <w:jc w:val="both"/>
      </w:pPr>
      <w:r>
        <w:t>正式质量评测覆盖说明文档、数据质量、模型应用三维度及81项指标，按适用规范三维度分别达到90分，综合得分不低于85分。高风险问题清零，中低风险确认缺陷整改完成率100%，自动检出高危样本全部人工复核。模型验证采用招标指定的适用基础模型和对照方法，完成不少于四次集中复测；尚有缺陷或未达到约定最低提升时持续整改和复测。</w:t>
      </w:r>
    </w:p>
    <w:p>
      <w:pPr>
        <w:jc w:val="both"/>
      </w:pPr>
      <w:r>
        <w:t>业务治理六维质量、生产六项质检和正式三维度质量评测分别设置指标和判定规则，共享来源、对象和版本证据。战略报告按各自口径引用结果，质量分数、产出规模和业务使用效果分别呈现。持续改善指标在实测基线形成后确认目标，定期检验方法、范围和资源条件是否仍然适用。</w:t>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4" name="Picture 4"/>
            <wp:cNvGraphicFramePr>
              <a:graphicFrameLocks noChangeAspect="1"/>
            </wp:cNvGraphicFramePr>
            <a:graphic>
              <a:graphicData uri="http://schemas.openxmlformats.org/drawingml/2006/picture">
                <pic:pic>
                  <pic:nvPicPr>
                    <pic:cNvPr id="0" name="图4_战略层次.png"/>
                    <pic:cNvPicPr/>
                  </pic:nvPicPr>
                  <pic:blipFill>
                    <a:blip r:embed="rId14"/>
                    <a:stretch>
                      <a:fillRect/>
                    </a:stretch>
                  </pic:blipFill>
                  <pic:spPr>
                    <a:xfrm>
                      <a:off x="0" y="0"/>
                      <a:ext cx="6048000" cy="3004615"/>
                    </a:xfrm>
                    <a:prstGeom prst="rect"/>
                  </pic:spPr>
                </pic:pic>
              </a:graphicData>
            </a:graphic>
          </wp:inline>
        </w:drawing>
      </w:r>
    </w:p>
    <w:p>
      <w:pPr>
        <w:pStyle w:val="Caption"/>
        <w:jc w:val="center"/>
      </w:pPr>
      <w:r>
        <w:t>图2-1 业务需求与战略任务关系</w:t>
      </w:r>
    </w:p>
    <w:p>
      <w:pPr>
        <w:pStyle w:val="Heading2"/>
      </w:pPr>
      <w:r>
        <w:t>2.4 九个业务域建设安排</w:t>
      </w:r>
    </w:p>
    <w:p>
      <w:pPr>
        <w:pStyle w:val="Heading3"/>
      </w:pPr>
      <w:r>
        <w:t>2.4.1 研发制造及质量业务链</w:t>
      </w:r>
    </w:p>
    <w:p>
      <w:pPr>
        <w:jc w:val="both"/>
      </w:pPr>
      <w:r>
        <w:t>研发设计域以产品结构及版本为主线，治理产品型号、部件、图纸、材料、工艺文件和技术条件，区分草拟、审核、发布、变更和废止状态。图纸引用的技术标准与版本建立关联，图纸、工艺、物料及生产执行按实际适用关系连接。后续数据加工保留技术条件和变更背景，专业判断由对应业务岗位确认。</w:t>
      </w:r>
    </w:p>
    <w:p>
      <w:pPr>
        <w:jc w:val="both"/>
      </w:pPr>
      <w:r>
        <w:t>生产制造域以工单和实物对象为主线，登记工序、设备、班次、操作、参数及报工事实，处理拆单、合单、返工、转序和重制等业务状态。工件实际执行与计划工艺分别保存，过程参数关联当时的工艺版本和设备条件。过程数据进入训练或验证前先核实时间、对象及结果的对应关系。</w:t>
      </w:r>
    </w:p>
    <w:p>
      <w:pPr>
        <w:jc w:val="both"/>
      </w:pPr>
      <w:r>
        <w:t>质量管理域以检验对象和判定依据为主线，治理检验方案、测量值、缺陷、处置、返修及复检记录。相同工件在不同检验阶段的结果分别保留，原检验与复检建立关系。检验值、单位、允差和结论同时核查，形成可以追溯制造条件、支持质量分析及数据集标注的证据链。</w:t>
      </w:r>
    </w:p>
    <w:p>
      <w:pPr>
        <w:pStyle w:val="Heading3"/>
      </w:pPr>
      <w:r>
        <w:t>2.4.2 经营供给及支撑业务链</w:t>
      </w:r>
    </w:p>
    <w:p>
      <w:pPr>
        <w:jc w:val="both"/>
      </w:pPr>
      <w:r>
        <w:t>采购管理域统一供应商、需求、订单、到货、检验及结算对象，明确外部提供资料的许可和责任。仓储物流域统一物料、批次、库位、冻结、在途及收发状态，库存统计按业务时点和状态口径执行。营销管理域治理客户、需求、合同、产品配置、交付及售后记录，保留客户资料的使用范围和授权条件。</w:t>
      </w:r>
    </w:p>
    <w:p>
      <w:pPr>
        <w:jc w:val="both"/>
      </w:pPr>
      <w:r>
        <w:t>设备管理域治理设备层级、部件履历、测点配置、报警及维修事件，设备或测点更换形成有效期关系。财务管理域确认成本、结算和经营指标的核算范围、期间、单位及调整记录，业务单据与财务汇总建立可复算对应。人力资源域围绕组织、岗位、培训和授权提供治理责任支撑，个人信息按实际任务最小必要使用。</w:t>
      </w:r>
    </w:p>
    <w:p>
      <w:pPr>
        <w:jc w:val="both"/>
      </w:pPr>
      <w:r>
        <w:t>各域建设采用对象清单、规则清单、任务清单和成果检查共同推进。跨域共用资源先形成统一定义及接口，领域特有内容保留专业规则。业务岗位分别确认事实，治理管理层协调共同事项，技术岗位实现并提供运行证据。每轮扩展核查新增对象是否引入旧规则不适用或新的安全限制。</w:t>
      </w:r>
    </w:p>
    <w:p>
      <w:pPr>
        <w:pStyle w:val="Caption"/>
        <w:keepNext/>
      </w:pPr>
      <w:r>
        <w:t>表2-5 经营供给及支撑业务链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业务域</w:t>
            </w:r>
          </w:p>
        </w:tc>
        <w:tc>
          <w:tcPr>
            <w:tcW w:type="dxa" w:w="2699"/>
            <w:vAlign w:val="center"/>
            <w:shd w:fill="EDF1F3"/>
          </w:tcPr>
          <w:p>
            <w:pPr>
              <w:keepNext/>
              <w:spacing w:line="320" w:lineRule="exact" w:after="0" w:before="0"/>
              <w:ind w:firstLine="0"/>
              <w:jc w:val="center"/>
            </w:pPr>
            <w:r>
              <w:rPr>
                <w:b/>
                <w:sz w:val="21"/>
              </w:rPr>
              <w:t>优先建设对象</w:t>
            </w:r>
          </w:p>
        </w:tc>
        <w:tc>
          <w:tcPr>
            <w:tcW w:type="dxa" w:w="2409"/>
            <w:vAlign w:val="center"/>
            <w:shd w:fill="EDF1F3"/>
          </w:tcPr>
          <w:p>
            <w:pPr>
              <w:keepNext/>
              <w:spacing w:line="320" w:lineRule="exact" w:after="0" w:before="0"/>
              <w:ind w:firstLine="0"/>
              <w:jc w:val="center"/>
            </w:pPr>
            <w:r>
              <w:rPr>
                <w:b/>
                <w:sz w:val="21"/>
              </w:rPr>
              <w:t>必须确认的关系</w:t>
            </w:r>
          </w:p>
        </w:tc>
        <w:tc>
          <w:tcPr>
            <w:tcW w:type="dxa" w:w="2891"/>
            <w:vAlign w:val="center"/>
            <w:shd w:fill="EDF1F3"/>
          </w:tcPr>
          <w:p>
            <w:pPr>
              <w:keepNext/>
              <w:spacing w:line="320" w:lineRule="exact" w:after="0" w:before="0"/>
              <w:ind w:firstLine="0"/>
              <w:jc w:val="center"/>
            </w:pPr>
            <w:r>
              <w:rPr>
                <w:b/>
                <w:sz w:val="21"/>
              </w:rPr>
              <w:t>首批验证动作</w:t>
            </w:r>
          </w:p>
        </w:tc>
      </w:tr>
      <w:tr>
        <w:trPr>
          <w:cantSplit/>
        </w:trPr>
        <w:tc>
          <w:tcPr>
            <w:tcW w:type="dxa" w:w="1638"/>
            <w:vAlign w:val="center"/>
          </w:tcPr>
          <w:p>
            <w:pPr>
              <w:keepNext w:val="0"/>
              <w:spacing w:line="320" w:lineRule="exact" w:after="0" w:before="0"/>
              <w:ind w:firstLine="0"/>
              <w:jc w:val="left"/>
            </w:pPr>
            <w:r>
              <w:rPr>
                <w:b w:val="0"/>
                <w:sz w:val="21"/>
              </w:rPr>
              <w:t>人力资源</w:t>
            </w:r>
          </w:p>
        </w:tc>
        <w:tc>
          <w:tcPr>
            <w:tcW w:type="dxa" w:w="2699"/>
            <w:vAlign w:val="center"/>
          </w:tcPr>
          <w:p>
            <w:pPr>
              <w:keepNext w:val="0"/>
              <w:spacing w:line="320" w:lineRule="exact" w:after="0" w:before="0"/>
              <w:ind w:firstLine="0"/>
              <w:jc w:val="left"/>
            </w:pPr>
            <w:r>
              <w:rPr>
                <w:b w:val="0"/>
                <w:sz w:val="21"/>
              </w:rPr>
              <w:t>组织、岗位、任职和培训</w:t>
            </w:r>
          </w:p>
        </w:tc>
        <w:tc>
          <w:tcPr>
            <w:tcW w:type="dxa" w:w="2409"/>
            <w:vAlign w:val="center"/>
          </w:tcPr>
          <w:p>
            <w:pPr>
              <w:keepNext w:val="0"/>
              <w:spacing w:line="320" w:lineRule="exact" w:after="0" w:before="0"/>
              <w:ind w:firstLine="0"/>
              <w:jc w:val="left"/>
            </w:pPr>
            <w:r>
              <w:rPr>
                <w:b w:val="0"/>
                <w:sz w:val="21"/>
              </w:rPr>
              <w:t>岗位职责与权限、操作责任</w:t>
            </w:r>
          </w:p>
        </w:tc>
        <w:tc>
          <w:tcPr>
            <w:tcW w:type="dxa" w:w="2891"/>
            <w:vAlign w:val="center"/>
          </w:tcPr>
          <w:p>
            <w:pPr>
              <w:keepNext w:val="0"/>
              <w:spacing w:line="320" w:lineRule="exact" w:after="0" w:before="0"/>
              <w:ind w:firstLine="0"/>
              <w:jc w:val="left"/>
            </w:pPr>
            <w:r>
              <w:rPr>
                <w:b w:val="0"/>
                <w:sz w:val="21"/>
              </w:rPr>
              <w:t>核查岗位变化后的权限与任务交接</w:t>
            </w:r>
          </w:p>
        </w:tc>
      </w:tr>
      <w:tr>
        <w:trPr>
          <w:cantSplit/>
        </w:trPr>
        <w:tc>
          <w:tcPr>
            <w:tcW w:type="dxa" w:w="1638"/>
            <w:vAlign w:val="center"/>
          </w:tcPr>
          <w:p>
            <w:pPr>
              <w:keepNext w:val="0"/>
              <w:spacing w:line="320" w:lineRule="exact" w:after="0" w:before="0"/>
              <w:ind w:firstLine="0"/>
              <w:jc w:val="left"/>
            </w:pPr>
            <w:r>
              <w:rPr>
                <w:b w:val="0"/>
                <w:sz w:val="21"/>
              </w:rPr>
              <w:t>研发设计</w:t>
            </w:r>
          </w:p>
        </w:tc>
        <w:tc>
          <w:tcPr>
            <w:tcW w:type="dxa" w:w="2699"/>
            <w:vAlign w:val="center"/>
          </w:tcPr>
          <w:p>
            <w:pPr>
              <w:keepNext w:val="0"/>
              <w:spacing w:line="320" w:lineRule="exact" w:after="0" w:before="0"/>
              <w:ind w:firstLine="0"/>
              <w:jc w:val="left"/>
            </w:pPr>
            <w:r>
              <w:rPr>
                <w:b w:val="0"/>
                <w:sz w:val="21"/>
              </w:rPr>
              <w:t>产品、图纸、工艺和变更</w:t>
            </w:r>
          </w:p>
        </w:tc>
        <w:tc>
          <w:tcPr>
            <w:tcW w:type="dxa" w:w="2409"/>
            <w:vAlign w:val="center"/>
          </w:tcPr>
          <w:p>
            <w:pPr>
              <w:keepNext w:val="0"/>
              <w:spacing w:line="320" w:lineRule="exact" w:after="0" w:before="0"/>
              <w:ind w:firstLine="0"/>
              <w:jc w:val="left"/>
            </w:pPr>
            <w:r>
              <w:rPr>
                <w:b w:val="0"/>
                <w:sz w:val="21"/>
              </w:rPr>
              <w:t>产品结构、技术版本与物料</w:t>
            </w:r>
          </w:p>
        </w:tc>
        <w:tc>
          <w:tcPr>
            <w:tcW w:type="dxa" w:w="2891"/>
            <w:vAlign w:val="center"/>
          </w:tcPr>
          <w:p>
            <w:pPr>
              <w:keepNext w:val="0"/>
              <w:spacing w:line="320" w:lineRule="exact" w:after="0" w:before="0"/>
              <w:ind w:firstLine="0"/>
              <w:jc w:val="left"/>
            </w:pPr>
            <w:r>
              <w:rPr>
                <w:b w:val="0"/>
                <w:sz w:val="21"/>
              </w:rPr>
              <w:t>选取产品追溯其有效图工版本</w:t>
            </w:r>
          </w:p>
        </w:tc>
      </w:tr>
      <w:tr>
        <w:trPr>
          <w:cantSplit/>
        </w:trPr>
        <w:tc>
          <w:tcPr>
            <w:tcW w:type="dxa" w:w="1638"/>
            <w:vAlign w:val="center"/>
          </w:tcPr>
          <w:p>
            <w:pPr>
              <w:keepNext w:val="0"/>
              <w:spacing w:line="320" w:lineRule="exact" w:after="0" w:before="0"/>
              <w:ind w:firstLine="0"/>
              <w:jc w:val="left"/>
            </w:pPr>
            <w:r>
              <w:rPr>
                <w:b w:val="0"/>
                <w:sz w:val="21"/>
              </w:rPr>
              <w:t>生产制造</w:t>
            </w:r>
          </w:p>
        </w:tc>
        <w:tc>
          <w:tcPr>
            <w:tcW w:type="dxa" w:w="2699"/>
            <w:vAlign w:val="center"/>
          </w:tcPr>
          <w:p>
            <w:pPr>
              <w:keepNext w:val="0"/>
              <w:spacing w:line="320" w:lineRule="exact" w:after="0" w:before="0"/>
              <w:ind w:firstLine="0"/>
              <w:jc w:val="left"/>
            </w:pPr>
            <w:r>
              <w:rPr>
                <w:b w:val="0"/>
                <w:sz w:val="21"/>
              </w:rPr>
              <w:t>工单、工件、工序和报工</w:t>
            </w:r>
          </w:p>
        </w:tc>
        <w:tc>
          <w:tcPr>
            <w:tcW w:type="dxa" w:w="2409"/>
            <w:vAlign w:val="center"/>
          </w:tcPr>
          <w:p>
            <w:pPr>
              <w:keepNext w:val="0"/>
              <w:spacing w:line="320" w:lineRule="exact" w:after="0" w:before="0"/>
              <w:ind w:firstLine="0"/>
              <w:jc w:val="left"/>
            </w:pPr>
            <w:r>
              <w:rPr>
                <w:b w:val="0"/>
                <w:sz w:val="21"/>
              </w:rPr>
              <w:t>计划工艺与实际执行</w:t>
            </w:r>
          </w:p>
        </w:tc>
        <w:tc>
          <w:tcPr>
            <w:tcW w:type="dxa" w:w="2891"/>
            <w:vAlign w:val="center"/>
          </w:tcPr>
          <w:p>
            <w:pPr>
              <w:keepNext w:val="0"/>
              <w:spacing w:line="320" w:lineRule="exact" w:after="0" w:before="0"/>
              <w:ind w:firstLine="0"/>
              <w:jc w:val="left"/>
            </w:pPr>
            <w:r>
              <w:rPr>
                <w:b w:val="0"/>
                <w:sz w:val="21"/>
              </w:rPr>
              <w:t>回放工件经过的工序及异常处理</w:t>
            </w:r>
          </w:p>
        </w:tc>
      </w:tr>
      <w:tr>
        <w:trPr>
          <w:cantSplit/>
        </w:trPr>
        <w:tc>
          <w:tcPr>
            <w:tcW w:type="dxa" w:w="1638"/>
            <w:vAlign w:val="center"/>
          </w:tcPr>
          <w:p>
            <w:pPr>
              <w:keepNext w:val="0"/>
              <w:spacing w:line="320" w:lineRule="exact" w:after="0" w:before="0"/>
              <w:ind w:firstLine="0"/>
              <w:jc w:val="left"/>
            </w:pPr>
            <w:r>
              <w:rPr>
                <w:b w:val="0"/>
                <w:sz w:val="21"/>
              </w:rPr>
              <w:t>仓储物流</w:t>
            </w:r>
          </w:p>
        </w:tc>
        <w:tc>
          <w:tcPr>
            <w:tcW w:type="dxa" w:w="2699"/>
            <w:vAlign w:val="center"/>
          </w:tcPr>
          <w:p>
            <w:pPr>
              <w:keepNext w:val="0"/>
              <w:spacing w:line="320" w:lineRule="exact" w:after="0" w:before="0"/>
              <w:ind w:firstLine="0"/>
              <w:jc w:val="left"/>
            </w:pPr>
            <w:r>
              <w:rPr>
                <w:b w:val="0"/>
                <w:sz w:val="21"/>
              </w:rPr>
              <w:t>批次、库位、收发与冻结</w:t>
            </w:r>
          </w:p>
        </w:tc>
        <w:tc>
          <w:tcPr>
            <w:tcW w:type="dxa" w:w="2409"/>
            <w:vAlign w:val="center"/>
          </w:tcPr>
          <w:p>
            <w:pPr>
              <w:keepNext w:val="0"/>
              <w:spacing w:line="320" w:lineRule="exact" w:after="0" w:before="0"/>
              <w:ind w:firstLine="0"/>
              <w:jc w:val="left"/>
            </w:pPr>
            <w:r>
              <w:rPr>
                <w:b w:val="0"/>
                <w:sz w:val="21"/>
              </w:rPr>
              <w:t>业务时点、数量和状态</w:t>
            </w:r>
          </w:p>
        </w:tc>
        <w:tc>
          <w:tcPr>
            <w:tcW w:type="dxa" w:w="2891"/>
            <w:vAlign w:val="center"/>
          </w:tcPr>
          <w:p>
            <w:pPr>
              <w:keepNext w:val="0"/>
              <w:spacing w:line="320" w:lineRule="exact" w:after="0" w:before="0"/>
              <w:ind w:firstLine="0"/>
              <w:jc w:val="left"/>
            </w:pPr>
            <w:r>
              <w:rPr>
                <w:b w:val="0"/>
                <w:sz w:val="21"/>
              </w:rPr>
              <w:t>对同一时点库存进行明细核对</w:t>
            </w:r>
          </w:p>
        </w:tc>
      </w:tr>
      <w:tr>
        <w:trPr>
          <w:cantSplit/>
        </w:trPr>
        <w:tc>
          <w:tcPr>
            <w:tcW w:type="dxa" w:w="1638"/>
            <w:vAlign w:val="center"/>
          </w:tcPr>
          <w:p>
            <w:pPr>
              <w:keepNext w:val="0"/>
              <w:spacing w:line="320" w:lineRule="exact" w:after="0" w:before="0"/>
              <w:ind w:firstLine="0"/>
              <w:jc w:val="left"/>
            </w:pPr>
            <w:r>
              <w:rPr>
                <w:b w:val="0"/>
                <w:sz w:val="21"/>
              </w:rPr>
              <w:t>财务管理</w:t>
            </w:r>
          </w:p>
        </w:tc>
        <w:tc>
          <w:tcPr>
            <w:tcW w:type="dxa" w:w="2699"/>
            <w:vAlign w:val="center"/>
          </w:tcPr>
          <w:p>
            <w:pPr>
              <w:keepNext w:val="0"/>
              <w:spacing w:line="320" w:lineRule="exact" w:after="0" w:before="0"/>
              <w:ind w:firstLine="0"/>
              <w:jc w:val="left"/>
            </w:pPr>
            <w:r>
              <w:rPr>
                <w:b w:val="0"/>
                <w:sz w:val="21"/>
              </w:rPr>
              <w:t>成本、核算对象和经营指标</w:t>
            </w:r>
          </w:p>
        </w:tc>
        <w:tc>
          <w:tcPr>
            <w:tcW w:type="dxa" w:w="2409"/>
            <w:vAlign w:val="center"/>
          </w:tcPr>
          <w:p>
            <w:pPr>
              <w:keepNext w:val="0"/>
              <w:spacing w:line="320" w:lineRule="exact" w:after="0" w:before="0"/>
              <w:ind w:firstLine="0"/>
              <w:jc w:val="left"/>
            </w:pPr>
            <w:r>
              <w:rPr>
                <w:b w:val="0"/>
                <w:sz w:val="21"/>
              </w:rPr>
              <w:t>期间、组织、币种及调整</w:t>
            </w:r>
          </w:p>
        </w:tc>
        <w:tc>
          <w:tcPr>
            <w:tcW w:type="dxa" w:w="2891"/>
            <w:vAlign w:val="center"/>
          </w:tcPr>
          <w:p>
            <w:pPr>
              <w:keepNext w:val="0"/>
              <w:spacing w:line="320" w:lineRule="exact" w:after="0" w:before="0"/>
              <w:ind w:firstLine="0"/>
              <w:jc w:val="left"/>
            </w:pPr>
            <w:r>
              <w:rPr>
                <w:b w:val="0"/>
                <w:sz w:val="21"/>
              </w:rPr>
              <w:t>对指标从汇总追溯到来源单据</w:t>
            </w:r>
          </w:p>
        </w:tc>
      </w:tr>
      <w:tr>
        <w:trPr>
          <w:cantSplit/>
        </w:trPr>
        <w:tc>
          <w:tcPr>
            <w:tcW w:type="dxa" w:w="1638"/>
            <w:vAlign w:val="center"/>
          </w:tcPr>
          <w:p>
            <w:pPr>
              <w:keepNext w:val="0"/>
              <w:spacing w:line="320" w:lineRule="exact" w:after="0" w:before="0"/>
              <w:ind w:firstLine="0"/>
              <w:jc w:val="left"/>
            </w:pPr>
            <w:r>
              <w:rPr>
                <w:b w:val="0"/>
                <w:sz w:val="21"/>
              </w:rPr>
              <w:t>设备管理</w:t>
            </w:r>
          </w:p>
        </w:tc>
        <w:tc>
          <w:tcPr>
            <w:tcW w:type="dxa" w:w="2699"/>
            <w:vAlign w:val="center"/>
          </w:tcPr>
          <w:p>
            <w:pPr>
              <w:keepNext w:val="0"/>
              <w:spacing w:line="320" w:lineRule="exact" w:after="0" w:before="0"/>
              <w:ind w:firstLine="0"/>
              <w:jc w:val="left"/>
            </w:pPr>
            <w:r>
              <w:rPr>
                <w:b w:val="0"/>
                <w:sz w:val="21"/>
              </w:rPr>
              <w:t>设备、部件、测点和事件</w:t>
            </w:r>
          </w:p>
        </w:tc>
        <w:tc>
          <w:tcPr>
            <w:tcW w:type="dxa" w:w="2409"/>
            <w:vAlign w:val="center"/>
          </w:tcPr>
          <w:p>
            <w:pPr>
              <w:keepNext w:val="0"/>
              <w:spacing w:line="320" w:lineRule="exact" w:after="0" w:before="0"/>
              <w:ind w:firstLine="0"/>
              <w:jc w:val="left"/>
            </w:pPr>
            <w:r>
              <w:rPr>
                <w:b w:val="0"/>
                <w:sz w:val="21"/>
              </w:rPr>
              <w:t>测点有效期与维修履历</w:t>
            </w:r>
          </w:p>
        </w:tc>
        <w:tc>
          <w:tcPr>
            <w:tcW w:type="dxa" w:w="2891"/>
            <w:vAlign w:val="center"/>
          </w:tcPr>
          <w:p>
            <w:pPr>
              <w:keepNext w:val="0"/>
              <w:spacing w:line="320" w:lineRule="exact" w:after="0" w:before="0"/>
              <w:ind w:firstLine="0"/>
              <w:jc w:val="left"/>
            </w:pPr>
            <w:r>
              <w:rPr>
                <w:b w:val="0"/>
                <w:sz w:val="21"/>
              </w:rPr>
              <w:t>核查故障前后数据与部件更换</w:t>
            </w:r>
          </w:p>
        </w:tc>
      </w:tr>
      <w:tr>
        <w:trPr>
          <w:cantSplit/>
        </w:trPr>
        <w:tc>
          <w:tcPr>
            <w:tcW w:type="dxa" w:w="1638"/>
            <w:vAlign w:val="center"/>
          </w:tcPr>
          <w:p>
            <w:pPr>
              <w:keepNext w:val="0"/>
              <w:spacing w:line="320" w:lineRule="exact" w:after="0" w:before="0"/>
              <w:ind w:firstLine="0"/>
              <w:jc w:val="left"/>
            </w:pPr>
            <w:r>
              <w:rPr>
                <w:b w:val="0"/>
                <w:sz w:val="21"/>
              </w:rPr>
              <w:t>采购管理</w:t>
            </w:r>
          </w:p>
        </w:tc>
        <w:tc>
          <w:tcPr>
            <w:tcW w:type="dxa" w:w="2699"/>
            <w:vAlign w:val="center"/>
          </w:tcPr>
          <w:p>
            <w:pPr>
              <w:keepNext w:val="0"/>
              <w:spacing w:line="320" w:lineRule="exact" w:after="0" w:before="0"/>
              <w:ind w:firstLine="0"/>
              <w:jc w:val="left"/>
            </w:pPr>
            <w:r>
              <w:rPr>
                <w:b w:val="0"/>
                <w:sz w:val="21"/>
              </w:rPr>
              <w:t>供应商、订单、到货和检验</w:t>
            </w:r>
          </w:p>
        </w:tc>
        <w:tc>
          <w:tcPr>
            <w:tcW w:type="dxa" w:w="2409"/>
            <w:vAlign w:val="center"/>
          </w:tcPr>
          <w:p>
            <w:pPr>
              <w:keepNext w:val="0"/>
              <w:spacing w:line="320" w:lineRule="exact" w:after="0" w:before="0"/>
              <w:ind w:firstLine="0"/>
              <w:jc w:val="left"/>
            </w:pPr>
            <w:r>
              <w:rPr>
                <w:b w:val="0"/>
                <w:sz w:val="21"/>
              </w:rPr>
              <w:t>来源、物料、质量与结算</w:t>
            </w:r>
          </w:p>
        </w:tc>
        <w:tc>
          <w:tcPr>
            <w:tcW w:type="dxa" w:w="2891"/>
            <w:vAlign w:val="center"/>
          </w:tcPr>
          <w:p>
            <w:pPr>
              <w:keepNext w:val="0"/>
              <w:spacing w:line="320" w:lineRule="exact" w:after="0" w:before="0"/>
              <w:ind w:firstLine="0"/>
              <w:jc w:val="left"/>
            </w:pPr>
            <w:r>
              <w:rPr>
                <w:b w:val="0"/>
                <w:sz w:val="21"/>
              </w:rPr>
              <w:t>追溯一批来料的订单和检验依据</w:t>
            </w:r>
          </w:p>
        </w:tc>
      </w:tr>
      <w:tr>
        <w:trPr>
          <w:cantSplit/>
        </w:trPr>
        <w:tc>
          <w:tcPr>
            <w:tcW w:type="dxa" w:w="1638"/>
            <w:vAlign w:val="center"/>
          </w:tcPr>
          <w:p>
            <w:pPr>
              <w:keepNext w:val="0"/>
              <w:spacing w:line="320" w:lineRule="exact" w:after="0" w:before="0"/>
              <w:ind w:firstLine="0"/>
              <w:jc w:val="left"/>
            </w:pPr>
            <w:r>
              <w:rPr>
                <w:b w:val="0"/>
                <w:sz w:val="21"/>
              </w:rPr>
              <w:t>营销管理</w:t>
            </w:r>
          </w:p>
        </w:tc>
        <w:tc>
          <w:tcPr>
            <w:tcW w:type="dxa" w:w="2699"/>
            <w:vAlign w:val="center"/>
          </w:tcPr>
          <w:p>
            <w:pPr>
              <w:keepNext w:val="0"/>
              <w:spacing w:line="320" w:lineRule="exact" w:after="0" w:before="0"/>
              <w:ind w:firstLine="0"/>
              <w:jc w:val="left"/>
            </w:pPr>
            <w:r>
              <w:rPr>
                <w:b w:val="0"/>
                <w:sz w:val="21"/>
              </w:rPr>
              <w:t>客户、需求、合同和交付</w:t>
            </w:r>
          </w:p>
        </w:tc>
        <w:tc>
          <w:tcPr>
            <w:tcW w:type="dxa" w:w="2409"/>
            <w:vAlign w:val="center"/>
          </w:tcPr>
          <w:p>
            <w:pPr>
              <w:keepNext w:val="0"/>
              <w:spacing w:line="320" w:lineRule="exact" w:after="0" w:before="0"/>
              <w:ind w:firstLine="0"/>
              <w:jc w:val="left"/>
            </w:pPr>
            <w:r>
              <w:rPr>
                <w:b w:val="0"/>
                <w:sz w:val="21"/>
              </w:rPr>
              <w:t>配置、适用条件与服务反馈</w:t>
            </w:r>
          </w:p>
        </w:tc>
        <w:tc>
          <w:tcPr>
            <w:tcW w:type="dxa" w:w="2891"/>
            <w:vAlign w:val="center"/>
          </w:tcPr>
          <w:p>
            <w:pPr>
              <w:keepNext w:val="0"/>
              <w:spacing w:line="320" w:lineRule="exact" w:after="0" w:before="0"/>
              <w:ind w:firstLine="0"/>
              <w:jc w:val="left"/>
            </w:pPr>
            <w:r>
              <w:rPr>
                <w:b w:val="0"/>
                <w:sz w:val="21"/>
              </w:rPr>
              <w:t>核对选型依据与实际交付版本</w:t>
            </w:r>
          </w:p>
        </w:tc>
      </w:tr>
      <w:tr>
        <w:trPr>
          <w:cantSplit/>
        </w:trPr>
        <w:tc>
          <w:tcPr>
            <w:tcW w:type="dxa" w:w="1638"/>
            <w:vAlign w:val="center"/>
          </w:tcPr>
          <w:p>
            <w:pPr>
              <w:keepNext w:val="0"/>
              <w:spacing w:line="320" w:lineRule="exact" w:after="0" w:before="0"/>
              <w:ind w:firstLine="0"/>
              <w:jc w:val="left"/>
            </w:pPr>
            <w:r>
              <w:rPr>
                <w:b w:val="0"/>
                <w:sz w:val="21"/>
              </w:rPr>
              <w:t>质量管理</w:t>
            </w:r>
          </w:p>
        </w:tc>
        <w:tc>
          <w:tcPr>
            <w:tcW w:type="dxa" w:w="2699"/>
            <w:vAlign w:val="center"/>
          </w:tcPr>
          <w:p>
            <w:pPr>
              <w:keepNext w:val="0"/>
              <w:spacing w:line="320" w:lineRule="exact" w:after="0" w:before="0"/>
              <w:ind w:firstLine="0"/>
              <w:jc w:val="left"/>
            </w:pPr>
            <w:r>
              <w:rPr>
                <w:b w:val="0"/>
                <w:sz w:val="21"/>
              </w:rPr>
              <w:t>检验、缺陷、返修和复检</w:t>
            </w:r>
          </w:p>
        </w:tc>
        <w:tc>
          <w:tcPr>
            <w:tcW w:type="dxa" w:w="2409"/>
            <w:vAlign w:val="center"/>
          </w:tcPr>
          <w:p>
            <w:pPr>
              <w:keepNext w:val="0"/>
              <w:spacing w:line="320" w:lineRule="exact" w:after="0" w:before="0"/>
              <w:ind w:firstLine="0"/>
              <w:jc w:val="left"/>
            </w:pPr>
            <w:r>
              <w:rPr>
                <w:b w:val="0"/>
                <w:sz w:val="21"/>
              </w:rPr>
              <w:t>对象、标准、过程与判定</w:t>
            </w:r>
          </w:p>
        </w:tc>
        <w:tc>
          <w:tcPr>
            <w:tcW w:type="dxa" w:w="2891"/>
            <w:vAlign w:val="center"/>
          </w:tcPr>
          <w:p>
            <w:pPr>
              <w:keepNext w:val="0"/>
              <w:spacing w:line="320" w:lineRule="exact" w:after="0" w:before="0"/>
              <w:ind w:firstLine="0"/>
              <w:jc w:val="left"/>
            </w:pPr>
            <w:r>
              <w:rPr>
                <w:b w:val="0"/>
                <w:sz w:val="21"/>
              </w:rPr>
              <w:t>对检验结果复算并追溯制造条件</w:t>
            </w:r>
          </w:p>
        </w:tc>
      </w:tr>
    </w:tbl>
    <w:p>
      <w:pPr>
        <w:spacing w:after="40" w:line="240" w:lineRule="auto"/>
        <w:ind w:firstLine="0"/>
      </w:pPr>
      <w:r>
        <w:rPr>
          <w:sz w:val="4"/>
        </w:rPr>
      </w:r>
    </w:p>
    <w:p>
      <w:pPr>
        <w:pStyle w:val="Heading2"/>
      </w:pPr>
      <w:r>
        <w:t>2.5 数据来源与集成战略</w:t>
      </w:r>
    </w:p>
    <w:p>
      <w:pPr>
        <w:pStyle w:val="Heading3"/>
      </w:pPr>
      <w:r>
        <w:t>2.5.1 十七套系统接入安排</w:t>
      </w:r>
    </w:p>
    <w:p>
      <w:pPr>
        <w:jc w:val="both"/>
      </w:pPr>
      <w:r>
        <w:t>系统接入以确认的业务用途和数据对象为前提。CRM、ERP、SCM、QMS、WMS、MES、LMS、EMS、SOS、EAM、PLM、SCADA、OA、久其系统、主数据管理平台、热处理群控系统、安全监管平台分别建立调查和接入记录。实际部署实例、模块和接口能力经调查核实后形成设计，系统简称与部署实体分别登记。</w:t>
      </w:r>
    </w:p>
    <w:p>
      <w:pPr>
        <w:jc w:val="both"/>
      </w:pPr>
      <w:r>
        <w:t>接入采用授权、提取、校验、转换、对账和发布流程。全量初始化与增量更新分别定义范围和检查方法，断点、重复、迟到、删除及来源撤销均有处理规则。原始内容保留来源标识和实际时间，转换结果保存映射与运行版本。业务关键单据和高风险来源在扩大处理前完成联合核验。</w:t>
      </w:r>
    </w:p>
    <w:p>
      <w:pPr>
        <w:pStyle w:val="Caption"/>
        <w:keepNext/>
      </w:pPr>
      <w:r>
        <w:t>表2-6 十七套系统接入安排</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系统</w:t>
            </w:r>
          </w:p>
        </w:tc>
        <w:tc>
          <w:tcPr>
            <w:tcW w:type="dxa" w:w="2699"/>
            <w:vAlign w:val="center"/>
            <w:shd w:fill="EDF1F3"/>
          </w:tcPr>
          <w:p>
            <w:pPr>
              <w:keepNext/>
              <w:spacing w:line="320" w:lineRule="exact" w:after="0" w:before="0"/>
              <w:ind w:firstLine="0"/>
              <w:jc w:val="center"/>
            </w:pPr>
            <w:r>
              <w:rPr>
                <w:b/>
                <w:sz w:val="21"/>
              </w:rPr>
              <w:t>重点数据对象</w:t>
            </w:r>
          </w:p>
        </w:tc>
        <w:tc>
          <w:tcPr>
            <w:tcW w:type="dxa" w:w="2409"/>
            <w:vAlign w:val="center"/>
            <w:shd w:fill="EDF1F3"/>
          </w:tcPr>
          <w:p>
            <w:pPr>
              <w:keepNext/>
              <w:spacing w:line="320" w:lineRule="exact" w:after="0" w:before="0"/>
              <w:ind w:firstLine="0"/>
              <w:jc w:val="center"/>
            </w:pPr>
            <w:r>
              <w:rPr>
                <w:b/>
                <w:sz w:val="21"/>
              </w:rPr>
              <w:t>接入前确认</w:t>
            </w:r>
          </w:p>
        </w:tc>
        <w:tc>
          <w:tcPr>
            <w:tcW w:type="dxa" w:w="2891"/>
            <w:vAlign w:val="center"/>
            <w:shd w:fill="EDF1F3"/>
          </w:tcPr>
          <w:p>
            <w:pPr>
              <w:keepNext/>
              <w:spacing w:line="320" w:lineRule="exact" w:after="0" w:before="0"/>
              <w:ind w:firstLine="0"/>
              <w:jc w:val="center"/>
            </w:pPr>
            <w:r>
              <w:rPr>
                <w:b/>
                <w:sz w:val="21"/>
              </w:rPr>
              <w:t>集成后检查</w:t>
            </w:r>
          </w:p>
        </w:tc>
      </w:tr>
      <w:tr>
        <w:trPr>
          <w:cantSplit/>
        </w:trPr>
        <w:tc>
          <w:tcPr>
            <w:tcW w:type="dxa" w:w="1638"/>
            <w:vAlign w:val="center"/>
          </w:tcPr>
          <w:p>
            <w:pPr>
              <w:keepNext w:val="0"/>
              <w:spacing w:line="320" w:lineRule="exact" w:after="0" w:before="0"/>
              <w:ind w:firstLine="0"/>
              <w:jc w:val="left"/>
            </w:pPr>
            <w:r>
              <w:rPr>
                <w:b w:val="0"/>
                <w:sz w:val="21"/>
              </w:rPr>
              <w:t>CRM</w:t>
            </w:r>
          </w:p>
        </w:tc>
        <w:tc>
          <w:tcPr>
            <w:tcW w:type="dxa" w:w="2699"/>
            <w:vAlign w:val="center"/>
          </w:tcPr>
          <w:p>
            <w:pPr>
              <w:keepNext w:val="0"/>
              <w:spacing w:line="320" w:lineRule="exact" w:after="0" w:before="0"/>
              <w:ind w:firstLine="0"/>
              <w:jc w:val="left"/>
            </w:pPr>
            <w:r>
              <w:rPr>
                <w:b w:val="0"/>
                <w:sz w:val="21"/>
              </w:rPr>
              <w:t>客户、需求、商机及附件</w:t>
            </w:r>
          </w:p>
        </w:tc>
        <w:tc>
          <w:tcPr>
            <w:tcW w:type="dxa" w:w="2409"/>
            <w:vAlign w:val="center"/>
          </w:tcPr>
          <w:p>
            <w:pPr>
              <w:keepNext w:val="0"/>
              <w:spacing w:line="320" w:lineRule="exact" w:after="0" w:before="0"/>
              <w:ind w:firstLine="0"/>
              <w:jc w:val="left"/>
            </w:pPr>
            <w:r>
              <w:rPr>
                <w:b w:val="0"/>
                <w:sz w:val="21"/>
              </w:rPr>
              <w:t>客户身份、使用授权、状态含义</w:t>
            </w:r>
          </w:p>
        </w:tc>
        <w:tc>
          <w:tcPr>
            <w:tcW w:type="dxa" w:w="2891"/>
            <w:vAlign w:val="center"/>
          </w:tcPr>
          <w:p>
            <w:pPr>
              <w:keepNext w:val="0"/>
              <w:spacing w:line="320" w:lineRule="exact" w:after="0" w:before="0"/>
              <w:ind w:firstLine="0"/>
              <w:jc w:val="left"/>
            </w:pPr>
            <w:r>
              <w:rPr>
                <w:b w:val="0"/>
                <w:sz w:val="21"/>
              </w:rPr>
              <w:t>客户与合同、产品及服务关系</w:t>
            </w:r>
          </w:p>
        </w:tc>
      </w:tr>
      <w:tr>
        <w:trPr>
          <w:cantSplit/>
        </w:trPr>
        <w:tc>
          <w:tcPr>
            <w:tcW w:type="dxa" w:w="1638"/>
            <w:vAlign w:val="center"/>
          </w:tcPr>
          <w:p>
            <w:pPr>
              <w:keepNext w:val="0"/>
              <w:spacing w:line="320" w:lineRule="exact" w:after="0" w:before="0"/>
              <w:ind w:firstLine="0"/>
              <w:jc w:val="left"/>
            </w:pPr>
            <w:r>
              <w:rPr>
                <w:b w:val="0"/>
                <w:sz w:val="21"/>
              </w:rPr>
              <w:t>ERP</w:t>
            </w:r>
          </w:p>
        </w:tc>
        <w:tc>
          <w:tcPr>
            <w:tcW w:type="dxa" w:w="2699"/>
            <w:vAlign w:val="center"/>
          </w:tcPr>
          <w:p>
            <w:pPr>
              <w:keepNext w:val="0"/>
              <w:spacing w:line="320" w:lineRule="exact" w:after="0" w:before="0"/>
              <w:ind w:firstLine="0"/>
              <w:jc w:val="left"/>
            </w:pPr>
            <w:r>
              <w:rPr>
                <w:b w:val="0"/>
                <w:sz w:val="21"/>
              </w:rPr>
              <w:t>物料、计划、业务单据</w:t>
            </w:r>
          </w:p>
        </w:tc>
        <w:tc>
          <w:tcPr>
            <w:tcW w:type="dxa" w:w="2409"/>
            <w:vAlign w:val="center"/>
          </w:tcPr>
          <w:p>
            <w:pPr>
              <w:keepNext w:val="0"/>
              <w:spacing w:line="320" w:lineRule="exact" w:after="0" w:before="0"/>
              <w:ind w:firstLine="0"/>
              <w:jc w:val="left"/>
            </w:pPr>
            <w:r>
              <w:rPr>
                <w:b w:val="0"/>
                <w:sz w:val="21"/>
              </w:rPr>
              <w:t>组织、主键、状态、单位和期间</w:t>
            </w:r>
          </w:p>
        </w:tc>
        <w:tc>
          <w:tcPr>
            <w:tcW w:type="dxa" w:w="2891"/>
            <w:vAlign w:val="center"/>
          </w:tcPr>
          <w:p>
            <w:pPr>
              <w:keepNext w:val="0"/>
              <w:spacing w:line="320" w:lineRule="exact" w:after="0" w:before="0"/>
              <w:ind w:firstLine="0"/>
              <w:jc w:val="left"/>
            </w:pPr>
            <w:r>
              <w:rPr>
                <w:b w:val="0"/>
                <w:sz w:val="21"/>
              </w:rPr>
              <w:t>数量对账、单据关联及变更</w:t>
            </w:r>
          </w:p>
        </w:tc>
      </w:tr>
      <w:tr>
        <w:trPr>
          <w:cantSplit/>
        </w:trPr>
        <w:tc>
          <w:tcPr>
            <w:tcW w:type="dxa" w:w="1638"/>
            <w:vAlign w:val="center"/>
          </w:tcPr>
          <w:p>
            <w:pPr>
              <w:keepNext w:val="0"/>
              <w:spacing w:line="320" w:lineRule="exact" w:after="0" w:before="0"/>
              <w:ind w:firstLine="0"/>
              <w:jc w:val="left"/>
            </w:pPr>
            <w:r>
              <w:rPr>
                <w:b w:val="0"/>
                <w:sz w:val="21"/>
              </w:rPr>
              <w:t>SCM</w:t>
            </w:r>
          </w:p>
        </w:tc>
        <w:tc>
          <w:tcPr>
            <w:tcW w:type="dxa" w:w="2699"/>
            <w:vAlign w:val="center"/>
          </w:tcPr>
          <w:p>
            <w:pPr>
              <w:keepNext w:val="0"/>
              <w:spacing w:line="320" w:lineRule="exact" w:after="0" w:before="0"/>
              <w:ind w:firstLine="0"/>
              <w:jc w:val="left"/>
            </w:pPr>
            <w:r>
              <w:rPr>
                <w:b w:val="0"/>
                <w:sz w:val="21"/>
              </w:rPr>
              <w:t>供应商、协同和采购记录</w:t>
            </w:r>
          </w:p>
        </w:tc>
        <w:tc>
          <w:tcPr>
            <w:tcW w:type="dxa" w:w="2409"/>
            <w:vAlign w:val="center"/>
          </w:tcPr>
          <w:p>
            <w:pPr>
              <w:keepNext w:val="0"/>
              <w:spacing w:line="320" w:lineRule="exact" w:after="0" w:before="0"/>
              <w:ind w:firstLine="0"/>
              <w:jc w:val="left"/>
            </w:pPr>
            <w:r>
              <w:rPr>
                <w:b w:val="0"/>
                <w:sz w:val="21"/>
              </w:rPr>
              <w:t>外部来源、共享边界、协同状态</w:t>
            </w:r>
          </w:p>
        </w:tc>
        <w:tc>
          <w:tcPr>
            <w:tcW w:type="dxa" w:w="2891"/>
            <w:vAlign w:val="center"/>
          </w:tcPr>
          <w:p>
            <w:pPr>
              <w:keepNext w:val="0"/>
              <w:spacing w:line="320" w:lineRule="exact" w:after="0" w:before="0"/>
              <w:ind w:firstLine="0"/>
              <w:jc w:val="left"/>
            </w:pPr>
            <w:r>
              <w:rPr>
                <w:b w:val="0"/>
                <w:sz w:val="21"/>
              </w:rPr>
              <w:t>采购对象与到货、质量关联</w:t>
            </w:r>
          </w:p>
        </w:tc>
      </w:tr>
      <w:tr>
        <w:trPr>
          <w:cantSplit/>
        </w:trPr>
        <w:tc>
          <w:tcPr>
            <w:tcW w:type="dxa" w:w="1638"/>
            <w:vAlign w:val="center"/>
          </w:tcPr>
          <w:p>
            <w:pPr>
              <w:keepNext w:val="0"/>
              <w:spacing w:line="320" w:lineRule="exact" w:after="0" w:before="0"/>
              <w:ind w:firstLine="0"/>
              <w:jc w:val="left"/>
            </w:pPr>
            <w:r>
              <w:rPr>
                <w:b w:val="0"/>
                <w:sz w:val="21"/>
              </w:rPr>
              <w:t>QMS</w:t>
            </w:r>
          </w:p>
        </w:tc>
        <w:tc>
          <w:tcPr>
            <w:tcW w:type="dxa" w:w="2699"/>
            <w:vAlign w:val="center"/>
          </w:tcPr>
          <w:p>
            <w:pPr>
              <w:keepNext w:val="0"/>
              <w:spacing w:line="320" w:lineRule="exact" w:after="0" w:before="0"/>
              <w:ind w:firstLine="0"/>
              <w:jc w:val="left"/>
            </w:pPr>
            <w:r>
              <w:rPr>
                <w:b w:val="0"/>
                <w:sz w:val="21"/>
              </w:rPr>
              <w:t>检验、判定、处置和复检</w:t>
            </w:r>
          </w:p>
        </w:tc>
        <w:tc>
          <w:tcPr>
            <w:tcW w:type="dxa" w:w="2409"/>
            <w:vAlign w:val="center"/>
          </w:tcPr>
          <w:p>
            <w:pPr>
              <w:keepNext w:val="0"/>
              <w:spacing w:line="320" w:lineRule="exact" w:after="0" w:before="0"/>
              <w:ind w:firstLine="0"/>
              <w:jc w:val="left"/>
            </w:pPr>
            <w:r>
              <w:rPr>
                <w:b w:val="0"/>
                <w:sz w:val="21"/>
              </w:rPr>
              <w:t>检验阶段、依据和结论规则</w:t>
            </w:r>
          </w:p>
        </w:tc>
        <w:tc>
          <w:tcPr>
            <w:tcW w:type="dxa" w:w="2891"/>
            <w:vAlign w:val="center"/>
          </w:tcPr>
          <w:p>
            <w:pPr>
              <w:keepNext w:val="0"/>
              <w:spacing w:line="320" w:lineRule="exact" w:after="0" w:before="0"/>
              <w:ind w:firstLine="0"/>
              <w:jc w:val="left"/>
            </w:pPr>
            <w:r>
              <w:rPr>
                <w:b w:val="0"/>
                <w:sz w:val="21"/>
              </w:rPr>
              <w:t>工件批次、检验值及复检链路</w:t>
            </w:r>
          </w:p>
        </w:tc>
      </w:tr>
      <w:tr>
        <w:trPr>
          <w:cantSplit/>
        </w:trPr>
        <w:tc>
          <w:tcPr>
            <w:tcW w:type="dxa" w:w="1638"/>
            <w:vAlign w:val="center"/>
          </w:tcPr>
          <w:p>
            <w:pPr>
              <w:keepNext w:val="0"/>
              <w:spacing w:line="320" w:lineRule="exact" w:after="0" w:before="0"/>
              <w:ind w:firstLine="0"/>
              <w:jc w:val="left"/>
            </w:pPr>
            <w:r>
              <w:rPr>
                <w:b w:val="0"/>
                <w:sz w:val="21"/>
              </w:rPr>
              <w:t>WMS</w:t>
            </w:r>
          </w:p>
        </w:tc>
        <w:tc>
          <w:tcPr>
            <w:tcW w:type="dxa" w:w="2699"/>
            <w:vAlign w:val="center"/>
          </w:tcPr>
          <w:p>
            <w:pPr>
              <w:keepNext w:val="0"/>
              <w:spacing w:line="320" w:lineRule="exact" w:after="0" w:before="0"/>
              <w:ind w:firstLine="0"/>
              <w:jc w:val="left"/>
            </w:pPr>
            <w:r>
              <w:rPr>
                <w:b w:val="0"/>
                <w:sz w:val="21"/>
              </w:rPr>
              <w:t>库存、库位、收发和冻结</w:t>
            </w:r>
          </w:p>
        </w:tc>
        <w:tc>
          <w:tcPr>
            <w:tcW w:type="dxa" w:w="2409"/>
            <w:vAlign w:val="center"/>
          </w:tcPr>
          <w:p>
            <w:pPr>
              <w:keepNext w:val="0"/>
              <w:spacing w:line="320" w:lineRule="exact" w:after="0" w:before="0"/>
              <w:ind w:firstLine="0"/>
              <w:jc w:val="left"/>
            </w:pPr>
            <w:r>
              <w:rPr>
                <w:b w:val="0"/>
                <w:sz w:val="21"/>
              </w:rPr>
              <w:t>库存时点、冻结范围和单位</w:t>
            </w:r>
          </w:p>
        </w:tc>
        <w:tc>
          <w:tcPr>
            <w:tcW w:type="dxa" w:w="2891"/>
            <w:vAlign w:val="center"/>
          </w:tcPr>
          <w:p>
            <w:pPr>
              <w:keepNext w:val="0"/>
              <w:spacing w:line="320" w:lineRule="exact" w:after="0" w:before="0"/>
              <w:ind w:firstLine="0"/>
              <w:jc w:val="left"/>
            </w:pPr>
            <w:r>
              <w:rPr>
                <w:b w:val="0"/>
                <w:sz w:val="21"/>
              </w:rPr>
              <w:t>账实状态及收发明细对应</w:t>
            </w:r>
          </w:p>
        </w:tc>
      </w:tr>
      <w:tr>
        <w:trPr>
          <w:cantSplit/>
        </w:trPr>
        <w:tc>
          <w:tcPr>
            <w:tcW w:type="dxa" w:w="1638"/>
            <w:vAlign w:val="center"/>
          </w:tcPr>
          <w:p>
            <w:pPr>
              <w:keepNext w:val="0"/>
              <w:spacing w:line="320" w:lineRule="exact" w:after="0" w:before="0"/>
              <w:ind w:firstLine="0"/>
              <w:jc w:val="left"/>
            </w:pPr>
            <w:r>
              <w:rPr>
                <w:b w:val="0"/>
                <w:sz w:val="21"/>
              </w:rPr>
              <w:t>MES</w:t>
            </w:r>
          </w:p>
        </w:tc>
        <w:tc>
          <w:tcPr>
            <w:tcW w:type="dxa" w:w="2699"/>
            <w:vAlign w:val="center"/>
          </w:tcPr>
          <w:p>
            <w:pPr>
              <w:keepNext w:val="0"/>
              <w:spacing w:line="320" w:lineRule="exact" w:after="0" w:before="0"/>
              <w:ind w:firstLine="0"/>
              <w:jc w:val="left"/>
            </w:pPr>
            <w:r>
              <w:rPr>
                <w:b w:val="0"/>
                <w:sz w:val="21"/>
              </w:rPr>
              <w:t>工单、工序、参数和报工</w:t>
            </w:r>
          </w:p>
        </w:tc>
        <w:tc>
          <w:tcPr>
            <w:tcW w:type="dxa" w:w="2409"/>
            <w:vAlign w:val="center"/>
          </w:tcPr>
          <w:p>
            <w:pPr>
              <w:keepNext w:val="0"/>
              <w:spacing w:line="320" w:lineRule="exact" w:after="0" w:before="0"/>
              <w:ind w:firstLine="0"/>
              <w:jc w:val="left"/>
            </w:pPr>
            <w:r>
              <w:rPr>
                <w:b w:val="0"/>
                <w:sz w:val="21"/>
              </w:rPr>
              <w:t>工单粒度、返工与执行时间</w:t>
            </w:r>
          </w:p>
        </w:tc>
        <w:tc>
          <w:tcPr>
            <w:tcW w:type="dxa" w:w="2891"/>
            <w:vAlign w:val="center"/>
          </w:tcPr>
          <w:p>
            <w:pPr>
              <w:keepNext w:val="0"/>
              <w:spacing w:line="320" w:lineRule="exact" w:after="0" w:before="0"/>
              <w:ind w:firstLine="0"/>
              <w:jc w:val="left"/>
            </w:pPr>
            <w:r>
              <w:rPr>
                <w:b w:val="0"/>
                <w:sz w:val="21"/>
              </w:rPr>
              <w:t>实物对象与实际工序对应</w:t>
            </w:r>
          </w:p>
        </w:tc>
      </w:tr>
      <w:tr>
        <w:trPr>
          <w:cantSplit/>
        </w:trPr>
        <w:tc>
          <w:tcPr>
            <w:tcW w:type="dxa" w:w="1638"/>
            <w:vAlign w:val="center"/>
          </w:tcPr>
          <w:p>
            <w:pPr>
              <w:keepNext w:val="0"/>
              <w:spacing w:line="320" w:lineRule="exact" w:after="0" w:before="0"/>
              <w:ind w:firstLine="0"/>
              <w:jc w:val="left"/>
            </w:pPr>
            <w:r>
              <w:rPr>
                <w:b w:val="0"/>
                <w:sz w:val="21"/>
              </w:rPr>
              <w:t>LMS</w:t>
            </w:r>
          </w:p>
        </w:tc>
        <w:tc>
          <w:tcPr>
            <w:tcW w:type="dxa" w:w="2699"/>
            <w:vAlign w:val="center"/>
          </w:tcPr>
          <w:p>
            <w:pPr>
              <w:keepNext w:val="0"/>
              <w:spacing w:line="320" w:lineRule="exact" w:after="0" w:before="0"/>
              <w:ind w:firstLine="0"/>
              <w:jc w:val="left"/>
            </w:pPr>
            <w:r>
              <w:rPr>
                <w:b w:val="0"/>
                <w:sz w:val="21"/>
              </w:rPr>
              <w:t>物流对象、状态和交接</w:t>
            </w:r>
          </w:p>
        </w:tc>
        <w:tc>
          <w:tcPr>
            <w:tcW w:type="dxa" w:w="2409"/>
            <w:vAlign w:val="center"/>
          </w:tcPr>
          <w:p>
            <w:pPr>
              <w:keepNext w:val="0"/>
              <w:spacing w:line="320" w:lineRule="exact" w:after="0" w:before="0"/>
              <w:ind w:firstLine="0"/>
              <w:jc w:val="left"/>
            </w:pPr>
            <w:r>
              <w:rPr>
                <w:b w:val="0"/>
                <w:sz w:val="21"/>
              </w:rPr>
              <w:t>实际业务模块及对象定义</w:t>
            </w:r>
          </w:p>
        </w:tc>
        <w:tc>
          <w:tcPr>
            <w:tcW w:type="dxa" w:w="2891"/>
            <w:vAlign w:val="center"/>
          </w:tcPr>
          <w:p>
            <w:pPr>
              <w:keepNext w:val="0"/>
              <w:spacing w:line="320" w:lineRule="exact" w:after="0" w:before="0"/>
              <w:ind w:firstLine="0"/>
              <w:jc w:val="left"/>
            </w:pPr>
            <w:r>
              <w:rPr>
                <w:b w:val="0"/>
                <w:sz w:val="21"/>
              </w:rPr>
              <w:t>运输、交接及业务状态一致</w:t>
            </w:r>
          </w:p>
        </w:tc>
      </w:tr>
      <w:tr>
        <w:trPr>
          <w:cantSplit/>
        </w:trPr>
        <w:tc>
          <w:tcPr>
            <w:tcW w:type="dxa" w:w="1638"/>
            <w:vAlign w:val="center"/>
          </w:tcPr>
          <w:p>
            <w:pPr>
              <w:keepNext w:val="0"/>
              <w:spacing w:line="320" w:lineRule="exact" w:after="0" w:before="0"/>
              <w:ind w:firstLine="0"/>
              <w:jc w:val="left"/>
            </w:pPr>
            <w:r>
              <w:rPr>
                <w:b w:val="0"/>
                <w:sz w:val="21"/>
              </w:rPr>
              <w:t>EMS</w:t>
            </w:r>
          </w:p>
        </w:tc>
        <w:tc>
          <w:tcPr>
            <w:tcW w:type="dxa" w:w="2699"/>
            <w:vAlign w:val="center"/>
          </w:tcPr>
          <w:p>
            <w:pPr>
              <w:keepNext w:val="0"/>
              <w:spacing w:line="320" w:lineRule="exact" w:after="0" w:before="0"/>
              <w:ind w:firstLine="0"/>
              <w:jc w:val="left"/>
            </w:pPr>
            <w:r>
              <w:rPr>
                <w:b w:val="0"/>
                <w:sz w:val="21"/>
              </w:rPr>
              <w:t>能源计量及相关记录</w:t>
            </w:r>
          </w:p>
        </w:tc>
        <w:tc>
          <w:tcPr>
            <w:tcW w:type="dxa" w:w="2409"/>
            <w:vAlign w:val="center"/>
          </w:tcPr>
          <w:p>
            <w:pPr>
              <w:keepNext w:val="0"/>
              <w:spacing w:line="320" w:lineRule="exact" w:after="0" w:before="0"/>
              <w:ind w:firstLine="0"/>
              <w:jc w:val="left"/>
            </w:pPr>
            <w:r>
              <w:rPr>
                <w:b w:val="0"/>
                <w:sz w:val="21"/>
              </w:rPr>
              <w:t>计量点、周期、单位和采集边界</w:t>
            </w:r>
          </w:p>
        </w:tc>
        <w:tc>
          <w:tcPr>
            <w:tcW w:type="dxa" w:w="2891"/>
            <w:vAlign w:val="center"/>
          </w:tcPr>
          <w:p>
            <w:pPr>
              <w:keepNext w:val="0"/>
              <w:spacing w:line="320" w:lineRule="exact" w:after="0" w:before="0"/>
              <w:ind w:firstLine="0"/>
              <w:jc w:val="left"/>
            </w:pPr>
            <w:r>
              <w:rPr>
                <w:b w:val="0"/>
                <w:sz w:val="21"/>
              </w:rPr>
              <w:t>能耗与设备、工序时段对应</w:t>
            </w:r>
          </w:p>
        </w:tc>
      </w:tr>
      <w:tr>
        <w:trPr>
          <w:cantSplit/>
        </w:trPr>
        <w:tc>
          <w:tcPr>
            <w:tcW w:type="dxa" w:w="1638"/>
            <w:vAlign w:val="center"/>
          </w:tcPr>
          <w:p>
            <w:pPr>
              <w:keepNext w:val="0"/>
              <w:spacing w:line="320" w:lineRule="exact" w:after="0" w:before="0"/>
              <w:ind w:firstLine="0"/>
              <w:jc w:val="left"/>
            </w:pPr>
            <w:r>
              <w:rPr>
                <w:b w:val="0"/>
                <w:sz w:val="21"/>
              </w:rPr>
              <w:t>SOS</w:t>
            </w:r>
          </w:p>
        </w:tc>
        <w:tc>
          <w:tcPr>
            <w:tcW w:type="dxa" w:w="2699"/>
            <w:vAlign w:val="center"/>
          </w:tcPr>
          <w:p>
            <w:pPr>
              <w:keepNext w:val="0"/>
              <w:spacing w:line="320" w:lineRule="exact" w:after="0" w:before="0"/>
              <w:ind w:firstLine="0"/>
              <w:jc w:val="left"/>
            </w:pPr>
            <w:r>
              <w:rPr>
                <w:b w:val="0"/>
                <w:sz w:val="21"/>
              </w:rPr>
              <w:t>运维服务对象及处置</w:t>
            </w:r>
          </w:p>
        </w:tc>
        <w:tc>
          <w:tcPr>
            <w:tcW w:type="dxa" w:w="2409"/>
            <w:vAlign w:val="center"/>
          </w:tcPr>
          <w:p>
            <w:pPr>
              <w:keepNext w:val="0"/>
              <w:spacing w:line="320" w:lineRule="exact" w:after="0" w:before="0"/>
              <w:ind w:firstLine="0"/>
              <w:jc w:val="left"/>
            </w:pPr>
            <w:r>
              <w:rPr>
                <w:b w:val="0"/>
                <w:sz w:val="21"/>
              </w:rPr>
              <w:t>实际模块、服务对象和事件</w:t>
            </w:r>
          </w:p>
        </w:tc>
        <w:tc>
          <w:tcPr>
            <w:tcW w:type="dxa" w:w="2891"/>
            <w:vAlign w:val="center"/>
          </w:tcPr>
          <w:p>
            <w:pPr>
              <w:keepNext w:val="0"/>
              <w:spacing w:line="320" w:lineRule="exact" w:after="0" w:before="0"/>
              <w:ind w:firstLine="0"/>
              <w:jc w:val="left"/>
            </w:pPr>
            <w:r>
              <w:rPr>
                <w:b w:val="0"/>
                <w:sz w:val="21"/>
              </w:rPr>
              <w:t>服务、故障、维修和结果关系</w:t>
            </w:r>
          </w:p>
        </w:tc>
      </w:tr>
      <w:tr>
        <w:trPr>
          <w:cantSplit/>
        </w:trPr>
        <w:tc>
          <w:tcPr>
            <w:tcW w:type="dxa" w:w="1638"/>
            <w:vAlign w:val="center"/>
          </w:tcPr>
          <w:p>
            <w:pPr>
              <w:keepNext w:val="0"/>
              <w:spacing w:line="320" w:lineRule="exact" w:after="0" w:before="0"/>
              <w:ind w:firstLine="0"/>
              <w:jc w:val="left"/>
            </w:pPr>
            <w:r>
              <w:rPr>
                <w:b w:val="0"/>
                <w:sz w:val="21"/>
              </w:rPr>
              <w:t>EAM</w:t>
            </w:r>
          </w:p>
        </w:tc>
        <w:tc>
          <w:tcPr>
            <w:tcW w:type="dxa" w:w="2699"/>
            <w:vAlign w:val="center"/>
          </w:tcPr>
          <w:p>
            <w:pPr>
              <w:keepNext w:val="0"/>
              <w:spacing w:line="320" w:lineRule="exact" w:after="0" w:before="0"/>
              <w:ind w:firstLine="0"/>
              <w:jc w:val="left"/>
            </w:pPr>
            <w:r>
              <w:rPr>
                <w:b w:val="0"/>
                <w:sz w:val="21"/>
              </w:rPr>
              <w:t>设备台账及维护履历</w:t>
            </w:r>
          </w:p>
        </w:tc>
        <w:tc>
          <w:tcPr>
            <w:tcW w:type="dxa" w:w="2409"/>
            <w:vAlign w:val="center"/>
          </w:tcPr>
          <w:p>
            <w:pPr>
              <w:keepNext w:val="0"/>
              <w:spacing w:line="320" w:lineRule="exact" w:after="0" w:before="0"/>
              <w:ind w:firstLine="0"/>
              <w:jc w:val="left"/>
            </w:pPr>
            <w:r>
              <w:rPr>
                <w:b w:val="0"/>
                <w:sz w:val="21"/>
              </w:rPr>
              <w:t>设备层级、部件与变更记录</w:t>
            </w:r>
          </w:p>
        </w:tc>
        <w:tc>
          <w:tcPr>
            <w:tcW w:type="dxa" w:w="2891"/>
            <w:vAlign w:val="center"/>
          </w:tcPr>
          <w:p>
            <w:pPr>
              <w:keepNext w:val="0"/>
              <w:spacing w:line="320" w:lineRule="exact" w:after="0" w:before="0"/>
              <w:ind w:firstLine="0"/>
              <w:jc w:val="left"/>
            </w:pPr>
            <w:r>
              <w:rPr>
                <w:b w:val="0"/>
                <w:sz w:val="21"/>
              </w:rPr>
              <w:t>维修前后对象及测点有效期</w:t>
            </w:r>
          </w:p>
        </w:tc>
      </w:tr>
      <w:tr>
        <w:trPr>
          <w:cantSplit/>
        </w:trPr>
        <w:tc>
          <w:tcPr>
            <w:tcW w:type="dxa" w:w="1638"/>
            <w:vAlign w:val="center"/>
          </w:tcPr>
          <w:p>
            <w:pPr>
              <w:keepNext w:val="0"/>
              <w:spacing w:line="320" w:lineRule="exact" w:after="0" w:before="0"/>
              <w:ind w:firstLine="0"/>
              <w:jc w:val="left"/>
            </w:pPr>
            <w:r>
              <w:rPr>
                <w:b w:val="0"/>
                <w:sz w:val="21"/>
              </w:rPr>
              <w:t>PLM</w:t>
            </w:r>
          </w:p>
        </w:tc>
        <w:tc>
          <w:tcPr>
            <w:tcW w:type="dxa" w:w="2699"/>
            <w:vAlign w:val="center"/>
          </w:tcPr>
          <w:p>
            <w:pPr>
              <w:keepNext w:val="0"/>
              <w:spacing w:line="320" w:lineRule="exact" w:after="0" w:before="0"/>
              <w:ind w:firstLine="0"/>
              <w:jc w:val="left"/>
            </w:pPr>
            <w:r>
              <w:rPr>
                <w:b w:val="0"/>
                <w:sz w:val="21"/>
              </w:rPr>
              <w:t>产品结构、图纸与工艺</w:t>
            </w:r>
          </w:p>
        </w:tc>
        <w:tc>
          <w:tcPr>
            <w:tcW w:type="dxa" w:w="2409"/>
            <w:vAlign w:val="center"/>
          </w:tcPr>
          <w:p>
            <w:pPr>
              <w:keepNext w:val="0"/>
              <w:spacing w:line="320" w:lineRule="exact" w:after="0" w:before="0"/>
              <w:ind w:firstLine="0"/>
              <w:jc w:val="left"/>
            </w:pPr>
            <w:r>
              <w:rPr>
                <w:b w:val="0"/>
                <w:sz w:val="21"/>
              </w:rPr>
              <w:t>发布状态、版本及引用关系</w:t>
            </w:r>
          </w:p>
        </w:tc>
        <w:tc>
          <w:tcPr>
            <w:tcW w:type="dxa" w:w="2891"/>
            <w:vAlign w:val="center"/>
          </w:tcPr>
          <w:p>
            <w:pPr>
              <w:keepNext w:val="0"/>
              <w:spacing w:line="320" w:lineRule="exact" w:after="0" w:before="0"/>
              <w:ind w:firstLine="0"/>
              <w:jc w:val="left"/>
            </w:pPr>
            <w:r>
              <w:rPr>
                <w:b w:val="0"/>
                <w:sz w:val="21"/>
              </w:rPr>
              <w:t>技术文件与执行对象关联</w:t>
            </w:r>
          </w:p>
        </w:tc>
      </w:tr>
      <w:tr>
        <w:trPr>
          <w:cantSplit/>
        </w:trPr>
        <w:tc>
          <w:tcPr>
            <w:tcW w:type="dxa" w:w="1638"/>
            <w:vAlign w:val="center"/>
          </w:tcPr>
          <w:p>
            <w:pPr>
              <w:keepNext w:val="0"/>
              <w:spacing w:line="320" w:lineRule="exact" w:after="0" w:before="0"/>
              <w:ind w:firstLine="0"/>
              <w:jc w:val="left"/>
            </w:pPr>
            <w:r>
              <w:rPr>
                <w:b w:val="0"/>
                <w:sz w:val="21"/>
              </w:rPr>
              <w:t>SCADA</w:t>
            </w:r>
          </w:p>
        </w:tc>
        <w:tc>
          <w:tcPr>
            <w:tcW w:type="dxa" w:w="2699"/>
            <w:vAlign w:val="center"/>
          </w:tcPr>
          <w:p>
            <w:pPr>
              <w:keepNext w:val="0"/>
              <w:spacing w:line="320" w:lineRule="exact" w:after="0" w:before="0"/>
              <w:ind w:firstLine="0"/>
              <w:jc w:val="left"/>
            </w:pPr>
            <w:r>
              <w:rPr>
                <w:b w:val="0"/>
                <w:sz w:val="21"/>
              </w:rPr>
              <w:t>测点、参数和报警</w:t>
            </w:r>
          </w:p>
        </w:tc>
        <w:tc>
          <w:tcPr>
            <w:tcW w:type="dxa" w:w="2409"/>
            <w:vAlign w:val="center"/>
          </w:tcPr>
          <w:p>
            <w:pPr>
              <w:keepNext w:val="0"/>
              <w:spacing w:line="320" w:lineRule="exact" w:after="0" w:before="0"/>
              <w:ind w:firstLine="0"/>
              <w:jc w:val="left"/>
            </w:pPr>
            <w:r>
              <w:rPr>
                <w:b w:val="0"/>
                <w:sz w:val="21"/>
              </w:rPr>
              <w:t>采样、时钟、测点配置及质量标记</w:t>
            </w:r>
          </w:p>
        </w:tc>
        <w:tc>
          <w:tcPr>
            <w:tcW w:type="dxa" w:w="2891"/>
            <w:vAlign w:val="center"/>
          </w:tcPr>
          <w:p>
            <w:pPr>
              <w:keepNext w:val="0"/>
              <w:spacing w:line="320" w:lineRule="exact" w:after="0" w:before="0"/>
              <w:ind w:firstLine="0"/>
              <w:jc w:val="left"/>
            </w:pPr>
            <w:r>
              <w:rPr>
                <w:b w:val="0"/>
                <w:sz w:val="21"/>
              </w:rPr>
              <w:t>时间连续性、单位和事件对齐</w:t>
            </w:r>
          </w:p>
        </w:tc>
      </w:tr>
      <w:tr>
        <w:trPr>
          <w:cantSplit/>
        </w:trPr>
        <w:tc>
          <w:tcPr>
            <w:tcW w:type="dxa" w:w="1638"/>
            <w:vAlign w:val="center"/>
          </w:tcPr>
          <w:p>
            <w:pPr>
              <w:keepNext w:val="0"/>
              <w:spacing w:line="320" w:lineRule="exact" w:after="0" w:before="0"/>
              <w:ind w:firstLine="0"/>
              <w:jc w:val="left"/>
            </w:pPr>
            <w:r>
              <w:rPr>
                <w:b w:val="0"/>
                <w:sz w:val="21"/>
              </w:rPr>
              <w:t>OA</w:t>
            </w:r>
          </w:p>
        </w:tc>
        <w:tc>
          <w:tcPr>
            <w:tcW w:type="dxa" w:w="2699"/>
            <w:vAlign w:val="center"/>
          </w:tcPr>
          <w:p>
            <w:pPr>
              <w:keepNext w:val="0"/>
              <w:spacing w:line="320" w:lineRule="exact" w:after="0" w:before="0"/>
              <w:ind w:firstLine="0"/>
              <w:jc w:val="left"/>
            </w:pPr>
            <w:r>
              <w:rPr>
                <w:b w:val="0"/>
                <w:sz w:val="21"/>
              </w:rPr>
              <w:t>制度、合同与审批材料</w:t>
            </w:r>
          </w:p>
        </w:tc>
        <w:tc>
          <w:tcPr>
            <w:tcW w:type="dxa" w:w="2409"/>
            <w:vAlign w:val="center"/>
          </w:tcPr>
          <w:p>
            <w:pPr>
              <w:keepNext w:val="0"/>
              <w:spacing w:line="320" w:lineRule="exact" w:after="0" w:before="0"/>
              <w:ind w:firstLine="0"/>
              <w:jc w:val="left"/>
            </w:pPr>
            <w:r>
              <w:rPr>
                <w:b w:val="0"/>
                <w:sz w:val="21"/>
              </w:rPr>
              <w:t>发布、生效、废止和附件范围</w:t>
            </w:r>
          </w:p>
        </w:tc>
        <w:tc>
          <w:tcPr>
            <w:tcW w:type="dxa" w:w="2891"/>
            <w:vAlign w:val="center"/>
          </w:tcPr>
          <w:p>
            <w:pPr>
              <w:keepNext w:val="0"/>
              <w:spacing w:line="320" w:lineRule="exact" w:after="0" w:before="0"/>
              <w:ind w:firstLine="0"/>
              <w:jc w:val="left"/>
            </w:pPr>
            <w:r>
              <w:rPr>
                <w:b w:val="0"/>
                <w:sz w:val="21"/>
              </w:rPr>
              <w:t>有效文件及审批依据完整</w:t>
            </w:r>
          </w:p>
        </w:tc>
      </w:tr>
      <w:tr>
        <w:trPr>
          <w:cantSplit/>
        </w:trPr>
        <w:tc>
          <w:tcPr>
            <w:tcW w:type="dxa" w:w="1638"/>
            <w:vAlign w:val="center"/>
          </w:tcPr>
          <w:p>
            <w:pPr>
              <w:keepNext w:val="0"/>
              <w:spacing w:line="320" w:lineRule="exact" w:after="0" w:before="0"/>
              <w:ind w:firstLine="0"/>
              <w:jc w:val="left"/>
            </w:pPr>
            <w:r>
              <w:rPr>
                <w:b w:val="0"/>
                <w:sz w:val="21"/>
              </w:rPr>
              <w:t>久其系统</w:t>
            </w:r>
          </w:p>
        </w:tc>
        <w:tc>
          <w:tcPr>
            <w:tcW w:type="dxa" w:w="2699"/>
            <w:vAlign w:val="center"/>
          </w:tcPr>
          <w:p>
            <w:pPr>
              <w:keepNext w:val="0"/>
              <w:spacing w:line="320" w:lineRule="exact" w:after="0" w:before="0"/>
              <w:ind w:firstLine="0"/>
              <w:jc w:val="left"/>
            </w:pPr>
            <w:r>
              <w:rPr>
                <w:b w:val="0"/>
                <w:sz w:val="21"/>
              </w:rPr>
              <w:t>报表与经营管理数据</w:t>
            </w:r>
          </w:p>
        </w:tc>
        <w:tc>
          <w:tcPr>
            <w:tcW w:type="dxa" w:w="2409"/>
            <w:vAlign w:val="center"/>
          </w:tcPr>
          <w:p>
            <w:pPr>
              <w:keepNext w:val="0"/>
              <w:spacing w:line="320" w:lineRule="exact" w:after="0" w:before="0"/>
              <w:ind w:firstLine="0"/>
              <w:jc w:val="left"/>
            </w:pPr>
            <w:r>
              <w:rPr>
                <w:b w:val="0"/>
                <w:sz w:val="21"/>
              </w:rPr>
              <w:t>统计口径、期间和报送范围</w:t>
            </w:r>
          </w:p>
        </w:tc>
        <w:tc>
          <w:tcPr>
            <w:tcW w:type="dxa" w:w="2891"/>
            <w:vAlign w:val="center"/>
          </w:tcPr>
          <w:p>
            <w:pPr>
              <w:keepNext w:val="0"/>
              <w:spacing w:line="320" w:lineRule="exact" w:after="0" w:before="0"/>
              <w:ind w:firstLine="0"/>
              <w:jc w:val="left"/>
            </w:pPr>
            <w:r>
              <w:rPr>
                <w:b w:val="0"/>
                <w:sz w:val="21"/>
              </w:rPr>
              <w:t>汇总结果与明细、修订对应</w:t>
            </w:r>
          </w:p>
        </w:tc>
      </w:tr>
      <w:tr>
        <w:trPr>
          <w:cantSplit/>
        </w:trPr>
        <w:tc>
          <w:tcPr>
            <w:tcW w:type="dxa" w:w="1638"/>
            <w:vAlign w:val="center"/>
          </w:tcPr>
          <w:p>
            <w:pPr>
              <w:keepNext w:val="0"/>
              <w:spacing w:line="320" w:lineRule="exact" w:after="0" w:before="0"/>
              <w:ind w:firstLine="0"/>
              <w:jc w:val="left"/>
            </w:pPr>
            <w:r>
              <w:rPr>
                <w:b w:val="0"/>
                <w:sz w:val="21"/>
              </w:rPr>
              <w:t>主数据管理平台</w:t>
            </w:r>
          </w:p>
        </w:tc>
        <w:tc>
          <w:tcPr>
            <w:tcW w:type="dxa" w:w="2699"/>
            <w:vAlign w:val="center"/>
          </w:tcPr>
          <w:p>
            <w:pPr>
              <w:keepNext w:val="0"/>
              <w:spacing w:line="320" w:lineRule="exact" w:after="0" w:before="0"/>
              <w:ind w:firstLine="0"/>
              <w:jc w:val="left"/>
            </w:pPr>
            <w:r>
              <w:rPr>
                <w:b w:val="0"/>
                <w:sz w:val="21"/>
              </w:rPr>
              <w:t>编码、主数据及映射</w:t>
            </w:r>
          </w:p>
        </w:tc>
        <w:tc>
          <w:tcPr>
            <w:tcW w:type="dxa" w:w="2409"/>
            <w:vAlign w:val="center"/>
          </w:tcPr>
          <w:p>
            <w:pPr>
              <w:keepNext w:val="0"/>
              <w:spacing w:line="320" w:lineRule="exact" w:after="0" w:before="0"/>
              <w:ind w:firstLine="0"/>
              <w:jc w:val="left"/>
            </w:pPr>
            <w:r>
              <w:rPr>
                <w:b w:val="0"/>
                <w:sz w:val="21"/>
              </w:rPr>
              <w:t>权威源、分发、合并和停用</w:t>
            </w:r>
          </w:p>
        </w:tc>
        <w:tc>
          <w:tcPr>
            <w:tcW w:type="dxa" w:w="2891"/>
            <w:vAlign w:val="center"/>
          </w:tcPr>
          <w:p>
            <w:pPr>
              <w:keepNext w:val="0"/>
              <w:spacing w:line="320" w:lineRule="exact" w:after="0" w:before="0"/>
              <w:ind w:firstLine="0"/>
              <w:jc w:val="left"/>
            </w:pPr>
            <w:r>
              <w:rPr>
                <w:b w:val="0"/>
                <w:sz w:val="21"/>
              </w:rPr>
              <w:t>主标识、历史关系及下游一致</w:t>
            </w:r>
          </w:p>
        </w:tc>
      </w:tr>
      <w:tr>
        <w:trPr>
          <w:cantSplit/>
        </w:trPr>
        <w:tc>
          <w:tcPr>
            <w:tcW w:type="dxa" w:w="1638"/>
            <w:vAlign w:val="center"/>
          </w:tcPr>
          <w:p>
            <w:pPr>
              <w:keepNext w:val="0"/>
              <w:spacing w:line="320" w:lineRule="exact" w:after="0" w:before="0"/>
              <w:ind w:firstLine="0"/>
              <w:jc w:val="left"/>
            </w:pPr>
            <w:r>
              <w:rPr>
                <w:b w:val="0"/>
                <w:sz w:val="21"/>
              </w:rPr>
              <w:t>热处理群控系统</w:t>
            </w:r>
          </w:p>
        </w:tc>
        <w:tc>
          <w:tcPr>
            <w:tcW w:type="dxa" w:w="2699"/>
            <w:vAlign w:val="center"/>
          </w:tcPr>
          <w:p>
            <w:pPr>
              <w:keepNext w:val="0"/>
              <w:spacing w:line="320" w:lineRule="exact" w:after="0" w:before="0"/>
              <w:ind w:firstLine="0"/>
              <w:jc w:val="left"/>
            </w:pPr>
            <w:r>
              <w:rPr>
                <w:b w:val="0"/>
                <w:sz w:val="21"/>
              </w:rPr>
              <w:t>炉次、装炉、执行与曲线</w:t>
            </w:r>
          </w:p>
        </w:tc>
        <w:tc>
          <w:tcPr>
            <w:tcW w:type="dxa" w:w="2409"/>
            <w:vAlign w:val="center"/>
          </w:tcPr>
          <w:p>
            <w:pPr>
              <w:keepNext w:val="0"/>
              <w:spacing w:line="320" w:lineRule="exact" w:after="0" w:before="0"/>
              <w:ind w:firstLine="0"/>
              <w:jc w:val="left"/>
            </w:pPr>
            <w:r>
              <w:rPr>
                <w:b w:val="0"/>
                <w:sz w:val="21"/>
              </w:rPr>
              <w:t>工艺版本、装炉对象和时间</w:t>
            </w:r>
          </w:p>
        </w:tc>
        <w:tc>
          <w:tcPr>
            <w:tcW w:type="dxa" w:w="2891"/>
            <w:vAlign w:val="center"/>
          </w:tcPr>
          <w:p>
            <w:pPr>
              <w:keepNext w:val="0"/>
              <w:spacing w:line="320" w:lineRule="exact" w:after="0" w:before="0"/>
              <w:ind w:firstLine="0"/>
              <w:jc w:val="left"/>
            </w:pPr>
            <w:r>
              <w:rPr>
                <w:b w:val="0"/>
                <w:sz w:val="21"/>
              </w:rPr>
              <w:t>设定实际曲线及检验关联</w:t>
            </w:r>
          </w:p>
        </w:tc>
      </w:tr>
      <w:tr>
        <w:trPr>
          <w:cantSplit/>
        </w:trPr>
        <w:tc>
          <w:tcPr>
            <w:tcW w:type="dxa" w:w="1638"/>
            <w:vAlign w:val="center"/>
          </w:tcPr>
          <w:p>
            <w:pPr>
              <w:keepNext w:val="0"/>
              <w:spacing w:line="320" w:lineRule="exact" w:after="0" w:before="0"/>
              <w:ind w:firstLine="0"/>
              <w:jc w:val="left"/>
            </w:pPr>
            <w:r>
              <w:rPr>
                <w:b w:val="0"/>
                <w:sz w:val="21"/>
              </w:rPr>
              <w:t>安全监管平台</w:t>
            </w:r>
          </w:p>
        </w:tc>
        <w:tc>
          <w:tcPr>
            <w:tcW w:type="dxa" w:w="2699"/>
            <w:vAlign w:val="center"/>
          </w:tcPr>
          <w:p>
            <w:pPr>
              <w:keepNext w:val="0"/>
              <w:spacing w:line="320" w:lineRule="exact" w:after="0" w:before="0"/>
              <w:ind w:firstLine="0"/>
              <w:jc w:val="left"/>
            </w:pPr>
            <w:r>
              <w:rPr>
                <w:b w:val="0"/>
                <w:sz w:val="21"/>
              </w:rPr>
              <w:t>安全资料及相关记录</w:t>
            </w:r>
          </w:p>
        </w:tc>
        <w:tc>
          <w:tcPr>
            <w:tcW w:type="dxa" w:w="2409"/>
            <w:vAlign w:val="center"/>
          </w:tcPr>
          <w:p>
            <w:pPr>
              <w:keepNext w:val="0"/>
              <w:spacing w:line="320" w:lineRule="exact" w:after="0" w:before="0"/>
              <w:ind w:firstLine="0"/>
              <w:jc w:val="left"/>
            </w:pPr>
            <w:r>
              <w:rPr>
                <w:b w:val="0"/>
                <w:sz w:val="21"/>
              </w:rPr>
              <w:t>用途、敏感、授权与采集范围</w:t>
            </w:r>
          </w:p>
        </w:tc>
        <w:tc>
          <w:tcPr>
            <w:tcW w:type="dxa" w:w="2891"/>
            <w:vAlign w:val="center"/>
          </w:tcPr>
          <w:p>
            <w:pPr>
              <w:keepNext w:val="0"/>
              <w:spacing w:line="320" w:lineRule="exact" w:after="0" w:before="0"/>
              <w:ind w:firstLine="0"/>
              <w:jc w:val="left"/>
            </w:pPr>
            <w:r>
              <w:rPr>
                <w:b w:val="0"/>
                <w:sz w:val="21"/>
              </w:rPr>
              <w:t>访问范围、内容完整及审计</w:t>
            </w:r>
          </w:p>
        </w:tc>
      </w:tr>
    </w:tbl>
    <w:p>
      <w:pPr>
        <w:spacing w:after="40" w:line="240" w:lineRule="auto"/>
        <w:ind w:firstLine="0"/>
      </w:pPr>
      <w:r>
        <w:rPr>
          <w:sz w:val="4"/>
        </w:rPr>
      </w:r>
    </w:p>
    <w:p>
      <w:pPr>
        <w:pStyle w:val="Heading3"/>
      </w:pPr>
      <w:r>
        <w:t>2.5.2 架构及元数据统筹</w:t>
      </w:r>
    </w:p>
    <w:p>
      <w:pPr>
        <w:jc w:val="both"/>
      </w:pPr>
      <w:r>
        <w:t>数据模型采用贴源层 ODS、明细层 DWD、汇总层 DWS、维表层 DIM、应用层 ADS 的分层结构，分别承担原始接收、对象标准化、主题汇总、公共维度和使用服务。模型设计先确认业务对象、粒度、键和时间语义，再确定字段与加工方式。历史数据和有效期变化纳入统一设计，能够还原特定时间的业务状态。</w:t>
      </w:r>
    </w:p>
    <w:p>
      <w:pPr>
        <w:jc w:val="both"/>
      </w:pPr>
      <w:r>
        <w:t>元数据覆盖业务、技术和管理三类内容。业务元数据说明含义、责任、用途和质量要求，技术元数据定位系统、表、文件、接口、字段及作业，管理元数据记录授权、版本、检查、保留和状态。血缘关系连接来源、转换、规则、模型、指标、数据集和服务，变更时据此识别影响范围。</w:t>
      </w:r>
    </w:p>
    <w:p>
      <w:pPr>
        <w:jc w:val="both"/>
      </w:pPr>
      <w:r>
        <w:t>数据治理平台承担数据汇聚、处理、标准、质量、安全、生存周期、元数据、资产和服务等实施能力，相关配置应与治理文件对应。数据集生产根据训练与验证用途执行样本加工，运营平台根据发布与使用要求执行目录、授权、版本和服务管理。不同环节共享资源标识与版本，保留各自作业目标和结果。</w:t>
      </w:r>
    </w:p>
    <w:p>
      <w:pPr>
        <w:pStyle w:val="Heading2"/>
      </w:pPr>
      <w:r>
        <w:t>2.6 四大数据集供给战略</w:t>
      </w:r>
    </w:p>
    <w:p>
      <w:pPr>
        <w:pStyle w:val="Heading3"/>
      </w:pPr>
      <w:r>
        <w:t>2.6.1 领域供给重点</w:t>
      </w:r>
    </w:p>
    <w:p>
      <w:pPr>
        <w:jc w:val="both"/>
      </w:pPr>
      <w:r>
        <w:t>供需计划数据集围绕需求、供给、库存、交期和业务约束组织内容。订单计划、供应商交付、物料和库存状态按实际时点关联，业务规则及历史决策保留适用条件。供给同时包含业务文本、结构化记录及可验证的任务材料，支持需求理解、规则检索、计划分析和相关验证场景。</w:t>
      </w:r>
    </w:p>
    <w:p>
      <w:pPr>
        <w:jc w:val="both"/>
      </w:pPr>
      <w:r>
        <w:t>产品工艺设计数据集围绕产品技术参数、图纸、材料、工艺路线、工序条件和技术标准组织内容。图纸和文字说明共同保留尺寸、公差、单位与版本，历史工艺样本通过专业校核后形成可复用任务。数据加工保持图工对应和过程条件，使训练答案能够追溯到有效技术依据。</w:t>
      </w:r>
    </w:p>
    <w:p>
      <w:pPr>
        <w:jc w:val="both"/>
      </w:pPr>
      <w:r>
        <w:t>制造过程数据集围绕工件、工序、设备、参数、时序、影像及异常处置组织内容。过程记录关联实际执行对象，时间轴和测点单位经过核验。热处理、焊接及设备运行数据保留工况、阶段和结果，使过程分析与诊断任务具有完整业务上下文。</w:t>
      </w:r>
    </w:p>
    <w:p>
      <w:pPr>
        <w:jc w:val="both"/>
      </w:pPr>
      <w:r>
        <w:t>产品质量数据集围绕检验依据、测量、缺陷、图像、质量判定、返修及复检组织内容。不同检验位置、阶段和对象分别登记，缺陷标注经过专业复核。质量结论与有效标准、过程条件和处置结果关联，为质量知识、缺陷分析和验证任务提供依据。</w:t>
      </w:r>
    </w:p>
    <w:p>
      <w:pPr>
        <w:pStyle w:val="Heading3"/>
      </w:pPr>
      <w:r>
        <w:t>2.6.2 用途组织及发布条件</w:t>
      </w:r>
    </w:p>
    <w:p>
      <w:pPr>
        <w:jc w:val="both"/>
      </w:pPr>
      <w:r>
        <w:t>四个领域分别形成预训练、指令微调、偏好对齐和基准评测子集。预训练保留有效知识及必要上下文，指令微调围绕完整任务形成输入与可信回答，偏好对齐保留比较对象、判优理由及适用规则，基准评测围绕独立真实任务保留题目、答案、判据和隔离记录。来源家族在加工前划分，派生内容继承相应分区约束。</w:t>
      </w:r>
    </w:p>
    <w:p>
      <w:pPr>
        <w:jc w:val="both"/>
      </w:pPr>
      <w:r>
        <w:t>生产规划按来源、对象难度、模态和用途制定批次，预估不合格剔除、去重及许可处理的损耗并安排补充。交付规模采用通过规定检查后的净量，过程处理量另行记录。每轮补充均重新核对来源、质量、合成增强比例及分布，临近验收的新批次执行同等检查。</w:t>
      </w:r>
    </w:p>
    <w:p>
      <w:pPr>
        <w:jc w:val="both"/>
      </w:pPr>
      <w:r>
        <w:t>数据卡按 A 至 G 七组84字段组织，四张领域汇总卡与十六张用途子集卡分别维护。卡片与数据、来源、质检、模型验证、正式评测及许可档案保持同一版本关系。发布审核检查规模、模态、时间、权利、质量和资料完整性，达到要求后形成正式封装及接收记录。</w:t>
      </w:r>
    </w:p>
    <w:p>
      <w:pPr>
        <w:pStyle w:val="Caption"/>
        <w:keepNext/>
      </w:pPr>
      <w:r>
        <w:t>表2-7 用途组织及发布条件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供给环节</w:t>
            </w:r>
          </w:p>
        </w:tc>
        <w:tc>
          <w:tcPr>
            <w:tcW w:type="dxa" w:w="2699"/>
            <w:vAlign w:val="center"/>
            <w:shd w:fill="EDF1F3"/>
          </w:tcPr>
          <w:p>
            <w:pPr>
              <w:keepNext/>
              <w:spacing w:line="320" w:lineRule="exact" w:after="0" w:before="0"/>
              <w:ind w:firstLine="0"/>
              <w:jc w:val="center"/>
            </w:pPr>
            <w:r>
              <w:rPr>
                <w:b/>
                <w:sz w:val="21"/>
              </w:rPr>
              <w:t>主要动作</w:t>
            </w:r>
          </w:p>
        </w:tc>
        <w:tc>
          <w:tcPr>
            <w:tcW w:type="dxa" w:w="2409"/>
            <w:vAlign w:val="center"/>
            <w:shd w:fill="EDF1F3"/>
          </w:tcPr>
          <w:p>
            <w:pPr>
              <w:keepNext/>
              <w:spacing w:line="320" w:lineRule="exact" w:after="0" w:before="0"/>
              <w:ind w:firstLine="0"/>
              <w:jc w:val="center"/>
            </w:pPr>
            <w:r>
              <w:rPr>
                <w:b/>
                <w:sz w:val="21"/>
              </w:rPr>
              <w:t>关键控制</w:t>
            </w:r>
          </w:p>
        </w:tc>
        <w:tc>
          <w:tcPr>
            <w:tcW w:type="dxa" w:w="2891"/>
            <w:vAlign w:val="center"/>
            <w:shd w:fill="EDF1F3"/>
          </w:tcPr>
          <w:p>
            <w:pPr>
              <w:keepNext/>
              <w:spacing w:line="320" w:lineRule="exact" w:after="0" w:before="0"/>
              <w:ind w:firstLine="0"/>
              <w:jc w:val="center"/>
            </w:pPr>
            <w:r>
              <w:rPr>
                <w:b/>
                <w:sz w:val="21"/>
              </w:rPr>
              <w:t>输出到下游的材料</w:t>
            </w:r>
          </w:p>
        </w:tc>
      </w:tr>
      <w:tr>
        <w:trPr>
          <w:cantSplit/>
        </w:trPr>
        <w:tc>
          <w:tcPr>
            <w:tcW w:type="dxa" w:w="1638"/>
            <w:vAlign w:val="center"/>
          </w:tcPr>
          <w:p>
            <w:pPr>
              <w:keepNext w:val="0"/>
              <w:spacing w:line="320" w:lineRule="exact" w:after="0" w:before="0"/>
              <w:ind w:firstLine="0"/>
              <w:jc w:val="left"/>
            </w:pPr>
            <w:r>
              <w:rPr>
                <w:b w:val="0"/>
                <w:sz w:val="21"/>
              </w:rPr>
              <w:t>需求确认</w:t>
            </w:r>
          </w:p>
        </w:tc>
        <w:tc>
          <w:tcPr>
            <w:tcW w:type="dxa" w:w="2699"/>
            <w:vAlign w:val="center"/>
          </w:tcPr>
          <w:p>
            <w:pPr>
              <w:keepNext w:val="0"/>
              <w:spacing w:line="320" w:lineRule="exact" w:after="0" w:before="0"/>
              <w:ind w:firstLine="0"/>
              <w:jc w:val="left"/>
            </w:pPr>
            <w:r>
              <w:rPr>
                <w:b w:val="0"/>
                <w:sz w:val="21"/>
              </w:rPr>
              <w:t>分解领域、用途和场景任务</w:t>
            </w:r>
          </w:p>
        </w:tc>
        <w:tc>
          <w:tcPr>
            <w:tcW w:type="dxa" w:w="2409"/>
            <w:vAlign w:val="center"/>
          </w:tcPr>
          <w:p>
            <w:pPr>
              <w:keepNext w:val="0"/>
              <w:spacing w:line="320" w:lineRule="exact" w:after="0" w:before="0"/>
              <w:ind w:firstLine="0"/>
              <w:jc w:val="left"/>
            </w:pPr>
            <w:r>
              <w:rPr>
                <w:b w:val="0"/>
                <w:sz w:val="21"/>
              </w:rPr>
              <w:t>业务条件、判据、数量和权限明确</w:t>
            </w:r>
          </w:p>
        </w:tc>
        <w:tc>
          <w:tcPr>
            <w:tcW w:type="dxa" w:w="2891"/>
            <w:vAlign w:val="center"/>
          </w:tcPr>
          <w:p>
            <w:pPr>
              <w:keepNext w:val="0"/>
              <w:spacing w:line="320" w:lineRule="exact" w:after="0" w:before="0"/>
              <w:ind w:firstLine="0"/>
              <w:jc w:val="left"/>
            </w:pPr>
            <w:r>
              <w:rPr>
                <w:b w:val="0"/>
                <w:sz w:val="21"/>
              </w:rPr>
              <w:t>需求及对象清单</w:t>
            </w:r>
          </w:p>
        </w:tc>
      </w:tr>
      <w:tr>
        <w:trPr>
          <w:cantSplit/>
        </w:trPr>
        <w:tc>
          <w:tcPr>
            <w:tcW w:type="dxa" w:w="1638"/>
            <w:vAlign w:val="center"/>
          </w:tcPr>
          <w:p>
            <w:pPr>
              <w:keepNext w:val="0"/>
              <w:spacing w:line="320" w:lineRule="exact" w:after="0" w:before="0"/>
              <w:ind w:firstLine="0"/>
              <w:jc w:val="left"/>
            </w:pPr>
            <w:r>
              <w:rPr>
                <w:b w:val="0"/>
                <w:sz w:val="21"/>
              </w:rPr>
              <w:t>来源准备</w:t>
            </w:r>
          </w:p>
        </w:tc>
        <w:tc>
          <w:tcPr>
            <w:tcW w:type="dxa" w:w="2699"/>
            <w:vAlign w:val="center"/>
          </w:tcPr>
          <w:p>
            <w:pPr>
              <w:keepNext w:val="0"/>
              <w:spacing w:line="320" w:lineRule="exact" w:after="0" w:before="0"/>
              <w:ind w:firstLine="0"/>
              <w:jc w:val="left"/>
            </w:pPr>
            <w:r>
              <w:rPr>
                <w:b w:val="0"/>
                <w:sz w:val="21"/>
              </w:rPr>
              <w:t>接收、盘点和权利核验</w:t>
            </w:r>
          </w:p>
        </w:tc>
        <w:tc>
          <w:tcPr>
            <w:tcW w:type="dxa" w:w="2409"/>
            <w:vAlign w:val="center"/>
          </w:tcPr>
          <w:p>
            <w:pPr>
              <w:keepNext w:val="0"/>
              <w:spacing w:line="320" w:lineRule="exact" w:after="0" w:before="0"/>
              <w:ind w:firstLine="0"/>
              <w:jc w:val="left"/>
            </w:pPr>
            <w:r>
              <w:rPr>
                <w:b w:val="0"/>
                <w:sz w:val="21"/>
              </w:rPr>
              <w:t>真实来源、可追溯、许可适用</w:t>
            </w:r>
          </w:p>
        </w:tc>
        <w:tc>
          <w:tcPr>
            <w:tcW w:type="dxa" w:w="2891"/>
            <w:vAlign w:val="center"/>
          </w:tcPr>
          <w:p>
            <w:pPr>
              <w:keepNext w:val="0"/>
              <w:spacing w:line="320" w:lineRule="exact" w:after="0" w:before="0"/>
              <w:ind w:firstLine="0"/>
              <w:jc w:val="left"/>
            </w:pPr>
            <w:r>
              <w:rPr>
                <w:b w:val="0"/>
                <w:sz w:val="21"/>
              </w:rPr>
              <w:t>来源批次及授权档案</w:t>
            </w:r>
          </w:p>
        </w:tc>
      </w:tr>
      <w:tr>
        <w:trPr>
          <w:cantSplit/>
        </w:trPr>
        <w:tc>
          <w:tcPr>
            <w:tcW w:type="dxa" w:w="1638"/>
            <w:vAlign w:val="center"/>
          </w:tcPr>
          <w:p>
            <w:pPr>
              <w:keepNext w:val="0"/>
              <w:spacing w:line="320" w:lineRule="exact" w:after="0" w:before="0"/>
              <w:ind w:firstLine="0"/>
              <w:jc w:val="left"/>
            </w:pPr>
            <w:r>
              <w:rPr>
                <w:b w:val="0"/>
                <w:sz w:val="21"/>
              </w:rPr>
              <w:t>治理加工</w:t>
            </w:r>
          </w:p>
        </w:tc>
        <w:tc>
          <w:tcPr>
            <w:tcW w:type="dxa" w:w="2699"/>
            <w:vAlign w:val="center"/>
          </w:tcPr>
          <w:p>
            <w:pPr>
              <w:keepNext w:val="0"/>
              <w:spacing w:line="320" w:lineRule="exact" w:after="0" w:before="0"/>
              <w:ind w:firstLine="0"/>
              <w:jc w:val="left"/>
            </w:pPr>
            <w:r>
              <w:rPr>
                <w:b w:val="0"/>
                <w:sz w:val="21"/>
              </w:rPr>
              <w:t>规则、映射、清洗和结构组织</w:t>
            </w:r>
          </w:p>
        </w:tc>
        <w:tc>
          <w:tcPr>
            <w:tcW w:type="dxa" w:w="2409"/>
            <w:vAlign w:val="center"/>
          </w:tcPr>
          <w:p>
            <w:pPr>
              <w:keepNext w:val="0"/>
              <w:spacing w:line="320" w:lineRule="exact" w:after="0" w:before="0"/>
              <w:ind w:firstLine="0"/>
              <w:jc w:val="left"/>
            </w:pPr>
            <w:r>
              <w:rPr>
                <w:b w:val="0"/>
                <w:sz w:val="21"/>
              </w:rPr>
              <w:t>业务语义、版本及关系保留</w:t>
            </w:r>
          </w:p>
        </w:tc>
        <w:tc>
          <w:tcPr>
            <w:tcW w:type="dxa" w:w="2891"/>
            <w:vAlign w:val="center"/>
          </w:tcPr>
          <w:p>
            <w:pPr>
              <w:keepNext w:val="0"/>
              <w:spacing w:line="320" w:lineRule="exact" w:after="0" w:before="0"/>
              <w:ind w:firstLine="0"/>
              <w:jc w:val="left"/>
            </w:pPr>
            <w:r>
              <w:rPr>
                <w:b w:val="0"/>
                <w:sz w:val="21"/>
              </w:rPr>
              <w:t>可用对象及加工记录</w:t>
            </w:r>
          </w:p>
        </w:tc>
      </w:tr>
      <w:tr>
        <w:trPr>
          <w:cantSplit/>
        </w:trPr>
        <w:tc>
          <w:tcPr>
            <w:tcW w:type="dxa" w:w="1638"/>
            <w:vAlign w:val="center"/>
          </w:tcPr>
          <w:p>
            <w:pPr>
              <w:keepNext w:val="0"/>
              <w:spacing w:line="320" w:lineRule="exact" w:after="0" w:before="0"/>
              <w:ind w:firstLine="0"/>
              <w:jc w:val="left"/>
            </w:pPr>
            <w:r>
              <w:rPr>
                <w:b w:val="0"/>
                <w:sz w:val="21"/>
              </w:rPr>
              <w:t>专业生产</w:t>
            </w:r>
          </w:p>
        </w:tc>
        <w:tc>
          <w:tcPr>
            <w:tcW w:type="dxa" w:w="2699"/>
            <w:vAlign w:val="center"/>
          </w:tcPr>
          <w:p>
            <w:pPr>
              <w:keepNext w:val="0"/>
              <w:spacing w:line="320" w:lineRule="exact" w:after="0" w:before="0"/>
              <w:ind w:firstLine="0"/>
              <w:jc w:val="left"/>
            </w:pPr>
            <w:r>
              <w:rPr>
                <w:b w:val="0"/>
                <w:sz w:val="21"/>
              </w:rPr>
              <w:t>标注、合成增强和用途转换</w:t>
            </w:r>
          </w:p>
        </w:tc>
        <w:tc>
          <w:tcPr>
            <w:tcW w:type="dxa" w:w="2409"/>
            <w:vAlign w:val="center"/>
          </w:tcPr>
          <w:p>
            <w:pPr>
              <w:keepNext w:val="0"/>
              <w:spacing w:line="320" w:lineRule="exact" w:after="0" w:before="0"/>
              <w:ind w:firstLine="0"/>
              <w:jc w:val="left"/>
            </w:pPr>
            <w:r>
              <w:rPr>
                <w:b w:val="0"/>
                <w:sz w:val="21"/>
              </w:rPr>
              <w:t>专业复核、比例及来源家族隔离</w:t>
            </w:r>
          </w:p>
        </w:tc>
        <w:tc>
          <w:tcPr>
            <w:tcW w:type="dxa" w:w="2891"/>
            <w:vAlign w:val="center"/>
          </w:tcPr>
          <w:p>
            <w:pPr>
              <w:keepNext w:val="0"/>
              <w:spacing w:line="320" w:lineRule="exact" w:after="0" w:before="0"/>
              <w:ind w:firstLine="0"/>
              <w:jc w:val="left"/>
            </w:pPr>
            <w:r>
              <w:rPr>
                <w:b w:val="0"/>
                <w:sz w:val="21"/>
              </w:rPr>
              <w:t>用途子集及生产台账</w:t>
            </w:r>
          </w:p>
        </w:tc>
      </w:tr>
      <w:tr>
        <w:trPr>
          <w:cantSplit/>
        </w:trPr>
        <w:tc>
          <w:tcPr>
            <w:tcW w:type="dxa" w:w="1638"/>
            <w:vAlign w:val="center"/>
          </w:tcPr>
          <w:p>
            <w:pPr>
              <w:keepNext w:val="0"/>
              <w:spacing w:line="320" w:lineRule="exact" w:after="0" w:before="0"/>
              <w:ind w:firstLine="0"/>
              <w:jc w:val="left"/>
            </w:pPr>
            <w:r>
              <w:rPr>
                <w:b w:val="0"/>
                <w:sz w:val="21"/>
              </w:rPr>
              <w:t>质检验证</w:t>
            </w:r>
          </w:p>
        </w:tc>
        <w:tc>
          <w:tcPr>
            <w:tcW w:type="dxa" w:w="2699"/>
            <w:vAlign w:val="center"/>
          </w:tcPr>
          <w:p>
            <w:pPr>
              <w:keepNext w:val="0"/>
              <w:spacing w:line="320" w:lineRule="exact" w:after="0" w:before="0"/>
              <w:ind w:firstLine="0"/>
              <w:jc w:val="left"/>
            </w:pPr>
            <w:r>
              <w:rPr>
                <w:b w:val="0"/>
                <w:sz w:val="21"/>
              </w:rPr>
              <w:t>数据检查、专家审核及训练验证</w:t>
            </w:r>
          </w:p>
        </w:tc>
        <w:tc>
          <w:tcPr>
            <w:tcW w:type="dxa" w:w="2409"/>
            <w:vAlign w:val="center"/>
          </w:tcPr>
          <w:p>
            <w:pPr>
              <w:keepNext w:val="0"/>
              <w:spacing w:line="320" w:lineRule="exact" w:after="0" w:before="0"/>
              <w:ind w:firstLine="0"/>
              <w:jc w:val="left"/>
            </w:pPr>
            <w:r>
              <w:rPr>
                <w:b w:val="0"/>
                <w:sz w:val="21"/>
              </w:rPr>
              <w:t>已知错误整改，适用模型有效对照</w:t>
            </w:r>
          </w:p>
        </w:tc>
        <w:tc>
          <w:tcPr>
            <w:tcW w:type="dxa" w:w="2891"/>
            <w:vAlign w:val="center"/>
          </w:tcPr>
          <w:p>
            <w:pPr>
              <w:keepNext w:val="0"/>
              <w:spacing w:line="320" w:lineRule="exact" w:after="0" w:before="0"/>
              <w:ind w:firstLine="0"/>
              <w:jc w:val="left"/>
            </w:pPr>
            <w:r>
              <w:rPr>
                <w:b w:val="0"/>
                <w:sz w:val="21"/>
              </w:rPr>
              <w:t>质检、验证及缺陷材料</w:t>
            </w:r>
          </w:p>
        </w:tc>
      </w:tr>
      <w:tr>
        <w:trPr>
          <w:cantSplit/>
        </w:trPr>
        <w:tc>
          <w:tcPr>
            <w:tcW w:type="dxa" w:w="1638"/>
            <w:vAlign w:val="center"/>
          </w:tcPr>
          <w:p>
            <w:pPr>
              <w:keepNext w:val="0"/>
              <w:spacing w:line="320" w:lineRule="exact" w:after="0" w:before="0"/>
              <w:ind w:firstLine="0"/>
              <w:jc w:val="left"/>
            </w:pPr>
            <w:r>
              <w:rPr>
                <w:b w:val="0"/>
                <w:sz w:val="21"/>
              </w:rPr>
              <w:t>正式评测</w:t>
            </w:r>
          </w:p>
        </w:tc>
        <w:tc>
          <w:tcPr>
            <w:tcW w:type="dxa" w:w="2699"/>
            <w:vAlign w:val="center"/>
          </w:tcPr>
          <w:p>
            <w:pPr>
              <w:keepNext w:val="0"/>
              <w:spacing w:line="320" w:lineRule="exact" w:after="0" w:before="0"/>
              <w:ind w:firstLine="0"/>
              <w:jc w:val="left"/>
            </w:pPr>
            <w:r>
              <w:rPr>
                <w:b w:val="0"/>
                <w:sz w:val="21"/>
              </w:rPr>
              <w:t>三维度81项及动态实验</w:t>
            </w:r>
          </w:p>
        </w:tc>
        <w:tc>
          <w:tcPr>
            <w:tcW w:type="dxa" w:w="2409"/>
            <w:vAlign w:val="center"/>
          </w:tcPr>
          <w:p>
            <w:pPr>
              <w:keepNext w:val="0"/>
              <w:spacing w:line="320" w:lineRule="exact" w:after="0" w:before="0"/>
              <w:ind w:firstLine="0"/>
              <w:jc w:val="left"/>
            </w:pPr>
            <w:r>
              <w:rPr>
                <w:b w:val="0"/>
                <w:sz w:val="21"/>
              </w:rPr>
              <w:t>各维与综合达标、风险清零、完整复测</w:t>
            </w:r>
          </w:p>
        </w:tc>
        <w:tc>
          <w:tcPr>
            <w:tcW w:type="dxa" w:w="2891"/>
            <w:vAlign w:val="center"/>
          </w:tcPr>
          <w:p>
            <w:pPr>
              <w:keepNext w:val="0"/>
              <w:spacing w:line="320" w:lineRule="exact" w:after="0" w:before="0"/>
              <w:ind w:firstLine="0"/>
              <w:jc w:val="left"/>
            </w:pPr>
            <w:r>
              <w:rPr>
                <w:b w:val="0"/>
                <w:sz w:val="21"/>
              </w:rPr>
              <w:t>第三方盖章报告及质量档案</w:t>
            </w:r>
          </w:p>
        </w:tc>
      </w:tr>
      <w:tr>
        <w:trPr>
          <w:cantSplit/>
        </w:trPr>
        <w:tc>
          <w:tcPr>
            <w:tcW w:type="dxa" w:w="1638"/>
            <w:vAlign w:val="center"/>
          </w:tcPr>
          <w:p>
            <w:pPr>
              <w:keepNext w:val="0"/>
              <w:spacing w:line="320" w:lineRule="exact" w:after="0" w:before="0"/>
              <w:ind w:firstLine="0"/>
              <w:jc w:val="left"/>
            </w:pPr>
            <w:r>
              <w:rPr>
                <w:b w:val="0"/>
                <w:sz w:val="21"/>
              </w:rPr>
              <w:t>发布运营</w:t>
            </w:r>
          </w:p>
        </w:tc>
        <w:tc>
          <w:tcPr>
            <w:tcW w:type="dxa" w:w="2699"/>
            <w:vAlign w:val="center"/>
          </w:tcPr>
          <w:p>
            <w:pPr>
              <w:keepNext w:val="0"/>
              <w:spacing w:line="320" w:lineRule="exact" w:after="0" w:before="0"/>
              <w:ind w:firstLine="0"/>
              <w:jc w:val="left"/>
            </w:pPr>
            <w:r>
              <w:rPr>
                <w:b w:val="0"/>
                <w:sz w:val="21"/>
              </w:rPr>
              <w:t>数据卡、封装、目录及授权</w:t>
            </w:r>
          </w:p>
        </w:tc>
        <w:tc>
          <w:tcPr>
            <w:tcW w:type="dxa" w:w="2409"/>
            <w:vAlign w:val="center"/>
          </w:tcPr>
          <w:p>
            <w:pPr>
              <w:keepNext w:val="0"/>
              <w:spacing w:line="320" w:lineRule="exact" w:after="0" w:before="0"/>
              <w:ind w:firstLine="0"/>
              <w:jc w:val="left"/>
            </w:pPr>
            <w:r>
              <w:rPr>
                <w:b w:val="0"/>
                <w:sz w:val="21"/>
              </w:rPr>
              <w:t>版本一致、可读取、可使用</w:t>
            </w:r>
          </w:p>
        </w:tc>
        <w:tc>
          <w:tcPr>
            <w:tcW w:type="dxa" w:w="2891"/>
            <w:vAlign w:val="center"/>
          </w:tcPr>
          <w:p>
            <w:pPr>
              <w:keepNext w:val="0"/>
              <w:spacing w:line="320" w:lineRule="exact" w:after="0" w:before="0"/>
              <w:ind w:firstLine="0"/>
              <w:jc w:val="left"/>
            </w:pPr>
            <w:r>
              <w:rPr>
                <w:b w:val="0"/>
                <w:sz w:val="21"/>
              </w:rPr>
              <w:t>正式数据、卡片和交付清单</w:t>
            </w:r>
          </w:p>
        </w:tc>
      </w:tr>
    </w:tbl>
    <w:p>
      <w:pPr>
        <w:spacing w:after="40" w:line="240" w:lineRule="auto"/>
        <w:ind w:firstLine="0"/>
      </w:pPr>
      <w:r>
        <w:rPr>
          <w:sz w:val="4"/>
        </w:rPr>
      </w:r>
    </w:p>
    <w:p>
      <w:pPr>
        <w:pStyle w:val="Heading2"/>
      </w:pPr>
      <w:r>
        <w:t>2.7 十一个场景的数据支撑</w:t>
      </w:r>
    </w:p>
    <w:p>
      <w:pPr>
        <w:pStyle w:val="Heading3"/>
      </w:pPr>
      <w:r>
        <w:t>2.7.1 六项业务场景</w:t>
      </w:r>
    </w:p>
    <w:p>
      <w:pPr>
        <w:jc w:val="both"/>
      </w:pPr>
      <w:r>
        <w:t>产品智能选型将产品系列、技术参数、配置约束和客户工况连接为可验证任务。输入应能够表达选型条件，输出应能够说明适用配置及依据；验证时关注缺失关键工况、参数冲突和超出产品适用范围等情况。数据战略优先安排产品主数据、技术版本与客户需求的关联治理。</w:t>
      </w:r>
    </w:p>
    <w:p>
      <w:pPr>
        <w:jc w:val="both"/>
      </w:pPr>
      <w:r>
        <w:t>板材备料工艺智能设计保留图纸、材料、尺寸、公差及备料过程依据，围绕实际工序与工艺规则组织数据。28道备料工序和63万张历史工艺样本按招标范围开展调查、整理和专业核验，历史总量与可用于具体用途的有效量分别统计。验证关注图纸理解、工艺约束、单位和适用版本。</w:t>
      </w:r>
    </w:p>
    <w:p>
      <w:pPr>
        <w:jc w:val="both"/>
      </w:pPr>
      <w:r>
        <w:t>库存控制智能化统一库存时点、可用状态、在途供给、已分配需求及交付约束，区分实物数量、账务状态和计划占用。验证数据保留决策发生时能够获取的信息，后续结果用于评价时与输入时间分开。策略评价采用同一业务范围和约束，业务规则由归口岗位确认。</w:t>
      </w:r>
    </w:p>
    <w:p>
      <w:pPr>
        <w:jc w:val="both"/>
      </w:pPr>
      <w:r>
        <w:t>热处理过程控制智能化将材料、工件、装炉、工艺设定、实际曲线及检验结果关联。焊接过程控制智能化将焊缝或焊道对象、工艺、参数、影像、检测和返修关联。两类场景的时钟、单位、阶段和对象关系优先治理，验证结论保持实际工况及专业复核条件，设备实际执行由相应业务控制流程管理。</w:t>
      </w:r>
    </w:p>
    <w:p>
      <w:pPr>
        <w:jc w:val="both"/>
      </w:pPr>
      <w:r>
        <w:t>刮板输送装备健康诊断智能化将设备结构、测点、工况、报警、故障、维修和复核结果关联，重点治理设备部件变更和故障事件边界。数据划分保留设备及事件隔离，避免同一故障的重叠片段进入不同用途。诊断依据包含正常状态及异常条件，结果经专业人员复核。</w:t>
      </w:r>
    </w:p>
    <w:p>
      <w:pPr>
        <w:pStyle w:val="Heading3"/>
      </w:pPr>
      <w:r>
        <w:t>2.7.2 五项智能助手场景</w:t>
      </w:r>
    </w:p>
    <w:p>
      <w:pPr>
        <w:jc w:val="both"/>
      </w:pPr>
      <w:r>
        <w:t>管理制度智能问答助手使用经过审批发布且适用范围明确的制度资料，保留生效、废止、替代及条款位置。技术标准智能问答助手保留标准版本、专业适用条件和使用权限，引用结论能够定位依据。两类场景遇历史问题时按实际时间识别当时有效规则，使用范围变化同步更新检索和数据卡。</w:t>
      </w:r>
    </w:p>
    <w:p>
      <w:pPr>
        <w:jc w:val="both"/>
      </w:pPr>
      <w:r>
        <w:t>标书智能问答助手按项目、文件、附件及版本组织资料，保留条件、数量、日期和关键约束。决策数据智能问答助手以批准的经营指标口径为依据，连接指标、计算条件、明细和来源；正式指标体系在治理规划及口径确认后形成。合同合规审查智能助手保留合同全文上下文、修订、审查规则及专业审核关系，材料使用按授权范围控制。</w:t>
      </w:r>
    </w:p>
    <w:p>
      <w:pPr>
        <w:pStyle w:val="Caption"/>
        <w:keepNext/>
      </w:pPr>
      <w:r>
        <w:t>表2-8 十一个场景的数据支撑</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场景</w:t>
            </w:r>
          </w:p>
        </w:tc>
        <w:tc>
          <w:tcPr>
            <w:tcW w:type="dxa" w:w="2699"/>
            <w:vAlign w:val="center"/>
            <w:shd w:fill="EDF1F3"/>
          </w:tcPr>
          <w:p>
            <w:pPr>
              <w:keepNext/>
              <w:spacing w:line="320" w:lineRule="exact" w:after="0" w:before="0"/>
              <w:ind w:firstLine="0"/>
              <w:jc w:val="center"/>
            </w:pPr>
            <w:r>
              <w:rPr>
                <w:b/>
                <w:sz w:val="21"/>
              </w:rPr>
              <w:t>数据战略优先事项</w:t>
            </w:r>
          </w:p>
        </w:tc>
        <w:tc>
          <w:tcPr>
            <w:tcW w:type="dxa" w:w="2409"/>
            <w:vAlign w:val="center"/>
            <w:shd w:fill="EDF1F3"/>
          </w:tcPr>
          <w:p>
            <w:pPr>
              <w:keepNext/>
              <w:spacing w:line="320" w:lineRule="exact" w:after="0" w:before="0"/>
              <w:ind w:firstLine="0"/>
              <w:jc w:val="center"/>
            </w:pPr>
            <w:r>
              <w:rPr>
                <w:b/>
                <w:sz w:val="21"/>
              </w:rPr>
              <w:t>验证前必须具备的条件</w:t>
            </w:r>
          </w:p>
        </w:tc>
        <w:tc>
          <w:tcPr>
            <w:tcW w:type="dxa" w:w="2891"/>
            <w:vAlign w:val="center"/>
            <w:shd w:fill="EDF1F3"/>
          </w:tcPr>
          <w:p>
            <w:pPr>
              <w:keepNext/>
              <w:spacing w:line="320" w:lineRule="exact" w:after="0" w:before="0"/>
              <w:ind w:firstLine="0"/>
              <w:jc w:val="center"/>
            </w:pPr>
            <w:r>
              <w:rPr>
                <w:b/>
                <w:sz w:val="21"/>
              </w:rPr>
              <w:t>评价重点</w:t>
            </w:r>
          </w:p>
        </w:tc>
      </w:tr>
      <w:tr>
        <w:trPr>
          <w:cantSplit/>
        </w:trPr>
        <w:tc>
          <w:tcPr>
            <w:tcW w:type="dxa" w:w="1638"/>
            <w:vAlign w:val="center"/>
          </w:tcPr>
          <w:p>
            <w:pPr>
              <w:keepNext w:val="0"/>
              <w:spacing w:line="320" w:lineRule="exact" w:after="0" w:before="0"/>
              <w:ind w:firstLine="0"/>
              <w:jc w:val="left"/>
            </w:pPr>
            <w:r>
              <w:rPr>
                <w:b w:val="0"/>
                <w:sz w:val="21"/>
              </w:rPr>
              <w:t>产品智能选型</w:t>
            </w:r>
          </w:p>
        </w:tc>
        <w:tc>
          <w:tcPr>
            <w:tcW w:type="dxa" w:w="2699"/>
            <w:vAlign w:val="center"/>
          </w:tcPr>
          <w:p>
            <w:pPr>
              <w:keepNext w:val="0"/>
              <w:spacing w:line="320" w:lineRule="exact" w:after="0" w:before="0"/>
              <w:ind w:firstLine="0"/>
              <w:jc w:val="left"/>
            </w:pPr>
            <w:r>
              <w:rPr>
                <w:b w:val="0"/>
                <w:sz w:val="21"/>
              </w:rPr>
              <w:t>参数、配置、工况和版本统一</w:t>
            </w:r>
          </w:p>
        </w:tc>
        <w:tc>
          <w:tcPr>
            <w:tcW w:type="dxa" w:w="2409"/>
            <w:vAlign w:val="center"/>
          </w:tcPr>
          <w:p>
            <w:pPr>
              <w:keepNext w:val="0"/>
              <w:spacing w:line="320" w:lineRule="exact" w:after="0" w:before="0"/>
              <w:ind w:firstLine="0"/>
              <w:jc w:val="left"/>
            </w:pPr>
            <w:r>
              <w:rPr>
                <w:b w:val="0"/>
                <w:sz w:val="21"/>
              </w:rPr>
              <w:t>需求条件与可用产品范围确认</w:t>
            </w:r>
          </w:p>
        </w:tc>
        <w:tc>
          <w:tcPr>
            <w:tcW w:type="dxa" w:w="2891"/>
            <w:vAlign w:val="center"/>
          </w:tcPr>
          <w:p>
            <w:pPr>
              <w:keepNext w:val="0"/>
              <w:spacing w:line="320" w:lineRule="exact" w:after="0" w:before="0"/>
              <w:ind w:firstLine="0"/>
              <w:jc w:val="left"/>
            </w:pPr>
            <w:r>
              <w:rPr>
                <w:b w:val="0"/>
                <w:sz w:val="21"/>
              </w:rPr>
              <w:t>适用性、约束和依据</w:t>
            </w:r>
          </w:p>
        </w:tc>
      </w:tr>
      <w:tr>
        <w:trPr>
          <w:cantSplit/>
        </w:trPr>
        <w:tc>
          <w:tcPr>
            <w:tcW w:type="dxa" w:w="1638"/>
            <w:vAlign w:val="center"/>
          </w:tcPr>
          <w:p>
            <w:pPr>
              <w:keepNext w:val="0"/>
              <w:spacing w:line="320" w:lineRule="exact" w:after="0" w:before="0"/>
              <w:ind w:firstLine="0"/>
              <w:jc w:val="left"/>
            </w:pPr>
            <w:r>
              <w:rPr>
                <w:b w:val="0"/>
                <w:sz w:val="21"/>
              </w:rPr>
              <w:t>板材备料工艺智能设计</w:t>
            </w:r>
          </w:p>
        </w:tc>
        <w:tc>
          <w:tcPr>
            <w:tcW w:type="dxa" w:w="2699"/>
            <w:vAlign w:val="center"/>
          </w:tcPr>
          <w:p>
            <w:pPr>
              <w:keepNext w:val="0"/>
              <w:spacing w:line="320" w:lineRule="exact" w:after="0" w:before="0"/>
              <w:ind w:firstLine="0"/>
              <w:jc w:val="left"/>
            </w:pPr>
            <w:r>
              <w:rPr>
                <w:b w:val="0"/>
                <w:sz w:val="21"/>
              </w:rPr>
              <w:t>图工对应与工艺规则核验</w:t>
            </w:r>
          </w:p>
        </w:tc>
        <w:tc>
          <w:tcPr>
            <w:tcW w:type="dxa" w:w="2409"/>
            <w:vAlign w:val="center"/>
          </w:tcPr>
          <w:p>
            <w:pPr>
              <w:keepNext w:val="0"/>
              <w:spacing w:line="320" w:lineRule="exact" w:after="0" w:before="0"/>
              <w:ind w:firstLine="0"/>
              <w:jc w:val="left"/>
            </w:pPr>
            <w:r>
              <w:rPr>
                <w:b w:val="0"/>
                <w:sz w:val="21"/>
              </w:rPr>
              <w:t>图纸、材料、公差和有效工艺齐备</w:t>
            </w:r>
          </w:p>
        </w:tc>
        <w:tc>
          <w:tcPr>
            <w:tcW w:type="dxa" w:w="2891"/>
            <w:vAlign w:val="center"/>
          </w:tcPr>
          <w:p>
            <w:pPr>
              <w:keepNext w:val="0"/>
              <w:spacing w:line="320" w:lineRule="exact" w:after="0" w:before="0"/>
              <w:ind w:firstLine="0"/>
              <w:jc w:val="left"/>
            </w:pPr>
            <w:r>
              <w:rPr>
                <w:b w:val="0"/>
                <w:sz w:val="21"/>
              </w:rPr>
              <w:t>工艺正确性与条件完整</w:t>
            </w:r>
          </w:p>
        </w:tc>
      </w:tr>
      <w:tr>
        <w:trPr>
          <w:cantSplit/>
        </w:trPr>
        <w:tc>
          <w:tcPr>
            <w:tcW w:type="dxa" w:w="1638"/>
            <w:vAlign w:val="center"/>
          </w:tcPr>
          <w:p>
            <w:pPr>
              <w:keepNext w:val="0"/>
              <w:spacing w:line="320" w:lineRule="exact" w:after="0" w:before="0"/>
              <w:ind w:firstLine="0"/>
              <w:jc w:val="left"/>
            </w:pPr>
            <w:r>
              <w:rPr>
                <w:b w:val="0"/>
                <w:sz w:val="21"/>
              </w:rPr>
              <w:t>库存控制智能化</w:t>
            </w:r>
          </w:p>
        </w:tc>
        <w:tc>
          <w:tcPr>
            <w:tcW w:type="dxa" w:w="2699"/>
            <w:vAlign w:val="center"/>
          </w:tcPr>
          <w:p>
            <w:pPr>
              <w:keepNext w:val="0"/>
              <w:spacing w:line="320" w:lineRule="exact" w:after="0" w:before="0"/>
              <w:ind w:firstLine="0"/>
              <w:jc w:val="left"/>
            </w:pPr>
            <w:r>
              <w:rPr>
                <w:b w:val="0"/>
                <w:sz w:val="21"/>
              </w:rPr>
              <w:t>库存时点及需求供给关联</w:t>
            </w:r>
          </w:p>
        </w:tc>
        <w:tc>
          <w:tcPr>
            <w:tcW w:type="dxa" w:w="2409"/>
            <w:vAlign w:val="center"/>
          </w:tcPr>
          <w:p>
            <w:pPr>
              <w:keepNext w:val="0"/>
              <w:spacing w:line="320" w:lineRule="exact" w:after="0" w:before="0"/>
              <w:ind w:firstLine="0"/>
              <w:jc w:val="left"/>
            </w:pPr>
            <w:r>
              <w:rPr>
                <w:b w:val="0"/>
                <w:sz w:val="21"/>
              </w:rPr>
              <w:t>状态、占用、在途和时间窗口一致</w:t>
            </w:r>
          </w:p>
        </w:tc>
        <w:tc>
          <w:tcPr>
            <w:tcW w:type="dxa" w:w="2891"/>
            <w:vAlign w:val="center"/>
          </w:tcPr>
          <w:p>
            <w:pPr>
              <w:keepNext w:val="0"/>
              <w:spacing w:line="320" w:lineRule="exact" w:after="0" w:before="0"/>
              <w:ind w:firstLine="0"/>
              <w:jc w:val="left"/>
            </w:pPr>
            <w:r>
              <w:rPr>
                <w:b w:val="0"/>
                <w:sz w:val="21"/>
              </w:rPr>
              <w:t>策略约束及可比结果</w:t>
            </w:r>
          </w:p>
        </w:tc>
      </w:tr>
      <w:tr>
        <w:trPr>
          <w:cantSplit/>
        </w:trPr>
        <w:tc>
          <w:tcPr>
            <w:tcW w:type="dxa" w:w="1638"/>
            <w:vAlign w:val="center"/>
          </w:tcPr>
          <w:p>
            <w:pPr>
              <w:keepNext w:val="0"/>
              <w:spacing w:line="320" w:lineRule="exact" w:after="0" w:before="0"/>
              <w:ind w:firstLine="0"/>
              <w:jc w:val="left"/>
            </w:pPr>
            <w:r>
              <w:rPr>
                <w:b w:val="0"/>
                <w:sz w:val="21"/>
              </w:rPr>
              <w:t>热处理过程控制智能化</w:t>
            </w:r>
          </w:p>
        </w:tc>
        <w:tc>
          <w:tcPr>
            <w:tcW w:type="dxa" w:w="2699"/>
            <w:vAlign w:val="center"/>
          </w:tcPr>
          <w:p>
            <w:pPr>
              <w:keepNext w:val="0"/>
              <w:spacing w:line="320" w:lineRule="exact" w:after="0" w:before="0"/>
              <w:ind w:firstLine="0"/>
              <w:jc w:val="left"/>
            </w:pPr>
            <w:r>
              <w:rPr>
                <w:b w:val="0"/>
                <w:sz w:val="21"/>
              </w:rPr>
              <w:t>装炉、工艺、曲线和检验关联</w:t>
            </w:r>
          </w:p>
        </w:tc>
        <w:tc>
          <w:tcPr>
            <w:tcW w:type="dxa" w:w="2409"/>
            <w:vAlign w:val="center"/>
          </w:tcPr>
          <w:p>
            <w:pPr>
              <w:keepNext w:val="0"/>
              <w:spacing w:line="320" w:lineRule="exact" w:after="0" w:before="0"/>
              <w:ind w:firstLine="0"/>
              <w:jc w:val="left"/>
            </w:pPr>
            <w:r>
              <w:rPr>
                <w:b w:val="0"/>
                <w:sz w:val="21"/>
              </w:rPr>
              <w:t>材料工件及时间阶段可追溯</w:t>
            </w:r>
          </w:p>
        </w:tc>
        <w:tc>
          <w:tcPr>
            <w:tcW w:type="dxa" w:w="2891"/>
            <w:vAlign w:val="center"/>
          </w:tcPr>
          <w:p>
            <w:pPr>
              <w:keepNext w:val="0"/>
              <w:spacing w:line="320" w:lineRule="exact" w:after="0" w:before="0"/>
              <w:ind w:firstLine="0"/>
              <w:jc w:val="left"/>
            </w:pPr>
            <w:r>
              <w:rPr>
                <w:b w:val="0"/>
                <w:sz w:val="21"/>
              </w:rPr>
              <w:t>过程与质量关系</w:t>
            </w:r>
          </w:p>
        </w:tc>
      </w:tr>
      <w:tr>
        <w:trPr>
          <w:cantSplit/>
        </w:trPr>
        <w:tc>
          <w:tcPr>
            <w:tcW w:type="dxa" w:w="1638"/>
            <w:vAlign w:val="center"/>
          </w:tcPr>
          <w:p>
            <w:pPr>
              <w:keepNext w:val="0"/>
              <w:spacing w:line="320" w:lineRule="exact" w:after="0" w:before="0"/>
              <w:ind w:firstLine="0"/>
              <w:jc w:val="left"/>
            </w:pPr>
            <w:r>
              <w:rPr>
                <w:b w:val="0"/>
                <w:sz w:val="21"/>
              </w:rPr>
              <w:t>焊接过程控制智能化</w:t>
            </w:r>
          </w:p>
        </w:tc>
        <w:tc>
          <w:tcPr>
            <w:tcW w:type="dxa" w:w="2699"/>
            <w:vAlign w:val="center"/>
          </w:tcPr>
          <w:p>
            <w:pPr>
              <w:keepNext w:val="0"/>
              <w:spacing w:line="320" w:lineRule="exact" w:after="0" w:before="0"/>
              <w:ind w:firstLine="0"/>
              <w:jc w:val="left"/>
            </w:pPr>
            <w:r>
              <w:rPr>
                <w:b w:val="0"/>
                <w:sz w:val="21"/>
              </w:rPr>
              <w:t>焊缝对象与过程质量关联</w:t>
            </w:r>
          </w:p>
        </w:tc>
        <w:tc>
          <w:tcPr>
            <w:tcW w:type="dxa" w:w="2409"/>
            <w:vAlign w:val="center"/>
          </w:tcPr>
          <w:p>
            <w:pPr>
              <w:keepNext w:val="0"/>
              <w:spacing w:line="320" w:lineRule="exact" w:after="0" w:before="0"/>
              <w:ind w:firstLine="0"/>
              <w:jc w:val="left"/>
            </w:pPr>
            <w:r>
              <w:rPr>
                <w:b w:val="0"/>
                <w:sz w:val="21"/>
              </w:rPr>
              <w:t>参数、影像、检测及返修对应</w:t>
            </w:r>
          </w:p>
        </w:tc>
        <w:tc>
          <w:tcPr>
            <w:tcW w:type="dxa" w:w="2891"/>
            <w:vAlign w:val="center"/>
          </w:tcPr>
          <w:p>
            <w:pPr>
              <w:keepNext w:val="0"/>
              <w:spacing w:line="320" w:lineRule="exact" w:after="0" w:before="0"/>
              <w:ind w:firstLine="0"/>
              <w:jc w:val="left"/>
            </w:pPr>
            <w:r>
              <w:rPr>
                <w:b w:val="0"/>
                <w:sz w:val="21"/>
              </w:rPr>
              <w:t>异常识别和专业依据</w:t>
            </w:r>
          </w:p>
        </w:tc>
      </w:tr>
      <w:tr>
        <w:trPr>
          <w:cantSplit/>
        </w:trPr>
        <w:tc>
          <w:tcPr>
            <w:tcW w:type="dxa" w:w="1638"/>
            <w:vAlign w:val="center"/>
          </w:tcPr>
          <w:p>
            <w:pPr>
              <w:keepNext w:val="0"/>
              <w:spacing w:line="320" w:lineRule="exact" w:after="0" w:before="0"/>
              <w:ind w:firstLine="0"/>
              <w:jc w:val="left"/>
            </w:pPr>
            <w:r>
              <w:rPr>
                <w:b w:val="0"/>
                <w:sz w:val="21"/>
              </w:rPr>
              <w:t>刮板输送装备健康诊断智能化</w:t>
            </w:r>
          </w:p>
        </w:tc>
        <w:tc>
          <w:tcPr>
            <w:tcW w:type="dxa" w:w="2699"/>
            <w:vAlign w:val="center"/>
          </w:tcPr>
          <w:p>
            <w:pPr>
              <w:keepNext w:val="0"/>
              <w:spacing w:line="320" w:lineRule="exact" w:after="0" w:before="0"/>
              <w:ind w:firstLine="0"/>
              <w:jc w:val="left"/>
            </w:pPr>
            <w:r>
              <w:rPr>
                <w:b w:val="0"/>
                <w:sz w:val="21"/>
              </w:rPr>
              <w:t>设备、事件和维修履历关联</w:t>
            </w:r>
          </w:p>
        </w:tc>
        <w:tc>
          <w:tcPr>
            <w:tcW w:type="dxa" w:w="2409"/>
            <w:vAlign w:val="center"/>
          </w:tcPr>
          <w:p>
            <w:pPr>
              <w:keepNext w:val="0"/>
              <w:spacing w:line="320" w:lineRule="exact" w:after="0" w:before="0"/>
              <w:ind w:firstLine="0"/>
              <w:jc w:val="left"/>
            </w:pPr>
            <w:r>
              <w:rPr>
                <w:b w:val="0"/>
                <w:sz w:val="21"/>
              </w:rPr>
              <w:t>测点版本、工况与故障标签可信</w:t>
            </w:r>
          </w:p>
        </w:tc>
        <w:tc>
          <w:tcPr>
            <w:tcW w:type="dxa" w:w="2891"/>
            <w:vAlign w:val="center"/>
          </w:tcPr>
          <w:p>
            <w:pPr>
              <w:keepNext w:val="0"/>
              <w:spacing w:line="320" w:lineRule="exact" w:after="0" w:before="0"/>
              <w:ind w:firstLine="0"/>
              <w:jc w:val="left"/>
            </w:pPr>
            <w:r>
              <w:rPr>
                <w:b w:val="0"/>
                <w:sz w:val="21"/>
              </w:rPr>
              <w:t>诊断依据与独立验证</w:t>
            </w:r>
          </w:p>
        </w:tc>
      </w:tr>
      <w:tr>
        <w:trPr>
          <w:cantSplit/>
        </w:trPr>
        <w:tc>
          <w:tcPr>
            <w:tcW w:type="dxa" w:w="1638"/>
            <w:vAlign w:val="center"/>
          </w:tcPr>
          <w:p>
            <w:pPr>
              <w:keepNext w:val="0"/>
              <w:spacing w:line="320" w:lineRule="exact" w:after="0" w:before="0"/>
              <w:ind w:firstLine="0"/>
              <w:jc w:val="left"/>
            </w:pPr>
            <w:r>
              <w:rPr>
                <w:b w:val="0"/>
                <w:sz w:val="21"/>
              </w:rPr>
              <w:t>管理制度智能问答助手</w:t>
            </w:r>
          </w:p>
        </w:tc>
        <w:tc>
          <w:tcPr>
            <w:tcW w:type="dxa" w:w="2699"/>
            <w:vAlign w:val="center"/>
          </w:tcPr>
          <w:p>
            <w:pPr>
              <w:keepNext w:val="0"/>
              <w:spacing w:line="320" w:lineRule="exact" w:after="0" w:before="0"/>
              <w:ind w:firstLine="0"/>
              <w:jc w:val="left"/>
            </w:pPr>
            <w:r>
              <w:rPr>
                <w:b w:val="0"/>
                <w:sz w:val="21"/>
              </w:rPr>
              <w:t>制度效力及适用范围管理</w:t>
            </w:r>
          </w:p>
        </w:tc>
        <w:tc>
          <w:tcPr>
            <w:tcW w:type="dxa" w:w="2409"/>
            <w:vAlign w:val="center"/>
          </w:tcPr>
          <w:p>
            <w:pPr>
              <w:keepNext w:val="0"/>
              <w:spacing w:line="320" w:lineRule="exact" w:after="0" w:before="0"/>
              <w:ind w:firstLine="0"/>
              <w:jc w:val="left"/>
            </w:pPr>
            <w:r>
              <w:rPr>
                <w:b w:val="0"/>
                <w:sz w:val="21"/>
              </w:rPr>
              <w:t>发布状态、条款和权限有效</w:t>
            </w:r>
          </w:p>
        </w:tc>
        <w:tc>
          <w:tcPr>
            <w:tcW w:type="dxa" w:w="2891"/>
            <w:vAlign w:val="center"/>
          </w:tcPr>
          <w:p>
            <w:pPr>
              <w:keepNext w:val="0"/>
              <w:spacing w:line="320" w:lineRule="exact" w:after="0" w:before="0"/>
              <w:ind w:firstLine="0"/>
              <w:jc w:val="left"/>
            </w:pPr>
            <w:r>
              <w:rPr>
                <w:b w:val="0"/>
                <w:sz w:val="21"/>
              </w:rPr>
              <w:t>引用准确和时效</w:t>
            </w:r>
          </w:p>
        </w:tc>
      </w:tr>
      <w:tr>
        <w:trPr>
          <w:cantSplit/>
        </w:trPr>
        <w:tc>
          <w:tcPr>
            <w:tcW w:type="dxa" w:w="1638"/>
            <w:vAlign w:val="center"/>
          </w:tcPr>
          <w:p>
            <w:pPr>
              <w:keepNext w:val="0"/>
              <w:spacing w:line="320" w:lineRule="exact" w:after="0" w:before="0"/>
              <w:ind w:firstLine="0"/>
              <w:jc w:val="left"/>
            </w:pPr>
            <w:r>
              <w:rPr>
                <w:b w:val="0"/>
                <w:sz w:val="21"/>
              </w:rPr>
              <w:t>技术标准智能问答助手</w:t>
            </w:r>
          </w:p>
        </w:tc>
        <w:tc>
          <w:tcPr>
            <w:tcW w:type="dxa" w:w="2699"/>
            <w:vAlign w:val="center"/>
          </w:tcPr>
          <w:p>
            <w:pPr>
              <w:keepNext w:val="0"/>
              <w:spacing w:line="320" w:lineRule="exact" w:after="0" w:before="0"/>
              <w:ind w:firstLine="0"/>
              <w:jc w:val="left"/>
            </w:pPr>
            <w:r>
              <w:rPr>
                <w:b w:val="0"/>
                <w:sz w:val="21"/>
              </w:rPr>
              <w:t>标准版本及专业条件管理</w:t>
            </w:r>
          </w:p>
        </w:tc>
        <w:tc>
          <w:tcPr>
            <w:tcW w:type="dxa" w:w="2409"/>
            <w:vAlign w:val="center"/>
          </w:tcPr>
          <w:p>
            <w:pPr>
              <w:keepNext w:val="0"/>
              <w:spacing w:line="320" w:lineRule="exact" w:after="0" w:before="0"/>
              <w:ind w:firstLine="0"/>
              <w:jc w:val="left"/>
            </w:pPr>
            <w:r>
              <w:rPr>
                <w:b w:val="0"/>
                <w:sz w:val="21"/>
              </w:rPr>
              <w:t>有效依据和许可可确认</w:t>
            </w:r>
          </w:p>
        </w:tc>
        <w:tc>
          <w:tcPr>
            <w:tcW w:type="dxa" w:w="2891"/>
            <w:vAlign w:val="center"/>
          </w:tcPr>
          <w:p>
            <w:pPr>
              <w:keepNext w:val="0"/>
              <w:spacing w:line="320" w:lineRule="exact" w:after="0" w:before="0"/>
              <w:ind w:firstLine="0"/>
              <w:jc w:val="left"/>
            </w:pPr>
            <w:r>
              <w:rPr>
                <w:b w:val="0"/>
                <w:sz w:val="21"/>
              </w:rPr>
              <w:t>技术条件与引用</w:t>
            </w:r>
          </w:p>
        </w:tc>
      </w:tr>
      <w:tr>
        <w:trPr>
          <w:cantSplit/>
        </w:trPr>
        <w:tc>
          <w:tcPr>
            <w:tcW w:type="dxa" w:w="1638"/>
            <w:vAlign w:val="center"/>
          </w:tcPr>
          <w:p>
            <w:pPr>
              <w:keepNext w:val="0"/>
              <w:spacing w:line="320" w:lineRule="exact" w:after="0" w:before="0"/>
              <w:ind w:firstLine="0"/>
              <w:jc w:val="left"/>
            </w:pPr>
            <w:r>
              <w:rPr>
                <w:b w:val="0"/>
                <w:sz w:val="21"/>
              </w:rPr>
              <w:t>标书智能问答助手</w:t>
            </w:r>
          </w:p>
        </w:tc>
        <w:tc>
          <w:tcPr>
            <w:tcW w:type="dxa" w:w="2699"/>
            <w:vAlign w:val="center"/>
          </w:tcPr>
          <w:p>
            <w:pPr>
              <w:keepNext w:val="0"/>
              <w:spacing w:line="320" w:lineRule="exact" w:after="0" w:before="0"/>
              <w:ind w:firstLine="0"/>
              <w:jc w:val="left"/>
            </w:pPr>
            <w:r>
              <w:rPr>
                <w:b w:val="0"/>
                <w:sz w:val="21"/>
              </w:rPr>
              <w:t>项目文件及附件关系管理</w:t>
            </w:r>
          </w:p>
        </w:tc>
        <w:tc>
          <w:tcPr>
            <w:tcW w:type="dxa" w:w="2409"/>
            <w:vAlign w:val="center"/>
          </w:tcPr>
          <w:p>
            <w:pPr>
              <w:keepNext w:val="0"/>
              <w:spacing w:line="320" w:lineRule="exact" w:after="0" w:before="0"/>
              <w:ind w:firstLine="0"/>
              <w:jc w:val="left"/>
            </w:pPr>
            <w:r>
              <w:rPr>
                <w:b w:val="0"/>
                <w:sz w:val="21"/>
              </w:rPr>
              <w:t>项目隔离、版本和约束齐备</w:t>
            </w:r>
          </w:p>
        </w:tc>
        <w:tc>
          <w:tcPr>
            <w:tcW w:type="dxa" w:w="2891"/>
            <w:vAlign w:val="center"/>
          </w:tcPr>
          <w:p>
            <w:pPr>
              <w:keepNext w:val="0"/>
              <w:spacing w:line="320" w:lineRule="exact" w:after="0" w:before="0"/>
              <w:ind w:firstLine="0"/>
              <w:jc w:val="left"/>
            </w:pPr>
            <w:r>
              <w:rPr>
                <w:b w:val="0"/>
                <w:sz w:val="21"/>
              </w:rPr>
              <w:t>关键条件与检索完整</w:t>
            </w:r>
          </w:p>
        </w:tc>
      </w:tr>
      <w:tr>
        <w:trPr>
          <w:cantSplit/>
        </w:trPr>
        <w:tc>
          <w:tcPr>
            <w:tcW w:type="dxa" w:w="1638"/>
            <w:vAlign w:val="center"/>
          </w:tcPr>
          <w:p>
            <w:pPr>
              <w:keepNext w:val="0"/>
              <w:spacing w:line="320" w:lineRule="exact" w:after="0" w:before="0"/>
              <w:ind w:firstLine="0"/>
              <w:jc w:val="left"/>
            </w:pPr>
            <w:r>
              <w:rPr>
                <w:b w:val="0"/>
                <w:sz w:val="21"/>
              </w:rPr>
              <w:t>决策数据智能问答助手</w:t>
            </w:r>
          </w:p>
        </w:tc>
        <w:tc>
          <w:tcPr>
            <w:tcW w:type="dxa" w:w="2699"/>
            <w:vAlign w:val="center"/>
          </w:tcPr>
          <w:p>
            <w:pPr>
              <w:keepNext w:val="0"/>
              <w:spacing w:line="320" w:lineRule="exact" w:after="0" w:before="0"/>
              <w:ind w:firstLine="0"/>
              <w:jc w:val="left"/>
            </w:pPr>
            <w:r>
              <w:rPr>
                <w:b w:val="0"/>
                <w:sz w:val="21"/>
              </w:rPr>
              <w:t>指标口径和来源可追溯</w:t>
            </w:r>
          </w:p>
        </w:tc>
        <w:tc>
          <w:tcPr>
            <w:tcW w:type="dxa" w:w="2409"/>
            <w:vAlign w:val="center"/>
          </w:tcPr>
          <w:p>
            <w:pPr>
              <w:keepNext w:val="0"/>
              <w:spacing w:line="320" w:lineRule="exact" w:after="0" w:before="0"/>
              <w:ind w:firstLine="0"/>
              <w:jc w:val="left"/>
            </w:pPr>
            <w:r>
              <w:rPr>
                <w:b w:val="0"/>
                <w:sz w:val="21"/>
              </w:rPr>
              <w:t>指标卡、明细及计算可以复算</w:t>
            </w:r>
          </w:p>
        </w:tc>
        <w:tc>
          <w:tcPr>
            <w:tcW w:type="dxa" w:w="2891"/>
            <w:vAlign w:val="center"/>
          </w:tcPr>
          <w:p>
            <w:pPr>
              <w:keepNext w:val="0"/>
              <w:spacing w:line="320" w:lineRule="exact" w:after="0" w:before="0"/>
              <w:ind w:firstLine="0"/>
              <w:jc w:val="left"/>
            </w:pPr>
            <w:r>
              <w:rPr>
                <w:b w:val="0"/>
                <w:sz w:val="21"/>
              </w:rPr>
              <w:t>数值、期间和解释一致</w:t>
            </w:r>
          </w:p>
        </w:tc>
      </w:tr>
      <w:tr>
        <w:trPr>
          <w:cantSplit/>
        </w:trPr>
        <w:tc>
          <w:tcPr>
            <w:tcW w:type="dxa" w:w="1638"/>
            <w:vAlign w:val="center"/>
          </w:tcPr>
          <w:p>
            <w:pPr>
              <w:keepNext w:val="0"/>
              <w:spacing w:line="320" w:lineRule="exact" w:after="0" w:before="0"/>
              <w:ind w:firstLine="0"/>
              <w:jc w:val="left"/>
            </w:pPr>
            <w:r>
              <w:rPr>
                <w:b w:val="0"/>
                <w:sz w:val="21"/>
              </w:rPr>
              <w:t>合同合规审查智能助手</w:t>
            </w:r>
          </w:p>
        </w:tc>
        <w:tc>
          <w:tcPr>
            <w:tcW w:type="dxa" w:w="2699"/>
            <w:vAlign w:val="center"/>
          </w:tcPr>
          <w:p>
            <w:pPr>
              <w:keepNext w:val="0"/>
              <w:spacing w:line="320" w:lineRule="exact" w:after="0" w:before="0"/>
              <w:ind w:firstLine="0"/>
              <w:jc w:val="left"/>
            </w:pPr>
            <w:r>
              <w:rPr>
                <w:b w:val="0"/>
                <w:sz w:val="21"/>
              </w:rPr>
              <w:t>条款与审核依据关联</w:t>
            </w:r>
          </w:p>
        </w:tc>
        <w:tc>
          <w:tcPr>
            <w:tcW w:type="dxa" w:w="2409"/>
            <w:vAlign w:val="center"/>
          </w:tcPr>
          <w:p>
            <w:pPr>
              <w:keepNext w:val="0"/>
              <w:spacing w:line="320" w:lineRule="exact" w:after="0" w:before="0"/>
              <w:ind w:firstLine="0"/>
              <w:jc w:val="left"/>
            </w:pPr>
            <w:r>
              <w:rPr>
                <w:b w:val="0"/>
                <w:sz w:val="21"/>
              </w:rPr>
              <w:t>完整合同、适用规则和授权</w:t>
            </w:r>
          </w:p>
        </w:tc>
        <w:tc>
          <w:tcPr>
            <w:tcW w:type="dxa" w:w="2891"/>
            <w:vAlign w:val="center"/>
          </w:tcPr>
          <w:p>
            <w:pPr>
              <w:keepNext w:val="0"/>
              <w:spacing w:line="320" w:lineRule="exact" w:after="0" w:before="0"/>
              <w:ind w:firstLine="0"/>
              <w:jc w:val="left"/>
            </w:pPr>
            <w:r>
              <w:rPr>
                <w:b w:val="0"/>
                <w:sz w:val="21"/>
              </w:rPr>
              <w:t>风险定位与专业审核</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5" name="Picture 5"/>
            <wp:cNvGraphicFramePr>
              <a:graphicFrameLocks noChangeAspect="1"/>
            </wp:cNvGraphicFramePr>
            <a:graphic>
              <a:graphicData uri="http://schemas.openxmlformats.org/drawingml/2006/picture">
                <pic:pic>
                  <pic:nvPicPr>
                    <pic:cNvPr id="0" name="图5_供给关系.png"/>
                    <pic:cNvPicPr/>
                  </pic:nvPicPr>
                  <pic:blipFill>
                    <a:blip r:embed="rId15"/>
                    <a:stretch>
                      <a:fillRect/>
                    </a:stretch>
                  </pic:blipFill>
                  <pic:spPr>
                    <a:xfrm>
                      <a:off x="0" y="0"/>
                      <a:ext cx="6048000" cy="1942338"/>
                    </a:xfrm>
                    <a:prstGeom prst="rect"/>
                  </pic:spPr>
                </pic:pic>
              </a:graphicData>
            </a:graphic>
          </wp:inline>
        </w:drawing>
      </w:r>
    </w:p>
    <w:p>
      <w:pPr>
        <w:pStyle w:val="Caption"/>
        <w:jc w:val="center"/>
      </w:pPr>
      <w:r>
        <w:t>图2-2 治理与数据供给衔接</w:t>
      </w:r>
    </w:p>
    <w:p>
      <w:pPr>
        <w:pStyle w:val="Heading2"/>
      </w:pPr>
      <w:r>
        <w:t>2.8 重点任务与建设顺序</w:t>
      </w:r>
    </w:p>
    <w:p>
      <w:pPr>
        <w:pStyle w:val="Heading3"/>
      </w:pPr>
      <w:r>
        <w:t>2.8.1 六类战略任务</w:t>
      </w:r>
    </w:p>
    <w:p>
      <w:pPr>
        <w:jc w:val="both"/>
      </w:pPr>
      <w:r>
        <w:t>责任制度建设完成治理组织、职责授权、议事、协同、考核和培训安排。数据基础建设完成全域盘点、业务术语、关键数据元素、主数据关系、分层模型和元数据。治理执行建设完成汇聚、处理、标准、质量、安全、生存周期、资产及服务能力的实际配置和运行检查。</w:t>
      </w:r>
    </w:p>
    <w:p>
      <w:pPr>
        <w:jc w:val="both"/>
      </w:pPr>
      <w:r>
        <w:t>数据供给建设围绕四领域四用途及十一场景安排来源治理、专业加工、标注、验证和评测。资产运营建设完成来源权利、资源目录、内部申请、价值评价及使用反馈。能力持续提升完成岗位培训、内部核验、正式能力评估支撑、整改和后续维护。各任务以实际成果与运行证据确认进展。</w:t>
      </w:r>
    </w:p>
    <w:p>
      <w:pPr>
        <w:pStyle w:val="Caption"/>
        <w:keepNext/>
      </w:pPr>
      <w:r>
        <w:t>表2-9 六类战略任务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任务编号</w:t>
            </w:r>
          </w:p>
        </w:tc>
        <w:tc>
          <w:tcPr>
            <w:tcW w:type="dxa" w:w="2699"/>
            <w:vAlign w:val="center"/>
            <w:shd w:fill="EDF1F3"/>
          </w:tcPr>
          <w:p>
            <w:pPr>
              <w:keepNext/>
              <w:spacing w:line="320" w:lineRule="exact" w:after="0" w:before="0"/>
              <w:ind w:firstLine="0"/>
              <w:jc w:val="center"/>
            </w:pPr>
            <w:r>
              <w:rPr>
                <w:b/>
                <w:sz w:val="21"/>
              </w:rPr>
              <w:t>战略任务</w:t>
            </w:r>
          </w:p>
        </w:tc>
        <w:tc>
          <w:tcPr>
            <w:tcW w:type="dxa" w:w="2409"/>
            <w:vAlign w:val="center"/>
            <w:shd w:fill="EDF1F3"/>
          </w:tcPr>
          <w:p>
            <w:pPr>
              <w:keepNext/>
              <w:spacing w:line="320" w:lineRule="exact" w:after="0" w:before="0"/>
              <w:ind w:firstLine="0"/>
              <w:jc w:val="center"/>
            </w:pPr>
            <w:r>
              <w:rPr>
                <w:b/>
                <w:sz w:val="21"/>
              </w:rPr>
              <w:t>核心成果</w:t>
            </w:r>
          </w:p>
        </w:tc>
        <w:tc>
          <w:tcPr>
            <w:tcW w:type="dxa" w:w="2891"/>
            <w:vAlign w:val="center"/>
            <w:shd w:fill="EDF1F3"/>
          </w:tcPr>
          <w:p>
            <w:pPr>
              <w:keepNext/>
              <w:spacing w:line="320" w:lineRule="exact" w:after="0" w:before="0"/>
              <w:ind w:firstLine="0"/>
              <w:jc w:val="center"/>
            </w:pPr>
            <w:r>
              <w:rPr>
                <w:b/>
                <w:sz w:val="21"/>
              </w:rPr>
              <w:t>主要依赖</w:t>
            </w:r>
          </w:p>
        </w:tc>
      </w:tr>
      <w:tr>
        <w:trPr>
          <w:cantSplit/>
        </w:trPr>
        <w:tc>
          <w:tcPr>
            <w:tcW w:type="dxa" w:w="1638"/>
            <w:vAlign w:val="center"/>
          </w:tcPr>
          <w:p>
            <w:pPr>
              <w:keepNext w:val="0"/>
              <w:spacing w:line="320" w:lineRule="exact" w:after="0" w:before="0"/>
              <w:ind w:firstLine="0"/>
              <w:jc w:val="left"/>
            </w:pPr>
            <w:r>
              <w:rPr>
                <w:b w:val="0"/>
                <w:sz w:val="21"/>
              </w:rPr>
              <w:t>ST-01</w:t>
            </w:r>
          </w:p>
        </w:tc>
        <w:tc>
          <w:tcPr>
            <w:tcW w:type="dxa" w:w="2699"/>
            <w:vAlign w:val="center"/>
          </w:tcPr>
          <w:p>
            <w:pPr>
              <w:keepNext w:val="0"/>
              <w:spacing w:line="320" w:lineRule="exact" w:after="0" w:before="0"/>
              <w:ind w:firstLine="0"/>
              <w:jc w:val="left"/>
            </w:pPr>
            <w:r>
              <w:rPr>
                <w:b w:val="0"/>
                <w:sz w:val="21"/>
              </w:rPr>
              <w:t>责任制度建设</w:t>
            </w:r>
          </w:p>
        </w:tc>
        <w:tc>
          <w:tcPr>
            <w:tcW w:type="dxa" w:w="2409"/>
            <w:vAlign w:val="center"/>
          </w:tcPr>
          <w:p>
            <w:pPr>
              <w:keepNext w:val="0"/>
              <w:spacing w:line="320" w:lineRule="exact" w:after="0" w:before="0"/>
              <w:ind w:firstLine="0"/>
              <w:jc w:val="left"/>
            </w:pPr>
            <w:r>
              <w:rPr>
                <w:b w:val="0"/>
                <w:sz w:val="21"/>
              </w:rPr>
              <w:t>组织职责、管理办法、协同与培训安排</w:t>
            </w:r>
          </w:p>
        </w:tc>
        <w:tc>
          <w:tcPr>
            <w:tcW w:type="dxa" w:w="2891"/>
            <w:vAlign w:val="center"/>
          </w:tcPr>
          <w:p>
            <w:pPr>
              <w:keepNext w:val="0"/>
              <w:spacing w:line="320" w:lineRule="exact" w:after="0" w:before="0"/>
              <w:ind w:firstLine="0"/>
              <w:jc w:val="left"/>
            </w:pPr>
            <w:r>
              <w:rPr>
                <w:b w:val="0"/>
                <w:sz w:val="21"/>
              </w:rPr>
              <w:t>项目范围及公司授权</w:t>
            </w:r>
          </w:p>
        </w:tc>
      </w:tr>
      <w:tr>
        <w:trPr>
          <w:cantSplit/>
        </w:trPr>
        <w:tc>
          <w:tcPr>
            <w:tcW w:type="dxa" w:w="1638"/>
            <w:vAlign w:val="center"/>
          </w:tcPr>
          <w:p>
            <w:pPr>
              <w:keepNext w:val="0"/>
              <w:spacing w:line="320" w:lineRule="exact" w:after="0" w:before="0"/>
              <w:ind w:firstLine="0"/>
              <w:jc w:val="left"/>
            </w:pPr>
            <w:r>
              <w:rPr>
                <w:b w:val="0"/>
                <w:sz w:val="21"/>
              </w:rPr>
              <w:t>ST-02</w:t>
            </w:r>
          </w:p>
        </w:tc>
        <w:tc>
          <w:tcPr>
            <w:tcW w:type="dxa" w:w="2699"/>
            <w:vAlign w:val="center"/>
          </w:tcPr>
          <w:p>
            <w:pPr>
              <w:keepNext w:val="0"/>
              <w:spacing w:line="320" w:lineRule="exact" w:after="0" w:before="0"/>
              <w:ind w:firstLine="0"/>
              <w:jc w:val="left"/>
            </w:pPr>
            <w:r>
              <w:rPr>
                <w:b w:val="0"/>
                <w:sz w:val="21"/>
              </w:rPr>
              <w:t>数据基础建设</w:t>
            </w:r>
          </w:p>
        </w:tc>
        <w:tc>
          <w:tcPr>
            <w:tcW w:type="dxa" w:w="2409"/>
            <w:vAlign w:val="center"/>
          </w:tcPr>
          <w:p>
            <w:pPr>
              <w:keepNext w:val="0"/>
              <w:spacing w:line="320" w:lineRule="exact" w:after="0" w:before="0"/>
              <w:ind w:firstLine="0"/>
              <w:jc w:val="left"/>
            </w:pPr>
            <w:r>
              <w:rPr>
                <w:b w:val="0"/>
                <w:sz w:val="21"/>
              </w:rPr>
              <w:t>诊断、资源目录、术语、主数据及模型</w:t>
            </w:r>
          </w:p>
        </w:tc>
        <w:tc>
          <w:tcPr>
            <w:tcW w:type="dxa" w:w="2891"/>
            <w:vAlign w:val="center"/>
          </w:tcPr>
          <w:p>
            <w:pPr>
              <w:keepNext w:val="0"/>
              <w:spacing w:line="320" w:lineRule="exact" w:after="0" w:before="0"/>
              <w:ind w:firstLine="0"/>
              <w:jc w:val="left"/>
            </w:pPr>
            <w:r>
              <w:rPr>
                <w:b w:val="0"/>
                <w:sz w:val="21"/>
              </w:rPr>
              <w:t>业务调查、来源访问与专业确认</w:t>
            </w:r>
          </w:p>
        </w:tc>
      </w:tr>
      <w:tr>
        <w:trPr>
          <w:cantSplit/>
        </w:trPr>
        <w:tc>
          <w:tcPr>
            <w:tcW w:type="dxa" w:w="1638"/>
            <w:vAlign w:val="center"/>
          </w:tcPr>
          <w:p>
            <w:pPr>
              <w:keepNext w:val="0"/>
              <w:spacing w:line="320" w:lineRule="exact" w:after="0" w:before="0"/>
              <w:ind w:firstLine="0"/>
              <w:jc w:val="left"/>
            </w:pPr>
            <w:r>
              <w:rPr>
                <w:b w:val="0"/>
                <w:sz w:val="21"/>
              </w:rPr>
              <w:t>ST-03</w:t>
            </w:r>
          </w:p>
        </w:tc>
        <w:tc>
          <w:tcPr>
            <w:tcW w:type="dxa" w:w="2699"/>
            <w:vAlign w:val="center"/>
          </w:tcPr>
          <w:p>
            <w:pPr>
              <w:keepNext w:val="0"/>
              <w:spacing w:line="320" w:lineRule="exact" w:after="0" w:before="0"/>
              <w:ind w:firstLine="0"/>
              <w:jc w:val="left"/>
            </w:pPr>
            <w:r>
              <w:rPr>
                <w:b w:val="0"/>
                <w:sz w:val="21"/>
              </w:rPr>
              <w:t>治理执行建设</w:t>
            </w:r>
          </w:p>
        </w:tc>
        <w:tc>
          <w:tcPr>
            <w:tcW w:type="dxa" w:w="2409"/>
            <w:vAlign w:val="center"/>
          </w:tcPr>
          <w:p>
            <w:pPr>
              <w:keepNext w:val="0"/>
              <w:spacing w:line="320" w:lineRule="exact" w:after="0" w:before="0"/>
              <w:ind w:firstLine="0"/>
              <w:jc w:val="left"/>
            </w:pPr>
            <w:r>
              <w:rPr>
                <w:b w:val="0"/>
                <w:sz w:val="21"/>
              </w:rPr>
              <w:t>规则配置、接口作业、质量安全及运行记录</w:t>
            </w:r>
          </w:p>
        </w:tc>
        <w:tc>
          <w:tcPr>
            <w:tcW w:type="dxa" w:w="2891"/>
            <w:vAlign w:val="center"/>
          </w:tcPr>
          <w:p>
            <w:pPr>
              <w:keepNext w:val="0"/>
              <w:spacing w:line="320" w:lineRule="exact" w:after="0" w:before="0"/>
              <w:ind w:firstLine="0"/>
              <w:jc w:val="left"/>
            </w:pPr>
            <w:r>
              <w:rPr>
                <w:b w:val="0"/>
                <w:sz w:val="21"/>
              </w:rPr>
              <w:t>基础对象、环境和批准规则</w:t>
            </w:r>
          </w:p>
        </w:tc>
      </w:tr>
      <w:tr>
        <w:trPr>
          <w:cantSplit/>
        </w:trPr>
        <w:tc>
          <w:tcPr>
            <w:tcW w:type="dxa" w:w="1638"/>
            <w:vAlign w:val="center"/>
          </w:tcPr>
          <w:p>
            <w:pPr>
              <w:keepNext w:val="0"/>
              <w:spacing w:line="320" w:lineRule="exact" w:after="0" w:before="0"/>
              <w:ind w:firstLine="0"/>
              <w:jc w:val="left"/>
            </w:pPr>
            <w:r>
              <w:rPr>
                <w:b w:val="0"/>
                <w:sz w:val="21"/>
              </w:rPr>
              <w:t>ST-04</w:t>
            </w:r>
          </w:p>
        </w:tc>
        <w:tc>
          <w:tcPr>
            <w:tcW w:type="dxa" w:w="2699"/>
            <w:vAlign w:val="center"/>
          </w:tcPr>
          <w:p>
            <w:pPr>
              <w:keepNext w:val="0"/>
              <w:spacing w:line="320" w:lineRule="exact" w:after="0" w:before="0"/>
              <w:ind w:firstLine="0"/>
              <w:jc w:val="left"/>
            </w:pPr>
            <w:r>
              <w:rPr>
                <w:b w:val="0"/>
                <w:sz w:val="21"/>
              </w:rPr>
              <w:t>数据供给建设</w:t>
            </w:r>
          </w:p>
        </w:tc>
        <w:tc>
          <w:tcPr>
            <w:tcW w:type="dxa" w:w="2409"/>
            <w:vAlign w:val="center"/>
          </w:tcPr>
          <w:p>
            <w:pPr>
              <w:keepNext w:val="0"/>
              <w:spacing w:line="320" w:lineRule="exact" w:after="0" w:before="0"/>
              <w:ind w:firstLine="0"/>
              <w:jc w:val="left"/>
            </w:pPr>
            <w:r>
              <w:rPr>
                <w:b w:val="0"/>
                <w:sz w:val="21"/>
              </w:rPr>
              <w:t>四大数据集、数据卡、质检验证与正式评测</w:t>
            </w:r>
          </w:p>
        </w:tc>
        <w:tc>
          <w:tcPr>
            <w:tcW w:type="dxa" w:w="2891"/>
            <w:vAlign w:val="center"/>
          </w:tcPr>
          <w:p>
            <w:pPr>
              <w:keepNext w:val="0"/>
              <w:spacing w:line="320" w:lineRule="exact" w:after="0" w:before="0"/>
              <w:ind w:firstLine="0"/>
              <w:jc w:val="left"/>
            </w:pPr>
            <w:r>
              <w:rPr>
                <w:b w:val="0"/>
                <w:sz w:val="21"/>
              </w:rPr>
              <w:t>来源、治理结果、专家和生产工具</w:t>
            </w:r>
          </w:p>
        </w:tc>
      </w:tr>
      <w:tr>
        <w:trPr>
          <w:cantSplit/>
        </w:trPr>
        <w:tc>
          <w:tcPr>
            <w:tcW w:type="dxa" w:w="1638"/>
            <w:vAlign w:val="center"/>
          </w:tcPr>
          <w:p>
            <w:pPr>
              <w:keepNext w:val="0"/>
              <w:spacing w:line="320" w:lineRule="exact" w:after="0" w:before="0"/>
              <w:ind w:firstLine="0"/>
              <w:jc w:val="left"/>
            </w:pPr>
            <w:r>
              <w:rPr>
                <w:b w:val="0"/>
                <w:sz w:val="21"/>
              </w:rPr>
              <w:t>ST-05</w:t>
            </w:r>
          </w:p>
        </w:tc>
        <w:tc>
          <w:tcPr>
            <w:tcW w:type="dxa" w:w="2699"/>
            <w:vAlign w:val="center"/>
          </w:tcPr>
          <w:p>
            <w:pPr>
              <w:keepNext w:val="0"/>
              <w:spacing w:line="320" w:lineRule="exact" w:after="0" w:before="0"/>
              <w:ind w:firstLine="0"/>
              <w:jc w:val="left"/>
            </w:pPr>
            <w:r>
              <w:rPr>
                <w:b w:val="0"/>
                <w:sz w:val="21"/>
              </w:rPr>
              <w:t>资产运营建设</w:t>
            </w:r>
          </w:p>
        </w:tc>
        <w:tc>
          <w:tcPr>
            <w:tcW w:type="dxa" w:w="2409"/>
            <w:vAlign w:val="center"/>
          </w:tcPr>
          <w:p>
            <w:pPr>
              <w:keepNext w:val="0"/>
              <w:spacing w:line="320" w:lineRule="exact" w:after="0" w:before="0"/>
              <w:ind w:firstLine="0"/>
              <w:jc w:val="left"/>
            </w:pPr>
            <w:r>
              <w:rPr>
                <w:b w:val="0"/>
                <w:sz w:val="21"/>
              </w:rPr>
              <w:t>权利登记、目录、授权、服务和价值评价</w:t>
            </w:r>
          </w:p>
        </w:tc>
        <w:tc>
          <w:tcPr>
            <w:tcW w:type="dxa" w:w="2891"/>
            <w:vAlign w:val="center"/>
          </w:tcPr>
          <w:p>
            <w:pPr>
              <w:keepNext w:val="0"/>
              <w:spacing w:line="320" w:lineRule="exact" w:after="0" w:before="0"/>
              <w:ind w:firstLine="0"/>
              <w:jc w:val="left"/>
            </w:pPr>
            <w:r>
              <w:rPr>
                <w:b w:val="0"/>
                <w:sz w:val="21"/>
              </w:rPr>
              <w:t>可用成果、权限规则与使用需求</w:t>
            </w:r>
          </w:p>
        </w:tc>
      </w:tr>
      <w:tr>
        <w:trPr>
          <w:cantSplit/>
        </w:trPr>
        <w:tc>
          <w:tcPr>
            <w:tcW w:type="dxa" w:w="1638"/>
            <w:vAlign w:val="center"/>
          </w:tcPr>
          <w:p>
            <w:pPr>
              <w:keepNext w:val="0"/>
              <w:spacing w:line="320" w:lineRule="exact" w:after="0" w:before="0"/>
              <w:ind w:firstLine="0"/>
              <w:jc w:val="left"/>
            </w:pPr>
            <w:r>
              <w:rPr>
                <w:b w:val="0"/>
                <w:sz w:val="21"/>
              </w:rPr>
              <w:t>ST-06</w:t>
            </w:r>
          </w:p>
        </w:tc>
        <w:tc>
          <w:tcPr>
            <w:tcW w:type="dxa" w:w="2699"/>
            <w:vAlign w:val="center"/>
          </w:tcPr>
          <w:p>
            <w:pPr>
              <w:keepNext w:val="0"/>
              <w:spacing w:line="320" w:lineRule="exact" w:after="0" w:before="0"/>
              <w:ind w:firstLine="0"/>
              <w:jc w:val="left"/>
            </w:pPr>
            <w:r>
              <w:rPr>
                <w:b w:val="0"/>
                <w:sz w:val="21"/>
              </w:rPr>
              <w:t>能力持续提升</w:t>
            </w:r>
          </w:p>
        </w:tc>
        <w:tc>
          <w:tcPr>
            <w:tcW w:type="dxa" w:w="2409"/>
            <w:vAlign w:val="center"/>
          </w:tcPr>
          <w:p>
            <w:pPr>
              <w:keepNext w:val="0"/>
              <w:spacing w:line="320" w:lineRule="exact" w:after="0" w:before="0"/>
              <w:ind w:firstLine="0"/>
              <w:jc w:val="left"/>
            </w:pPr>
            <w:r>
              <w:rPr>
                <w:b w:val="0"/>
                <w:sz w:val="21"/>
              </w:rPr>
              <w:t>评价报告、整改、岗位实践和移交材料</w:t>
            </w:r>
          </w:p>
        </w:tc>
        <w:tc>
          <w:tcPr>
            <w:tcW w:type="dxa" w:w="2891"/>
            <w:vAlign w:val="center"/>
          </w:tcPr>
          <w:p>
            <w:pPr>
              <w:keepNext w:val="0"/>
              <w:spacing w:line="320" w:lineRule="exact" w:after="0" w:before="0"/>
              <w:ind w:firstLine="0"/>
              <w:jc w:val="left"/>
            </w:pPr>
            <w:r>
              <w:rPr>
                <w:b w:val="0"/>
                <w:sz w:val="21"/>
              </w:rPr>
              <w:t>实际执行记录、使用反馈及评估要求</w:t>
            </w:r>
          </w:p>
        </w:tc>
      </w:tr>
    </w:tbl>
    <w:p>
      <w:pPr>
        <w:spacing w:after="40" w:line="240" w:lineRule="auto"/>
        <w:ind w:firstLine="0"/>
      </w:pPr>
      <w:r>
        <w:rPr>
          <w:sz w:val="4"/>
        </w:rPr>
      </w:r>
    </w:p>
    <w:p>
      <w:pPr>
        <w:pStyle w:val="Heading3"/>
      </w:pPr>
      <w:r>
        <w:t>2.8.2 共性基础与领域扩展</w:t>
      </w:r>
    </w:p>
    <w:p>
      <w:pPr>
        <w:jc w:val="both"/>
      </w:pPr>
      <w:r>
        <w:t>共性任务优先建立对象标识、业务定义、来源权利和环境安全，领域实施据此开展。盘点与需求访谈可并行，正式模型设计在对象粒度确认后推进，正式共享在授权和质量条件满足后实施。数据生产可按已确认的来源分批启动，各批次保持独立版本和检查状态。</w:t>
      </w:r>
    </w:p>
    <w:p>
      <w:pPr>
        <w:jc w:val="both"/>
      </w:pPr>
      <w:r>
        <w:t>扩展顺序按业务影响、场景需求、来源成熟度、依赖数量和资源负荷综合确定。对关键路径上且被多个场景复用的基础对象优先治理；对数据条件尚不足的场景先安排补源和专业核验；对高风险任务预留独立复核。优先顺序变化须记录业务原因和对其他任务的影响。</w:t>
      </w:r>
    </w:p>
    <w:p>
      <w:pPr>
        <w:pStyle w:val="Heading2"/>
      </w:pPr>
      <w:r>
        <w:t>2.9 资源投入规划</w:t>
      </w:r>
    </w:p>
    <w:p>
      <w:pPr>
        <w:pStyle w:val="Heading3"/>
      </w:pPr>
      <w:r>
        <w:t>2.9.1 人员与专业审核投入</w:t>
      </w:r>
    </w:p>
    <w:p>
      <w:pPr>
        <w:jc w:val="both"/>
      </w:pPr>
      <w:r>
        <w:t>资源投入按任务阶段和专业负荷配置。启动及诊断阶段重点配置业务调查、治理和架构岗位，规划阶段增加质量、安全及资源审核，基础实施阶段配置数据开发与平台实施，规模生产阶段配置采集、标注、专业审核、质检及模型验证，运行评价阶段配置独立复核、培训和移交岗位。</w:t>
      </w:r>
    </w:p>
    <w:p>
      <w:pPr>
        <w:jc w:val="both"/>
      </w:pPr>
      <w:r>
        <w:t>业务专家计划按场景、模态和专业分别安排，重要工艺和质量判断进入正式审核任务。模型验证与正式评测保留独立测试管理及结果复核资源，生产自检和正式评价分别落实职责。人员替补需具备相应能力，并完成任务、数据、规则和未决问题交接。</w:t>
      </w:r>
    </w:p>
    <w:p>
      <w:pPr>
        <w:jc w:val="both"/>
      </w:pPr>
      <w:r>
        <w:t>工作量测算采用真实代表任务的处理记录，分别记录操作、等待、复核和返工耗时。批量处理自动化程度变化后重新评估岗位负荷，保证专业复核和质量检查的时间。关键审核窗口纳入总体计划，提前准备可供决策的完整材料。</w:t>
      </w:r>
    </w:p>
    <w:p>
      <w:pPr>
        <w:pStyle w:val="Heading3"/>
      </w:pPr>
      <w:r>
        <w:t>2.9.2 技术资源与费用安排</w:t>
      </w:r>
    </w:p>
    <w:p>
      <w:pPr>
        <w:jc w:val="both"/>
      </w:pPr>
      <w:r>
        <w:t>计算资源分别测算数据治理、样本生产、质量检测、模型验证和服务运行的负荷，确定并发、批次和资源调度条件。存储按原始、加工、发布、实验、日志和备份分区测算，结合版本数量及保留要求规划容量。恢复与容灾验证纳入资源计划，保证正式成果和必要证据能够恢复。</w:t>
      </w:r>
    </w:p>
    <w:p>
      <w:pPr>
        <w:jc w:val="both"/>
      </w:pPr>
      <w:r>
        <w:t>神兽 OS 与相关平台按批准架构部署于受控环境，统一管理任务、身份、版本及运行记录。九类二十五项生产工具、十六模块运营能力与治理平台职责相互衔接，数据对象和发布条件统一。资源配置与使用权限同步核验，临时实验产生的内容按其用途和安全等级管理。</w:t>
      </w:r>
    </w:p>
    <w:p>
      <w:pPr>
        <w:jc w:val="both"/>
      </w:pPr>
      <w:r>
        <w:t>费用计划按人员服务、资源配置、工具与平台、专业审核、第三方评测、能力评估、培训及维护分别建立依据。实际采购和支出按公司制度与合同办理。资源调整优先分析工作方式、批次安排和共性能力复用，必要投入按批准程序落实，并核对对范围、质量和终验的影响。</w:t>
      </w:r>
    </w:p>
    <w:p>
      <w:pPr>
        <w:pStyle w:val="Caption"/>
        <w:keepNext/>
      </w:pPr>
      <w:r>
        <w:t>表2-10 技术资源与费用安排</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资源类别</w:t>
            </w:r>
          </w:p>
        </w:tc>
        <w:tc>
          <w:tcPr>
            <w:tcW w:type="dxa" w:w="2699"/>
            <w:vAlign w:val="center"/>
            <w:shd w:fill="EDF1F3"/>
          </w:tcPr>
          <w:p>
            <w:pPr>
              <w:keepNext/>
              <w:spacing w:line="320" w:lineRule="exact" w:after="0" w:before="0"/>
              <w:ind w:firstLine="0"/>
              <w:jc w:val="center"/>
            </w:pPr>
            <w:r>
              <w:rPr>
                <w:b/>
                <w:sz w:val="21"/>
              </w:rPr>
              <w:t>核定依据</w:t>
            </w:r>
          </w:p>
        </w:tc>
        <w:tc>
          <w:tcPr>
            <w:tcW w:type="dxa" w:w="2409"/>
            <w:vAlign w:val="center"/>
            <w:shd w:fill="EDF1F3"/>
          </w:tcPr>
          <w:p>
            <w:pPr>
              <w:keepNext/>
              <w:spacing w:line="320" w:lineRule="exact" w:after="0" w:before="0"/>
              <w:ind w:firstLine="0"/>
              <w:jc w:val="center"/>
            </w:pPr>
            <w:r>
              <w:rPr>
                <w:b/>
                <w:sz w:val="21"/>
              </w:rPr>
              <w:t>重点投入环节</w:t>
            </w:r>
          </w:p>
        </w:tc>
        <w:tc>
          <w:tcPr>
            <w:tcW w:type="dxa" w:w="2891"/>
            <w:vAlign w:val="center"/>
            <w:shd w:fill="EDF1F3"/>
          </w:tcPr>
          <w:p>
            <w:pPr>
              <w:keepNext/>
              <w:spacing w:line="320" w:lineRule="exact" w:after="0" w:before="0"/>
              <w:ind w:firstLine="0"/>
              <w:jc w:val="center"/>
            </w:pPr>
            <w:r>
              <w:rPr>
                <w:b/>
                <w:sz w:val="21"/>
              </w:rPr>
              <w:t>检查方法</w:t>
            </w:r>
          </w:p>
        </w:tc>
      </w:tr>
      <w:tr>
        <w:trPr>
          <w:cantSplit/>
        </w:trPr>
        <w:tc>
          <w:tcPr>
            <w:tcW w:type="dxa" w:w="1638"/>
            <w:vAlign w:val="center"/>
          </w:tcPr>
          <w:p>
            <w:pPr>
              <w:keepNext w:val="0"/>
              <w:spacing w:line="320" w:lineRule="exact" w:after="0" w:before="0"/>
              <w:ind w:firstLine="0"/>
              <w:jc w:val="left"/>
            </w:pPr>
            <w:r>
              <w:rPr>
                <w:b w:val="0"/>
                <w:sz w:val="21"/>
              </w:rPr>
              <w:t>业务专家</w:t>
            </w:r>
          </w:p>
        </w:tc>
        <w:tc>
          <w:tcPr>
            <w:tcW w:type="dxa" w:w="2699"/>
            <w:vAlign w:val="center"/>
          </w:tcPr>
          <w:p>
            <w:pPr>
              <w:keepNext w:val="0"/>
              <w:spacing w:line="320" w:lineRule="exact" w:after="0" w:before="0"/>
              <w:ind w:firstLine="0"/>
              <w:jc w:val="left"/>
            </w:pPr>
            <w:r>
              <w:rPr>
                <w:b w:val="0"/>
                <w:sz w:val="21"/>
              </w:rPr>
              <w:t>对象专业、任务难度及审核量</w:t>
            </w:r>
          </w:p>
        </w:tc>
        <w:tc>
          <w:tcPr>
            <w:tcW w:type="dxa" w:w="2409"/>
            <w:vAlign w:val="center"/>
          </w:tcPr>
          <w:p>
            <w:pPr>
              <w:keepNext w:val="0"/>
              <w:spacing w:line="320" w:lineRule="exact" w:after="0" w:before="0"/>
              <w:ind w:firstLine="0"/>
              <w:jc w:val="left"/>
            </w:pPr>
            <w:r>
              <w:rPr>
                <w:b w:val="0"/>
                <w:sz w:val="21"/>
              </w:rPr>
              <w:t>定义、标注、专业评测和争议处理</w:t>
            </w:r>
          </w:p>
        </w:tc>
        <w:tc>
          <w:tcPr>
            <w:tcW w:type="dxa" w:w="2891"/>
            <w:vAlign w:val="center"/>
          </w:tcPr>
          <w:p>
            <w:pPr>
              <w:keepNext w:val="0"/>
              <w:spacing w:line="320" w:lineRule="exact" w:after="0" w:before="0"/>
              <w:ind w:firstLine="0"/>
              <w:jc w:val="left"/>
            </w:pPr>
            <w:r>
              <w:rPr>
                <w:b w:val="0"/>
                <w:sz w:val="21"/>
              </w:rPr>
              <w:t>审核任务、结论质量及到位记录</w:t>
            </w:r>
          </w:p>
        </w:tc>
      </w:tr>
      <w:tr>
        <w:trPr>
          <w:cantSplit/>
        </w:trPr>
        <w:tc>
          <w:tcPr>
            <w:tcW w:type="dxa" w:w="1638"/>
            <w:vAlign w:val="center"/>
          </w:tcPr>
          <w:p>
            <w:pPr>
              <w:keepNext w:val="0"/>
              <w:spacing w:line="320" w:lineRule="exact" w:after="0" w:before="0"/>
              <w:ind w:firstLine="0"/>
              <w:jc w:val="left"/>
            </w:pPr>
            <w:r>
              <w:rPr>
                <w:b w:val="0"/>
                <w:sz w:val="21"/>
              </w:rPr>
              <w:t>治理及架构</w:t>
            </w:r>
          </w:p>
        </w:tc>
        <w:tc>
          <w:tcPr>
            <w:tcW w:type="dxa" w:w="2699"/>
            <w:vAlign w:val="center"/>
          </w:tcPr>
          <w:p>
            <w:pPr>
              <w:keepNext w:val="0"/>
              <w:spacing w:line="320" w:lineRule="exact" w:after="0" w:before="0"/>
              <w:ind w:firstLine="0"/>
              <w:jc w:val="left"/>
            </w:pPr>
            <w:r>
              <w:rPr>
                <w:b w:val="0"/>
                <w:sz w:val="21"/>
              </w:rPr>
              <w:t>业务域、系统、模型和制度范围</w:t>
            </w:r>
          </w:p>
        </w:tc>
        <w:tc>
          <w:tcPr>
            <w:tcW w:type="dxa" w:w="2409"/>
            <w:vAlign w:val="center"/>
          </w:tcPr>
          <w:p>
            <w:pPr>
              <w:keepNext w:val="0"/>
              <w:spacing w:line="320" w:lineRule="exact" w:after="0" w:before="0"/>
              <w:ind w:firstLine="0"/>
              <w:jc w:val="left"/>
            </w:pPr>
            <w:r>
              <w:rPr>
                <w:b w:val="0"/>
                <w:sz w:val="21"/>
              </w:rPr>
              <w:t>诊断、规划和规则设计</w:t>
            </w:r>
          </w:p>
        </w:tc>
        <w:tc>
          <w:tcPr>
            <w:tcW w:type="dxa" w:w="2891"/>
            <w:vAlign w:val="center"/>
          </w:tcPr>
          <w:p>
            <w:pPr>
              <w:keepNext w:val="0"/>
              <w:spacing w:line="320" w:lineRule="exact" w:after="0" w:before="0"/>
              <w:ind w:firstLine="0"/>
              <w:jc w:val="left"/>
            </w:pPr>
            <w:r>
              <w:rPr>
                <w:b w:val="0"/>
                <w:sz w:val="21"/>
              </w:rPr>
              <w:t>实际成果、依赖和复核结果</w:t>
            </w:r>
          </w:p>
        </w:tc>
      </w:tr>
      <w:tr>
        <w:trPr>
          <w:cantSplit/>
        </w:trPr>
        <w:tc>
          <w:tcPr>
            <w:tcW w:type="dxa" w:w="1638"/>
            <w:vAlign w:val="center"/>
          </w:tcPr>
          <w:p>
            <w:pPr>
              <w:keepNext w:val="0"/>
              <w:spacing w:line="320" w:lineRule="exact" w:after="0" w:before="0"/>
              <w:ind w:firstLine="0"/>
              <w:jc w:val="left"/>
            </w:pPr>
            <w:r>
              <w:rPr>
                <w:b w:val="0"/>
                <w:sz w:val="21"/>
              </w:rPr>
              <w:t>开发与实施</w:t>
            </w:r>
          </w:p>
        </w:tc>
        <w:tc>
          <w:tcPr>
            <w:tcW w:type="dxa" w:w="2699"/>
            <w:vAlign w:val="center"/>
          </w:tcPr>
          <w:p>
            <w:pPr>
              <w:keepNext w:val="0"/>
              <w:spacing w:line="320" w:lineRule="exact" w:after="0" w:before="0"/>
              <w:ind w:firstLine="0"/>
              <w:jc w:val="left"/>
            </w:pPr>
            <w:r>
              <w:rPr>
                <w:b w:val="0"/>
                <w:sz w:val="21"/>
              </w:rPr>
              <w:t>接口、作业、配置和联调工作量</w:t>
            </w:r>
          </w:p>
        </w:tc>
        <w:tc>
          <w:tcPr>
            <w:tcW w:type="dxa" w:w="2409"/>
            <w:vAlign w:val="center"/>
          </w:tcPr>
          <w:p>
            <w:pPr>
              <w:keepNext w:val="0"/>
              <w:spacing w:line="320" w:lineRule="exact" w:after="0" w:before="0"/>
              <w:ind w:firstLine="0"/>
              <w:jc w:val="left"/>
            </w:pPr>
            <w:r>
              <w:rPr>
                <w:b w:val="0"/>
                <w:sz w:val="21"/>
              </w:rPr>
              <w:t>基础治理和规模扩展</w:t>
            </w:r>
          </w:p>
        </w:tc>
        <w:tc>
          <w:tcPr>
            <w:tcW w:type="dxa" w:w="2891"/>
            <w:vAlign w:val="center"/>
          </w:tcPr>
          <w:p>
            <w:pPr>
              <w:keepNext w:val="0"/>
              <w:spacing w:line="320" w:lineRule="exact" w:after="0" w:before="0"/>
              <w:ind w:firstLine="0"/>
              <w:jc w:val="left"/>
            </w:pPr>
            <w:r>
              <w:rPr>
                <w:b w:val="0"/>
                <w:sz w:val="21"/>
              </w:rPr>
              <w:t>配置、运行、测试及异常处理</w:t>
            </w:r>
          </w:p>
        </w:tc>
      </w:tr>
      <w:tr>
        <w:trPr>
          <w:cantSplit/>
        </w:trPr>
        <w:tc>
          <w:tcPr>
            <w:tcW w:type="dxa" w:w="1638"/>
            <w:vAlign w:val="center"/>
          </w:tcPr>
          <w:p>
            <w:pPr>
              <w:keepNext w:val="0"/>
              <w:spacing w:line="320" w:lineRule="exact" w:after="0" w:before="0"/>
              <w:ind w:firstLine="0"/>
              <w:jc w:val="left"/>
            </w:pPr>
            <w:r>
              <w:rPr>
                <w:b w:val="0"/>
                <w:sz w:val="21"/>
              </w:rPr>
              <w:t>生产与质检</w:t>
            </w:r>
          </w:p>
        </w:tc>
        <w:tc>
          <w:tcPr>
            <w:tcW w:type="dxa" w:w="2699"/>
            <w:vAlign w:val="center"/>
          </w:tcPr>
          <w:p>
            <w:pPr>
              <w:keepNext w:val="0"/>
              <w:spacing w:line="320" w:lineRule="exact" w:after="0" w:before="0"/>
              <w:ind w:firstLine="0"/>
              <w:jc w:val="left"/>
            </w:pPr>
            <w:r>
              <w:rPr>
                <w:b w:val="0"/>
                <w:sz w:val="21"/>
              </w:rPr>
              <w:t>有效规模、模态、损耗和抽检要求</w:t>
            </w:r>
          </w:p>
        </w:tc>
        <w:tc>
          <w:tcPr>
            <w:tcW w:type="dxa" w:w="2409"/>
            <w:vAlign w:val="center"/>
          </w:tcPr>
          <w:p>
            <w:pPr>
              <w:keepNext w:val="0"/>
              <w:spacing w:line="320" w:lineRule="exact" w:after="0" w:before="0"/>
              <w:ind w:firstLine="0"/>
              <w:jc w:val="left"/>
            </w:pPr>
            <w:r>
              <w:rPr>
                <w:b w:val="0"/>
                <w:sz w:val="21"/>
              </w:rPr>
              <w:t>数据加工、标注及质量验证</w:t>
            </w:r>
          </w:p>
        </w:tc>
        <w:tc>
          <w:tcPr>
            <w:tcW w:type="dxa" w:w="2891"/>
            <w:vAlign w:val="center"/>
          </w:tcPr>
          <w:p>
            <w:pPr>
              <w:keepNext w:val="0"/>
              <w:spacing w:line="320" w:lineRule="exact" w:after="0" w:before="0"/>
              <w:ind w:firstLine="0"/>
              <w:jc w:val="left"/>
            </w:pPr>
            <w:r>
              <w:rPr>
                <w:b w:val="0"/>
                <w:sz w:val="21"/>
              </w:rPr>
              <w:t>净量、专业质量及返工记录</w:t>
            </w:r>
          </w:p>
        </w:tc>
      </w:tr>
      <w:tr>
        <w:trPr>
          <w:cantSplit/>
        </w:trPr>
        <w:tc>
          <w:tcPr>
            <w:tcW w:type="dxa" w:w="1638"/>
            <w:vAlign w:val="center"/>
          </w:tcPr>
          <w:p>
            <w:pPr>
              <w:keepNext w:val="0"/>
              <w:spacing w:line="320" w:lineRule="exact" w:after="0" w:before="0"/>
              <w:ind w:firstLine="0"/>
              <w:jc w:val="left"/>
            </w:pPr>
            <w:r>
              <w:rPr>
                <w:b w:val="0"/>
                <w:sz w:val="21"/>
              </w:rPr>
              <w:t>计算存储</w:t>
            </w:r>
          </w:p>
        </w:tc>
        <w:tc>
          <w:tcPr>
            <w:tcW w:type="dxa" w:w="2699"/>
            <w:vAlign w:val="center"/>
          </w:tcPr>
          <w:p>
            <w:pPr>
              <w:keepNext w:val="0"/>
              <w:spacing w:line="320" w:lineRule="exact" w:after="0" w:before="0"/>
              <w:ind w:firstLine="0"/>
              <w:jc w:val="left"/>
            </w:pPr>
            <w:r>
              <w:rPr>
                <w:b w:val="0"/>
                <w:sz w:val="21"/>
              </w:rPr>
              <w:t>实测吞吐、并发、版本与保留</w:t>
            </w:r>
          </w:p>
        </w:tc>
        <w:tc>
          <w:tcPr>
            <w:tcW w:type="dxa" w:w="2409"/>
            <w:vAlign w:val="center"/>
          </w:tcPr>
          <w:p>
            <w:pPr>
              <w:keepNext w:val="0"/>
              <w:spacing w:line="320" w:lineRule="exact" w:after="0" w:before="0"/>
              <w:ind w:firstLine="0"/>
              <w:jc w:val="left"/>
            </w:pPr>
            <w:r>
              <w:rPr>
                <w:b w:val="0"/>
                <w:sz w:val="21"/>
              </w:rPr>
              <w:t>批处理、实验、服务及档案</w:t>
            </w:r>
          </w:p>
        </w:tc>
        <w:tc>
          <w:tcPr>
            <w:tcW w:type="dxa" w:w="2891"/>
            <w:vAlign w:val="center"/>
          </w:tcPr>
          <w:p>
            <w:pPr>
              <w:keepNext w:val="0"/>
              <w:spacing w:line="320" w:lineRule="exact" w:after="0" w:before="0"/>
              <w:ind w:firstLine="0"/>
              <w:jc w:val="left"/>
            </w:pPr>
            <w:r>
              <w:rPr>
                <w:b w:val="0"/>
                <w:sz w:val="21"/>
              </w:rPr>
              <w:t>利用率、完成量、恢复验证</w:t>
            </w:r>
          </w:p>
        </w:tc>
      </w:tr>
      <w:tr>
        <w:trPr>
          <w:cantSplit/>
        </w:trPr>
        <w:tc>
          <w:tcPr>
            <w:tcW w:type="dxa" w:w="1638"/>
            <w:vAlign w:val="center"/>
          </w:tcPr>
          <w:p>
            <w:pPr>
              <w:keepNext w:val="0"/>
              <w:spacing w:line="320" w:lineRule="exact" w:after="0" w:before="0"/>
              <w:ind w:firstLine="0"/>
              <w:jc w:val="left"/>
            </w:pPr>
            <w:r>
              <w:rPr>
                <w:b w:val="0"/>
                <w:sz w:val="21"/>
              </w:rPr>
              <w:t>安全资源</w:t>
            </w:r>
          </w:p>
        </w:tc>
        <w:tc>
          <w:tcPr>
            <w:tcW w:type="dxa" w:w="2699"/>
            <w:vAlign w:val="center"/>
          </w:tcPr>
          <w:p>
            <w:pPr>
              <w:keepNext w:val="0"/>
              <w:spacing w:line="320" w:lineRule="exact" w:after="0" w:before="0"/>
              <w:ind w:firstLine="0"/>
              <w:jc w:val="left"/>
            </w:pPr>
            <w:r>
              <w:rPr>
                <w:b w:val="0"/>
                <w:sz w:val="21"/>
              </w:rPr>
              <w:t>分类、权限、环境和审计要求</w:t>
            </w:r>
          </w:p>
        </w:tc>
        <w:tc>
          <w:tcPr>
            <w:tcW w:type="dxa" w:w="2409"/>
            <w:vAlign w:val="center"/>
          </w:tcPr>
          <w:p>
            <w:pPr>
              <w:keepNext w:val="0"/>
              <w:spacing w:line="320" w:lineRule="exact" w:after="0" w:before="0"/>
              <w:ind w:firstLine="0"/>
              <w:jc w:val="left"/>
            </w:pPr>
            <w:r>
              <w:rPr>
                <w:b w:val="0"/>
                <w:sz w:val="21"/>
              </w:rPr>
              <w:t>全流程访问与正式发布</w:t>
            </w:r>
          </w:p>
        </w:tc>
        <w:tc>
          <w:tcPr>
            <w:tcW w:type="dxa" w:w="2891"/>
            <w:vAlign w:val="center"/>
          </w:tcPr>
          <w:p>
            <w:pPr>
              <w:keepNext w:val="0"/>
              <w:spacing w:line="320" w:lineRule="exact" w:after="0" w:before="0"/>
              <w:ind w:firstLine="0"/>
              <w:jc w:val="left"/>
            </w:pPr>
            <w:r>
              <w:rPr>
                <w:b w:val="0"/>
                <w:sz w:val="21"/>
              </w:rPr>
              <w:t>授权、日志及风险处置</w:t>
            </w:r>
          </w:p>
        </w:tc>
      </w:tr>
      <w:tr>
        <w:trPr>
          <w:cantSplit/>
        </w:trPr>
        <w:tc>
          <w:tcPr>
            <w:tcW w:type="dxa" w:w="1638"/>
            <w:vAlign w:val="center"/>
          </w:tcPr>
          <w:p>
            <w:pPr>
              <w:keepNext w:val="0"/>
              <w:spacing w:line="320" w:lineRule="exact" w:after="0" w:before="0"/>
              <w:ind w:firstLine="0"/>
              <w:jc w:val="left"/>
            </w:pPr>
            <w:r>
              <w:rPr>
                <w:b w:val="0"/>
                <w:sz w:val="21"/>
              </w:rPr>
              <w:t>评价培训</w:t>
            </w:r>
          </w:p>
        </w:tc>
        <w:tc>
          <w:tcPr>
            <w:tcW w:type="dxa" w:w="2699"/>
            <w:vAlign w:val="center"/>
          </w:tcPr>
          <w:p>
            <w:pPr>
              <w:keepNext w:val="0"/>
              <w:spacing w:line="320" w:lineRule="exact" w:after="0" w:before="0"/>
              <w:ind w:firstLine="0"/>
              <w:jc w:val="left"/>
            </w:pPr>
            <w:r>
              <w:rPr>
                <w:b w:val="0"/>
                <w:sz w:val="21"/>
              </w:rPr>
              <w:t>评测范围、岗位和移交要求</w:t>
            </w:r>
          </w:p>
        </w:tc>
        <w:tc>
          <w:tcPr>
            <w:tcW w:type="dxa" w:w="2409"/>
            <w:vAlign w:val="center"/>
          </w:tcPr>
          <w:p>
            <w:pPr>
              <w:keepNext w:val="0"/>
              <w:spacing w:line="320" w:lineRule="exact" w:after="0" w:before="0"/>
              <w:ind w:firstLine="0"/>
              <w:jc w:val="left"/>
            </w:pPr>
            <w:r>
              <w:rPr>
                <w:b w:val="0"/>
                <w:sz w:val="21"/>
              </w:rPr>
              <w:t>阶段评价、正式评估与承接</w:t>
            </w:r>
          </w:p>
        </w:tc>
        <w:tc>
          <w:tcPr>
            <w:tcW w:type="dxa" w:w="2891"/>
            <w:vAlign w:val="center"/>
          </w:tcPr>
          <w:p>
            <w:pPr>
              <w:keepNext w:val="0"/>
              <w:spacing w:line="320" w:lineRule="exact" w:after="0" w:before="0"/>
              <w:ind w:firstLine="0"/>
              <w:jc w:val="left"/>
            </w:pPr>
            <w:r>
              <w:rPr>
                <w:b w:val="0"/>
                <w:sz w:val="21"/>
              </w:rPr>
              <w:t>报告、实操、整改及接收记录</w:t>
            </w:r>
          </w:p>
        </w:tc>
      </w:tr>
    </w:tbl>
    <w:p>
      <w:pPr>
        <w:spacing w:after="40" w:line="240" w:lineRule="auto"/>
        <w:ind w:firstLine="0"/>
      </w:pPr>
      <w:r>
        <w:rPr>
          <w:sz w:val="4"/>
        </w:rPr>
      </w:r>
    </w:p>
    <w:p>
      <w:pPr>
        <w:pStyle w:val="Heading2"/>
      </w:pPr>
      <w:r>
        <w:t>2.10 实施路线与里程碑</w:t>
      </w:r>
    </w:p>
    <w:p>
      <w:pPr>
        <w:pStyle w:val="Heading3"/>
      </w:pPr>
      <w:r>
        <w:t>2.10.1 六阶段路线</w:t>
      </w:r>
    </w:p>
    <w:p>
      <w:pPr>
        <w:jc w:val="both"/>
      </w:pPr>
      <w:r>
        <w:t>启动准备阶段建立组织、授权、范围、计划和依据清单，明确工作入口及成果责任。现状评估阶段完成九域能力调查、九业务域和十七系统盘点，形成诊断及场景需求。四域规划阶段完成战略、治理组织制度、架构与资产规划的十六项成果，并完成跨域一致性审核。</w:t>
      </w:r>
    </w:p>
    <w:p>
      <w:pPr>
        <w:jc w:val="both"/>
      </w:pPr>
      <w:r>
        <w:t>基础治理阶段完成共性对象、接口、元数据、模型和质量安全规则，运行代表性业务链。规模实施阶段扩大业务域覆盖，持续生产四大数据集并开展场景数据验证，形成经营指标及授权服务。运行验收阶段完成战略评估、问题整改、能力评估支撑、验收和岗位移交。</w:t>
      </w:r>
    </w:p>
    <w:p>
      <w:pPr>
        <w:jc w:val="both"/>
      </w:pPr>
      <w:r>
        <w:t>阶段之间以实际输入和成果条件衔接，已满足条件的批次可并行推进。总体日历以启动时批准计划为依据，倒排终验所需试运行、整改、评测和审查窗口，2028年5月前完成最终验收。各阶段同时保留计划日期、预测日期和实际日期，偏差分析使用原批准计划作为对照。</w:t>
      </w:r>
    </w:p>
    <w:p>
      <w:pPr>
        <w:pStyle w:val="Heading3"/>
      </w:pPr>
      <w:r>
        <w:t>2.10.2 阶段检查与移交条件</w:t>
      </w:r>
    </w:p>
    <w:p>
      <w:pPr>
        <w:pStyle w:val="Caption"/>
        <w:keepNext/>
      </w:pPr>
      <w:r>
        <w:t>表2-11 阶段检查与移交条件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里程碑</w:t>
            </w:r>
          </w:p>
        </w:tc>
        <w:tc>
          <w:tcPr>
            <w:tcW w:type="dxa" w:w="2699"/>
            <w:vAlign w:val="center"/>
            <w:shd w:fill="EDF1F3"/>
          </w:tcPr>
          <w:p>
            <w:pPr>
              <w:keepNext/>
              <w:spacing w:line="320" w:lineRule="exact" w:after="0" w:before="0"/>
              <w:ind w:firstLine="0"/>
              <w:jc w:val="center"/>
            </w:pPr>
            <w:r>
              <w:rPr>
                <w:b/>
                <w:sz w:val="21"/>
              </w:rPr>
              <w:t>核心成果</w:t>
            </w:r>
          </w:p>
        </w:tc>
        <w:tc>
          <w:tcPr>
            <w:tcW w:type="dxa" w:w="2409"/>
            <w:vAlign w:val="center"/>
            <w:shd w:fill="EDF1F3"/>
          </w:tcPr>
          <w:p>
            <w:pPr>
              <w:keepNext/>
              <w:spacing w:line="320" w:lineRule="exact" w:after="0" w:before="0"/>
              <w:ind w:firstLine="0"/>
              <w:jc w:val="center"/>
            </w:pPr>
            <w:r>
              <w:rPr>
                <w:b/>
                <w:sz w:val="21"/>
              </w:rPr>
              <w:t>进入下一阶段的条件</w:t>
            </w:r>
          </w:p>
        </w:tc>
        <w:tc>
          <w:tcPr>
            <w:tcW w:type="dxa" w:w="2891"/>
            <w:vAlign w:val="center"/>
            <w:shd w:fill="EDF1F3"/>
          </w:tcPr>
          <w:p>
            <w:pPr>
              <w:keepNext/>
              <w:spacing w:line="320" w:lineRule="exact" w:after="0" w:before="0"/>
              <w:ind w:firstLine="0"/>
              <w:jc w:val="center"/>
            </w:pPr>
            <w:r>
              <w:rPr>
                <w:b/>
                <w:sz w:val="21"/>
              </w:rPr>
              <w:t>后续责任</w:t>
            </w:r>
          </w:p>
        </w:tc>
      </w:tr>
      <w:tr>
        <w:trPr>
          <w:cantSplit/>
        </w:trPr>
        <w:tc>
          <w:tcPr>
            <w:tcW w:type="dxa" w:w="1638"/>
            <w:vAlign w:val="center"/>
          </w:tcPr>
          <w:p>
            <w:pPr>
              <w:keepNext w:val="0"/>
              <w:spacing w:line="320" w:lineRule="exact" w:after="0" w:before="0"/>
              <w:ind w:firstLine="0"/>
              <w:jc w:val="left"/>
            </w:pPr>
            <w:r>
              <w:rPr>
                <w:b w:val="0"/>
                <w:sz w:val="21"/>
              </w:rPr>
              <w:t>M1 启动基线确认</w:t>
            </w:r>
          </w:p>
        </w:tc>
        <w:tc>
          <w:tcPr>
            <w:tcW w:type="dxa" w:w="2699"/>
            <w:vAlign w:val="center"/>
          </w:tcPr>
          <w:p>
            <w:pPr>
              <w:keepNext w:val="0"/>
              <w:spacing w:line="320" w:lineRule="exact" w:after="0" w:before="0"/>
              <w:ind w:firstLine="0"/>
              <w:jc w:val="left"/>
            </w:pPr>
            <w:r>
              <w:rPr>
                <w:b w:val="0"/>
                <w:sz w:val="21"/>
              </w:rPr>
              <w:t>范围、组织、授权、计划和依据清单</w:t>
            </w:r>
          </w:p>
        </w:tc>
        <w:tc>
          <w:tcPr>
            <w:tcW w:type="dxa" w:w="2409"/>
            <w:vAlign w:val="center"/>
          </w:tcPr>
          <w:p>
            <w:pPr>
              <w:keepNext w:val="0"/>
              <w:spacing w:line="320" w:lineRule="exact" w:after="0" w:before="0"/>
              <w:ind w:firstLine="0"/>
              <w:jc w:val="left"/>
            </w:pPr>
            <w:r>
              <w:rPr>
                <w:b w:val="0"/>
                <w:sz w:val="21"/>
              </w:rPr>
              <w:t>对象和责任明确，调查及环境条件具备</w:t>
            </w:r>
          </w:p>
        </w:tc>
        <w:tc>
          <w:tcPr>
            <w:tcW w:type="dxa" w:w="2891"/>
            <w:vAlign w:val="center"/>
          </w:tcPr>
          <w:p>
            <w:pPr>
              <w:keepNext w:val="0"/>
              <w:spacing w:line="320" w:lineRule="exact" w:after="0" w:before="0"/>
              <w:ind w:firstLine="0"/>
              <w:jc w:val="left"/>
            </w:pPr>
            <w:r>
              <w:rPr>
                <w:b w:val="0"/>
                <w:sz w:val="21"/>
              </w:rPr>
              <w:t>治理管理层统筹取证</w:t>
            </w:r>
          </w:p>
        </w:tc>
      </w:tr>
      <w:tr>
        <w:trPr>
          <w:cantSplit/>
        </w:trPr>
        <w:tc>
          <w:tcPr>
            <w:tcW w:type="dxa" w:w="1638"/>
            <w:vAlign w:val="center"/>
          </w:tcPr>
          <w:p>
            <w:pPr>
              <w:keepNext w:val="0"/>
              <w:spacing w:line="320" w:lineRule="exact" w:after="0" w:before="0"/>
              <w:ind w:firstLine="0"/>
              <w:jc w:val="left"/>
            </w:pPr>
            <w:r>
              <w:rPr>
                <w:b w:val="0"/>
                <w:sz w:val="21"/>
              </w:rPr>
              <w:t>M2 诊断需求确认</w:t>
            </w:r>
          </w:p>
        </w:tc>
        <w:tc>
          <w:tcPr>
            <w:tcW w:type="dxa" w:w="2699"/>
            <w:vAlign w:val="center"/>
          </w:tcPr>
          <w:p>
            <w:pPr>
              <w:keepNext w:val="0"/>
              <w:spacing w:line="320" w:lineRule="exact" w:after="0" w:before="0"/>
              <w:ind w:firstLine="0"/>
              <w:jc w:val="left"/>
            </w:pPr>
            <w:r>
              <w:rPr>
                <w:b w:val="0"/>
                <w:sz w:val="21"/>
              </w:rPr>
              <w:t>现状诊断报告、场景需求清单</w:t>
            </w:r>
          </w:p>
        </w:tc>
        <w:tc>
          <w:tcPr>
            <w:tcW w:type="dxa" w:w="2409"/>
            <w:vAlign w:val="center"/>
          </w:tcPr>
          <w:p>
            <w:pPr>
              <w:keepNext w:val="0"/>
              <w:spacing w:line="320" w:lineRule="exact" w:after="0" w:before="0"/>
              <w:ind w:firstLine="0"/>
              <w:jc w:val="left"/>
            </w:pPr>
            <w:r>
              <w:rPr>
                <w:b w:val="0"/>
                <w:sz w:val="21"/>
              </w:rPr>
              <w:t>事实有证据，差距和优先级经确认</w:t>
            </w:r>
          </w:p>
        </w:tc>
        <w:tc>
          <w:tcPr>
            <w:tcW w:type="dxa" w:w="2891"/>
            <w:vAlign w:val="center"/>
          </w:tcPr>
          <w:p>
            <w:pPr>
              <w:keepNext w:val="0"/>
              <w:spacing w:line="320" w:lineRule="exact" w:after="0" w:before="0"/>
              <w:ind w:firstLine="0"/>
              <w:jc w:val="left"/>
            </w:pPr>
            <w:r>
              <w:rPr>
                <w:b w:val="0"/>
                <w:sz w:val="21"/>
              </w:rPr>
              <w:t>各规划岗位形成目标和方案</w:t>
            </w:r>
          </w:p>
        </w:tc>
      </w:tr>
      <w:tr>
        <w:trPr>
          <w:cantSplit/>
        </w:trPr>
        <w:tc>
          <w:tcPr>
            <w:tcW w:type="dxa" w:w="1638"/>
            <w:vAlign w:val="center"/>
          </w:tcPr>
          <w:p>
            <w:pPr>
              <w:keepNext w:val="0"/>
              <w:spacing w:line="320" w:lineRule="exact" w:after="0" w:before="0"/>
              <w:ind w:firstLine="0"/>
              <w:jc w:val="left"/>
            </w:pPr>
            <w:r>
              <w:rPr>
                <w:b w:val="0"/>
                <w:sz w:val="21"/>
              </w:rPr>
              <w:t>M3 治理规划确认</w:t>
            </w:r>
          </w:p>
        </w:tc>
        <w:tc>
          <w:tcPr>
            <w:tcW w:type="dxa" w:w="2699"/>
            <w:vAlign w:val="center"/>
          </w:tcPr>
          <w:p>
            <w:pPr>
              <w:keepNext w:val="0"/>
              <w:spacing w:line="320" w:lineRule="exact" w:after="0" w:before="0"/>
              <w:ind w:firstLine="0"/>
              <w:jc w:val="left"/>
            </w:pPr>
            <w:r>
              <w:rPr>
                <w:b w:val="0"/>
                <w:sz w:val="21"/>
              </w:rPr>
              <w:t>四域十六项规划及专项衔接</w:t>
            </w:r>
          </w:p>
        </w:tc>
        <w:tc>
          <w:tcPr>
            <w:tcW w:type="dxa" w:w="2409"/>
            <w:vAlign w:val="center"/>
          </w:tcPr>
          <w:p>
            <w:pPr>
              <w:keepNext w:val="0"/>
              <w:spacing w:line="320" w:lineRule="exact" w:after="0" w:before="0"/>
              <w:ind w:firstLine="0"/>
              <w:jc w:val="left"/>
            </w:pPr>
            <w:r>
              <w:rPr>
                <w:b w:val="0"/>
                <w:sz w:val="21"/>
              </w:rPr>
              <w:t>目标、职责、模型、权利和计划一致</w:t>
            </w:r>
          </w:p>
        </w:tc>
        <w:tc>
          <w:tcPr>
            <w:tcW w:type="dxa" w:w="2891"/>
            <w:vAlign w:val="center"/>
          </w:tcPr>
          <w:p>
            <w:pPr>
              <w:keepNext w:val="0"/>
              <w:spacing w:line="320" w:lineRule="exact" w:after="0" w:before="0"/>
              <w:ind w:firstLine="0"/>
              <w:jc w:val="left"/>
            </w:pPr>
            <w:r>
              <w:rPr>
                <w:b w:val="0"/>
                <w:sz w:val="21"/>
              </w:rPr>
              <w:t>实施岗位落实规则及配置</w:t>
            </w:r>
          </w:p>
        </w:tc>
      </w:tr>
      <w:tr>
        <w:trPr>
          <w:cantSplit/>
        </w:trPr>
        <w:tc>
          <w:tcPr>
            <w:tcW w:type="dxa" w:w="1638"/>
            <w:vAlign w:val="center"/>
          </w:tcPr>
          <w:p>
            <w:pPr>
              <w:keepNext w:val="0"/>
              <w:spacing w:line="320" w:lineRule="exact" w:after="0" w:before="0"/>
              <w:ind w:firstLine="0"/>
              <w:jc w:val="left"/>
            </w:pPr>
            <w:r>
              <w:rPr>
                <w:b w:val="0"/>
                <w:sz w:val="21"/>
              </w:rPr>
              <w:t>M4 基础链路验证</w:t>
            </w:r>
          </w:p>
        </w:tc>
        <w:tc>
          <w:tcPr>
            <w:tcW w:type="dxa" w:w="2699"/>
            <w:vAlign w:val="center"/>
          </w:tcPr>
          <w:p>
            <w:pPr>
              <w:keepNext w:val="0"/>
              <w:spacing w:line="320" w:lineRule="exact" w:after="0" w:before="0"/>
              <w:ind w:firstLine="0"/>
              <w:jc w:val="left"/>
            </w:pPr>
            <w:r>
              <w:rPr>
                <w:b w:val="0"/>
                <w:sz w:val="21"/>
              </w:rPr>
              <w:t>共性对象、接口、规则和运行证据</w:t>
            </w:r>
          </w:p>
        </w:tc>
        <w:tc>
          <w:tcPr>
            <w:tcW w:type="dxa" w:w="2409"/>
            <w:vAlign w:val="center"/>
          </w:tcPr>
          <w:p>
            <w:pPr>
              <w:keepNext w:val="0"/>
              <w:spacing w:line="320" w:lineRule="exact" w:after="0" w:before="0"/>
              <w:ind w:firstLine="0"/>
              <w:jc w:val="left"/>
            </w:pPr>
            <w:r>
              <w:rPr>
                <w:b w:val="0"/>
                <w:sz w:val="21"/>
              </w:rPr>
              <w:t>代表性业务链可以核验，异常有处置</w:t>
            </w:r>
          </w:p>
        </w:tc>
        <w:tc>
          <w:tcPr>
            <w:tcW w:type="dxa" w:w="2891"/>
            <w:vAlign w:val="center"/>
          </w:tcPr>
          <w:p>
            <w:pPr>
              <w:keepNext w:val="0"/>
              <w:spacing w:line="320" w:lineRule="exact" w:after="0" w:before="0"/>
              <w:ind w:firstLine="0"/>
              <w:jc w:val="left"/>
            </w:pPr>
            <w:r>
              <w:rPr>
                <w:b w:val="0"/>
                <w:sz w:val="21"/>
              </w:rPr>
              <w:t>扩展到更多对象及生产批次</w:t>
            </w:r>
          </w:p>
        </w:tc>
      </w:tr>
      <w:tr>
        <w:trPr>
          <w:cantSplit/>
        </w:trPr>
        <w:tc>
          <w:tcPr>
            <w:tcW w:type="dxa" w:w="1638"/>
            <w:vAlign w:val="center"/>
          </w:tcPr>
          <w:p>
            <w:pPr>
              <w:keepNext w:val="0"/>
              <w:spacing w:line="320" w:lineRule="exact" w:after="0" w:before="0"/>
              <w:ind w:firstLine="0"/>
              <w:jc w:val="left"/>
            </w:pPr>
            <w:r>
              <w:rPr>
                <w:b w:val="0"/>
                <w:sz w:val="21"/>
              </w:rPr>
              <w:t>M5 规模供给与验证</w:t>
            </w:r>
          </w:p>
        </w:tc>
        <w:tc>
          <w:tcPr>
            <w:tcW w:type="dxa" w:w="2699"/>
            <w:vAlign w:val="center"/>
          </w:tcPr>
          <w:p>
            <w:pPr>
              <w:keepNext w:val="0"/>
              <w:spacing w:line="320" w:lineRule="exact" w:after="0" w:before="0"/>
              <w:ind w:firstLine="0"/>
              <w:jc w:val="left"/>
            </w:pPr>
            <w:r>
              <w:rPr>
                <w:b w:val="0"/>
                <w:sz w:val="21"/>
              </w:rPr>
              <w:t>数据集、卡片、场景验证和评价材料</w:t>
            </w:r>
          </w:p>
        </w:tc>
        <w:tc>
          <w:tcPr>
            <w:tcW w:type="dxa" w:w="2409"/>
            <w:vAlign w:val="center"/>
          </w:tcPr>
          <w:p>
            <w:pPr>
              <w:keepNext w:val="0"/>
              <w:spacing w:line="320" w:lineRule="exact" w:after="0" w:before="0"/>
              <w:ind w:firstLine="0"/>
              <w:jc w:val="left"/>
            </w:pPr>
            <w:r>
              <w:rPr>
                <w:b w:val="0"/>
                <w:sz w:val="21"/>
              </w:rPr>
              <w:t>规定范围与质量满足阶段条件</w:t>
            </w:r>
          </w:p>
        </w:tc>
        <w:tc>
          <w:tcPr>
            <w:tcW w:type="dxa" w:w="2891"/>
            <w:vAlign w:val="center"/>
          </w:tcPr>
          <w:p>
            <w:pPr>
              <w:keepNext w:val="0"/>
              <w:spacing w:line="320" w:lineRule="exact" w:after="0" w:before="0"/>
              <w:ind w:firstLine="0"/>
              <w:jc w:val="left"/>
            </w:pPr>
            <w:r>
              <w:rPr>
                <w:b w:val="0"/>
                <w:sz w:val="21"/>
              </w:rPr>
              <w:t>完成试运行及全面整改</w:t>
            </w:r>
          </w:p>
        </w:tc>
      </w:tr>
      <w:tr>
        <w:trPr>
          <w:cantSplit/>
        </w:trPr>
        <w:tc>
          <w:tcPr>
            <w:tcW w:type="dxa" w:w="1638"/>
            <w:vAlign w:val="center"/>
          </w:tcPr>
          <w:p>
            <w:pPr>
              <w:keepNext w:val="0"/>
              <w:spacing w:line="320" w:lineRule="exact" w:after="0" w:before="0"/>
              <w:ind w:firstLine="0"/>
              <w:jc w:val="left"/>
            </w:pPr>
            <w:r>
              <w:rPr>
                <w:b w:val="0"/>
                <w:sz w:val="21"/>
              </w:rPr>
              <w:t>M6 最终验收与移交</w:t>
            </w:r>
          </w:p>
        </w:tc>
        <w:tc>
          <w:tcPr>
            <w:tcW w:type="dxa" w:w="2699"/>
            <w:vAlign w:val="center"/>
          </w:tcPr>
          <w:p>
            <w:pPr>
              <w:keepNext w:val="0"/>
              <w:spacing w:line="320" w:lineRule="exact" w:after="0" w:before="0"/>
              <w:ind w:firstLine="0"/>
              <w:jc w:val="left"/>
            </w:pPr>
            <w:r>
              <w:rPr>
                <w:b w:val="0"/>
                <w:sz w:val="21"/>
              </w:rPr>
              <w:t>最终成果、报告、档案和承接记录</w:t>
            </w:r>
          </w:p>
        </w:tc>
        <w:tc>
          <w:tcPr>
            <w:tcW w:type="dxa" w:w="2409"/>
            <w:vAlign w:val="center"/>
          </w:tcPr>
          <w:p>
            <w:pPr>
              <w:keepNext w:val="0"/>
              <w:spacing w:line="320" w:lineRule="exact" w:after="0" w:before="0"/>
              <w:ind w:firstLine="0"/>
              <w:jc w:val="left"/>
            </w:pPr>
            <w:r>
              <w:rPr>
                <w:b w:val="0"/>
                <w:sz w:val="21"/>
              </w:rPr>
              <w:t>合同条件满足、问题关闭、接收完成</w:t>
            </w:r>
          </w:p>
        </w:tc>
        <w:tc>
          <w:tcPr>
            <w:tcW w:type="dxa" w:w="2891"/>
            <w:vAlign w:val="center"/>
          </w:tcPr>
          <w:p>
            <w:pPr>
              <w:keepNext w:val="0"/>
              <w:spacing w:line="320" w:lineRule="exact" w:after="0" w:before="0"/>
              <w:ind w:firstLine="0"/>
              <w:jc w:val="left"/>
            </w:pPr>
            <w:r>
              <w:rPr>
                <w:b w:val="0"/>
                <w:sz w:val="21"/>
              </w:rPr>
              <w:t>持续运行、质保及技术服务</w:t>
            </w:r>
          </w:p>
        </w:tc>
      </w:tr>
    </w:tbl>
    <w:p>
      <w:pPr>
        <w:spacing w:after="40" w:line="240" w:lineRule="auto"/>
        <w:ind w:firstLine="0"/>
      </w:pPr>
      <w:r>
        <w:rPr>
          <w:sz w:val="4"/>
        </w:rPr>
      </w:r>
    </w:p>
    <w:p>
      <w:pPr>
        <w:jc w:val="both"/>
      </w:pPr>
      <w:r>
        <w:t>每项里程碑设置责任人、提交清单、检查动作、判据和批准记录。文件类成果检查内容及批准，配置类成果检查实际运行，数据类成果检查净量及质量，使用类成果检查实际业务任务。未满足条件时形成明确整改项及预测影响，复核通过后进入相应后续阶段。</w:t>
      </w:r>
    </w:p>
    <w:p>
      <w:pPr>
        <w:jc w:val="both"/>
      </w:pPr>
      <w:r>
        <w:t>验收移交同步完成岗位培训、运维资料、数据版本和权限交接。自验收合格起提供不少于12个月质保，质保期满后提供24个月免费技术服务，具体受理及服务安排与总体服务方案一致。持续评价关注成果是否被正确使用、规则是否及时更新和岗位是否能够处理异常。</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6" name="Picture 6"/>
            <wp:cNvGraphicFramePr>
              <a:graphicFrameLocks noChangeAspect="1"/>
            </wp:cNvGraphicFramePr>
            <a:graphic>
              <a:graphicData uri="http://schemas.openxmlformats.org/drawingml/2006/picture">
                <pic:pic>
                  <pic:nvPicPr>
                    <pic:cNvPr id="0" name="图6_实施路线.png"/>
                    <pic:cNvPicPr/>
                  </pic:nvPicPr>
                  <pic:blipFill>
                    <a:blip r:embed="rId16"/>
                    <a:stretch>
                      <a:fillRect/>
                    </a:stretch>
                  </pic:blipFill>
                  <pic:spPr>
                    <a:xfrm>
                      <a:off x="0" y="0"/>
                      <a:ext cx="6048000" cy="1942338"/>
                    </a:xfrm>
                    <a:prstGeom prst="rect"/>
                  </pic:spPr>
                </pic:pic>
              </a:graphicData>
            </a:graphic>
          </wp:inline>
        </w:drawing>
      </w:r>
    </w:p>
    <w:p>
      <w:pPr>
        <w:pStyle w:val="Caption"/>
        <w:jc w:val="center"/>
      </w:pPr>
      <w:r>
        <w:t>图2-3 六阶段实施路线</w:t>
      </w:r>
    </w:p>
    <w:p>
      <w:pPr>
        <w:pStyle w:val="Heading2"/>
      </w:pPr>
      <w:r>
        <w:t>2.11 主要风险与保障安排</w:t>
      </w:r>
    </w:p>
    <w:p>
      <w:pPr>
        <w:pStyle w:val="Heading3"/>
      </w:pPr>
      <w:r>
        <w:t>2.11.1 业务和数据风险</w:t>
      </w:r>
    </w:p>
    <w:p>
      <w:pPr>
        <w:jc w:val="both"/>
      </w:pPr>
      <w:r>
        <w:t>来源分散、历史记录不完整、专业依据缺失或对象标识不一致时，先核实影响范围和可恢复性，安排补源、映射和专业确认。对已识别的缺口建立明确任务，区分短期可解决与需持续积累的资料。涉及正式交付规模的缺口安排有效数据补足，补充量同样经过质量和权利检查。</w:t>
      </w:r>
    </w:p>
    <w:p>
      <w:pPr>
        <w:jc w:val="both"/>
      </w:pPr>
      <w:r>
        <w:t>设计、制造、检验及维修数据存在多版本和多阶段关系，治理时保留事实发生时的适用条件。工艺规则变化、设备更换和测点调整应更新对象关系及时间有效性，验证材料选择与任务一致的版本。业务规则争议由有权岗位确认，结论与后续配置同步。</w:t>
      </w:r>
    </w:p>
    <w:p>
      <w:pPr>
        <w:pStyle w:val="Heading3"/>
      </w:pPr>
      <w:r>
        <w:t>2.11.2 实施及运行风险</w:t>
      </w:r>
    </w:p>
    <w:p>
      <w:pPr>
        <w:jc w:val="both"/>
      </w:pPr>
      <w:r>
        <w:t>关键接口、环境、专业审核和第三方服务属于重点依赖。实施计划为其设置检查节点和替代安排，发生延迟时同时分析直接任务及下游场景、评测和验收的影响。替代接入、批次调整或资源扩容经批准后实施，保留质量和安全检查。</w:t>
      </w:r>
    </w:p>
    <w:p>
      <w:pPr>
        <w:pStyle w:val="Caption"/>
        <w:keepNext/>
      </w:pPr>
      <w:r>
        <w:t>表2-12 实施及运行风险</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风险情形</w:t>
            </w:r>
          </w:p>
        </w:tc>
        <w:tc>
          <w:tcPr>
            <w:tcW w:type="dxa" w:w="2699"/>
            <w:vAlign w:val="center"/>
            <w:shd w:fill="EDF1F3"/>
          </w:tcPr>
          <w:p>
            <w:pPr>
              <w:keepNext/>
              <w:spacing w:line="320" w:lineRule="exact" w:after="0" w:before="0"/>
              <w:ind w:firstLine="0"/>
              <w:jc w:val="center"/>
            </w:pPr>
            <w:r>
              <w:rPr>
                <w:b/>
                <w:sz w:val="21"/>
              </w:rPr>
              <w:t>识别依据</w:t>
            </w:r>
          </w:p>
        </w:tc>
        <w:tc>
          <w:tcPr>
            <w:tcW w:type="dxa" w:w="2409"/>
            <w:vAlign w:val="center"/>
            <w:shd w:fill="EDF1F3"/>
          </w:tcPr>
          <w:p>
            <w:pPr>
              <w:keepNext/>
              <w:spacing w:line="320" w:lineRule="exact" w:after="0" w:before="0"/>
              <w:ind w:firstLine="0"/>
              <w:jc w:val="center"/>
            </w:pPr>
            <w:r>
              <w:rPr>
                <w:b/>
                <w:sz w:val="21"/>
              </w:rPr>
              <w:t>处置措施</w:t>
            </w:r>
          </w:p>
        </w:tc>
        <w:tc>
          <w:tcPr>
            <w:tcW w:type="dxa" w:w="2891"/>
            <w:vAlign w:val="center"/>
            <w:shd w:fill="EDF1F3"/>
          </w:tcPr>
          <w:p>
            <w:pPr>
              <w:keepNext/>
              <w:spacing w:line="320" w:lineRule="exact" w:after="0" w:before="0"/>
              <w:ind w:firstLine="0"/>
              <w:jc w:val="center"/>
            </w:pPr>
            <w:r>
              <w:rPr>
                <w:b/>
                <w:sz w:val="21"/>
              </w:rPr>
              <w:t>恢复或关闭条件</w:t>
            </w:r>
          </w:p>
        </w:tc>
      </w:tr>
      <w:tr>
        <w:trPr>
          <w:cantSplit/>
        </w:trPr>
        <w:tc>
          <w:tcPr>
            <w:tcW w:type="dxa" w:w="1638"/>
            <w:vAlign w:val="center"/>
          </w:tcPr>
          <w:p>
            <w:pPr>
              <w:keepNext w:val="0"/>
              <w:spacing w:line="320" w:lineRule="exact" w:after="0" w:before="0"/>
              <w:ind w:firstLine="0"/>
              <w:jc w:val="left"/>
            </w:pPr>
            <w:r>
              <w:rPr>
                <w:b w:val="0"/>
                <w:sz w:val="21"/>
              </w:rPr>
              <w:t>关键来源无法按期供给</w:t>
            </w:r>
          </w:p>
        </w:tc>
        <w:tc>
          <w:tcPr>
            <w:tcW w:type="dxa" w:w="2699"/>
            <w:vAlign w:val="center"/>
          </w:tcPr>
          <w:p>
            <w:pPr>
              <w:keepNext w:val="0"/>
              <w:spacing w:line="320" w:lineRule="exact" w:after="0" w:before="0"/>
              <w:ind w:firstLine="0"/>
              <w:jc w:val="left"/>
            </w:pPr>
            <w:r>
              <w:rPr>
                <w:b w:val="0"/>
                <w:sz w:val="21"/>
              </w:rPr>
              <w:t>接口记录、资料清单和实际交付</w:t>
            </w:r>
          </w:p>
        </w:tc>
        <w:tc>
          <w:tcPr>
            <w:tcW w:type="dxa" w:w="2409"/>
            <w:vAlign w:val="center"/>
          </w:tcPr>
          <w:p>
            <w:pPr>
              <w:keepNext w:val="0"/>
              <w:spacing w:line="320" w:lineRule="exact" w:after="0" w:before="0"/>
              <w:ind w:firstLine="0"/>
              <w:jc w:val="left"/>
            </w:pPr>
            <w:r>
              <w:rPr>
                <w:b w:val="0"/>
                <w:sz w:val="21"/>
              </w:rPr>
              <w:t>联合排查、分批提取、授权补源</w:t>
            </w:r>
          </w:p>
        </w:tc>
        <w:tc>
          <w:tcPr>
            <w:tcW w:type="dxa" w:w="2891"/>
            <w:vAlign w:val="center"/>
          </w:tcPr>
          <w:p>
            <w:pPr>
              <w:keepNext w:val="0"/>
              <w:spacing w:line="320" w:lineRule="exact" w:after="0" w:before="0"/>
              <w:ind w:firstLine="0"/>
              <w:jc w:val="left"/>
            </w:pPr>
            <w:r>
              <w:rPr>
                <w:b w:val="0"/>
                <w:sz w:val="21"/>
              </w:rPr>
              <w:t>必需对象到位并完成校验</w:t>
            </w:r>
          </w:p>
        </w:tc>
      </w:tr>
      <w:tr>
        <w:trPr>
          <w:cantSplit/>
        </w:trPr>
        <w:tc>
          <w:tcPr>
            <w:tcW w:type="dxa" w:w="1638"/>
            <w:vAlign w:val="center"/>
          </w:tcPr>
          <w:p>
            <w:pPr>
              <w:keepNext w:val="0"/>
              <w:spacing w:line="320" w:lineRule="exact" w:after="0" w:before="0"/>
              <w:ind w:firstLine="0"/>
              <w:jc w:val="left"/>
            </w:pPr>
            <w:r>
              <w:rPr>
                <w:b w:val="0"/>
                <w:sz w:val="21"/>
              </w:rPr>
              <w:t>对象关系冲突</w:t>
            </w:r>
          </w:p>
        </w:tc>
        <w:tc>
          <w:tcPr>
            <w:tcW w:type="dxa" w:w="2699"/>
            <w:vAlign w:val="center"/>
          </w:tcPr>
          <w:p>
            <w:pPr>
              <w:keepNext w:val="0"/>
              <w:spacing w:line="320" w:lineRule="exact" w:after="0" w:before="0"/>
              <w:ind w:firstLine="0"/>
              <w:jc w:val="left"/>
            </w:pPr>
            <w:r>
              <w:rPr>
                <w:b w:val="0"/>
                <w:sz w:val="21"/>
              </w:rPr>
              <w:t>主键映射、样本核对及业务争议</w:t>
            </w:r>
          </w:p>
        </w:tc>
        <w:tc>
          <w:tcPr>
            <w:tcW w:type="dxa" w:w="2409"/>
            <w:vAlign w:val="center"/>
          </w:tcPr>
          <w:p>
            <w:pPr>
              <w:keepNext w:val="0"/>
              <w:spacing w:line="320" w:lineRule="exact" w:after="0" w:before="0"/>
              <w:ind w:firstLine="0"/>
              <w:jc w:val="left"/>
            </w:pPr>
            <w:r>
              <w:rPr>
                <w:b w:val="0"/>
                <w:sz w:val="21"/>
              </w:rPr>
              <w:t>归口确认、映射修正、扩大检查</w:t>
            </w:r>
          </w:p>
        </w:tc>
        <w:tc>
          <w:tcPr>
            <w:tcW w:type="dxa" w:w="2891"/>
            <w:vAlign w:val="center"/>
          </w:tcPr>
          <w:p>
            <w:pPr>
              <w:keepNext w:val="0"/>
              <w:spacing w:line="320" w:lineRule="exact" w:after="0" w:before="0"/>
              <w:ind w:firstLine="0"/>
              <w:jc w:val="left"/>
            </w:pPr>
            <w:r>
              <w:rPr>
                <w:b w:val="0"/>
                <w:sz w:val="21"/>
              </w:rPr>
              <w:t>关联结果通过业务复核</w:t>
            </w:r>
          </w:p>
        </w:tc>
      </w:tr>
      <w:tr>
        <w:trPr>
          <w:cantSplit/>
        </w:trPr>
        <w:tc>
          <w:tcPr>
            <w:tcW w:type="dxa" w:w="1638"/>
            <w:vAlign w:val="center"/>
          </w:tcPr>
          <w:p>
            <w:pPr>
              <w:keepNext w:val="0"/>
              <w:spacing w:line="320" w:lineRule="exact" w:after="0" w:before="0"/>
              <w:ind w:firstLine="0"/>
              <w:jc w:val="left"/>
            </w:pPr>
            <w:r>
              <w:rPr>
                <w:b w:val="0"/>
                <w:sz w:val="21"/>
              </w:rPr>
              <w:t>历史版本混用</w:t>
            </w:r>
          </w:p>
        </w:tc>
        <w:tc>
          <w:tcPr>
            <w:tcW w:type="dxa" w:w="2699"/>
            <w:vAlign w:val="center"/>
          </w:tcPr>
          <w:p>
            <w:pPr>
              <w:keepNext w:val="0"/>
              <w:spacing w:line="320" w:lineRule="exact" w:after="0" w:before="0"/>
              <w:ind w:firstLine="0"/>
              <w:jc w:val="left"/>
            </w:pPr>
            <w:r>
              <w:rPr>
                <w:b w:val="0"/>
                <w:sz w:val="21"/>
              </w:rPr>
              <w:t>文件、工艺及标准有效期核验</w:t>
            </w:r>
          </w:p>
        </w:tc>
        <w:tc>
          <w:tcPr>
            <w:tcW w:type="dxa" w:w="2409"/>
            <w:vAlign w:val="center"/>
          </w:tcPr>
          <w:p>
            <w:pPr>
              <w:keepNext w:val="0"/>
              <w:spacing w:line="320" w:lineRule="exact" w:after="0" w:before="0"/>
              <w:ind w:firstLine="0"/>
              <w:jc w:val="left"/>
            </w:pPr>
            <w:r>
              <w:rPr>
                <w:b w:val="0"/>
                <w:sz w:val="21"/>
              </w:rPr>
              <w:t>恢复版本链、限定适用范围</w:t>
            </w:r>
          </w:p>
        </w:tc>
        <w:tc>
          <w:tcPr>
            <w:tcW w:type="dxa" w:w="2891"/>
            <w:vAlign w:val="center"/>
          </w:tcPr>
          <w:p>
            <w:pPr>
              <w:keepNext w:val="0"/>
              <w:spacing w:line="320" w:lineRule="exact" w:after="0" w:before="0"/>
              <w:ind w:firstLine="0"/>
              <w:jc w:val="left"/>
            </w:pPr>
            <w:r>
              <w:rPr>
                <w:b w:val="0"/>
                <w:sz w:val="21"/>
              </w:rPr>
              <w:t>数据、标签与依据一致</w:t>
            </w:r>
          </w:p>
        </w:tc>
      </w:tr>
      <w:tr>
        <w:trPr>
          <w:cantSplit/>
        </w:trPr>
        <w:tc>
          <w:tcPr>
            <w:tcW w:type="dxa" w:w="1638"/>
            <w:vAlign w:val="center"/>
          </w:tcPr>
          <w:p>
            <w:pPr>
              <w:keepNext w:val="0"/>
              <w:spacing w:line="320" w:lineRule="exact" w:after="0" w:before="0"/>
              <w:ind w:firstLine="0"/>
              <w:jc w:val="left"/>
            </w:pPr>
            <w:r>
              <w:rPr>
                <w:b w:val="0"/>
                <w:sz w:val="21"/>
              </w:rPr>
              <w:t>数据质量损耗过高</w:t>
            </w:r>
          </w:p>
        </w:tc>
        <w:tc>
          <w:tcPr>
            <w:tcW w:type="dxa" w:w="2699"/>
            <w:vAlign w:val="center"/>
          </w:tcPr>
          <w:p>
            <w:pPr>
              <w:keepNext w:val="0"/>
              <w:spacing w:line="320" w:lineRule="exact" w:after="0" w:before="0"/>
              <w:ind w:firstLine="0"/>
              <w:jc w:val="left"/>
            </w:pPr>
            <w:r>
              <w:rPr>
                <w:b w:val="0"/>
                <w:sz w:val="21"/>
              </w:rPr>
              <w:t>去重、剔除、返工和净量记录</w:t>
            </w:r>
          </w:p>
        </w:tc>
        <w:tc>
          <w:tcPr>
            <w:tcW w:type="dxa" w:w="2409"/>
            <w:vAlign w:val="center"/>
          </w:tcPr>
          <w:p>
            <w:pPr>
              <w:keepNext w:val="0"/>
              <w:spacing w:line="320" w:lineRule="exact" w:after="0" w:before="0"/>
              <w:ind w:firstLine="0"/>
              <w:jc w:val="left"/>
            </w:pPr>
            <w:r>
              <w:rPr>
                <w:b w:val="0"/>
                <w:sz w:val="21"/>
              </w:rPr>
              <w:t>改进来源、规则和标注并补足</w:t>
            </w:r>
          </w:p>
        </w:tc>
        <w:tc>
          <w:tcPr>
            <w:tcW w:type="dxa" w:w="2891"/>
            <w:vAlign w:val="center"/>
          </w:tcPr>
          <w:p>
            <w:pPr>
              <w:keepNext w:val="0"/>
              <w:spacing w:line="320" w:lineRule="exact" w:after="0" w:before="0"/>
              <w:ind w:firstLine="0"/>
              <w:jc w:val="left"/>
            </w:pPr>
            <w:r>
              <w:rPr>
                <w:b w:val="0"/>
                <w:sz w:val="21"/>
              </w:rPr>
              <w:t>净量及质量同时满足</w:t>
            </w:r>
          </w:p>
        </w:tc>
      </w:tr>
      <w:tr>
        <w:trPr>
          <w:cantSplit/>
        </w:trPr>
        <w:tc>
          <w:tcPr>
            <w:tcW w:type="dxa" w:w="1638"/>
            <w:vAlign w:val="center"/>
          </w:tcPr>
          <w:p>
            <w:pPr>
              <w:keepNext w:val="0"/>
              <w:spacing w:line="320" w:lineRule="exact" w:after="0" w:before="0"/>
              <w:ind w:firstLine="0"/>
              <w:jc w:val="left"/>
            </w:pPr>
            <w:r>
              <w:rPr>
                <w:b w:val="0"/>
                <w:sz w:val="21"/>
              </w:rPr>
              <w:t>专业审核形成瓶颈</w:t>
            </w:r>
          </w:p>
        </w:tc>
        <w:tc>
          <w:tcPr>
            <w:tcW w:type="dxa" w:w="2699"/>
            <w:vAlign w:val="center"/>
          </w:tcPr>
          <w:p>
            <w:pPr>
              <w:keepNext w:val="0"/>
              <w:spacing w:line="320" w:lineRule="exact" w:after="0" w:before="0"/>
              <w:ind w:firstLine="0"/>
              <w:jc w:val="left"/>
            </w:pPr>
            <w:r>
              <w:rPr>
                <w:b w:val="0"/>
                <w:sz w:val="21"/>
              </w:rPr>
              <w:t>待审量、审核耗时及阶段预测</w:t>
            </w:r>
          </w:p>
        </w:tc>
        <w:tc>
          <w:tcPr>
            <w:tcW w:type="dxa" w:w="2409"/>
            <w:vAlign w:val="center"/>
          </w:tcPr>
          <w:p>
            <w:pPr>
              <w:keepNext w:val="0"/>
              <w:spacing w:line="320" w:lineRule="exact" w:after="0" w:before="0"/>
              <w:ind w:firstLine="0"/>
              <w:jc w:val="left"/>
            </w:pPr>
            <w:r>
              <w:rPr>
                <w:b w:val="0"/>
                <w:sz w:val="21"/>
              </w:rPr>
              <w:t>预约窗口、分批送审、能力补充</w:t>
            </w:r>
          </w:p>
        </w:tc>
        <w:tc>
          <w:tcPr>
            <w:tcW w:type="dxa" w:w="2891"/>
            <w:vAlign w:val="center"/>
          </w:tcPr>
          <w:p>
            <w:pPr>
              <w:keepNext w:val="0"/>
              <w:spacing w:line="320" w:lineRule="exact" w:after="0" w:before="0"/>
              <w:ind w:firstLine="0"/>
              <w:jc w:val="left"/>
            </w:pPr>
            <w:r>
              <w:rPr>
                <w:b w:val="0"/>
                <w:sz w:val="21"/>
              </w:rPr>
              <w:t>审核负荷与计划匹配</w:t>
            </w:r>
          </w:p>
        </w:tc>
      </w:tr>
      <w:tr>
        <w:trPr>
          <w:cantSplit/>
        </w:trPr>
        <w:tc>
          <w:tcPr>
            <w:tcW w:type="dxa" w:w="1638"/>
            <w:vAlign w:val="center"/>
          </w:tcPr>
          <w:p>
            <w:pPr>
              <w:keepNext w:val="0"/>
              <w:spacing w:line="320" w:lineRule="exact" w:after="0" w:before="0"/>
              <w:ind w:firstLine="0"/>
              <w:jc w:val="left"/>
            </w:pPr>
            <w:r>
              <w:rPr>
                <w:b w:val="0"/>
                <w:sz w:val="21"/>
              </w:rPr>
              <w:t>权利或敏感条件变化</w:t>
            </w:r>
          </w:p>
        </w:tc>
        <w:tc>
          <w:tcPr>
            <w:tcW w:type="dxa" w:w="2699"/>
            <w:vAlign w:val="center"/>
          </w:tcPr>
          <w:p>
            <w:pPr>
              <w:keepNext w:val="0"/>
              <w:spacing w:line="320" w:lineRule="exact" w:after="0" w:before="0"/>
              <w:ind w:firstLine="0"/>
              <w:jc w:val="left"/>
            </w:pPr>
            <w:r>
              <w:rPr>
                <w:b w:val="0"/>
                <w:sz w:val="21"/>
              </w:rPr>
              <w:t>合同、授权、安全及使用记录</w:t>
            </w:r>
          </w:p>
        </w:tc>
        <w:tc>
          <w:tcPr>
            <w:tcW w:type="dxa" w:w="2409"/>
            <w:vAlign w:val="center"/>
          </w:tcPr>
          <w:p>
            <w:pPr>
              <w:keepNext w:val="0"/>
              <w:spacing w:line="320" w:lineRule="exact" w:after="0" w:before="0"/>
              <w:ind w:firstLine="0"/>
              <w:jc w:val="left"/>
            </w:pPr>
            <w:r>
              <w:rPr>
                <w:b w:val="0"/>
                <w:sz w:val="21"/>
              </w:rPr>
              <w:t>限制受影响用途、核验派生范围</w:t>
            </w:r>
          </w:p>
        </w:tc>
        <w:tc>
          <w:tcPr>
            <w:tcW w:type="dxa" w:w="2891"/>
            <w:vAlign w:val="center"/>
          </w:tcPr>
          <w:p>
            <w:pPr>
              <w:keepNext w:val="0"/>
              <w:spacing w:line="320" w:lineRule="exact" w:after="0" w:before="0"/>
              <w:ind w:firstLine="0"/>
              <w:jc w:val="left"/>
            </w:pPr>
            <w:r>
              <w:rPr>
                <w:b w:val="0"/>
                <w:sz w:val="21"/>
              </w:rPr>
              <w:t>授权与处理完成并复核</w:t>
            </w:r>
          </w:p>
        </w:tc>
      </w:tr>
      <w:tr>
        <w:trPr>
          <w:cantSplit/>
        </w:trPr>
        <w:tc>
          <w:tcPr>
            <w:tcW w:type="dxa" w:w="1638"/>
            <w:vAlign w:val="center"/>
          </w:tcPr>
          <w:p>
            <w:pPr>
              <w:keepNext w:val="0"/>
              <w:spacing w:line="320" w:lineRule="exact" w:after="0" w:before="0"/>
              <w:ind w:firstLine="0"/>
              <w:jc w:val="left"/>
            </w:pPr>
            <w:r>
              <w:rPr>
                <w:b w:val="0"/>
                <w:sz w:val="21"/>
              </w:rPr>
              <w:t>测试数据发生污染</w:t>
            </w:r>
          </w:p>
        </w:tc>
        <w:tc>
          <w:tcPr>
            <w:tcW w:type="dxa" w:w="2699"/>
            <w:vAlign w:val="center"/>
          </w:tcPr>
          <w:p>
            <w:pPr>
              <w:keepNext w:val="0"/>
              <w:spacing w:line="320" w:lineRule="exact" w:after="0" w:before="0"/>
              <w:ind w:firstLine="0"/>
              <w:jc w:val="left"/>
            </w:pPr>
            <w:r>
              <w:rPr>
                <w:b w:val="0"/>
                <w:sz w:val="21"/>
              </w:rPr>
              <w:t>来源家族、设备及相似性检查</w:t>
            </w:r>
          </w:p>
        </w:tc>
        <w:tc>
          <w:tcPr>
            <w:tcW w:type="dxa" w:w="2409"/>
            <w:vAlign w:val="center"/>
          </w:tcPr>
          <w:p>
            <w:pPr>
              <w:keepNext w:val="0"/>
              <w:spacing w:line="320" w:lineRule="exact" w:after="0" w:before="0"/>
              <w:ind w:firstLine="0"/>
              <w:jc w:val="left"/>
            </w:pPr>
            <w:r>
              <w:rPr>
                <w:b w:val="0"/>
                <w:sz w:val="21"/>
              </w:rPr>
              <w:t>重建隔离、修正数据并重跑对照</w:t>
            </w:r>
          </w:p>
        </w:tc>
        <w:tc>
          <w:tcPr>
            <w:tcW w:type="dxa" w:w="2891"/>
            <w:vAlign w:val="center"/>
          </w:tcPr>
          <w:p>
            <w:pPr>
              <w:keepNext w:val="0"/>
              <w:spacing w:line="320" w:lineRule="exact" w:after="0" w:before="0"/>
              <w:ind w:firstLine="0"/>
              <w:jc w:val="left"/>
            </w:pPr>
            <w:r>
              <w:rPr>
                <w:b w:val="0"/>
                <w:sz w:val="21"/>
              </w:rPr>
              <w:t>对照有效且证据完整</w:t>
            </w:r>
          </w:p>
        </w:tc>
      </w:tr>
      <w:tr>
        <w:trPr>
          <w:cantSplit/>
        </w:trPr>
        <w:tc>
          <w:tcPr>
            <w:tcW w:type="dxa" w:w="1638"/>
            <w:vAlign w:val="center"/>
          </w:tcPr>
          <w:p>
            <w:pPr>
              <w:keepNext w:val="0"/>
              <w:spacing w:line="320" w:lineRule="exact" w:after="0" w:before="0"/>
              <w:ind w:firstLine="0"/>
              <w:jc w:val="left"/>
            </w:pPr>
            <w:r>
              <w:rPr>
                <w:b w:val="0"/>
                <w:sz w:val="21"/>
              </w:rPr>
              <w:t>临近终验材料不齐</w:t>
            </w:r>
          </w:p>
        </w:tc>
        <w:tc>
          <w:tcPr>
            <w:tcW w:type="dxa" w:w="2699"/>
            <w:vAlign w:val="center"/>
          </w:tcPr>
          <w:p>
            <w:pPr>
              <w:keepNext w:val="0"/>
              <w:spacing w:line="320" w:lineRule="exact" w:after="0" w:before="0"/>
              <w:ind w:firstLine="0"/>
              <w:jc w:val="left"/>
            </w:pPr>
            <w:r>
              <w:rPr>
                <w:b w:val="0"/>
                <w:sz w:val="21"/>
              </w:rPr>
              <w:t>成果清单、版本和档案检查</w:t>
            </w:r>
          </w:p>
        </w:tc>
        <w:tc>
          <w:tcPr>
            <w:tcW w:type="dxa" w:w="2409"/>
            <w:vAlign w:val="center"/>
          </w:tcPr>
          <w:p>
            <w:pPr>
              <w:keepNext w:val="0"/>
              <w:spacing w:line="320" w:lineRule="exact" w:after="0" w:before="0"/>
              <w:ind w:firstLine="0"/>
              <w:jc w:val="left"/>
            </w:pPr>
            <w:r>
              <w:rPr>
                <w:b w:val="0"/>
                <w:sz w:val="21"/>
              </w:rPr>
              <w:t>前移归档、专人追踪和交叉核对</w:t>
            </w:r>
          </w:p>
        </w:tc>
        <w:tc>
          <w:tcPr>
            <w:tcW w:type="dxa" w:w="2891"/>
            <w:vAlign w:val="center"/>
          </w:tcPr>
          <w:p>
            <w:pPr>
              <w:keepNext w:val="0"/>
              <w:spacing w:line="320" w:lineRule="exact" w:after="0" w:before="0"/>
              <w:ind w:firstLine="0"/>
              <w:jc w:val="left"/>
            </w:pPr>
            <w:r>
              <w:rPr>
                <w:b w:val="0"/>
                <w:sz w:val="21"/>
              </w:rPr>
              <w:t>成果可读、可用、可追溯</w:t>
            </w:r>
          </w:p>
        </w:tc>
      </w:tr>
    </w:tbl>
    <w:p>
      <w:pPr>
        <w:spacing w:after="40" w:line="240" w:lineRule="auto"/>
        <w:ind w:firstLine="0"/>
      </w:pPr>
      <w:r>
        <w:rPr>
          <w:sz w:val="4"/>
        </w:rPr>
      </w:r>
    </w:p>
    <w:p>
      <w:pPr>
        <w:pStyle w:val="Heading2"/>
      </w:pPr>
      <w:r>
        <w:t>2.12 评价与规划迭代</w:t>
      </w:r>
    </w:p>
    <w:p>
      <w:pPr>
        <w:pStyle w:val="Heading3"/>
      </w:pPr>
      <w:r>
        <w:t>2.12.1 常态化评价安排</w:t>
      </w:r>
    </w:p>
    <w:p>
      <w:pPr>
        <w:jc w:val="both"/>
      </w:pPr>
      <w:r>
        <w:t>月度进展检查汇总工作包、资源、问题和近期待办，阶段评价检查里程碑成果及能力运行，年度综合评价检查目标适用性、使用成效和后续投入。重大数据事件、业务调整或关键节点风险发生时组织专项评价。各评价采用批准的范围和口径，事实、判断和决议分别保存。</w:t>
      </w:r>
    </w:p>
    <w:p>
      <w:pPr>
        <w:jc w:val="both"/>
      </w:pPr>
      <w:r>
        <w:t>评价指标与 SG-01 至 SG-08 目标关联，覆盖任务完成、制度执行、来源可用、规则运行、数据供给、场景验证、资产运营和岗位能力。硬性指标按要求逐项核对，改善指标采用同口径基线比较。对不具备有效证据的结论明确剩余核验任务及责任，在完成核验后更新评价结果。</w:t>
      </w:r>
    </w:p>
    <w:p>
      <w:pPr>
        <w:pStyle w:val="Heading3"/>
      </w:pPr>
      <w:r>
        <w:t>2.12.2 修订触发与成果联动</w:t>
      </w:r>
    </w:p>
    <w:p>
      <w:pPr>
        <w:jc w:val="both"/>
      </w:pPr>
      <w:r>
        <w:t>规划修订由评估结论和实际变化触发。修改前分析目标、任务、资源、风险、数据集及使用场景的影响，形成变更方案并履行审核。批准后同步更新实施计划、指标卡、相关治理文件和平台任务，向责任岗位下达执行安排。</w:t>
      </w:r>
    </w:p>
    <w:p>
      <w:pPr>
        <w:jc w:val="both"/>
      </w:pPr>
      <w:r>
        <w:t>修订后的规划保留原目标及历史执行结果，后续评价区分可比范围和变化范围。调整目标后仍需检查原问题是否得到解决，改进措施以实际运行或业务使用核验。年度复审及项目验收前复审共同检查文件间的编号、职责、指标、时点和成果关系。</w:t>
      </w:r>
    </w:p>
    <w:p>
      <w:pPr>
        <w:pStyle w:val="Heading1"/>
        <w:pageBreakBefore/>
      </w:pPr>
      <w:r>
        <w:t>3 数据战略实施计划</w:t>
      </w:r>
    </w:p>
    <w:p>
      <w:pPr>
        <w:pStyle w:val="Heading2"/>
      </w:pPr>
      <w:r>
        <w:t>3.1 文件管理与计划基准</w:t>
      </w:r>
    </w:p>
    <w:p>
      <w:pPr>
        <w:pStyle w:val="Heading3"/>
      </w:pPr>
      <w:r>
        <w:t>3.1.1 文件标识及执行责任</w:t>
      </w:r>
    </w:p>
    <w:p>
      <w:pPr>
        <w:pStyle w:val="Caption"/>
        <w:keepNext/>
      </w:pPr>
      <w:r>
        <w:t>表3-1 文件标识及执行责任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管理项目</w:t>
            </w:r>
          </w:p>
        </w:tc>
        <w:tc>
          <w:tcPr>
            <w:tcW w:type="dxa" w:w="7228"/>
            <w:vAlign w:val="center"/>
            <w:shd w:fill="EDF1F3"/>
          </w:tcPr>
          <w:p>
            <w:pPr>
              <w:keepNext/>
              <w:spacing w:line="320" w:lineRule="exact" w:after="0" w:before="0"/>
              <w:ind w:firstLine="0"/>
              <w:jc w:val="center"/>
            </w:pPr>
            <w:r>
              <w:rPr>
                <w:b/>
                <w:sz w:val="21"/>
              </w:rPr>
              <w:t>管理内容</w:t>
            </w:r>
          </w:p>
        </w:tc>
      </w:tr>
      <w:tr>
        <w:trPr>
          <w:cantSplit/>
        </w:trPr>
        <w:tc>
          <w:tcPr>
            <w:tcW w:type="dxa" w:w="2409"/>
            <w:vAlign w:val="center"/>
          </w:tcPr>
          <w:p>
            <w:pPr>
              <w:keepNext w:val="0"/>
              <w:spacing w:line="320" w:lineRule="exact" w:after="0" w:before="0"/>
              <w:ind w:firstLine="0"/>
              <w:jc w:val="left"/>
            </w:pPr>
            <w:r>
              <w:rPr>
                <w:b w:val="0"/>
                <w:sz w:val="21"/>
              </w:rPr>
              <w:t>文件名称</w:t>
            </w:r>
          </w:p>
        </w:tc>
        <w:tc>
          <w:tcPr>
            <w:tcW w:type="dxa" w:w="7228"/>
            <w:vAlign w:val="center"/>
          </w:tcPr>
          <w:p>
            <w:pPr>
              <w:keepNext w:val="0"/>
              <w:spacing w:line="320" w:lineRule="exact" w:after="0" w:before="0"/>
              <w:ind w:firstLine="0"/>
              <w:jc w:val="left"/>
            </w:pPr>
            <w:r>
              <w:rPr>
                <w:b w:val="0"/>
                <w:sz w:val="21"/>
              </w:rPr>
              <w:t>数据战略实施计划</w:t>
            </w:r>
          </w:p>
        </w:tc>
      </w:tr>
      <w:tr>
        <w:trPr>
          <w:cantSplit/>
        </w:trPr>
        <w:tc>
          <w:tcPr>
            <w:tcW w:type="dxa" w:w="2409"/>
            <w:vAlign w:val="center"/>
          </w:tcPr>
          <w:p>
            <w:pPr>
              <w:keepNext w:val="0"/>
              <w:spacing w:line="320" w:lineRule="exact" w:after="0" w:before="0"/>
              <w:ind w:firstLine="0"/>
              <w:jc w:val="left"/>
            </w:pPr>
            <w:r>
              <w:rPr>
                <w:b w:val="0"/>
                <w:sz w:val="21"/>
              </w:rPr>
              <w:t>文件标识</w:t>
            </w:r>
          </w:p>
        </w:tc>
        <w:tc>
          <w:tcPr>
            <w:tcW w:type="dxa" w:w="7228"/>
            <w:vAlign w:val="center"/>
          </w:tcPr>
          <w:p>
            <w:pPr>
              <w:keepNext w:val="0"/>
              <w:spacing w:line="320" w:lineRule="exact" w:after="0" w:before="0"/>
              <w:ind w:firstLine="0"/>
              <w:jc w:val="left"/>
            </w:pPr>
            <w:r>
              <w:rPr>
                <w:b w:val="0"/>
                <w:sz w:val="21"/>
              </w:rPr>
              <w:t>GHY26691-GV-01-0003-V1.0</w:t>
            </w:r>
          </w:p>
        </w:tc>
      </w:tr>
      <w:tr>
        <w:trPr>
          <w:cantSplit/>
        </w:trPr>
        <w:tc>
          <w:tcPr>
            <w:tcW w:type="dxa" w:w="2409"/>
            <w:vAlign w:val="center"/>
          </w:tcPr>
          <w:p>
            <w:pPr>
              <w:keepNext w:val="0"/>
              <w:spacing w:line="320" w:lineRule="exact" w:after="0" w:before="0"/>
              <w:ind w:firstLine="0"/>
              <w:jc w:val="left"/>
            </w:pPr>
            <w:r>
              <w:rPr>
                <w:b w:val="0"/>
                <w:sz w:val="21"/>
              </w:rPr>
              <w:t>版本</w:t>
            </w:r>
          </w:p>
        </w:tc>
        <w:tc>
          <w:tcPr>
            <w:tcW w:type="dxa" w:w="7228"/>
            <w:vAlign w:val="center"/>
          </w:tcPr>
          <w:p>
            <w:pPr>
              <w:keepNext w:val="0"/>
              <w:spacing w:line="320" w:lineRule="exact" w:after="0" w:before="0"/>
              <w:ind w:firstLine="0"/>
              <w:jc w:val="left"/>
            </w:pPr>
            <w:r>
              <w:rPr>
                <w:b w:val="0"/>
                <w:sz w:val="21"/>
              </w:rPr>
              <w:t>V1.0</w:t>
            </w:r>
          </w:p>
        </w:tc>
      </w:tr>
      <w:tr>
        <w:trPr>
          <w:cantSplit/>
        </w:trPr>
        <w:tc>
          <w:tcPr>
            <w:tcW w:type="dxa" w:w="2409"/>
            <w:vAlign w:val="center"/>
          </w:tcPr>
          <w:p>
            <w:pPr>
              <w:keepNext w:val="0"/>
              <w:spacing w:line="320" w:lineRule="exact" w:after="0" w:before="0"/>
              <w:ind w:firstLine="0"/>
              <w:jc w:val="left"/>
            </w:pPr>
            <w:r>
              <w:rPr>
                <w:b w:val="0"/>
                <w:sz w:val="21"/>
              </w:rPr>
              <w:t>目标依据</w:t>
            </w:r>
          </w:p>
        </w:tc>
        <w:tc>
          <w:tcPr>
            <w:tcW w:type="dxa" w:w="7228"/>
            <w:vAlign w:val="center"/>
          </w:tcPr>
          <w:p>
            <w:pPr>
              <w:keepNext w:val="0"/>
              <w:spacing w:line="320" w:lineRule="exact" w:after="0" w:before="0"/>
              <w:ind w:firstLine="0"/>
              <w:jc w:val="left"/>
            </w:pPr>
            <w:r>
              <w:rPr>
                <w:b w:val="0"/>
                <w:sz w:val="21"/>
              </w:rPr>
              <w:t>数据战略规划 GHY26691-GV-01-0002</w:t>
            </w:r>
          </w:p>
        </w:tc>
      </w:tr>
      <w:tr>
        <w:trPr>
          <w:cantSplit/>
        </w:trPr>
        <w:tc>
          <w:tcPr>
            <w:tcW w:type="dxa" w:w="2409"/>
            <w:vAlign w:val="center"/>
          </w:tcPr>
          <w:p>
            <w:pPr>
              <w:keepNext w:val="0"/>
              <w:spacing w:line="320" w:lineRule="exact" w:after="0" w:before="0"/>
              <w:ind w:firstLine="0"/>
              <w:jc w:val="left"/>
            </w:pPr>
            <w:r>
              <w:rPr>
                <w:b w:val="0"/>
                <w:sz w:val="21"/>
              </w:rPr>
              <w:t>管理依据</w:t>
            </w:r>
          </w:p>
        </w:tc>
        <w:tc>
          <w:tcPr>
            <w:tcW w:type="dxa" w:w="7228"/>
            <w:vAlign w:val="center"/>
          </w:tcPr>
          <w:p>
            <w:pPr>
              <w:keepNext w:val="0"/>
              <w:spacing w:line="320" w:lineRule="exact" w:after="0" w:before="0"/>
              <w:ind w:firstLine="0"/>
              <w:jc w:val="left"/>
            </w:pPr>
            <w:r>
              <w:rPr>
                <w:b w:val="0"/>
                <w:sz w:val="21"/>
              </w:rPr>
              <w:t>数据战略管理办法 GHY26691-GV-01-0001</w:t>
            </w:r>
          </w:p>
        </w:tc>
      </w:tr>
      <w:tr>
        <w:trPr>
          <w:cantSplit/>
        </w:trPr>
        <w:tc>
          <w:tcPr>
            <w:tcW w:type="dxa" w:w="2409"/>
            <w:vAlign w:val="center"/>
          </w:tcPr>
          <w:p>
            <w:pPr>
              <w:keepNext w:val="0"/>
              <w:spacing w:line="320" w:lineRule="exact" w:after="0" w:before="0"/>
              <w:ind w:firstLine="0"/>
              <w:jc w:val="left"/>
            </w:pPr>
            <w:r>
              <w:rPr>
                <w:b w:val="0"/>
                <w:sz w:val="21"/>
              </w:rPr>
              <w:t>计划归口</w:t>
            </w:r>
          </w:p>
        </w:tc>
        <w:tc>
          <w:tcPr>
            <w:tcW w:type="dxa" w:w="7228"/>
            <w:vAlign w:val="center"/>
          </w:tcPr>
          <w:p>
            <w:pPr>
              <w:keepNext w:val="0"/>
              <w:spacing w:line="320" w:lineRule="exact" w:after="0" w:before="0"/>
              <w:ind w:firstLine="0"/>
              <w:jc w:val="left"/>
            </w:pPr>
            <w:r>
              <w:rPr>
                <w:b w:val="0"/>
                <w:sz w:val="21"/>
              </w:rPr>
              <w:t>公司数据治理管理层与我方项目管理岗位</w:t>
            </w:r>
          </w:p>
        </w:tc>
      </w:tr>
      <w:tr>
        <w:trPr>
          <w:cantSplit/>
        </w:trPr>
        <w:tc>
          <w:tcPr>
            <w:tcW w:type="dxa" w:w="2409"/>
            <w:vAlign w:val="center"/>
          </w:tcPr>
          <w:p>
            <w:pPr>
              <w:keepNext w:val="0"/>
              <w:spacing w:line="320" w:lineRule="exact" w:after="0" w:before="0"/>
              <w:ind w:firstLine="0"/>
              <w:jc w:val="left"/>
            </w:pPr>
            <w:r>
              <w:rPr>
                <w:b w:val="0"/>
                <w:sz w:val="21"/>
              </w:rPr>
              <w:t>执行责任</w:t>
            </w:r>
          </w:p>
        </w:tc>
        <w:tc>
          <w:tcPr>
            <w:tcW w:type="dxa" w:w="7228"/>
            <w:vAlign w:val="center"/>
          </w:tcPr>
          <w:p>
            <w:pPr>
              <w:keepNext w:val="0"/>
              <w:spacing w:line="320" w:lineRule="exact" w:after="0" w:before="0"/>
              <w:ind w:firstLine="0"/>
              <w:jc w:val="left"/>
            </w:pPr>
            <w:r>
              <w:rPr>
                <w:b w:val="0"/>
                <w:sz w:val="21"/>
              </w:rPr>
              <w:t>按工作包落实业务、治理、技术、生产、质量、安全及运行岗位</w:t>
            </w:r>
          </w:p>
        </w:tc>
      </w:tr>
      <w:tr>
        <w:trPr>
          <w:cantSplit/>
        </w:trPr>
        <w:tc>
          <w:tcPr>
            <w:tcW w:type="dxa" w:w="2409"/>
            <w:vAlign w:val="center"/>
          </w:tcPr>
          <w:p>
            <w:pPr>
              <w:keepNext w:val="0"/>
              <w:spacing w:line="320" w:lineRule="exact" w:after="0" w:before="0"/>
              <w:ind w:firstLine="0"/>
              <w:jc w:val="left"/>
            </w:pPr>
            <w:r>
              <w:rPr>
                <w:b w:val="0"/>
                <w:sz w:val="21"/>
              </w:rPr>
              <w:t>批准机制</w:t>
            </w:r>
          </w:p>
        </w:tc>
        <w:tc>
          <w:tcPr>
            <w:tcW w:type="dxa" w:w="7228"/>
            <w:vAlign w:val="center"/>
          </w:tcPr>
          <w:p>
            <w:pPr>
              <w:keepNext w:val="0"/>
              <w:spacing w:line="320" w:lineRule="exact" w:after="0" w:before="0"/>
              <w:ind w:firstLine="0"/>
              <w:jc w:val="left"/>
            </w:pPr>
            <w:r>
              <w:rPr>
                <w:b w:val="0"/>
                <w:sz w:val="21"/>
              </w:rPr>
              <w:t>执行计划按授权审批，重大目标及关键节点变更按原权限审议</w:t>
            </w:r>
          </w:p>
        </w:tc>
      </w:tr>
      <w:tr>
        <w:trPr>
          <w:cantSplit/>
        </w:trPr>
        <w:tc>
          <w:tcPr>
            <w:tcW w:type="dxa" w:w="2409"/>
            <w:vAlign w:val="center"/>
          </w:tcPr>
          <w:p>
            <w:pPr>
              <w:keepNext w:val="0"/>
              <w:spacing w:line="320" w:lineRule="exact" w:after="0" w:before="0"/>
              <w:ind w:firstLine="0"/>
              <w:jc w:val="left"/>
            </w:pPr>
            <w:r>
              <w:rPr>
                <w:b w:val="0"/>
                <w:sz w:val="21"/>
              </w:rPr>
              <w:t>时间约束</w:t>
            </w:r>
          </w:p>
        </w:tc>
        <w:tc>
          <w:tcPr>
            <w:tcW w:type="dxa" w:w="7228"/>
            <w:vAlign w:val="center"/>
          </w:tcPr>
          <w:p>
            <w:pPr>
              <w:keepNext w:val="0"/>
              <w:spacing w:line="320" w:lineRule="exact" w:after="0" w:before="0"/>
              <w:ind w:firstLine="0"/>
              <w:jc w:val="left"/>
            </w:pPr>
            <w:r>
              <w:rPr>
                <w:b w:val="0"/>
                <w:sz w:val="21"/>
              </w:rPr>
              <w:t>与项目总计划一致，2028年5月前完成最终验收</w:t>
            </w:r>
          </w:p>
        </w:tc>
      </w:tr>
      <w:tr>
        <w:trPr>
          <w:cantSplit/>
        </w:trPr>
        <w:tc>
          <w:tcPr>
            <w:tcW w:type="dxa" w:w="2409"/>
            <w:vAlign w:val="center"/>
          </w:tcPr>
          <w:p>
            <w:pPr>
              <w:keepNext w:val="0"/>
              <w:spacing w:line="320" w:lineRule="exact" w:after="0" w:before="0"/>
              <w:ind w:firstLine="0"/>
              <w:jc w:val="left"/>
            </w:pPr>
            <w:r>
              <w:rPr>
                <w:b w:val="0"/>
                <w:sz w:val="21"/>
              </w:rPr>
              <w:t>更新周期</w:t>
            </w:r>
          </w:p>
        </w:tc>
        <w:tc>
          <w:tcPr>
            <w:tcW w:type="dxa" w:w="7228"/>
            <w:vAlign w:val="center"/>
          </w:tcPr>
          <w:p>
            <w:pPr>
              <w:keepNext w:val="0"/>
              <w:spacing w:line="320" w:lineRule="exact" w:after="0" w:before="0"/>
              <w:ind w:firstLine="0"/>
              <w:jc w:val="left"/>
            </w:pPr>
            <w:r>
              <w:rPr>
                <w:b w:val="0"/>
                <w:sz w:val="21"/>
              </w:rPr>
              <w:t>周度跟踪、月度核对、阶段复审和必要的专项调整</w:t>
            </w:r>
          </w:p>
        </w:tc>
      </w:tr>
    </w:tbl>
    <w:p>
      <w:pPr>
        <w:spacing w:after="40" w:line="240" w:lineRule="auto"/>
        <w:ind w:firstLine="0"/>
      </w:pPr>
      <w:r>
        <w:rPr>
          <w:sz w:val="4"/>
        </w:rPr>
      </w:r>
    </w:p>
    <w:p>
      <w:pPr>
        <w:jc w:val="both"/>
      </w:pPr>
      <w:r>
        <w:t>实施计划将战略目标落实到可下达、可检查的工作包。每个工作包关联战略任务和具体成果，登记责任部门及岗位、计划节点、输入条件、实施动作、资源、验证方法和移交对象。项目管理岗位维护统一台账，业务及专业岗位对其确认事项负责，实施岗位提供实际成果和运行证据。</w:t>
      </w:r>
    </w:p>
    <w:p>
      <w:pPr>
        <w:jc w:val="both"/>
      </w:pPr>
      <w:r>
        <w:t>计划采用原批准基准、当前执行计划和实际记录三套时间信息。原批准基准用于偏差比较，当前执行计划用于安排后续作业，实际记录反映已发生事实。每次调整保留原因和批准关系，受阻、延期、返工及范围变化均能追溯至原任务。</w:t>
      </w:r>
    </w:p>
    <w:p>
      <w:pPr>
        <w:pStyle w:val="Heading3"/>
      </w:pPr>
      <w:r>
        <w:t>3.1.2 时间节点与排期规则</w:t>
      </w:r>
    </w:p>
    <w:p>
      <w:pPr>
        <w:jc w:val="both"/>
      </w:pPr>
      <w:r>
        <w:t>以项目启动会确认之日为计划起点，启动准备安排在启动后第1至2周，现状调查及需求确认安排在第2至8周，治理规划及首批基础设计安排在第6至12周。上述阶段允许在输入已确认的范围内交叉推进，各阶段成果仍按相应条件独立评审。</w:t>
      </w:r>
    </w:p>
    <w:p>
      <w:pPr>
        <w:jc w:val="both"/>
      </w:pPr>
      <w:r>
        <w:t>基础治理和规模实施按批准总计划分批安排，正式日历在启动阶段结合合同生效、来源开放、生产窗口、环境到位和专家资源确定。竣工验收、试运行、集中复测、最终验收及移交从终验要求倒排，预留问题修正和复核时间。计划起点变化时同步重新测算后续资源及关键路径，终验约束继续保持。</w:t>
      </w:r>
    </w:p>
    <w:p>
      <w:pPr>
        <w:pStyle w:val="Caption"/>
        <w:keepNext/>
      </w:pPr>
      <w:r>
        <w:t>表3-2 时间节点与排期规则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计划节点</w:t>
            </w:r>
          </w:p>
        </w:tc>
        <w:tc>
          <w:tcPr>
            <w:tcW w:type="dxa" w:w="2699"/>
            <w:vAlign w:val="center"/>
            <w:shd w:fill="EDF1F3"/>
          </w:tcPr>
          <w:p>
            <w:pPr>
              <w:keepNext/>
              <w:spacing w:line="320" w:lineRule="exact" w:after="0" w:before="0"/>
              <w:ind w:firstLine="0"/>
              <w:jc w:val="center"/>
            </w:pPr>
            <w:r>
              <w:rPr>
                <w:b/>
                <w:sz w:val="21"/>
              </w:rPr>
              <w:t>时间安排</w:t>
            </w:r>
          </w:p>
        </w:tc>
        <w:tc>
          <w:tcPr>
            <w:tcW w:type="dxa" w:w="2409"/>
            <w:vAlign w:val="center"/>
            <w:shd w:fill="EDF1F3"/>
          </w:tcPr>
          <w:p>
            <w:pPr>
              <w:keepNext/>
              <w:spacing w:line="320" w:lineRule="exact" w:after="0" w:before="0"/>
              <w:ind w:firstLine="0"/>
              <w:jc w:val="center"/>
            </w:pPr>
            <w:r>
              <w:rPr>
                <w:b/>
                <w:sz w:val="21"/>
              </w:rPr>
              <w:t>核心提交物</w:t>
            </w:r>
          </w:p>
        </w:tc>
        <w:tc>
          <w:tcPr>
            <w:tcW w:type="dxa" w:w="2891"/>
            <w:vAlign w:val="center"/>
            <w:shd w:fill="EDF1F3"/>
          </w:tcPr>
          <w:p>
            <w:pPr>
              <w:keepNext/>
              <w:spacing w:line="320" w:lineRule="exact" w:after="0" w:before="0"/>
              <w:ind w:firstLine="0"/>
              <w:jc w:val="center"/>
            </w:pPr>
            <w:r>
              <w:rPr>
                <w:b/>
                <w:sz w:val="21"/>
              </w:rPr>
              <w:t>核验责任</w:t>
            </w:r>
          </w:p>
        </w:tc>
      </w:tr>
      <w:tr>
        <w:trPr>
          <w:cantSplit/>
        </w:trPr>
        <w:tc>
          <w:tcPr>
            <w:tcW w:type="dxa" w:w="1638"/>
            <w:vAlign w:val="center"/>
          </w:tcPr>
          <w:p>
            <w:pPr>
              <w:keepNext w:val="0"/>
              <w:spacing w:line="320" w:lineRule="exact" w:after="0" w:before="0"/>
              <w:ind w:firstLine="0"/>
              <w:jc w:val="left"/>
            </w:pPr>
            <w:r>
              <w:rPr>
                <w:b w:val="0"/>
                <w:sz w:val="21"/>
              </w:rPr>
              <w:t>启动确认</w:t>
            </w:r>
          </w:p>
        </w:tc>
        <w:tc>
          <w:tcPr>
            <w:tcW w:type="dxa" w:w="2699"/>
            <w:vAlign w:val="center"/>
          </w:tcPr>
          <w:p>
            <w:pPr>
              <w:keepNext w:val="0"/>
              <w:spacing w:line="320" w:lineRule="exact" w:after="0" w:before="0"/>
              <w:ind w:firstLine="0"/>
              <w:jc w:val="left"/>
            </w:pPr>
            <w:r>
              <w:rPr>
                <w:b w:val="0"/>
                <w:sz w:val="21"/>
              </w:rPr>
              <w:t>启动后第1至2周</w:t>
            </w:r>
          </w:p>
        </w:tc>
        <w:tc>
          <w:tcPr>
            <w:tcW w:type="dxa" w:w="2409"/>
            <w:vAlign w:val="center"/>
          </w:tcPr>
          <w:p>
            <w:pPr>
              <w:keepNext w:val="0"/>
              <w:spacing w:line="320" w:lineRule="exact" w:after="0" w:before="0"/>
              <w:ind w:firstLine="0"/>
              <w:jc w:val="left"/>
            </w:pPr>
            <w:r>
              <w:rPr>
                <w:b w:val="0"/>
                <w:sz w:val="21"/>
              </w:rPr>
              <w:t>范围、组织、责任、授权和总计划</w:t>
            </w:r>
          </w:p>
        </w:tc>
        <w:tc>
          <w:tcPr>
            <w:tcW w:type="dxa" w:w="2891"/>
            <w:vAlign w:val="center"/>
          </w:tcPr>
          <w:p>
            <w:pPr>
              <w:keepNext w:val="0"/>
              <w:spacing w:line="320" w:lineRule="exact" w:after="0" w:before="0"/>
              <w:ind w:firstLine="0"/>
              <w:jc w:val="left"/>
            </w:pPr>
            <w:r>
              <w:rPr>
                <w:b w:val="0"/>
                <w:sz w:val="21"/>
              </w:rPr>
              <w:t>项目管理及治理管理层</w:t>
            </w:r>
          </w:p>
        </w:tc>
      </w:tr>
      <w:tr>
        <w:trPr>
          <w:cantSplit/>
        </w:trPr>
        <w:tc>
          <w:tcPr>
            <w:tcW w:type="dxa" w:w="1638"/>
            <w:vAlign w:val="center"/>
          </w:tcPr>
          <w:p>
            <w:pPr>
              <w:keepNext w:val="0"/>
              <w:spacing w:line="320" w:lineRule="exact" w:after="0" w:before="0"/>
              <w:ind w:firstLine="0"/>
              <w:jc w:val="left"/>
            </w:pPr>
            <w:r>
              <w:rPr>
                <w:b w:val="0"/>
                <w:sz w:val="21"/>
              </w:rPr>
              <w:t>调查准备</w:t>
            </w:r>
          </w:p>
        </w:tc>
        <w:tc>
          <w:tcPr>
            <w:tcW w:type="dxa" w:w="2699"/>
            <w:vAlign w:val="center"/>
          </w:tcPr>
          <w:p>
            <w:pPr>
              <w:keepNext w:val="0"/>
              <w:spacing w:line="320" w:lineRule="exact" w:after="0" w:before="0"/>
              <w:ind w:firstLine="0"/>
              <w:jc w:val="left"/>
            </w:pPr>
            <w:r>
              <w:rPr>
                <w:b w:val="0"/>
                <w:sz w:val="21"/>
              </w:rPr>
              <w:t>启动后第2至3周</w:t>
            </w:r>
          </w:p>
        </w:tc>
        <w:tc>
          <w:tcPr>
            <w:tcW w:type="dxa" w:w="2409"/>
            <w:vAlign w:val="center"/>
          </w:tcPr>
          <w:p>
            <w:pPr>
              <w:keepNext w:val="0"/>
              <w:spacing w:line="320" w:lineRule="exact" w:after="0" w:before="0"/>
              <w:ind w:firstLine="0"/>
              <w:jc w:val="left"/>
            </w:pPr>
            <w:r>
              <w:rPr>
                <w:b w:val="0"/>
                <w:sz w:val="21"/>
              </w:rPr>
              <w:t>调查清单、取证方法和访谈安排</w:t>
            </w:r>
          </w:p>
        </w:tc>
        <w:tc>
          <w:tcPr>
            <w:tcW w:type="dxa" w:w="2891"/>
            <w:vAlign w:val="center"/>
          </w:tcPr>
          <w:p>
            <w:pPr>
              <w:keepNext w:val="0"/>
              <w:spacing w:line="320" w:lineRule="exact" w:after="0" w:before="0"/>
              <w:ind w:firstLine="0"/>
              <w:jc w:val="left"/>
            </w:pPr>
            <w:r>
              <w:rPr>
                <w:b w:val="0"/>
                <w:sz w:val="21"/>
              </w:rPr>
              <w:t>治理、业务及系统岗位</w:t>
            </w:r>
          </w:p>
        </w:tc>
      </w:tr>
      <w:tr>
        <w:trPr>
          <w:cantSplit/>
        </w:trPr>
        <w:tc>
          <w:tcPr>
            <w:tcW w:type="dxa" w:w="1638"/>
            <w:vAlign w:val="center"/>
          </w:tcPr>
          <w:p>
            <w:pPr>
              <w:keepNext w:val="0"/>
              <w:spacing w:line="320" w:lineRule="exact" w:after="0" w:before="0"/>
              <w:ind w:firstLine="0"/>
              <w:jc w:val="left"/>
            </w:pPr>
            <w:r>
              <w:rPr>
                <w:b w:val="0"/>
                <w:sz w:val="21"/>
              </w:rPr>
              <w:t>诊断需求确认</w:t>
            </w:r>
          </w:p>
        </w:tc>
        <w:tc>
          <w:tcPr>
            <w:tcW w:type="dxa" w:w="2699"/>
            <w:vAlign w:val="center"/>
          </w:tcPr>
          <w:p>
            <w:pPr>
              <w:keepNext w:val="0"/>
              <w:spacing w:line="320" w:lineRule="exact" w:after="0" w:before="0"/>
              <w:ind w:firstLine="0"/>
              <w:jc w:val="left"/>
            </w:pPr>
            <w:r>
              <w:rPr>
                <w:b w:val="0"/>
                <w:sz w:val="21"/>
              </w:rPr>
              <w:t>启动后第4至8周分批完成</w:t>
            </w:r>
          </w:p>
        </w:tc>
        <w:tc>
          <w:tcPr>
            <w:tcW w:type="dxa" w:w="2409"/>
            <w:vAlign w:val="center"/>
          </w:tcPr>
          <w:p>
            <w:pPr>
              <w:keepNext w:val="0"/>
              <w:spacing w:line="320" w:lineRule="exact" w:after="0" w:before="0"/>
              <w:ind w:firstLine="0"/>
              <w:jc w:val="left"/>
            </w:pPr>
            <w:r>
              <w:rPr>
                <w:b w:val="0"/>
                <w:sz w:val="21"/>
              </w:rPr>
              <w:t>诊断报告、资源及场景需求</w:t>
            </w:r>
          </w:p>
        </w:tc>
        <w:tc>
          <w:tcPr>
            <w:tcW w:type="dxa" w:w="2891"/>
            <w:vAlign w:val="center"/>
          </w:tcPr>
          <w:p>
            <w:pPr>
              <w:keepNext w:val="0"/>
              <w:spacing w:line="320" w:lineRule="exact" w:after="0" w:before="0"/>
              <w:ind w:firstLine="0"/>
              <w:jc w:val="left"/>
            </w:pPr>
            <w:r>
              <w:rPr>
                <w:b w:val="0"/>
                <w:sz w:val="21"/>
              </w:rPr>
              <w:t>业务归口与治理管理层</w:t>
            </w:r>
          </w:p>
        </w:tc>
      </w:tr>
      <w:tr>
        <w:trPr>
          <w:cantSplit/>
        </w:trPr>
        <w:tc>
          <w:tcPr>
            <w:tcW w:type="dxa" w:w="1638"/>
            <w:vAlign w:val="center"/>
          </w:tcPr>
          <w:p>
            <w:pPr>
              <w:keepNext w:val="0"/>
              <w:spacing w:line="320" w:lineRule="exact" w:after="0" w:before="0"/>
              <w:ind w:firstLine="0"/>
              <w:jc w:val="left"/>
            </w:pPr>
            <w:r>
              <w:rPr>
                <w:b w:val="0"/>
                <w:sz w:val="21"/>
              </w:rPr>
              <w:t>规划确认</w:t>
            </w:r>
          </w:p>
        </w:tc>
        <w:tc>
          <w:tcPr>
            <w:tcW w:type="dxa" w:w="2699"/>
            <w:vAlign w:val="center"/>
          </w:tcPr>
          <w:p>
            <w:pPr>
              <w:keepNext w:val="0"/>
              <w:spacing w:line="320" w:lineRule="exact" w:after="0" w:before="0"/>
              <w:ind w:firstLine="0"/>
              <w:jc w:val="left"/>
            </w:pPr>
            <w:r>
              <w:rPr>
                <w:b w:val="0"/>
                <w:sz w:val="21"/>
              </w:rPr>
              <w:t>启动后第6至12周分批完成</w:t>
            </w:r>
          </w:p>
        </w:tc>
        <w:tc>
          <w:tcPr>
            <w:tcW w:type="dxa" w:w="2409"/>
            <w:vAlign w:val="center"/>
          </w:tcPr>
          <w:p>
            <w:pPr>
              <w:keepNext w:val="0"/>
              <w:spacing w:line="320" w:lineRule="exact" w:after="0" w:before="0"/>
              <w:ind w:firstLine="0"/>
              <w:jc w:val="left"/>
            </w:pPr>
            <w:r>
              <w:rPr>
                <w:b w:val="0"/>
                <w:sz w:val="21"/>
              </w:rPr>
              <w:t>战略、组织制度、架构和资产规划</w:t>
            </w:r>
          </w:p>
        </w:tc>
        <w:tc>
          <w:tcPr>
            <w:tcW w:type="dxa" w:w="2891"/>
            <w:vAlign w:val="center"/>
          </w:tcPr>
          <w:p>
            <w:pPr>
              <w:keepNext w:val="0"/>
              <w:spacing w:line="320" w:lineRule="exact" w:after="0" w:before="0"/>
              <w:ind w:firstLine="0"/>
              <w:jc w:val="left"/>
            </w:pPr>
            <w:r>
              <w:rPr>
                <w:b w:val="0"/>
                <w:sz w:val="21"/>
              </w:rPr>
              <w:t>相应授权审核及批准主体</w:t>
            </w:r>
          </w:p>
        </w:tc>
      </w:tr>
      <w:tr>
        <w:trPr>
          <w:cantSplit/>
        </w:trPr>
        <w:tc>
          <w:tcPr>
            <w:tcW w:type="dxa" w:w="1638"/>
            <w:vAlign w:val="center"/>
          </w:tcPr>
          <w:p>
            <w:pPr>
              <w:keepNext w:val="0"/>
              <w:spacing w:line="320" w:lineRule="exact" w:after="0" w:before="0"/>
              <w:ind w:firstLine="0"/>
              <w:jc w:val="left"/>
            </w:pPr>
            <w:r>
              <w:rPr>
                <w:b w:val="0"/>
                <w:sz w:val="21"/>
              </w:rPr>
              <w:t>基础链路检查</w:t>
            </w:r>
          </w:p>
        </w:tc>
        <w:tc>
          <w:tcPr>
            <w:tcW w:type="dxa" w:w="2699"/>
            <w:vAlign w:val="center"/>
          </w:tcPr>
          <w:p>
            <w:pPr>
              <w:keepNext w:val="0"/>
              <w:spacing w:line="320" w:lineRule="exact" w:after="0" w:before="0"/>
              <w:ind w:firstLine="0"/>
              <w:jc w:val="left"/>
            </w:pPr>
            <w:r>
              <w:rPr>
                <w:b w:val="0"/>
                <w:sz w:val="21"/>
              </w:rPr>
              <w:t>首批来源及设计确认后</w:t>
            </w:r>
          </w:p>
        </w:tc>
        <w:tc>
          <w:tcPr>
            <w:tcW w:type="dxa" w:w="2409"/>
            <w:vAlign w:val="center"/>
          </w:tcPr>
          <w:p>
            <w:pPr>
              <w:keepNext w:val="0"/>
              <w:spacing w:line="320" w:lineRule="exact" w:after="0" w:before="0"/>
              <w:ind w:firstLine="0"/>
              <w:jc w:val="left"/>
            </w:pPr>
            <w:r>
              <w:rPr>
                <w:b w:val="0"/>
                <w:sz w:val="21"/>
              </w:rPr>
              <w:t>接口、对象、规则和代表性验证</w:t>
            </w:r>
          </w:p>
        </w:tc>
        <w:tc>
          <w:tcPr>
            <w:tcW w:type="dxa" w:w="2891"/>
            <w:vAlign w:val="center"/>
          </w:tcPr>
          <w:p>
            <w:pPr>
              <w:keepNext w:val="0"/>
              <w:spacing w:line="320" w:lineRule="exact" w:after="0" w:before="0"/>
              <w:ind w:firstLine="0"/>
              <w:jc w:val="left"/>
            </w:pPr>
            <w:r>
              <w:rPr>
                <w:b w:val="0"/>
                <w:sz w:val="21"/>
              </w:rPr>
              <w:t>业务、质量与技术岗位</w:t>
            </w:r>
          </w:p>
        </w:tc>
      </w:tr>
      <w:tr>
        <w:trPr>
          <w:cantSplit/>
        </w:trPr>
        <w:tc>
          <w:tcPr>
            <w:tcW w:type="dxa" w:w="1638"/>
            <w:vAlign w:val="center"/>
          </w:tcPr>
          <w:p>
            <w:pPr>
              <w:keepNext w:val="0"/>
              <w:spacing w:line="320" w:lineRule="exact" w:after="0" w:before="0"/>
              <w:ind w:firstLine="0"/>
              <w:jc w:val="left"/>
            </w:pPr>
            <w:r>
              <w:rPr>
                <w:b w:val="0"/>
                <w:sz w:val="21"/>
              </w:rPr>
              <w:t>批次供给检查</w:t>
            </w:r>
          </w:p>
        </w:tc>
        <w:tc>
          <w:tcPr>
            <w:tcW w:type="dxa" w:w="2699"/>
            <w:vAlign w:val="center"/>
          </w:tcPr>
          <w:p>
            <w:pPr>
              <w:keepNext w:val="0"/>
              <w:spacing w:line="320" w:lineRule="exact" w:after="0" w:before="0"/>
              <w:ind w:firstLine="0"/>
              <w:jc w:val="left"/>
            </w:pPr>
            <w:r>
              <w:rPr>
                <w:b w:val="0"/>
                <w:sz w:val="21"/>
              </w:rPr>
              <w:t>按批准生产日历逐批执行</w:t>
            </w:r>
          </w:p>
        </w:tc>
        <w:tc>
          <w:tcPr>
            <w:tcW w:type="dxa" w:w="2409"/>
            <w:vAlign w:val="center"/>
          </w:tcPr>
          <w:p>
            <w:pPr>
              <w:keepNext w:val="0"/>
              <w:spacing w:line="320" w:lineRule="exact" w:after="0" w:before="0"/>
              <w:ind w:firstLine="0"/>
              <w:jc w:val="left"/>
            </w:pPr>
            <w:r>
              <w:rPr>
                <w:b w:val="0"/>
                <w:sz w:val="21"/>
              </w:rPr>
              <w:t>用途数据、质检、卡片和验证</w:t>
            </w:r>
          </w:p>
        </w:tc>
        <w:tc>
          <w:tcPr>
            <w:tcW w:type="dxa" w:w="2891"/>
            <w:vAlign w:val="center"/>
          </w:tcPr>
          <w:p>
            <w:pPr>
              <w:keepNext w:val="0"/>
              <w:spacing w:line="320" w:lineRule="exact" w:after="0" w:before="0"/>
              <w:ind w:firstLine="0"/>
              <w:jc w:val="left"/>
            </w:pPr>
            <w:r>
              <w:rPr>
                <w:b w:val="0"/>
                <w:sz w:val="21"/>
              </w:rPr>
              <w:t>生产、专业审核及质量岗位</w:t>
            </w:r>
          </w:p>
        </w:tc>
      </w:tr>
      <w:tr>
        <w:trPr>
          <w:cantSplit/>
        </w:trPr>
        <w:tc>
          <w:tcPr>
            <w:tcW w:type="dxa" w:w="1638"/>
            <w:vAlign w:val="center"/>
          </w:tcPr>
          <w:p>
            <w:pPr>
              <w:keepNext w:val="0"/>
              <w:spacing w:line="320" w:lineRule="exact" w:after="0" w:before="0"/>
              <w:ind w:firstLine="0"/>
              <w:jc w:val="left"/>
            </w:pPr>
            <w:r>
              <w:rPr>
                <w:b w:val="0"/>
                <w:sz w:val="21"/>
              </w:rPr>
              <w:t>集中评价节点</w:t>
            </w:r>
          </w:p>
        </w:tc>
        <w:tc>
          <w:tcPr>
            <w:tcW w:type="dxa" w:w="2699"/>
            <w:vAlign w:val="center"/>
          </w:tcPr>
          <w:p>
            <w:pPr>
              <w:keepNext w:val="0"/>
              <w:spacing w:line="320" w:lineRule="exact" w:after="0" w:before="0"/>
              <w:ind w:firstLine="0"/>
              <w:jc w:val="left"/>
            </w:pPr>
            <w:r>
              <w:rPr>
                <w:b w:val="0"/>
                <w:sz w:val="21"/>
              </w:rPr>
              <w:t>与主要供给及验收节点衔接</w:t>
            </w:r>
          </w:p>
        </w:tc>
        <w:tc>
          <w:tcPr>
            <w:tcW w:type="dxa" w:w="2409"/>
            <w:vAlign w:val="center"/>
          </w:tcPr>
          <w:p>
            <w:pPr>
              <w:keepNext w:val="0"/>
              <w:spacing w:line="320" w:lineRule="exact" w:after="0" w:before="0"/>
              <w:ind w:firstLine="0"/>
              <w:jc w:val="left"/>
            </w:pPr>
            <w:r>
              <w:rPr>
                <w:b w:val="0"/>
                <w:sz w:val="21"/>
              </w:rPr>
              <w:t>完整评测、整改及正式报告</w:t>
            </w:r>
          </w:p>
        </w:tc>
        <w:tc>
          <w:tcPr>
            <w:tcW w:type="dxa" w:w="2891"/>
            <w:vAlign w:val="center"/>
          </w:tcPr>
          <w:p>
            <w:pPr>
              <w:keepNext w:val="0"/>
              <w:spacing w:line="320" w:lineRule="exact" w:after="0" w:before="0"/>
              <w:ind w:firstLine="0"/>
              <w:jc w:val="left"/>
            </w:pPr>
            <w:r>
              <w:rPr>
                <w:b w:val="0"/>
                <w:sz w:val="21"/>
              </w:rPr>
              <w:t>评测机构与甲方相关岗位</w:t>
            </w:r>
          </w:p>
        </w:tc>
      </w:tr>
      <w:tr>
        <w:trPr>
          <w:cantSplit/>
        </w:trPr>
        <w:tc>
          <w:tcPr>
            <w:tcW w:type="dxa" w:w="1638"/>
            <w:vAlign w:val="center"/>
          </w:tcPr>
          <w:p>
            <w:pPr>
              <w:keepNext w:val="0"/>
              <w:spacing w:line="320" w:lineRule="exact" w:after="0" w:before="0"/>
              <w:ind w:firstLine="0"/>
              <w:jc w:val="left"/>
            </w:pPr>
            <w:r>
              <w:rPr>
                <w:b w:val="0"/>
                <w:sz w:val="21"/>
              </w:rPr>
              <w:t>最终验收</w:t>
            </w:r>
          </w:p>
        </w:tc>
        <w:tc>
          <w:tcPr>
            <w:tcW w:type="dxa" w:w="2699"/>
            <w:vAlign w:val="center"/>
          </w:tcPr>
          <w:p>
            <w:pPr>
              <w:keepNext w:val="0"/>
              <w:spacing w:line="320" w:lineRule="exact" w:after="0" w:before="0"/>
              <w:ind w:firstLine="0"/>
              <w:jc w:val="left"/>
            </w:pPr>
            <w:r>
              <w:rPr>
                <w:b w:val="0"/>
                <w:sz w:val="21"/>
              </w:rPr>
              <w:t>2028年5月前</w:t>
            </w:r>
          </w:p>
        </w:tc>
        <w:tc>
          <w:tcPr>
            <w:tcW w:type="dxa" w:w="2409"/>
            <w:vAlign w:val="center"/>
          </w:tcPr>
          <w:p>
            <w:pPr>
              <w:keepNext w:val="0"/>
              <w:spacing w:line="320" w:lineRule="exact" w:after="0" w:before="0"/>
              <w:ind w:firstLine="0"/>
              <w:jc w:val="left"/>
            </w:pPr>
            <w:r>
              <w:rPr>
                <w:b w:val="0"/>
                <w:sz w:val="21"/>
              </w:rPr>
              <w:t>最终成果、质量档案和移交资料</w:t>
            </w:r>
          </w:p>
        </w:tc>
        <w:tc>
          <w:tcPr>
            <w:tcW w:type="dxa" w:w="2891"/>
            <w:vAlign w:val="center"/>
          </w:tcPr>
          <w:p>
            <w:pPr>
              <w:keepNext w:val="0"/>
              <w:spacing w:line="320" w:lineRule="exact" w:after="0" w:before="0"/>
              <w:ind w:firstLine="0"/>
              <w:jc w:val="left"/>
            </w:pPr>
            <w:r>
              <w:rPr>
                <w:b w:val="0"/>
                <w:sz w:val="21"/>
              </w:rPr>
              <w:t>甲方验收组织</w:t>
            </w:r>
          </w:p>
        </w:tc>
      </w:tr>
    </w:tbl>
    <w:p>
      <w:pPr>
        <w:spacing w:after="40" w:line="240" w:lineRule="auto"/>
        <w:ind w:firstLine="0"/>
      </w:pPr>
      <w:r>
        <w:rPr>
          <w:sz w:val="4"/>
        </w:rPr>
      </w:r>
    </w:p>
    <w:p>
      <w:pPr>
        <w:pStyle w:val="Heading2"/>
      </w:pPr>
      <w:r>
        <w:t>3.2 工作包结构与台账</w:t>
      </w:r>
    </w:p>
    <w:p>
      <w:pPr>
        <w:pStyle w:val="Heading3"/>
      </w:pPr>
      <w:r>
        <w:t>3.2.1 三级分解及标识</w:t>
      </w:r>
    </w:p>
    <w:p>
      <w:pPr>
        <w:jc w:val="both"/>
      </w:pPr>
      <w:r>
        <w:t>第一级为 SG 战略目标，第二级为 ST 战略任务，第三级为 WP 工作包。SG 与 ST 标识用于目标和任务管理，WP 标识用于执行台账，与治理文件的 GV 主标识分别使用。工作包成果引用正式文件标识或数据版本，同一成果被多个任务使用时保持一个主标识，记录各任务的使用关系。</w:t>
      </w:r>
    </w:p>
    <w:p>
      <w:pPr>
        <w:jc w:val="both"/>
      </w:pPr>
      <w:r>
        <w:t>工作包按独立成果和责任划分，持续作业设置周期记录，复杂工作包按对象或批次建立子任务。前置工作完成时提供可验证的输出，后续工作检查满足输入要求后启动。批量处理的子任务沿用上级范围和判据，汇总检查覆盖全部应处理对象，失败和重试保留原记录。</w:t>
      </w:r>
    </w:p>
    <w:p>
      <w:pPr>
        <w:pStyle w:val="Caption"/>
        <w:keepNext/>
      </w:pPr>
      <w:r>
        <w:t>表3-3 三级分解及标识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工作包组</w:t>
            </w:r>
          </w:p>
        </w:tc>
        <w:tc>
          <w:tcPr>
            <w:tcW w:type="dxa" w:w="2699"/>
            <w:vAlign w:val="center"/>
            <w:shd w:fill="EDF1F3"/>
          </w:tcPr>
          <w:p>
            <w:pPr>
              <w:keepNext/>
              <w:spacing w:line="320" w:lineRule="exact" w:after="0" w:before="0"/>
              <w:ind w:firstLine="0"/>
              <w:jc w:val="center"/>
            </w:pPr>
            <w:r>
              <w:rPr>
                <w:b/>
                <w:sz w:val="21"/>
              </w:rPr>
              <w:t>对应战略任务</w:t>
            </w:r>
          </w:p>
        </w:tc>
        <w:tc>
          <w:tcPr>
            <w:tcW w:type="dxa" w:w="2409"/>
            <w:vAlign w:val="center"/>
            <w:shd w:fill="EDF1F3"/>
          </w:tcPr>
          <w:p>
            <w:pPr>
              <w:keepNext/>
              <w:spacing w:line="320" w:lineRule="exact" w:after="0" w:before="0"/>
              <w:ind w:firstLine="0"/>
              <w:jc w:val="center"/>
            </w:pPr>
            <w:r>
              <w:rPr>
                <w:b/>
                <w:sz w:val="21"/>
              </w:rPr>
              <w:t>主要范围</w:t>
            </w:r>
          </w:p>
        </w:tc>
        <w:tc>
          <w:tcPr>
            <w:tcW w:type="dxa" w:w="2891"/>
            <w:vAlign w:val="center"/>
            <w:shd w:fill="EDF1F3"/>
          </w:tcPr>
          <w:p>
            <w:pPr>
              <w:keepNext/>
              <w:spacing w:line="320" w:lineRule="exact" w:after="0" w:before="0"/>
              <w:ind w:firstLine="0"/>
              <w:jc w:val="center"/>
            </w:pPr>
            <w:r>
              <w:rPr>
                <w:b/>
                <w:sz w:val="21"/>
              </w:rPr>
              <w:t>成果检查方式</w:t>
            </w:r>
          </w:p>
        </w:tc>
      </w:tr>
      <w:tr>
        <w:trPr>
          <w:cantSplit/>
        </w:trPr>
        <w:tc>
          <w:tcPr>
            <w:tcW w:type="dxa" w:w="1638"/>
            <w:vAlign w:val="center"/>
          </w:tcPr>
          <w:p>
            <w:pPr>
              <w:keepNext w:val="0"/>
              <w:spacing w:line="320" w:lineRule="exact" w:after="0" w:before="0"/>
              <w:ind w:firstLine="0"/>
              <w:jc w:val="left"/>
            </w:pPr>
            <w:r>
              <w:rPr>
                <w:b w:val="0"/>
                <w:sz w:val="21"/>
              </w:rPr>
              <w:t>WP-01 至 WP-04</w:t>
            </w:r>
          </w:p>
        </w:tc>
        <w:tc>
          <w:tcPr>
            <w:tcW w:type="dxa" w:w="2699"/>
            <w:vAlign w:val="center"/>
          </w:tcPr>
          <w:p>
            <w:pPr>
              <w:keepNext w:val="0"/>
              <w:spacing w:line="320" w:lineRule="exact" w:after="0" w:before="0"/>
              <w:ind w:firstLine="0"/>
              <w:jc w:val="left"/>
            </w:pPr>
            <w:r>
              <w:rPr>
                <w:b w:val="0"/>
                <w:sz w:val="21"/>
              </w:rPr>
              <w:t>ST-01 责任制度建设</w:t>
            </w:r>
          </w:p>
        </w:tc>
        <w:tc>
          <w:tcPr>
            <w:tcW w:type="dxa" w:w="2409"/>
            <w:vAlign w:val="center"/>
          </w:tcPr>
          <w:p>
            <w:pPr>
              <w:keepNext w:val="0"/>
              <w:spacing w:line="320" w:lineRule="exact" w:after="0" w:before="0"/>
              <w:ind w:firstLine="0"/>
              <w:jc w:val="left"/>
            </w:pPr>
            <w:r>
              <w:rPr>
                <w:b w:val="0"/>
                <w:sz w:val="21"/>
              </w:rPr>
              <w:t>组织授权、管理办法、规划及计划</w:t>
            </w:r>
          </w:p>
        </w:tc>
        <w:tc>
          <w:tcPr>
            <w:tcW w:type="dxa" w:w="2891"/>
            <w:vAlign w:val="center"/>
          </w:tcPr>
          <w:p>
            <w:pPr>
              <w:keepNext w:val="0"/>
              <w:spacing w:line="320" w:lineRule="exact" w:after="0" w:before="0"/>
              <w:ind w:firstLine="0"/>
              <w:jc w:val="left"/>
            </w:pPr>
            <w:r>
              <w:rPr>
                <w:b w:val="0"/>
                <w:sz w:val="21"/>
              </w:rPr>
              <w:t>会签批准、责任确认及任务下达</w:t>
            </w:r>
          </w:p>
        </w:tc>
      </w:tr>
      <w:tr>
        <w:trPr>
          <w:cantSplit/>
        </w:trPr>
        <w:tc>
          <w:tcPr>
            <w:tcW w:type="dxa" w:w="1638"/>
            <w:vAlign w:val="center"/>
          </w:tcPr>
          <w:p>
            <w:pPr>
              <w:keepNext w:val="0"/>
              <w:spacing w:line="320" w:lineRule="exact" w:after="0" w:before="0"/>
              <w:ind w:firstLine="0"/>
              <w:jc w:val="left"/>
            </w:pPr>
            <w:r>
              <w:rPr>
                <w:b w:val="0"/>
                <w:sz w:val="21"/>
              </w:rPr>
              <w:t>WP-05 至 WP-09</w:t>
            </w:r>
          </w:p>
        </w:tc>
        <w:tc>
          <w:tcPr>
            <w:tcW w:type="dxa" w:w="2699"/>
            <w:vAlign w:val="center"/>
          </w:tcPr>
          <w:p>
            <w:pPr>
              <w:keepNext w:val="0"/>
              <w:spacing w:line="320" w:lineRule="exact" w:after="0" w:before="0"/>
              <w:ind w:firstLine="0"/>
              <w:jc w:val="left"/>
            </w:pPr>
            <w:r>
              <w:rPr>
                <w:b w:val="0"/>
                <w:sz w:val="21"/>
              </w:rPr>
              <w:t>ST-02 数据基础建设</w:t>
            </w:r>
          </w:p>
        </w:tc>
        <w:tc>
          <w:tcPr>
            <w:tcW w:type="dxa" w:w="2409"/>
            <w:vAlign w:val="center"/>
          </w:tcPr>
          <w:p>
            <w:pPr>
              <w:keepNext w:val="0"/>
              <w:spacing w:line="320" w:lineRule="exact" w:after="0" w:before="0"/>
              <w:ind w:firstLine="0"/>
              <w:jc w:val="left"/>
            </w:pPr>
            <w:r>
              <w:rPr>
                <w:b w:val="0"/>
                <w:sz w:val="21"/>
              </w:rPr>
              <w:t>诊断、场景需求、资源、对象和架构</w:t>
            </w:r>
          </w:p>
        </w:tc>
        <w:tc>
          <w:tcPr>
            <w:tcW w:type="dxa" w:w="2891"/>
            <w:vAlign w:val="center"/>
          </w:tcPr>
          <w:p>
            <w:pPr>
              <w:keepNext w:val="0"/>
              <w:spacing w:line="320" w:lineRule="exact" w:after="0" w:before="0"/>
              <w:ind w:firstLine="0"/>
              <w:jc w:val="left"/>
            </w:pPr>
            <w:r>
              <w:rPr>
                <w:b w:val="0"/>
                <w:sz w:val="21"/>
              </w:rPr>
              <w:t>证据复核、业务确认及设计评审</w:t>
            </w:r>
          </w:p>
        </w:tc>
      </w:tr>
      <w:tr>
        <w:trPr>
          <w:cantSplit/>
        </w:trPr>
        <w:tc>
          <w:tcPr>
            <w:tcW w:type="dxa" w:w="1638"/>
            <w:vAlign w:val="center"/>
          </w:tcPr>
          <w:p>
            <w:pPr>
              <w:keepNext w:val="0"/>
              <w:spacing w:line="320" w:lineRule="exact" w:after="0" w:before="0"/>
              <w:ind w:firstLine="0"/>
              <w:jc w:val="left"/>
            </w:pPr>
            <w:r>
              <w:rPr>
                <w:b w:val="0"/>
                <w:sz w:val="21"/>
              </w:rPr>
              <w:t>WP-10 至 WP-15</w:t>
            </w:r>
          </w:p>
        </w:tc>
        <w:tc>
          <w:tcPr>
            <w:tcW w:type="dxa" w:w="2699"/>
            <w:vAlign w:val="center"/>
          </w:tcPr>
          <w:p>
            <w:pPr>
              <w:keepNext w:val="0"/>
              <w:spacing w:line="320" w:lineRule="exact" w:after="0" w:before="0"/>
              <w:ind w:firstLine="0"/>
              <w:jc w:val="left"/>
            </w:pPr>
            <w:r>
              <w:rPr>
                <w:b w:val="0"/>
                <w:sz w:val="21"/>
              </w:rPr>
              <w:t>ST-03 治理执行建设</w:t>
            </w:r>
          </w:p>
        </w:tc>
        <w:tc>
          <w:tcPr>
            <w:tcW w:type="dxa" w:w="2409"/>
            <w:vAlign w:val="center"/>
          </w:tcPr>
          <w:p>
            <w:pPr>
              <w:keepNext w:val="0"/>
              <w:spacing w:line="320" w:lineRule="exact" w:after="0" w:before="0"/>
              <w:ind w:firstLine="0"/>
              <w:jc w:val="left"/>
            </w:pPr>
            <w:r>
              <w:rPr>
                <w:b w:val="0"/>
                <w:sz w:val="21"/>
              </w:rPr>
              <w:t>接入、标准、质量、安全、元数据及服务</w:t>
            </w:r>
          </w:p>
        </w:tc>
        <w:tc>
          <w:tcPr>
            <w:tcW w:type="dxa" w:w="2891"/>
            <w:vAlign w:val="center"/>
          </w:tcPr>
          <w:p>
            <w:pPr>
              <w:keepNext w:val="0"/>
              <w:spacing w:line="320" w:lineRule="exact" w:after="0" w:before="0"/>
              <w:ind w:firstLine="0"/>
              <w:jc w:val="left"/>
            </w:pPr>
            <w:r>
              <w:rPr>
                <w:b w:val="0"/>
                <w:sz w:val="21"/>
              </w:rPr>
              <w:t>配置、实际运行与异常验证</w:t>
            </w:r>
          </w:p>
        </w:tc>
      </w:tr>
      <w:tr>
        <w:trPr>
          <w:cantSplit/>
        </w:trPr>
        <w:tc>
          <w:tcPr>
            <w:tcW w:type="dxa" w:w="1638"/>
            <w:vAlign w:val="center"/>
          </w:tcPr>
          <w:p>
            <w:pPr>
              <w:keepNext w:val="0"/>
              <w:spacing w:line="320" w:lineRule="exact" w:after="0" w:before="0"/>
              <w:ind w:firstLine="0"/>
              <w:jc w:val="left"/>
            </w:pPr>
            <w:r>
              <w:rPr>
                <w:b w:val="0"/>
                <w:sz w:val="21"/>
              </w:rPr>
              <w:t>WP-16 至 WP-21</w:t>
            </w:r>
          </w:p>
        </w:tc>
        <w:tc>
          <w:tcPr>
            <w:tcW w:type="dxa" w:w="2699"/>
            <w:vAlign w:val="center"/>
          </w:tcPr>
          <w:p>
            <w:pPr>
              <w:keepNext w:val="0"/>
              <w:spacing w:line="320" w:lineRule="exact" w:after="0" w:before="0"/>
              <w:ind w:firstLine="0"/>
              <w:jc w:val="left"/>
            </w:pPr>
            <w:r>
              <w:rPr>
                <w:b w:val="0"/>
                <w:sz w:val="21"/>
              </w:rPr>
              <w:t>ST-04 数据供给建设</w:t>
            </w:r>
          </w:p>
        </w:tc>
        <w:tc>
          <w:tcPr>
            <w:tcW w:type="dxa" w:w="2409"/>
            <w:vAlign w:val="center"/>
          </w:tcPr>
          <w:p>
            <w:pPr>
              <w:keepNext w:val="0"/>
              <w:spacing w:line="320" w:lineRule="exact" w:after="0" w:before="0"/>
              <w:ind w:firstLine="0"/>
              <w:jc w:val="left"/>
            </w:pPr>
            <w:r>
              <w:rPr>
                <w:b w:val="0"/>
                <w:sz w:val="21"/>
              </w:rPr>
              <w:t>四领域生产、用途隔离及质量评测</w:t>
            </w:r>
          </w:p>
        </w:tc>
        <w:tc>
          <w:tcPr>
            <w:tcW w:type="dxa" w:w="2891"/>
            <w:vAlign w:val="center"/>
          </w:tcPr>
          <w:p>
            <w:pPr>
              <w:keepNext w:val="0"/>
              <w:spacing w:line="320" w:lineRule="exact" w:after="0" w:before="0"/>
              <w:ind w:firstLine="0"/>
              <w:jc w:val="left"/>
            </w:pPr>
            <w:r>
              <w:rPr>
                <w:b w:val="0"/>
                <w:sz w:val="21"/>
              </w:rPr>
              <w:t>净量、比例、专业质量及正式报告</w:t>
            </w:r>
          </w:p>
        </w:tc>
      </w:tr>
      <w:tr>
        <w:trPr>
          <w:cantSplit/>
        </w:trPr>
        <w:tc>
          <w:tcPr>
            <w:tcW w:type="dxa" w:w="1638"/>
            <w:vAlign w:val="center"/>
          </w:tcPr>
          <w:p>
            <w:pPr>
              <w:keepNext w:val="0"/>
              <w:spacing w:line="320" w:lineRule="exact" w:after="0" w:before="0"/>
              <w:ind w:firstLine="0"/>
              <w:jc w:val="left"/>
            </w:pPr>
            <w:r>
              <w:rPr>
                <w:b w:val="0"/>
                <w:sz w:val="21"/>
              </w:rPr>
              <w:t>WP-22 至 WP-24</w:t>
            </w:r>
          </w:p>
        </w:tc>
        <w:tc>
          <w:tcPr>
            <w:tcW w:type="dxa" w:w="2699"/>
            <w:vAlign w:val="center"/>
          </w:tcPr>
          <w:p>
            <w:pPr>
              <w:keepNext w:val="0"/>
              <w:spacing w:line="320" w:lineRule="exact" w:after="0" w:before="0"/>
              <w:ind w:firstLine="0"/>
              <w:jc w:val="left"/>
            </w:pPr>
            <w:r>
              <w:rPr>
                <w:b w:val="0"/>
                <w:sz w:val="21"/>
              </w:rPr>
              <w:t>ST-05 资产运营建设</w:t>
            </w:r>
          </w:p>
        </w:tc>
        <w:tc>
          <w:tcPr>
            <w:tcW w:type="dxa" w:w="2409"/>
            <w:vAlign w:val="center"/>
          </w:tcPr>
          <w:p>
            <w:pPr>
              <w:keepNext w:val="0"/>
              <w:spacing w:line="320" w:lineRule="exact" w:after="0" w:before="0"/>
              <w:ind w:firstLine="0"/>
              <w:jc w:val="left"/>
            </w:pPr>
            <w:r>
              <w:rPr>
                <w:b w:val="0"/>
                <w:sz w:val="21"/>
              </w:rPr>
              <w:t>权利目录、授权运营及价值使用</w:t>
            </w:r>
          </w:p>
        </w:tc>
        <w:tc>
          <w:tcPr>
            <w:tcW w:type="dxa" w:w="2891"/>
            <w:vAlign w:val="center"/>
          </w:tcPr>
          <w:p>
            <w:pPr>
              <w:keepNext w:val="0"/>
              <w:spacing w:line="320" w:lineRule="exact" w:after="0" w:before="0"/>
              <w:ind w:firstLine="0"/>
              <w:jc w:val="left"/>
            </w:pPr>
            <w:r>
              <w:rPr>
                <w:b w:val="0"/>
                <w:sz w:val="21"/>
              </w:rPr>
              <w:t>目录可用、审批调用及评价</w:t>
            </w:r>
          </w:p>
        </w:tc>
      </w:tr>
      <w:tr>
        <w:trPr>
          <w:cantSplit/>
        </w:trPr>
        <w:tc>
          <w:tcPr>
            <w:tcW w:type="dxa" w:w="1638"/>
            <w:vAlign w:val="center"/>
          </w:tcPr>
          <w:p>
            <w:pPr>
              <w:keepNext w:val="0"/>
              <w:spacing w:line="320" w:lineRule="exact" w:after="0" w:before="0"/>
              <w:ind w:firstLine="0"/>
              <w:jc w:val="left"/>
            </w:pPr>
            <w:r>
              <w:rPr>
                <w:b w:val="0"/>
                <w:sz w:val="21"/>
              </w:rPr>
              <w:t>WP-25 至 WP-28</w:t>
            </w:r>
          </w:p>
        </w:tc>
        <w:tc>
          <w:tcPr>
            <w:tcW w:type="dxa" w:w="2699"/>
            <w:vAlign w:val="center"/>
          </w:tcPr>
          <w:p>
            <w:pPr>
              <w:keepNext w:val="0"/>
              <w:spacing w:line="320" w:lineRule="exact" w:after="0" w:before="0"/>
              <w:ind w:firstLine="0"/>
              <w:jc w:val="left"/>
            </w:pPr>
            <w:r>
              <w:rPr>
                <w:b w:val="0"/>
                <w:sz w:val="21"/>
              </w:rPr>
              <w:t>ST-06 能力持续提升</w:t>
            </w:r>
          </w:p>
        </w:tc>
        <w:tc>
          <w:tcPr>
            <w:tcW w:type="dxa" w:w="2409"/>
            <w:vAlign w:val="center"/>
          </w:tcPr>
          <w:p>
            <w:pPr>
              <w:keepNext w:val="0"/>
              <w:spacing w:line="320" w:lineRule="exact" w:after="0" w:before="0"/>
              <w:ind w:firstLine="0"/>
              <w:jc w:val="left"/>
            </w:pPr>
            <w:r>
              <w:rPr>
                <w:b w:val="0"/>
                <w:sz w:val="21"/>
              </w:rPr>
              <w:t>战略评价、能力建设、培训及移交</w:t>
            </w:r>
          </w:p>
        </w:tc>
        <w:tc>
          <w:tcPr>
            <w:tcW w:type="dxa" w:w="2891"/>
            <w:vAlign w:val="center"/>
          </w:tcPr>
          <w:p>
            <w:pPr>
              <w:keepNext w:val="0"/>
              <w:spacing w:line="320" w:lineRule="exact" w:after="0" w:before="0"/>
              <w:ind w:firstLine="0"/>
              <w:jc w:val="left"/>
            </w:pPr>
            <w:r>
              <w:rPr>
                <w:b w:val="0"/>
                <w:sz w:val="21"/>
              </w:rPr>
              <w:t>实际证据、整改、实操和接收</w:t>
            </w:r>
          </w:p>
        </w:tc>
      </w:tr>
    </w:tbl>
    <w:p>
      <w:pPr>
        <w:spacing w:after="40" w:line="240" w:lineRule="auto"/>
        <w:ind w:firstLine="0"/>
      </w:pPr>
      <w:r>
        <w:rPr>
          <w:sz w:val="4"/>
        </w:rPr>
      </w:r>
    </w:p>
    <w:p>
      <w:pPr>
        <w:pStyle w:val="Heading3"/>
      </w:pPr>
      <w:r>
        <w:t>3.2.2 台账字段及状态校验</w:t>
      </w:r>
    </w:p>
    <w:p>
      <w:pPr>
        <w:jc w:val="both"/>
      </w:pPr>
      <w:r>
        <w:t>工作包台账使用统一字段，数据填写与流程动作同步。任务下达时固化目标、范围和计划，实际作业时登记投入与成果，验收时登记检验和确认，变更时保留原值及后继关系。系统自动采集字段与人工确认字段分别标明来源，人工填写的关键事实由相应责任岗位复核。</w:t>
      </w:r>
    </w:p>
    <w:p>
      <w:pPr>
        <w:pStyle w:val="Caption"/>
        <w:keepNext/>
      </w:pPr>
      <w:r>
        <w:t>表3-4 台账字段及状态校验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字段</w:t>
            </w:r>
          </w:p>
        </w:tc>
        <w:tc>
          <w:tcPr>
            <w:tcW w:type="dxa" w:w="2699"/>
            <w:vAlign w:val="center"/>
            <w:shd w:fill="EDF1F3"/>
          </w:tcPr>
          <w:p>
            <w:pPr>
              <w:keepNext/>
              <w:spacing w:line="320" w:lineRule="exact" w:after="0" w:before="0"/>
              <w:ind w:firstLine="0"/>
              <w:jc w:val="center"/>
            </w:pPr>
            <w:r>
              <w:rPr>
                <w:b/>
                <w:sz w:val="21"/>
              </w:rPr>
              <w:t>类型与必填条件</w:t>
            </w:r>
          </w:p>
        </w:tc>
        <w:tc>
          <w:tcPr>
            <w:tcW w:type="dxa" w:w="2409"/>
            <w:vAlign w:val="center"/>
            <w:shd w:fill="EDF1F3"/>
          </w:tcPr>
          <w:p>
            <w:pPr>
              <w:keepNext/>
              <w:spacing w:line="320" w:lineRule="exact" w:after="0" w:before="0"/>
              <w:ind w:firstLine="0"/>
              <w:jc w:val="center"/>
            </w:pPr>
            <w:r>
              <w:rPr>
                <w:b/>
                <w:sz w:val="21"/>
              </w:rPr>
              <w:t>取值及校验</w:t>
            </w:r>
          </w:p>
        </w:tc>
        <w:tc>
          <w:tcPr>
            <w:tcW w:type="dxa" w:w="2891"/>
            <w:vAlign w:val="center"/>
            <w:shd w:fill="EDF1F3"/>
          </w:tcPr>
          <w:p>
            <w:pPr>
              <w:keepNext/>
              <w:spacing w:line="320" w:lineRule="exact" w:after="0" w:before="0"/>
              <w:ind w:firstLine="0"/>
              <w:jc w:val="center"/>
            </w:pPr>
            <w:r>
              <w:rPr>
                <w:b/>
                <w:sz w:val="21"/>
              </w:rPr>
              <w:t>责任岗位</w:t>
            </w:r>
          </w:p>
        </w:tc>
      </w:tr>
      <w:tr>
        <w:trPr>
          <w:cantSplit/>
        </w:trPr>
        <w:tc>
          <w:tcPr>
            <w:tcW w:type="dxa" w:w="1638"/>
            <w:vAlign w:val="center"/>
          </w:tcPr>
          <w:p>
            <w:pPr>
              <w:keepNext w:val="0"/>
              <w:spacing w:line="320" w:lineRule="exact" w:after="0" w:before="0"/>
              <w:ind w:firstLine="0"/>
              <w:jc w:val="left"/>
            </w:pPr>
            <w:r>
              <w:rPr>
                <w:b w:val="0"/>
                <w:sz w:val="21"/>
              </w:rPr>
              <w:t>工作包编号</w:t>
            </w:r>
          </w:p>
        </w:tc>
        <w:tc>
          <w:tcPr>
            <w:tcW w:type="dxa" w:w="2699"/>
            <w:vAlign w:val="center"/>
          </w:tcPr>
          <w:p>
            <w:pPr>
              <w:keepNext w:val="0"/>
              <w:spacing w:line="320" w:lineRule="exact" w:after="0" w:before="0"/>
              <w:ind w:firstLine="0"/>
              <w:jc w:val="left"/>
            </w:pPr>
            <w:r>
              <w:rPr>
                <w:b w:val="0"/>
                <w:sz w:val="21"/>
              </w:rPr>
              <w:t>文本，必填</w:t>
            </w:r>
          </w:p>
        </w:tc>
        <w:tc>
          <w:tcPr>
            <w:tcW w:type="dxa" w:w="2409"/>
            <w:vAlign w:val="center"/>
          </w:tcPr>
          <w:p>
            <w:pPr>
              <w:keepNext w:val="0"/>
              <w:spacing w:line="320" w:lineRule="exact" w:after="0" w:before="0"/>
              <w:ind w:firstLine="0"/>
              <w:jc w:val="left"/>
            </w:pPr>
            <w:r>
              <w:rPr>
                <w:b w:val="0"/>
                <w:sz w:val="21"/>
              </w:rPr>
              <w:t>唯一且稳定，子任务关联父任务</w:t>
            </w:r>
          </w:p>
        </w:tc>
        <w:tc>
          <w:tcPr>
            <w:tcW w:type="dxa" w:w="2891"/>
            <w:vAlign w:val="center"/>
          </w:tcPr>
          <w:p>
            <w:pPr>
              <w:keepNext w:val="0"/>
              <w:spacing w:line="320" w:lineRule="exact" w:after="0" w:before="0"/>
              <w:ind w:firstLine="0"/>
              <w:jc w:val="left"/>
            </w:pPr>
            <w:r>
              <w:rPr>
                <w:b w:val="0"/>
                <w:sz w:val="21"/>
              </w:rPr>
              <w:t>项目管理</w:t>
            </w:r>
          </w:p>
        </w:tc>
      </w:tr>
      <w:tr>
        <w:trPr>
          <w:cantSplit/>
        </w:trPr>
        <w:tc>
          <w:tcPr>
            <w:tcW w:type="dxa" w:w="1638"/>
            <w:vAlign w:val="center"/>
          </w:tcPr>
          <w:p>
            <w:pPr>
              <w:keepNext w:val="0"/>
              <w:spacing w:line="320" w:lineRule="exact" w:after="0" w:before="0"/>
              <w:ind w:firstLine="0"/>
              <w:jc w:val="left"/>
            </w:pPr>
            <w:r>
              <w:rPr>
                <w:b w:val="0"/>
                <w:sz w:val="21"/>
              </w:rPr>
              <w:t>战略目标编号</w:t>
            </w:r>
          </w:p>
        </w:tc>
        <w:tc>
          <w:tcPr>
            <w:tcW w:type="dxa" w:w="2699"/>
            <w:vAlign w:val="center"/>
          </w:tcPr>
          <w:p>
            <w:pPr>
              <w:keepNext w:val="0"/>
              <w:spacing w:line="320" w:lineRule="exact" w:after="0" w:before="0"/>
              <w:ind w:firstLine="0"/>
              <w:jc w:val="left"/>
            </w:pPr>
            <w:r>
              <w:rPr>
                <w:b w:val="0"/>
                <w:sz w:val="21"/>
              </w:rPr>
              <w:t>标识列表，必填</w:t>
            </w:r>
          </w:p>
        </w:tc>
        <w:tc>
          <w:tcPr>
            <w:tcW w:type="dxa" w:w="2409"/>
            <w:vAlign w:val="center"/>
          </w:tcPr>
          <w:p>
            <w:pPr>
              <w:keepNext w:val="0"/>
              <w:spacing w:line="320" w:lineRule="exact" w:after="0" w:before="0"/>
              <w:ind w:firstLine="0"/>
              <w:jc w:val="left"/>
            </w:pPr>
            <w:r>
              <w:rPr>
                <w:b w:val="0"/>
                <w:sz w:val="21"/>
              </w:rPr>
              <w:t>对应有效 SG 目标</w:t>
            </w:r>
          </w:p>
        </w:tc>
        <w:tc>
          <w:tcPr>
            <w:tcW w:type="dxa" w:w="2891"/>
            <w:vAlign w:val="center"/>
          </w:tcPr>
          <w:p>
            <w:pPr>
              <w:keepNext w:val="0"/>
              <w:spacing w:line="320" w:lineRule="exact" w:after="0" w:before="0"/>
              <w:ind w:firstLine="0"/>
              <w:jc w:val="left"/>
            </w:pPr>
            <w:r>
              <w:rPr>
                <w:b w:val="0"/>
                <w:sz w:val="21"/>
              </w:rPr>
              <w:t>治理管理</w:t>
            </w:r>
          </w:p>
        </w:tc>
      </w:tr>
      <w:tr>
        <w:trPr>
          <w:cantSplit/>
        </w:trPr>
        <w:tc>
          <w:tcPr>
            <w:tcW w:type="dxa" w:w="1638"/>
            <w:vAlign w:val="center"/>
          </w:tcPr>
          <w:p>
            <w:pPr>
              <w:keepNext w:val="0"/>
              <w:spacing w:line="320" w:lineRule="exact" w:after="0" w:before="0"/>
              <w:ind w:firstLine="0"/>
              <w:jc w:val="left"/>
            </w:pPr>
            <w:r>
              <w:rPr>
                <w:b w:val="0"/>
                <w:sz w:val="21"/>
              </w:rPr>
              <w:t>战略任务编号</w:t>
            </w:r>
          </w:p>
        </w:tc>
        <w:tc>
          <w:tcPr>
            <w:tcW w:type="dxa" w:w="2699"/>
            <w:vAlign w:val="center"/>
          </w:tcPr>
          <w:p>
            <w:pPr>
              <w:keepNext w:val="0"/>
              <w:spacing w:line="320" w:lineRule="exact" w:after="0" w:before="0"/>
              <w:ind w:firstLine="0"/>
              <w:jc w:val="left"/>
            </w:pPr>
            <w:r>
              <w:rPr>
                <w:b w:val="0"/>
                <w:sz w:val="21"/>
              </w:rPr>
              <w:t>标识，必填</w:t>
            </w:r>
          </w:p>
        </w:tc>
        <w:tc>
          <w:tcPr>
            <w:tcW w:type="dxa" w:w="2409"/>
            <w:vAlign w:val="center"/>
          </w:tcPr>
          <w:p>
            <w:pPr>
              <w:keepNext w:val="0"/>
              <w:spacing w:line="320" w:lineRule="exact" w:after="0" w:before="0"/>
              <w:ind w:firstLine="0"/>
              <w:jc w:val="left"/>
            </w:pPr>
            <w:r>
              <w:rPr>
                <w:b w:val="0"/>
                <w:sz w:val="21"/>
              </w:rPr>
              <w:t>对应有效 ST 任务</w:t>
            </w:r>
          </w:p>
        </w:tc>
        <w:tc>
          <w:tcPr>
            <w:tcW w:type="dxa" w:w="2891"/>
            <w:vAlign w:val="center"/>
          </w:tcPr>
          <w:p>
            <w:pPr>
              <w:keepNext w:val="0"/>
              <w:spacing w:line="320" w:lineRule="exact" w:after="0" w:before="0"/>
              <w:ind w:firstLine="0"/>
              <w:jc w:val="left"/>
            </w:pPr>
            <w:r>
              <w:rPr>
                <w:b w:val="0"/>
                <w:sz w:val="21"/>
              </w:rPr>
              <w:t>治理管理</w:t>
            </w:r>
          </w:p>
        </w:tc>
      </w:tr>
      <w:tr>
        <w:trPr>
          <w:cantSplit/>
        </w:trPr>
        <w:tc>
          <w:tcPr>
            <w:tcW w:type="dxa" w:w="1638"/>
            <w:vAlign w:val="center"/>
          </w:tcPr>
          <w:p>
            <w:pPr>
              <w:keepNext w:val="0"/>
              <w:spacing w:line="320" w:lineRule="exact" w:after="0" w:before="0"/>
              <w:ind w:firstLine="0"/>
              <w:jc w:val="left"/>
            </w:pPr>
            <w:r>
              <w:rPr>
                <w:b w:val="0"/>
                <w:sz w:val="21"/>
              </w:rPr>
              <w:t>工作包名称</w:t>
            </w:r>
          </w:p>
        </w:tc>
        <w:tc>
          <w:tcPr>
            <w:tcW w:type="dxa" w:w="2699"/>
            <w:vAlign w:val="center"/>
          </w:tcPr>
          <w:p>
            <w:pPr>
              <w:keepNext w:val="0"/>
              <w:spacing w:line="320" w:lineRule="exact" w:after="0" w:before="0"/>
              <w:ind w:firstLine="0"/>
              <w:jc w:val="left"/>
            </w:pPr>
            <w:r>
              <w:rPr>
                <w:b w:val="0"/>
                <w:sz w:val="21"/>
              </w:rPr>
              <w:t>文本，必填</w:t>
            </w:r>
          </w:p>
        </w:tc>
        <w:tc>
          <w:tcPr>
            <w:tcW w:type="dxa" w:w="2409"/>
            <w:vAlign w:val="center"/>
          </w:tcPr>
          <w:p>
            <w:pPr>
              <w:keepNext w:val="0"/>
              <w:spacing w:line="320" w:lineRule="exact" w:after="0" w:before="0"/>
              <w:ind w:firstLine="0"/>
              <w:jc w:val="left"/>
            </w:pPr>
            <w:r>
              <w:rPr>
                <w:b w:val="0"/>
                <w:sz w:val="21"/>
              </w:rPr>
              <w:t>表明动作和可检查成果</w:t>
            </w:r>
          </w:p>
        </w:tc>
        <w:tc>
          <w:tcPr>
            <w:tcW w:type="dxa" w:w="2891"/>
            <w:vAlign w:val="center"/>
          </w:tcPr>
          <w:p>
            <w:pPr>
              <w:keepNext w:val="0"/>
              <w:spacing w:line="320" w:lineRule="exact" w:after="0" w:before="0"/>
              <w:ind w:firstLine="0"/>
              <w:jc w:val="left"/>
            </w:pPr>
            <w:r>
              <w:rPr>
                <w:b w:val="0"/>
                <w:sz w:val="21"/>
              </w:rPr>
              <w:t>任务牵头</w:t>
            </w:r>
          </w:p>
        </w:tc>
      </w:tr>
      <w:tr>
        <w:trPr>
          <w:cantSplit/>
        </w:trPr>
        <w:tc>
          <w:tcPr>
            <w:tcW w:type="dxa" w:w="1638"/>
            <w:vAlign w:val="center"/>
          </w:tcPr>
          <w:p>
            <w:pPr>
              <w:keepNext w:val="0"/>
              <w:spacing w:line="320" w:lineRule="exact" w:after="0" w:before="0"/>
              <w:ind w:firstLine="0"/>
              <w:jc w:val="left"/>
            </w:pPr>
            <w:r>
              <w:rPr>
                <w:b w:val="0"/>
                <w:sz w:val="21"/>
              </w:rPr>
              <w:t>对象范围</w:t>
            </w:r>
          </w:p>
        </w:tc>
        <w:tc>
          <w:tcPr>
            <w:tcW w:type="dxa" w:w="2699"/>
            <w:vAlign w:val="center"/>
          </w:tcPr>
          <w:p>
            <w:pPr>
              <w:keepNext w:val="0"/>
              <w:spacing w:line="320" w:lineRule="exact" w:after="0" w:before="0"/>
              <w:ind w:firstLine="0"/>
              <w:jc w:val="left"/>
            </w:pPr>
            <w:r>
              <w:rPr>
                <w:b w:val="0"/>
                <w:sz w:val="21"/>
              </w:rPr>
              <w:t>清单或受控引用，必填</w:t>
            </w:r>
          </w:p>
        </w:tc>
        <w:tc>
          <w:tcPr>
            <w:tcW w:type="dxa" w:w="2409"/>
            <w:vAlign w:val="center"/>
          </w:tcPr>
          <w:p>
            <w:pPr>
              <w:keepNext w:val="0"/>
              <w:spacing w:line="320" w:lineRule="exact" w:after="0" w:before="0"/>
              <w:ind w:firstLine="0"/>
              <w:jc w:val="left"/>
            </w:pPr>
            <w:r>
              <w:rPr>
                <w:b w:val="0"/>
                <w:sz w:val="21"/>
              </w:rPr>
              <w:t>业务域、系统、数据或成果可定位</w:t>
            </w:r>
          </w:p>
        </w:tc>
        <w:tc>
          <w:tcPr>
            <w:tcW w:type="dxa" w:w="2891"/>
            <w:vAlign w:val="center"/>
          </w:tcPr>
          <w:p>
            <w:pPr>
              <w:keepNext w:val="0"/>
              <w:spacing w:line="320" w:lineRule="exact" w:after="0" w:before="0"/>
              <w:ind w:firstLine="0"/>
              <w:jc w:val="left"/>
            </w:pPr>
            <w:r>
              <w:rPr>
                <w:b w:val="0"/>
                <w:sz w:val="21"/>
              </w:rPr>
              <w:t>业务及技术</w:t>
            </w:r>
          </w:p>
        </w:tc>
      </w:tr>
      <w:tr>
        <w:trPr>
          <w:cantSplit/>
        </w:trPr>
        <w:tc>
          <w:tcPr>
            <w:tcW w:type="dxa" w:w="1638"/>
            <w:vAlign w:val="center"/>
          </w:tcPr>
          <w:p>
            <w:pPr>
              <w:keepNext w:val="0"/>
              <w:spacing w:line="320" w:lineRule="exact" w:after="0" w:before="0"/>
              <w:ind w:firstLine="0"/>
              <w:jc w:val="left"/>
            </w:pPr>
            <w:r>
              <w:rPr>
                <w:b w:val="0"/>
                <w:sz w:val="21"/>
              </w:rPr>
              <w:t>输入与前置</w:t>
            </w:r>
          </w:p>
        </w:tc>
        <w:tc>
          <w:tcPr>
            <w:tcW w:type="dxa" w:w="2699"/>
            <w:vAlign w:val="center"/>
          </w:tcPr>
          <w:p>
            <w:pPr>
              <w:keepNext w:val="0"/>
              <w:spacing w:line="320" w:lineRule="exact" w:after="0" w:before="0"/>
              <w:ind w:firstLine="0"/>
              <w:jc w:val="left"/>
            </w:pPr>
            <w:r>
              <w:rPr>
                <w:b w:val="0"/>
                <w:sz w:val="21"/>
              </w:rPr>
              <w:t>标识及条件，必填</w:t>
            </w:r>
          </w:p>
        </w:tc>
        <w:tc>
          <w:tcPr>
            <w:tcW w:type="dxa" w:w="2409"/>
            <w:vAlign w:val="center"/>
          </w:tcPr>
          <w:p>
            <w:pPr>
              <w:keepNext w:val="0"/>
              <w:spacing w:line="320" w:lineRule="exact" w:after="0" w:before="0"/>
              <w:ind w:firstLine="0"/>
              <w:jc w:val="left"/>
            </w:pPr>
            <w:r>
              <w:rPr>
                <w:b w:val="0"/>
                <w:sz w:val="21"/>
              </w:rPr>
              <w:t>来源、版本、状态和接收要求明确</w:t>
            </w:r>
          </w:p>
        </w:tc>
        <w:tc>
          <w:tcPr>
            <w:tcW w:type="dxa" w:w="2891"/>
            <w:vAlign w:val="center"/>
          </w:tcPr>
          <w:p>
            <w:pPr>
              <w:keepNext w:val="0"/>
              <w:spacing w:line="320" w:lineRule="exact" w:after="0" w:before="0"/>
              <w:ind w:firstLine="0"/>
              <w:jc w:val="left"/>
            </w:pPr>
            <w:r>
              <w:rPr>
                <w:b w:val="0"/>
                <w:sz w:val="21"/>
              </w:rPr>
              <w:t>输入输出双方</w:t>
            </w:r>
          </w:p>
        </w:tc>
      </w:tr>
      <w:tr>
        <w:trPr>
          <w:cantSplit/>
        </w:trPr>
        <w:tc>
          <w:tcPr>
            <w:tcW w:type="dxa" w:w="1638"/>
            <w:vAlign w:val="center"/>
          </w:tcPr>
          <w:p>
            <w:pPr>
              <w:keepNext w:val="0"/>
              <w:spacing w:line="320" w:lineRule="exact" w:after="0" w:before="0"/>
              <w:ind w:firstLine="0"/>
              <w:jc w:val="left"/>
            </w:pPr>
            <w:r>
              <w:rPr>
                <w:b w:val="0"/>
                <w:sz w:val="21"/>
              </w:rPr>
              <w:t>牵头部门及岗位</w:t>
            </w:r>
          </w:p>
        </w:tc>
        <w:tc>
          <w:tcPr>
            <w:tcW w:type="dxa" w:w="2699"/>
            <w:vAlign w:val="center"/>
          </w:tcPr>
          <w:p>
            <w:pPr>
              <w:keepNext w:val="0"/>
              <w:spacing w:line="320" w:lineRule="exact" w:after="0" w:before="0"/>
              <w:ind w:firstLine="0"/>
              <w:jc w:val="left"/>
            </w:pPr>
            <w:r>
              <w:rPr>
                <w:b w:val="0"/>
                <w:sz w:val="21"/>
              </w:rPr>
              <w:t>受控组织岗位，必填</w:t>
            </w:r>
          </w:p>
        </w:tc>
        <w:tc>
          <w:tcPr>
            <w:tcW w:type="dxa" w:w="2409"/>
            <w:vAlign w:val="center"/>
          </w:tcPr>
          <w:p>
            <w:pPr>
              <w:keepNext w:val="0"/>
              <w:spacing w:line="320" w:lineRule="exact" w:after="0" w:before="0"/>
              <w:ind w:firstLine="0"/>
              <w:jc w:val="left"/>
            </w:pPr>
            <w:r>
              <w:rPr>
                <w:b w:val="0"/>
                <w:sz w:val="21"/>
              </w:rPr>
              <w:t>单一牵头，授权有效</w:t>
            </w:r>
          </w:p>
        </w:tc>
        <w:tc>
          <w:tcPr>
            <w:tcW w:type="dxa" w:w="2891"/>
            <w:vAlign w:val="center"/>
          </w:tcPr>
          <w:p>
            <w:pPr>
              <w:keepNext w:val="0"/>
              <w:spacing w:line="320" w:lineRule="exact" w:after="0" w:before="0"/>
              <w:ind w:firstLine="0"/>
              <w:jc w:val="left"/>
            </w:pPr>
            <w:r>
              <w:rPr>
                <w:b w:val="0"/>
                <w:sz w:val="21"/>
              </w:rPr>
              <w:t>治理管理</w:t>
            </w:r>
          </w:p>
        </w:tc>
      </w:tr>
      <w:tr>
        <w:trPr>
          <w:cantSplit/>
        </w:trPr>
        <w:tc>
          <w:tcPr>
            <w:tcW w:type="dxa" w:w="1638"/>
            <w:vAlign w:val="center"/>
          </w:tcPr>
          <w:p>
            <w:pPr>
              <w:keepNext w:val="0"/>
              <w:spacing w:line="320" w:lineRule="exact" w:after="0" w:before="0"/>
              <w:ind w:firstLine="0"/>
              <w:jc w:val="left"/>
            </w:pPr>
            <w:r>
              <w:rPr>
                <w:b w:val="0"/>
                <w:sz w:val="21"/>
              </w:rPr>
              <w:t>执行及配合岗位</w:t>
            </w:r>
          </w:p>
        </w:tc>
        <w:tc>
          <w:tcPr>
            <w:tcW w:type="dxa" w:w="2699"/>
            <w:vAlign w:val="center"/>
          </w:tcPr>
          <w:p>
            <w:pPr>
              <w:keepNext w:val="0"/>
              <w:spacing w:line="320" w:lineRule="exact" w:after="0" w:before="0"/>
              <w:ind w:firstLine="0"/>
              <w:jc w:val="left"/>
            </w:pPr>
            <w:r>
              <w:rPr>
                <w:b w:val="0"/>
                <w:sz w:val="21"/>
              </w:rPr>
              <w:t>岗位列表，必填</w:t>
            </w:r>
          </w:p>
        </w:tc>
        <w:tc>
          <w:tcPr>
            <w:tcW w:type="dxa" w:w="2409"/>
            <w:vAlign w:val="center"/>
          </w:tcPr>
          <w:p>
            <w:pPr>
              <w:keepNext w:val="0"/>
              <w:spacing w:line="320" w:lineRule="exact" w:after="0" w:before="0"/>
              <w:ind w:firstLine="0"/>
              <w:jc w:val="left"/>
            </w:pPr>
            <w:r>
              <w:rPr>
                <w:b w:val="0"/>
                <w:sz w:val="21"/>
              </w:rPr>
              <w:t>每项操作和审核有承担人</w:t>
            </w:r>
          </w:p>
        </w:tc>
        <w:tc>
          <w:tcPr>
            <w:tcW w:type="dxa" w:w="2891"/>
            <w:vAlign w:val="center"/>
          </w:tcPr>
          <w:p>
            <w:pPr>
              <w:keepNext w:val="0"/>
              <w:spacing w:line="320" w:lineRule="exact" w:after="0" w:before="0"/>
              <w:ind w:firstLine="0"/>
              <w:jc w:val="left"/>
            </w:pPr>
            <w:r>
              <w:rPr>
                <w:b w:val="0"/>
                <w:sz w:val="21"/>
              </w:rPr>
              <w:t>任务牵头</w:t>
            </w:r>
          </w:p>
        </w:tc>
      </w:tr>
      <w:tr>
        <w:trPr>
          <w:cantSplit/>
        </w:trPr>
        <w:tc>
          <w:tcPr>
            <w:tcW w:type="dxa" w:w="1638"/>
            <w:vAlign w:val="center"/>
          </w:tcPr>
          <w:p>
            <w:pPr>
              <w:keepNext w:val="0"/>
              <w:spacing w:line="320" w:lineRule="exact" w:after="0" w:before="0"/>
              <w:ind w:firstLine="0"/>
              <w:jc w:val="left"/>
            </w:pPr>
            <w:r>
              <w:rPr>
                <w:b w:val="0"/>
                <w:sz w:val="21"/>
              </w:rPr>
              <w:t>原批准起止</w:t>
            </w:r>
          </w:p>
        </w:tc>
        <w:tc>
          <w:tcPr>
            <w:tcW w:type="dxa" w:w="2699"/>
            <w:vAlign w:val="center"/>
          </w:tcPr>
          <w:p>
            <w:pPr>
              <w:keepNext w:val="0"/>
              <w:spacing w:line="320" w:lineRule="exact" w:after="0" w:before="0"/>
              <w:ind w:firstLine="0"/>
              <w:jc w:val="left"/>
            </w:pPr>
            <w:r>
              <w:rPr>
                <w:b w:val="0"/>
                <w:sz w:val="21"/>
              </w:rPr>
              <w:t>日期，必填</w:t>
            </w:r>
          </w:p>
        </w:tc>
        <w:tc>
          <w:tcPr>
            <w:tcW w:type="dxa" w:w="2409"/>
            <w:vAlign w:val="center"/>
          </w:tcPr>
          <w:p>
            <w:pPr>
              <w:keepNext w:val="0"/>
              <w:spacing w:line="320" w:lineRule="exact" w:after="0" w:before="0"/>
              <w:ind w:firstLine="0"/>
              <w:jc w:val="left"/>
            </w:pPr>
            <w:r>
              <w:rPr>
                <w:b w:val="0"/>
                <w:sz w:val="21"/>
              </w:rPr>
              <w:t>关联有效计划版本</w:t>
            </w:r>
          </w:p>
        </w:tc>
        <w:tc>
          <w:tcPr>
            <w:tcW w:type="dxa" w:w="2891"/>
            <w:vAlign w:val="center"/>
          </w:tcPr>
          <w:p>
            <w:pPr>
              <w:keepNext w:val="0"/>
              <w:spacing w:line="320" w:lineRule="exact" w:after="0" w:before="0"/>
              <w:ind w:firstLine="0"/>
              <w:jc w:val="left"/>
            </w:pPr>
            <w:r>
              <w:rPr>
                <w:b w:val="0"/>
                <w:sz w:val="21"/>
              </w:rPr>
              <w:t>项目管理</w:t>
            </w:r>
          </w:p>
        </w:tc>
      </w:tr>
      <w:tr>
        <w:trPr>
          <w:cantSplit/>
        </w:trPr>
        <w:tc>
          <w:tcPr>
            <w:tcW w:type="dxa" w:w="1638"/>
            <w:vAlign w:val="center"/>
          </w:tcPr>
          <w:p>
            <w:pPr>
              <w:keepNext w:val="0"/>
              <w:spacing w:line="320" w:lineRule="exact" w:after="0" w:before="0"/>
              <w:ind w:firstLine="0"/>
              <w:jc w:val="left"/>
            </w:pPr>
            <w:r>
              <w:rPr>
                <w:b w:val="0"/>
                <w:sz w:val="21"/>
              </w:rPr>
              <w:t>当前预测起止</w:t>
            </w:r>
          </w:p>
        </w:tc>
        <w:tc>
          <w:tcPr>
            <w:tcW w:type="dxa" w:w="2699"/>
            <w:vAlign w:val="center"/>
          </w:tcPr>
          <w:p>
            <w:pPr>
              <w:keepNext w:val="0"/>
              <w:spacing w:line="320" w:lineRule="exact" w:after="0" w:before="0"/>
              <w:ind w:firstLine="0"/>
              <w:jc w:val="left"/>
            </w:pPr>
            <w:r>
              <w:rPr>
                <w:b w:val="0"/>
                <w:sz w:val="21"/>
              </w:rPr>
              <w:t>日期，跟踪时必填</w:t>
            </w:r>
          </w:p>
        </w:tc>
        <w:tc>
          <w:tcPr>
            <w:tcW w:type="dxa" w:w="2409"/>
            <w:vAlign w:val="center"/>
          </w:tcPr>
          <w:p>
            <w:pPr>
              <w:keepNext w:val="0"/>
              <w:spacing w:line="320" w:lineRule="exact" w:after="0" w:before="0"/>
              <w:ind w:firstLine="0"/>
              <w:jc w:val="left"/>
            </w:pPr>
            <w:r>
              <w:rPr>
                <w:b w:val="0"/>
                <w:sz w:val="21"/>
              </w:rPr>
              <w:t>反映实际依赖和资源条件</w:t>
            </w:r>
          </w:p>
        </w:tc>
        <w:tc>
          <w:tcPr>
            <w:tcW w:type="dxa" w:w="2891"/>
            <w:vAlign w:val="center"/>
          </w:tcPr>
          <w:p>
            <w:pPr>
              <w:keepNext w:val="0"/>
              <w:spacing w:line="320" w:lineRule="exact" w:after="0" w:before="0"/>
              <w:ind w:firstLine="0"/>
              <w:jc w:val="left"/>
            </w:pPr>
            <w:r>
              <w:rPr>
                <w:b w:val="0"/>
                <w:sz w:val="21"/>
              </w:rPr>
              <w:t>任务牵头</w:t>
            </w:r>
          </w:p>
        </w:tc>
      </w:tr>
      <w:tr>
        <w:trPr>
          <w:cantSplit/>
        </w:trPr>
        <w:tc>
          <w:tcPr>
            <w:tcW w:type="dxa" w:w="1638"/>
            <w:vAlign w:val="center"/>
          </w:tcPr>
          <w:p>
            <w:pPr>
              <w:keepNext w:val="0"/>
              <w:spacing w:line="320" w:lineRule="exact" w:after="0" w:before="0"/>
              <w:ind w:firstLine="0"/>
              <w:jc w:val="left"/>
            </w:pPr>
            <w:r>
              <w:rPr>
                <w:b w:val="0"/>
                <w:sz w:val="21"/>
              </w:rPr>
              <w:t>实际起止</w:t>
            </w:r>
          </w:p>
        </w:tc>
        <w:tc>
          <w:tcPr>
            <w:tcW w:type="dxa" w:w="2699"/>
            <w:vAlign w:val="center"/>
          </w:tcPr>
          <w:p>
            <w:pPr>
              <w:keepNext w:val="0"/>
              <w:spacing w:line="320" w:lineRule="exact" w:after="0" w:before="0"/>
              <w:ind w:firstLine="0"/>
              <w:jc w:val="left"/>
            </w:pPr>
            <w:r>
              <w:rPr>
                <w:b w:val="0"/>
                <w:sz w:val="21"/>
              </w:rPr>
              <w:t>日期，事件发生后必填</w:t>
            </w:r>
          </w:p>
        </w:tc>
        <w:tc>
          <w:tcPr>
            <w:tcW w:type="dxa" w:w="2409"/>
            <w:vAlign w:val="center"/>
          </w:tcPr>
          <w:p>
            <w:pPr>
              <w:keepNext w:val="0"/>
              <w:spacing w:line="320" w:lineRule="exact" w:after="0" w:before="0"/>
              <w:ind w:firstLine="0"/>
              <w:jc w:val="left"/>
            </w:pPr>
            <w:r>
              <w:rPr>
                <w:b w:val="0"/>
                <w:sz w:val="21"/>
              </w:rPr>
              <w:t>与执行及验收证据一致</w:t>
            </w:r>
          </w:p>
        </w:tc>
        <w:tc>
          <w:tcPr>
            <w:tcW w:type="dxa" w:w="2891"/>
            <w:vAlign w:val="center"/>
          </w:tcPr>
          <w:p>
            <w:pPr>
              <w:keepNext w:val="0"/>
              <w:spacing w:line="320" w:lineRule="exact" w:after="0" w:before="0"/>
              <w:ind w:firstLine="0"/>
              <w:jc w:val="left"/>
            </w:pPr>
            <w:r>
              <w:rPr>
                <w:b w:val="0"/>
                <w:sz w:val="21"/>
              </w:rPr>
              <w:t>执行及验收</w:t>
            </w:r>
          </w:p>
        </w:tc>
      </w:tr>
      <w:tr>
        <w:trPr>
          <w:cantSplit/>
        </w:trPr>
        <w:tc>
          <w:tcPr>
            <w:tcW w:type="dxa" w:w="1638"/>
            <w:vAlign w:val="center"/>
          </w:tcPr>
          <w:p>
            <w:pPr>
              <w:keepNext w:val="0"/>
              <w:spacing w:line="320" w:lineRule="exact" w:after="0" w:before="0"/>
              <w:ind w:firstLine="0"/>
              <w:jc w:val="left"/>
            </w:pPr>
            <w:r>
              <w:rPr>
                <w:b w:val="0"/>
                <w:sz w:val="21"/>
              </w:rPr>
              <w:t>资源配置</w:t>
            </w:r>
          </w:p>
        </w:tc>
        <w:tc>
          <w:tcPr>
            <w:tcW w:type="dxa" w:w="2699"/>
            <w:vAlign w:val="center"/>
          </w:tcPr>
          <w:p>
            <w:pPr>
              <w:keepNext w:val="0"/>
              <w:spacing w:line="320" w:lineRule="exact" w:after="0" w:before="0"/>
              <w:ind w:firstLine="0"/>
              <w:jc w:val="left"/>
            </w:pPr>
            <w:r>
              <w:rPr>
                <w:b w:val="0"/>
                <w:sz w:val="21"/>
              </w:rPr>
              <w:t>岗位工时与环境引用，必填</w:t>
            </w:r>
          </w:p>
        </w:tc>
        <w:tc>
          <w:tcPr>
            <w:tcW w:type="dxa" w:w="2409"/>
            <w:vAlign w:val="center"/>
          </w:tcPr>
          <w:p>
            <w:pPr>
              <w:keepNext w:val="0"/>
              <w:spacing w:line="320" w:lineRule="exact" w:after="0" w:before="0"/>
              <w:ind w:firstLine="0"/>
              <w:jc w:val="left"/>
            </w:pPr>
            <w:r>
              <w:rPr>
                <w:b w:val="0"/>
                <w:sz w:val="21"/>
              </w:rPr>
              <w:t>投入与工作量相匹配</w:t>
            </w:r>
          </w:p>
        </w:tc>
        <w:tc>
          <w:tcPr>
            <w:tcW w:type="dxa" w:w="2891"/>
            <w:vAlign w:val="center"/>
          </w:tcPr>
          <w:p>
            <w:pPr>
              <w:keepNext w:val="0"/>
              <w:spacing w:line="320" w:lineRule="exact" w:after="0" w:before="0"/>
              <w:ind w:firstLine="0"/>
              <w:jc w:val="left"/>
            </w:pPr>
            <w:r>
              <w:rPr>
                <w:b w:val="0"/>
                <w:sz w:val="21"/>
              </w:rPr>
              <w:t>资源归口</w:t>
            </w:r>
          </w:p>
        </w:tc>
      </w:tr>
      <w:tr>
        <w:trPr>
          <w:cantSplit/>
        </w:trPr>
        <w:tc>
          <w:tcPr>
            <w:tcW w:type="dxa" w:w="1638"/>
            <w:vAlign w:val="center"/>
          </w:tcPr>
          <w:p>
            <w:pPr>
              <w:keepNext w:val="0"/>
              <w:spacing w:line="320" w:lineRule="exact" w:after="0" w:before="0"/>
              <w:ind w:firstLine="0"/>
              <w:jc w:val="left"/>
            </w:pPr>
            <w:r>
              <w:rPr>
                <w:b w:val="0"/>
                <w:sz w:val="21"/>
              </w:rPr>
              <w:t>交付成果</w:t>
            </w:r>
          </w:p>
        </w:tc>
        <w:tc>
          <w:tcPr>
            <w:tcW w:type="dxa" w:w="2699"/>
            <w:vAlign w:val="center"/>
          </w:tcPr>
          <w:p>
            <w:pPr>
              <w:keepNext w:val="0"/>
              <w:spacing w:line="320" w:lineRule="exact" w:after="0" w:before="0"/>
              <w:ind w:firstLine="0"/>
              <w:jc w:val="left"/>
            </w:pPr>
            <w:r>
              <w:rPr>
                <w:b w:val="0"/>
                <w:sz w:val="21"/>
              </w:rPr>
              <w:t>名称、标识、版本，必填</w:t>
            </w:r>
          </w:p>
        </w:tc>
        <w:tc>
          <w:tcPr>
            <w:tcW w:type="dxa" w:w="2409"/>
            <w:vAlign w:val="center"/>
          </w:tcPr>
          <w:p>
            <w:pPr>
              <w:keepNext w:val="0"/>
              <w:spacing w:line="320" w:lineRule="exact" w:after="0" w:before="0"/>
              <w:ind w:firstLine="0"/>
              <w:jc w:val="left"/>
            </w:pPr>
            <w:r>
              <w:rPr>
                <w:b w:val="0"/>
                <w:sz w:val="21"/>
              </w:rPr>
              <w:t>与工作包验收范围一致</w:t>
            </w:r>
          </w:p>
        </w:tc>
        <w:tc>
          <w:tcPr>
            <w:tcW w:type="dxa" w:w="2891"/>
            <w:vAlign w:val="center"/>
          </w:tcPr>
          <w:p>
            <w:pPr>
              <w:keepNext w:val="0"/>
              <w:spacing w:line="320" w:lineRule="exact" w:after="0" w:before="0"/>
              <w:ind w:firstLine="0"/>
              <w:jc w:val="left"/>
            </w:pPr>
            <w:r>
              <w:rPr>
                <w:b w:val="0"/>
                <w:sz w:val="21"/>
              </w:rPr>
              <w:t>执行岗位</w:t>
            </w:r>
          </w:p>
        </w:tc>
      </w:tr>
      <w:tr>
        <w:trPr>
          <w:cantSplit/>
        </w:trPr>
        <w:tc>
          <w:tcPr>
            <w:tcW w:type="dxa" w:w="1638"/>
            <w:vAlign w:val="center"/>
          </w:tcPr>
          <w:p>
            <w:pPr>
              <w:keepNext w:val="0"/>
              <w:spacing w:line="320" w:lineRule="exact" w:after="0" w:before="0"/>
              <w:ind w:firstLine="0"/>
              <w:jc w:val="left"/>
            </w:pPr>
            <w:r>
              <w:rPr>
                <w:b w:val="0"/>
                <w:sz w:val="21"/>
              </w:rPr>
              <w:t>验收方法</w:t>
            </w:r>
          </w:p>
        </w:tc>
        <w:tc>
          <w:tcPr>
            <w:tcW w:type="dxa" w:w="2699"/>
            <w:vAlign w:val="center"/>
          </w:tcPr>
          <w:p>
            <w:pPr>
              <w:keepNext w:val="0"/>
              <w:spacing w:line="320" w:lineRule="exact" w:after="0" w:before="0"/>
              <w:ind w:firstLine="0"/>
              <w:jc w:val="left"/>
            </w:pPr>
            <w:r>
              <w:rPr>
                <w:b w:val="0"/>
                <w:sz w:val="21"/>
              </w:rPr>
              <w:t>动作及判据，必填</w:t>
            </w:r>
          </w:p>
        </w:tc>
        <w:tc>
          <w:tcPr>
            <w:tcW w:type="dxa" w:w="2409"/>
            <w:vAlign w:val="center"/>
          </w:tcPr>
          <w:p>
            <w:pPr>
              <w:keepNext w:val="0"/>
              <w:spacing w:line="320" w:lineRule="exact" w:after="0" w:before="0"/>
              <w:ind w:firstLine="0"/>
              <w:jc w:val="left"/>
            </w:pPr>
            <w:r>
              <w:rPr>
                <w:b w:val="0"/>
                <w:sz w:val="21"/>
              </w:rPr>
              <w:t>可重复检查，有业务确认</w:t>
            </w:r>
          </w:p>
        </w:tc>
        <w:tc>
          <w:tcPr>
            <w:tcW w:type="dxa" w:w="2891"/>
            <w:vAlign w:val="center"/>
          </w:tcPr>
          <w:p>
            <w:pPr>
              <w:keepNext w:val="0"/>
              <w:spacing w:line="320" w:lineRule="exact" w:after="0" w:before="0"/>
              <w:ind w:firstLine="0"/>
              <w:jc w:val="left"/>
            </w:pPr>
            <w:r>
              <w:rPr>
                <w:b w:val="0"/>
                <w:sz w:val="21"/>
              </w:rPr>
              <w:t>质量及业务</w:t>
            </w:r>
          </w:p>
        </w:tc>
      </w:tr>
      <w:tr>
        <w:trPr>
          <w:cantSplit/>
        </w:trPr>
        <w:tc>
          <w:tcPr>
            <w:tcW w:type="dxa" w:w="1638"/>
            <w:vAlign w:val="center"/>
          </w:tcPr>
          <w:p>
            <w:pPr>
              <w:keepNext w:val="0"/>
              <w:spacing w:line="320" w:lineRule="exact" w:after="0" w:before="0"/>
              <w:ind w:firstLine="0"/>
              <w:jc w:val="left"/>
            </w:pPr>
            <w:r>
              <w:rPr>
                <w:b w:val="0"/>
                <w:sz w:val="21"/>
              </w:rPr>
              <w:t>当前状态</w:t>
            </w:r>
          </w:p>
        </w:tc>
        <w:tc>
          <w:tcPr>
            <w:tcW w:type="dxa" w:w="2699"/>
            <w:vAlign w:val="center"/>
          </w:tcPr>
          <w:p>
            <w:pPr>
              <w:keepNext w:val="0"/>
              <w:spacing w:line="320" w:lineRule="exact" w:after="0" w:before="0"/>
              <w:ind w:firstLine="0"/>
              <w:jc w:val="left"/>
            </w:pPr>
            <w:r>
              <w:rPr>
                <w:b w:val="0"/>
                <w:sz w:val="21"/>
              </w:rPr>
              <w:t>受控枚举，必填</w:t>
            </w:r>
          </w:p>
        </w:tc>
        <w:tc>
          <w:tcPr>
            <w:tcW w:type="dxa" w:w="2409"/>
            <w:vAlign w:val="center"/>
          </w:tcPr>
          <w:p>
            <w:pPr>
              <w:keepNext w:val="0"/>
              <w:spacing w:line="320" w:lineRule="exact" w:after="0" w:before="0"/>
              <w:ind w:firstLine="0"/>
              <w:jc w:val="left"/>
            </w:pPr>
            <w:r>
              <w:rPr>
                <w:b w:val="0"/>
                <w:sz w:val="21"/>
              </w:rPr>
              <w:t>符合状态进入条件</w:t>
            </w:r>
          </w:p>
        </w:tc>
        <w:tc>
          <w:tcPr>
            <w:tcW w:type="dxa" w:w="2891"/>
            <w:vAlign w:val="center"/>
          </w:tcPr>
          <w:p>
            <w:pPr>
              <w:keepNext w:val="0"/>
              <w:spacing w:line="320" w:lineRule="exact" w:after="0" w:before="0"/>
              <w:ind w:firstLine="0"/>
              <w:jc w:val="left"/>
            </w:pPr>
            <w:r>
              <w:rPr>
                <w:b w:val="0"/>
                <w:sz w:val="21"/>
              </w:rPr>
              <w:t>任务牵头</w:t>
            </w:r>
          </w:p>
        </w:tc>
      </w:tr>
      <w:tr>
        <w:trPr>
          <w:cantSplit/>
        </w:trPr>
        <w:tc>
          <w:tcPr>
            <w:tcW w:type="dxa" w:w="1638"/>
            <w:vAlign w:val="center"/>
          </w:tcPr>
          <w:p>
            <w:pPr>
              <w:keepNext w:val="0"/>
              <w:spacing w:line="320" w:lineRule="exact" w:after="0" w:before="0"/>
              <w:ind w:firstLine="0"/>
              <w:jc w:val="left"/>
            </w:pPr>
            <w:r>
              <w:rPr>
                <w:b w:val="0"/>
                <w:sz w:val="21"/>
              </w:rPr>
              <w:t>风险问题</w:t>
            </w:r>
          </w:p>
        </w:tc>
        <w:tc>
          <w:tcPr>
            <w:tcW w:type="dxa" w:w="2699"/>
            <w:vAlign w:val="center"/>
          </w:tcPr>
          <w:p>
            <w:pPr>
              <w:keepNext w:val="0"/>
              <w:spacing w:line="320" w:lineRule="exact" w:after="0" w:before="0"/>
              <w:ind w:firstLine="0"/>
              <w:jc w:val="left"/>
            </w:pPr>
            <w:r>
              <w:rPr>
                <w:b w:val="0"/>
                <w:sz w:val="21"/>
              </w:rPr>
              <w:t>记录引用，有事项时必填</w:t>
            </w:r>
          </w:p>
        </w:tc>
        <w:tc>
          <w:tcPr>
            <w:tcW w:type="dxa" w:w="2409"/>
            <w:vAlign w:val="center"/>
          </w:tcPr>
          <w:p>
            <w:pPr>
              <w:keepNext w:val="0"/>
              <w:spacing w:line="320" w:lineRule="exact" w:after="0" w:before="0"/>
              <w:ind w:firstLine="0"/>
              <w:jc w:val="left"/>
            </w:pPr>
            <w:r>
              <w:rPr>
                <w:b w:val="0"/>
                <w:sz w:val="21"/>
              </w:rPr>
              <w:t>描述影响、责任及处理时点</w:t>
            </w:r>
          </w:p>
        </w:tc>
        <w:tc>
          <w:tcPr>
            <w:tcW w:type="dxa" w:w="2891"/>
            <w:vAlign w:val="center"/>
          </w:tcPr>
          <w:p>
            <w:pPr>
              <w:keepNext w:val="0"/>
              <w:spacing w:line="320" w:lineRule="exact" w:after="0" w:before="0"/>
              <w:ind w:firstLine="0"/>
              <w:jc w:val="left"/>
            </w:pPr>
            <w:r>
              <w:rPr>
                <w:b w:val="0"/>
                <w:sz w:val="21"/>
              </w:rPr>
              <w:t>任务牵头</w:t>
            </w:r>
          </w:p>
        </w:tc>
      </w:tr>
      <w:tr>
        <w:trPr>
          <w:cantSplit/>
        </w:trPr>
        <w:tc>
          <w:tcPr>
            <w:tcW w:type="dxa" w:w="1638"/>
            <w:vAlign w:val="center"/>
          </w:tcPr>
          <w:p>
            <w:pPr>
              <w:keepNext w:val="0"/>
              <w:spacing w:line="320" w:lineRule="exact" w:after="0" w:before="0"/>
              <w:ind w:firstLine="0"/>
              <w:jc w:val="left"/>
            </w:pPr>
            <w:r>
              <w:rPr>
                <w:b w:val="0"/>
                <w:sz w:val="21"/>
              </w:rPr>
              <w:t>检验及接收</w:t>
            </w:r>
          </w:p>
        </w:tc>
        <w:tc>
          <w:tcPr>
            <w:tcW w:type="dxa" w:w="2699"/>
            <w:vAlign w:val="center"/>
          </w:tcPr>
          <w:p>
            <w:pPr>
              <w:keepNext w:val="0"/>
              <w:spacing w:line="320" w:lineRule="exact" w:after="0" w:before="0"/>
              <w:ind w:firstLine="0"/>
              <w:jc w:val="left"/>
            </w:pPr>
            <w:r>
              <w:rPr>
                <w:b w:val="0"/>
                <w:sz w:val="21"/>
              </w:rPr>
              <w:t>结论与记录，完成时必填</w:t>
            </w:r>
          </w:p>
        </w:tc>
        <w:tc>
          <w:tcPr>
            <w:tcW w:type="dxa" w:w="2409"/>
            <w:vAlign w:val="center"/>
          </w:tcPr>
          <w:p>
            <w:pPr>
              <w:keepNext w:val="0"/>
              <w:spacing w:line="320" w:lineRule="exact" w:after="0" w:before="0"/>
              <w:ind w:firstLine="0"/>
              <w:jc w:val="left"/>
            </w:pPr>
            <w:r>
              <w:rPr>
                <w:b w:val="0"/>
                <w:sz w:val="21"/>
              </w:rPr>
              <w:t>成果、自检、复核和移交齐备</w:t>
            </w:r>
          </w:p>
        </w:tc>
        <w:tc>
          <w:tcPr>
            <w:tcW w:type="dxa" w:w="2891"/>
            <w:vAlign w:val="center"/>
          </w:tcPr>
          <w:p>
            <w:pPr>
              <w:keepNext w:val="0"/>
              <w:spacing w:line="320" w:lineRule="exact" w:after="0" w:before="0"/>
              <w:ind w:firstLine="0"/>
              <w:jc w:val="left"/>
            </w:pPr>
            <w:r>
              <w:rPr>
                <w:b w:val="0"/>
                <w:sz w:val="21"/>
              </w:rPr>
              <w:t>验收及接收</w:t>
            </w:r>
          </w:p>
        </w:tc>
      </w:tr>
      <w:tr>
        <w:trPr>
          <w:cantSplit/>
        </w:trPr>
        <w:tc>
          <w:tcPr>
            <w:tcW w:type="dxa" w:w="1638"/>
            <w:vAlign w:val="center"/>
          </w:tcPr>
          <w:p>
            <w:pPr>
              <w:keepNext w:val="0"/>
              <w:spacing w:line="320" w:lineRule="exact" w:after="0" w:before="0"/>
              <w:ind w:firstLine="0"/>
              <w:jc w:val="left"/>
            </w:pPr>
            <w:r>
              <w:rPr>
                <w:b w:val="0"/>
                <w:sz w:val="21"/>
              </w:rPr>
              <w:t>变更关联</w:t>
            </w:r>
          </w:p>
        </w:tc>
        <w:tc>
          <w:tcPr>
            <w:tcW w:type="dxa" w:w="2699"/>
            <w:vAlign w:val="center"/>
          </w:tcPr>
          <w:p>
            <w:pPr>
              <w:keepNext w:val="0"/>
              <w:spacing w:line="320" w:lineRule="exact" w:after="0" w:before="0"/>
              <w:ind w:firstLine="0"/>
              <w:jc w:val="left"/>
            </w:pPr>
            <w:r>
              <w:rPr>
                <w:b w:val="0"/>
                <w:sz w:val="21"/>
              </w:rPr>
              <w:t>批准引用，变更时必填</w:t>
            </w:r>
          </w:p>
        </w:tc>
        <w:tc>
          <w:tcPr>
            <w:tcW w:type="dxa" w:w="2409"/>
            <w:vAlign w:val="center"/>
          </w:tcPr>
          <w:p>
            <w:pPr>
              <w:keepNext w:val="0"/>
              <w:spacing w:line="320" w:lineRule="exact" w:after="0" w:before="0"/>
              <w:ind w:firstLine="0"/>
              <w:jc w:val="left"/>
            </w:pPr>
            <w:r>
              <w:rPr>
                <w:b w:val="0"/>
                <w:sz w:val="21"/>
              </w:rPr>
              <w:t>原范围和原值仍可查询</w:t>
            </w:r>
          </w:p>
        </w:tc>
        <w:tc>
          <w:tcPr>
            <w:tcW w:type="dxa" w:w="2891"/>
            <w:vAlign w:val="center"/>
          </w:tcPr>
          <w:p>
            <w:pPr>
              <w:keepNext w:val="0"/>
              <w:spacing w:line="320" w:lineRule="exact" w:after="0" w:before="0"/>
              <w:ind w:firstLine="0"/>
              <w:jc w:val="left"/>
            </w:pPr>
            <w:r>
              <w:rPr>
                <w:b w:val="0"/>
                <w:sz w:val="21"/>
              </w:rPr>
              <w:t>项目管理</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7" name="Picture 7"/>
            <wp:cNvGraphicFramePr>
              <a:graphicFrameLocks noChangeAspect="1"/>
            </wp:cNvGraphicFramePr>
            <a:graphic>
              <a:graphicData uri="http://schemas.openxmlformats.org/drawingml/2006/picture">
                <pic:pic>
                  <pic:nvPicPr>
                    <pic:cNvPr id="0" name="图7_工作包体系.png"/>
                    <pic:cNvPicPr/>
                  </pic:nvPicPr>
                  <pic:blipFill>
                    <a:blip r:embed="rId17"/>
                    <a:stretch>
                      <a:fillRect/>
                    </a:stretch>
                  </pic:blipFill>
                  <pic:spPr>
                    <a:xfrm>
                      <a:off x="0" y="0"/>
                      <a:ext cx="6048000" cy="3004615"/>
                    </a:xfrm>
                    <a:prstGeom prst="rect"/>
                  </pic:spPr>
                </pic:pic>
              </a:graphicData>
            </a:graphic>
          </wp:inline>
        </w:drawing>
      </w:r>
    </w:p>
    <w:p>
      <w:pPr>
        <w:pStyle w:val="Caption"/>
        <w:jc w:val="center"/>
      </w:pPr>
      <w:r>
        <w:t>图3-1 工作包总体结构</w:t>
      </w:r>
    </w:p>
    <w:p>
      <w:pPr>
        <w:pStyle w:val="Heading2"/>
      </w:pPr>
      <w:r>
        <w:t>3.3 组织制度工作包</w:t>
      </w:r>
    </w:p>
    <w:p>
      <w:pPr>
        <w:pStyle w:val="Heading3"/>
      </w:pPr>
      <w:r>
        <w:t>3.3.1 WP-01 组织授权与议事安排</w:t>
      </w:r>
    </w:p>
    <w:p>
      <w:pPr>
        <w:jc w:val="both"/>
      </w:pPr>
      <w:r>
        <w:t>WP-01 由治理管理层与我方项目管理岗位共同组织，输入为项目范围、甲方组织职责及既有管理程序。启动阶段逐项核对决策、管理、执行、审核、批准和运行承接职责，形成角色到实际部门岗位的对应及授权清单。对涉及多个部门的对象明确业务归口和协同方式，职责争议形成可提交决策的具体事项。</w:t>
      </w:r>
    </w:p>
    <w:p>
      <w:pPr>
        <w:jc w:val="both"/>
      </w:pPr>
      <w:r>
        <w:t>实施时先确认九业务域接口岗位，再确认系统、质量、安全、资源和档案等专业岗位。建立周度跟踪、月度检查、阶段评价及重大事项升级路径，统一议题材料和决议记录字段。对原有议事机制能够承载的事项纳入既有程序，对新增职责形成明确授权，避免重复设置无执行权限的组织。</w:t>
      </w:r>
    </w:p>
    <w:p>
      <w:pPr>
        <w:jc w:val="both"/>
      </w:pPr>
      <w:r>
        <w:t>验收检查职责覆盖、授权有效性及实际试运行。选择业务口径争议、来源授权和工作包验收三类事项，验证提交、审核、决定和反馈链条。成果包括组织职责对应、授权清单、议事安排及试运行记录，移交治理管理层持续维护。</w:t>
      </w:r>
    </w:p>
    <w:p>
      <w:pPr>
        <w:pStyle w:val="Heading3"/>
      </w:pPr>
      <w:r>
        <w:t>3.3.2 WP-02 管理办法编制与发布</w:t>
      </w:r>
    </w:p>
    <w:p>
      <w:pPr>
        <w:jc w:val="both"/>
      </w:pPr>
      <w:r>
        <w:t>WP-02 以 WP-01 的职责和授权为输入，由治理管理岗位牵头、我方组织文本编制。管理办法覆盖战略制定、实施、评估、调整、监督和档案，核对与预算、采购、信息化、安全及档案制度的关系。业务岗位审查执行可行性，专业岗位审查权限和相应管理条件。</w:t>
      </w:r>
    </w:p>
    <w:p>
      <w:pPr>
        <w:jc w:val="both"/>
      </w:pPr>
      <w:r>
        <w:t>条款评审采用具体业务事项回放。对产品版本变更、库存口径争议、源数据延期及评测缺陷整改，逐一核对谁提出、谁审核、何时升级、留下哪些记录。发现条款无法对应实际岗位或流程时修订，再完成会签及批准。</w:t>
      </w:r>
    </w:p>
    <w:p>
      <w:pPr>
        <w:jc w:val="both"/>
      </w:pPr>
      <w:r>
        <w:t>交付《数据战略管理办法》及意见处理、批准和宣贯材料。验收检查条款完整、权限清楚、引用有效和记录可用。文件发布后按岗位开展实际流程演练，相关台账与平台任务采用同一状态和责任口径。</w:t>
      </w:r>
    </w:p>
    <w:p>
      <w:pPr>
        <w:pStyle w:val="Heading3"/>
      </w:pPr>
      <w:r>
        <w:t>3.3.3 WP-03 战略规划与资源论证</w:t>
      </w:r>
    </w:p>
    <w:p>
      <w:pPr>
        <w:jc w:val="both"/>
      </w:pPr>
      <w:r>
        <w:t>WP-03 在现状诊断和场景需求分批确认后开展，由治理管理层组织业务、架构、质量安全和资源岗位共同论证。我方将业务需求转为 SG 目标及 ST 任务，明确愿景、重点任务、资源投入和路线图，逐项检查合同目标及交付条件。</w:t>
      </w:r>
    </w:p>
    <w:p>
      <w:pPr>
        <w:jc w:val="both"/>
      </w:pPr>
      <w:r>
        <w:t>资源论证根据来源规模、加工难度、专业审核和模型验证需要形成工作量估算，识别被多个任务共用的基础对象和工具。关键接口、数据开放、专家窗口及第三方服务列入依赖清单，资源不足时提出具体配置和排期方案，按权限评审。</w:t>
      </w:r>
    </w:p>
    <w:p>
      <w:pPr>
        <w:jc w:val="both"/>
      </w:pPr>
      <w:r>
        <w:t>交付《数据战略规划》、目标卡、重点任务清单、资源及风险清单。验收检查目标有依据、任务有成果、资源可落实、时间可执行，四大数据集指标和总体交付保持一致。批准后形成唯一有效规划版本并下达实施安排。</w:t>
      </w:r>
    </w:p>
    <w:p>
      <w:pPr>
        <w:pStyle w:val="Heading3"/>
      </w:pPr>
      <w:r>
        <w:t>3.3.4 WP-04 实施计划与工作包下达</w:t>
      </w:r>
    </w:p>
    <w:p>
      <w:pPr>
        <w:jc w:val="both"/>
      </w:pPr>
      <w:r>
        <w:t>WP-04 以批准规划及总计划为依据，核定各工作包范围、责任和节点。项目管理岗位组织输入输出双方逐项确认依赖，执行岗位核实人员和环境，业务及质量岗位确认验收方法。工作包之间的并行、先后及资源竞争关系形成可检查的排期。</w:t>
      </w:r>
    </w:p>
    <w:p>
      <w:pPr>
        <w:jc w:val="both"/>
      </w:pPr>
      <w:r>
        <w:t>下达时提供完整任务资料，负责人确认接收和执行条件。日历安排同时标识专业审核、系统联调、生产验证及第三方检查窗口；关键路径上的任务预留必要的修正与复核时间。计划形成后以代表性任务检查状态、进度、问题和变更信息能否持续更新。</w:t>
      </w:r>
    </w:p>
    <w:p>
      <w:pPr>
        <w:jc w:val="both"/>
      </w:pPr>
      <w:r>
        <w:t>交付《数据战略实施计划》、工作包台账、责任矩阵及依赖清单。验收检查每项战略目标都有实际执行任务，每项合同成果都有归属，每项计划节点具有可验证的成果条件。执行期间由项目管理岗位维护原批准计划与当前预测。</w:t>
      </w:r>
    </w:p>
    <w:p>
      <w:pPr>
        <w:pStyle w:val="Heading2"/>
      </w:pPr>
      <w:r>
        <w:t>3.4 现状调查与数据基础工作包</w:t>
      </w:r>
    </w:p>
    <w:p>
      <w:pPr>
        <w:pStyle w:val="Heading3"/>
      </w:pPr>
      <w:r>
        <w:t>3.4.1 WP-05 现状诊断与能力差距</w:t>
      </w:r>
    </w:p>
    <w:p>
      <w:pPr>
        <w:jc w:val="both"/>
      </w:pPr>
      <w:r>
        <w:t>WP-05 按九大能力域要求开展组织、制度、流程、工具和运行调查，形成诊断证据目录。访谈前明确业务范围和取证主题，访谈后与实际文件、配置和记录交叉核对。对缺少证据的事项记录核验任务，对确认的差距分析业务影响和整改优先级。</w:t>
      </w:r>
    </w:p>
    <w:p>
      <w:pPr>
        <w:jc w:val="both"/>
      </w:pPr>
      <w:r>
        <w:t>诊断同时观察数据产生、审核、传递、使用和维护环节，区分制度未建立、职责未落实、工具未实现和运行未持续等不同原因。相同问题在多个业务域出现时识别共性原因，形成共性建设任务和领域执行任务，分别明确责任。</w:t>
      </w:r>
    </w:p>
    <w:p>
      <w:pPr>
        <w:jc w:val="both"/>
      </w:pPr>
      <w:r>
        <w:t>交付数据治理现状诊断报告及证据索引。验收从结论回查证据，再从业务域与能力要求反查覆盖范围，确认没有以口头判断代替关键事实。报告经甲方评审后作为规划和能力提升的正式输入，后续新增证据保持版本关系。</w:t>
      </w:r>
    </w:p>
    <w:p>
      <w:pPr>
        <w:pStyle w:val="Heading3"/>
      </w:pPr>
      <w:r>
        <w:t>3.4.2 WP-06 场景需求与关键元素</w:t>
      </w:r>
    </w:p>
    <w:p>
      <w:pPr>
        <w:jc w:val="both"/>
      </w:pPr>
      <w:r>
        <w:t>WP-06 由业务岗位牵头，我方组织数据与验证岗位共同梳理十一场景。每个场景形成输入条件、任务动作、期望输出、判断依据、质量要求、使用权限和验证方式，识别缺失后会导致任务无法成立的关键数据元素。需求按场景与对象双向登记，避免重复取数和遗漏共性字段。</w:t>
      </w:r>
    </w:p>
    <w:p>
      <w:pPr>
        <w:jc w:val="both"/>
      </w:pPr>
      <w:r>
        <w:t>产品选型重点确认产品参数和工况约束，备料设计确认图工关系和技术条件，库存分析确认时点与状态，热处理和焊接确认对象与过程结果，健康诊断确认设备及事件。五项智能助手重点确认资料有效性、条款位置、指标口径和专业审核关系。</w:t>
      </w:r>
    </w:p>
    <w:p>
      <w:pPr>
        <w:jc w:val="both"/>
      </w:pPr>
      <w:r>
        <w:t>交付高质量数据集验证场景数据需求清单、关键元素清单和供给缺口任务。验收由业务岗位对真实代表任务进行输入完整性检查，数据岗位核实来源和获取条件，验证岗位核实结果判据。后续场景变化通过同一需求版本管理。</w:t>
      </w:r>
    </w:p>
    <w:p>
      <w:pPr>
        <w:pStyle w:val="Heading3"/>
      </w:pPr>
      <w:r>
        <w:t>3.4.3 WP-07 全域资源与系统盘点</w:t>
      </w:r>
    </w:p>
    <w:p>
      <w:pPr>
        <w:jc w:val="both"/>
      </w:pPr>
      <w:r>
        <w:t>WP-07 覆盖九业务域和十七套系统，分别核对实际实例、数据对象、存储位置、更新方式、历史范围和接口条件。文件资料与系统表分别登记，业务附件保留与主记录的关系。盘点记录包含资源标识、业务责任、技术维护、来源权利、安全等级及可用状态。</w:t>
      </w:r>
    </w:p>
    <w:p>
      <w:pPr>
        <w:jc w:val="both"/>
      </w:pPr>
      <w:r>
        <w:t>实施采用业务清单与技术清单双向合并，同名对象核实是否相同，同一对象多处存储核实复制和更新关系。资源规模以实际载体和计量单位记录，数据库记录、文件份数、时序采样和音视频时长分别统计。涉及个人信息或商业秘密的对象按批准范围查看和取证。</w:t>
      </w:r>
    </w:p>
    <w:p>
      <w:pPr>
        <w:jc w:val="both"/>
      </w:pPr>
      <w:r>
        <w:t>交付资源盘点清单、系统调查记录和初步目录。验收检查业务域与系统覆盖、实际定位能力和清单对账，随机选择对象追溯到来源，再从来源抽取对象反查目录。遗漏或不可定位对象完成补充后重新检查。</w:t>
      </w:r>
    </w:p>
    <w:p>
      <w:pPr>
        <w:pStyle w:val="Heading3"/>
      </w:pPr>
      <w:r>
        <w:t>3.4.4 WP-08 术语主数据与对象关联</w:t>
      </w:r>
    </w:p>
    <w:p>
      <w:pPr>
        <w:jc w:val="both"/>
      </w:pPr>
      <w:r>
        <w:t>WP-08 优先治理产品、物料、图纸、工艺、订单、工单、工件、批次、炉次、焊缝、设备及检验对象。业务归口确认定义、粒度、有效期、状态和权威来源，技术岗位实现映射、编码和历史关系。一个系统标识对应多个实际对象或多个标识指向同一对象时，分别核实后形成受控规则。</w:t>
      </w:r>
    </w:p>
    <w:p>
      <w:pPr>
        <w:jc w:val="both"/>
      </w:pPr>
      <w:r>
        <w:t>主数据变更保留原值、生效区间和引用范围，合并、拆分、停用及替代建立前后继关系。映射规则先在代表性对象上核验，关注返工、重制、跨组织调拨、设备更换和历史技术版本。关系有争议时隔离受影响用途，待业务确认后修正。</w:t>
      </w:r>
    </w:p>
    <w:p>
      <w:pPr>
        <w:jc w:val="both"/>
      </w:pPr>
      <w:r>
        <w:t>交付术语、对象及主数据规则，配套映射和验证记录。验收沿图纸到工艺、工艺到工单、工单到工件、工件到检验的实际链路核对，检查关键字段语义、单位及时间一致。通过后作为模型、质量规则和数据加工的共同基础。</w:t>
      </w:r>
    </w:p>
    <w:p>
      <w:pPr>
        <w:pStyle w:val="Heading3"/>
      </w:pPr>
      <w:r>
        <w:t>3.4.5 WP-09 分层架构与元数据设计</w:t>
      </w:r>
    </w:p>
    <w:p>
      <w:pPr>
        <w:jc w:val="both"/>
      </w:pPr>
      <w:r>
        <w:t>WP-09 根据已确认对象设计 ODS、DWD、DWS、DIM、ADS 分层模型，明确各层输入、加工、输出和责任。事实表确定业务粒度，维度表保留状态与有效期，汇总指标关联原始定义和明细。设计同时考虑增量、迟到、更正、删除和历史重算，避免正式使用后丢失追溯能力。</w:t>
      </w:r>
    </w:p>
    <w:p>
      <w:pPr>
        <w:jc w:val="both"/>
      </w:pPr>
      <w:r>
        <w:t>元数据设计覆盖业务、技术和管理信息，关联系统、表、字段、文件、接口、作业、规则、指标及数据集。血缘既记录技术依赖，也记录业务定义和许可限制。模型或规则变化通过依赖查询识别受影响服务，形成评审、发布和回归范围。</w:t>
      </w:r>
    </w:p>
    <w:p>
      <w:pPr>
        <w:jc w:val="both"/>
      </w:pPr>
      <w:r>
        <w:t>交付分层模型、数据分布及流图、集成共享规范和元数据管理安排。验收检查设计能够支持真实数据加载、历史查询和结果复算，选择一项指标及一类数据集追溯来源、规则和权限。设计缺陷在规模实施前修正并重新核验。</w:t>
      </w:r>
    </w:p>
    <w:p>
      <w:pPr>
        <w:pStyle w:val="Heading2"/>
      </w:pPr>
      <w:r>
        <w:t>3.5 治理实施工作包</w:t>
      </w:r>
    </w:p>
    <w:p>
      <w:pPr>
        <w:pStyle w:val="Heading3"/>
      </w:pPr>
      <w:r>
        <w:t>3.5.1 WP-10 接入汇聚与数据处理</w:t>
      </w:r>
    </w:p>
    <w:p>
      <w:pPr>
        <w:jc w:val="both"/>
      </w:pPr>
      <w:r>
        <w:t>WP-10 以授权清单、接口设计和对象规则为输入，按来源批次完成连接、提取、接收、转换、对账和异常处理。全量初始化后记录增量位置，重复提取依对象及事件标识保持幂等，迟到及来源更正按业务规则处理。每次运行记录输入量、输出量、失败量和实际版本。</w:t>
      </w:r>
    </w:p>
    <w:p>
      <w:pPr>
        <w:jc w:val="both"/>
      </w:pPr>
      <w:r>
        <w:t>联调覆盖正常、空数据、重复、断连、字段变化、附件缺失、时间异常和权限拒绝。关键业务单据保留来源与目标核对，转换规则检查单位、精度、编码和状态。失败批次经修正后重跑，原失败和后续成功记录关联保存。</w:t>
      </w:r>
    </w:p>
    <w:p>
      <w:pPr>
        <w:jc w:val="both"/>
      </w:pPr>
      <w:r>
        <w:t>验收采用来源到目标数量对账、关键对象业务核验和运行恢复测试，确认处理范围完整、业务语义正确、异常可处理。成果包括接口配置、作业规则、测试记录和运行材料，移交维护岗位并明确变更通知和更新责任。</w:t>
      </w:r>
    </w:p>
    <w:p>
      <w:pPr>
        <w:pStyle w:val="Heading3"/>
      </w:pPr>
      <w:r>
        <w:t>3.5.2 WP-11 数据标准制定与落标</w:t>
      </w:r>
    </w:p>
    <w:p>
      <w:pPr>
        <w:jc w:val="both"/>
      </w:pPr>
      <w:r>
        <w:t>WP-11 将业务术语、数据元素、编码、主数据和指标定义形成可执行标准，明确名称、含义、类型、长度、取值、单位、责任和适用范围。业务和技术岗位共同检查标准与实际来源差异，确定源头整改、接入转换或版本兼容方式。</w:t>
      </w:r>
    </w:p>
    <w:p>
      <w:pPr>
        <w:jc w:val="both"/>
      </w:pPr>
      <w:r>
        <w:t>标准发布后配置落标检查，检测字段、值域、编码、单位和关系是否符合要求。标准含义变化时新设标识并保留替代关系，历史定义继续可查。落标异常按来源、对象和规则追溯，完成修正后对受影响对象重检。</w:t>
      </w:r>
    </w:p>
    <w:p>
      <w:pPr>
        <w:jc w:val="both"/>
      </w:pPr>
      <w:r>
        <w:t>验收检查标准文本、配置和实际结果一致，选择不同来源和业务状态验证。成果包括标准条目、映射、检查规则和落标记录，后续变更由标准归口与使用岗位共同评审。指标调研可随诊断开展，正式指标体系在治理规划和口径确认后形成。</w:t>
      </w:r>
    </w:p>
    <w:p>
      <w:pPr>
        <w:pStyle w:val="Heading3"/>
      </w:pPr>
      <w:r>
        <w:t>3.5.3 WP-12 数据质量规则与整改</w:t>
      </w:r>
    </w:p>
    <w:p>
      <w:pPr>
        <w:jc w:val="both"/>
      </w:pPr>
      <w:r>
        <w:t>WP-12 根据业务质量需求建立规则库，明确检测对象、输入字段、执行条件、阈值、风险等级、责任和修复建议。自动规则与专业审核分别确定覆盖范围，依赖规则按正确顺序执行。代表性正常、异常和边界样本用于校验规则，验证后发布到规定范围。</w:t>
      </w:r>
    </w:p>
    <w:p>
      <w:pPr>
        <w:jc w:val="both"/>
      </w:pPr>
      <w:r>
        <w:t>质量任务记录实际执行量和失败状态，缺陷关联对象、来源和规则版本。源端事实错误由业务岗位确认修正，处理错误由实施岗位修正规则并扩大检查。整改后复核原问题和同类影响，关闭依据包含修正记录及重检结果。</w:t>
      </w:r>
    </w:p>
    <w:p>
      <w:pPr>
        <w:jc w:val="both"/>
      </w:pPr>
      <w:r>
        <w:t>验收检查质量需求、规则、执行结果、问题台账和复核之间的对应关系。业务治理、生产质检和正式评测分别记录判据，共同使用对象与版本。规则运行失败保持失败状态，修复后重新执行并核对覆盖范围。</w:t>
      </w:r>
    </w:p>
    <w:p>
      <w:pPr>
        <w:pStyle w:val="Heading3"/>
      </w:pPr>
      <w:r>
        <w:t>3.5.4 WP-13 数据安全与生存周期</w:t>
      </w:r>
    </w:p>
    <w:p>
      <w:pPr>
        <w:jc w:val="both"/>
      </w:pPr>
      <w:r>
        <w:t>WP-13 将 L1 公开、L2 内部、L3 重要、L4 敏感、L5 机密的项目分级口径落实到对象、字段、文件和服务。安全岗位核定权限、敏感处理、导出、审计及保留要求，技术岗位配置身份、访问和操作控制。授权绑定主体、资源、用途、操作、环境和期限。</w:t>
      </w:r>
    </w:p>
    <w:p>
      <w:pPr>
        <w:jc w:val="both"/>
      </w:pPr>
      <w:r>
        <w:t>数据接收、加工、训练、评测、发布和共享继承来源限制，缓存、索引、临时文件及派生内容纳入相应管理。生命周期按活跃使用、归档、保留和销毁状态登记，迁移或退役先分析引用及留存要求，再按批准流程实施。实际敏感材料保留在受控环境。</w:t>
      </w:r>
    </w:p>
    <w:p>
      <w:pPr>
        <w:jc w:val="both"/>
      </w:pPr>
      <w:r>
        <w:t>验收检查正常授权与越权拒绝、期限到期、岗位变更、临时权限回收、敏感处理和审计定位。销毁或归档采用批准清单及执行证据核对，恢复测试检查完整性与权限。成果包括规则、配置、验证和运行维护记录。</w:t>
      </w:r>
    </w:p>
    <w:p>
      <w:pPr>
        <w:pStyle w:val="Heading3"/>
      </w:pPr>
      <w:r>
        <w:t>3.5.5 WP-14 元数据血缘及资产关联</w:t>
      </w:r>
    </w:p>
    <w:p>
      <w:pPr>
        <w:jc w:val="both"/>
      </w:pPr>
      <w:r>
        <w:t>WP-14 按已批准设计采集技术元数据，业务及管理属性由责任岗位确认。采集范围覆盖实际接入、模型、作业、规则和服务，变更通过扫描或发布动作更新。元数据对象保留标识、版本、采集时间、责任及状态，目录引用可定位的正式对象。</w:t>
      </w:r>
    </w:p>
    <w:p>
      <w:pPr>
        <w:jc w:val="both"/>
      </w:pPr>
      <w:r>
        <w:t>血缘验证选取来源字段、加工规则、汇总指标和数据集内容进行双向追溯。自动发现与人工确认关系分别记录证据，缺失关系进入补充任务。对象删除、重命名或语义变化前检索影响范围，安排使用岗位确认和回归测试。</w:t>
      </w:r>
    </w:p>
    <w:p>
      <w:pPr>
        <w:jc w:val="both"/>
      </w:pPr>
      <w:r>
        <w:t>验收检查元数据与实际配置一致、血缘关系可解释、影响分析能够覆盖代表性使用链路。成果包括元数据登记、血缘配置、变更记录和抽查结果，移交后定期检查失效引用及责任属性变化。</w:t>
      </w:r>
    </w:p>
    <w:p>
      <w:pPr>
        <w:pStyle w:val="Heading3"/>
      </w:pPr>
      <w:r>
        <w:t>3.5.6 WP-15 指标与共享服务</w:t>
      </w:r>
    </w:p>
    <w:p>
      <w:pPr>
        <w:jc w:val="both"/>
      </w:pPr>
      <w:r>
        <w:t>WP-15 在治理规划和业务口径确认后建立经营指标及共享服务。指标卡明确含义、公式、维度、期间、过滤条件、单位、来源、负责人和复核方法，服务明确对象、输入输出、权限、更新、异常和使用限制。接口或查询服务按实际用途授权。</w:t>
      </w:r>
    </w:p>
    <w:p>
      <w:pPr>
        <w:jc w:val="both"/>
      </w:pPr>
      <w:r>
        <w:t>指标开发先以明细进行独立复算，再核对汇总层和应用层结果。共享服务测试正常、空结果、异常参数、过期授权、超出范围及来源不可用等情况，保留运行日志和异常处理。业务岗位使用真实任务验证结果含义和可用性。</w:t>
      </w:r>
    </w:p>
    <w:p>
      <w:pPr>
        <w:jc w:val="both"/>
      </w:pPr>
      <w:r>
        <w:t>验收检查指标卡、程序、实际结果和业务解释一致，服务可按批准范围调用并可追溯来源。成果包括指标定义、配置、验证及服务目录，后续口径或来源变化时重新评估影响并通知使用岗位。</w:t>
      </w:r>
    </w:p>
    <w:p>
      <w:pPr>
        <w:pStyle w:val="Heading2"/>
      </w:pPr>
      <w:r>
        <w:t>3.6 数据生产工作包</w:t>
      </w:r>
    </w:p>
    <w:p>
      <w:pPr>
        <w:pStyle w:val="Heading3"/>
      </w:pPr>
      <w:r>
        <w:t>3.6.1 WP-16 供需计划数据集生产</w:t>
      </w:r>
    </w:p>
    <w:p>
      <w:pPr>
        <w:jc w:val="both"/>
      </w:pPr>
      <w:r>
        <w:t>WP-16 按供需计划领域的四类用途组织生产，来源涵盖需求、订单、采购、库存、交付及相关规则资料。接收时核查业务日期、单据状态、组织和数量单位，确认需求与供给记录的关联。加工保留约束条件和事实时间，形成可追溯的知识内容及完整任务。</w:t>
      </w:r>
    </w:p>
    <w:p>
      <w:pPr>
        <w:jc w:val="both"/>
      </w:pPr>
      <w:r>
        <w:t>指令任务围绕计划理解、状态解释、约束核查和业务分析形成输入输出，专业人员检查答案与当时可用信息一致。偏好数据比较回答是否正确理解业务条件及限制，基准题目来自独立真实资料。库存和交期任务特别核查未来信息是否混入输入，分区按来源家族管理。</w:t>
      </w:r>
    </w:p>
    <w:p>
      <w:pPr>
        <w:jc w:val="both"/>
      </w:pPr>
      <w:r>
        <w:t>净量目标为预训练276亿 Token、指令40万条、偏好3.2万组、基准0.4万条。各批次完成质检和验证后入库，正式交付前核对模态、时间、来源比例和数据卡。损耗及补充量列入生产台账，确认有效规模后提交评测。</w:t>
      </w:r>
    </w:p>
    <w:p>
      <w:pPr>
        <w:pStyle w:val="Heading3"/>
      </w:pPr>
      <w:r>
        <w:t>3.6.2 WP-17 产品工艺设计数据集生产</w:t>
      </w:r>
    </w:p>
    <w:p>
      <w:pPr>
        <w:jc w:val="both"/>
      </w:pPr>
      <w:r>
        <w:t>WP-17 以产品结构、图纸、材料、工艺文件和技术标准为核心，接收时核对发布状态及引用版本。解析图纸时保留尺寸、公差、单位、图号和必要视图，文本切分保持条款、表格及上下文。工艺知识与适用材料、设备、工序和产品条件关联。</w:t>
      </w:r>
    </w:p>
    <w:p>
      <w:pPr>
        <w:jc w:val="both"/>
      </w:pPr>
      <w:r>
        <w:t>专业标注围绕图纸理解、技术条件、工序约束及工艺推理，关键数值和安全条件由专业岗位复核。历史工艺与现行工艺分别标识适用时间，设计要求与实际执行区分保存。合成增强仅在受控比例内使用，变换后重新核验技术含义和答案正确性。</w:t>
      </w:r>
    </w:p>
    <w:p>
      <w:pPr>
        <w:jc w:val="both"/>
      </w:pPr>
      <w:r>
        <w:t>净量目标为预训练70亿 Token、指令10万条、偏好0.8万组、基准0.1万条。独立基准保持真实依据和来源隔离。成果交付包括正式数据、卡片、规则、专业审核及质检验证记录，供备料工艺和产品选型等任务使用时保留相应适用边界。</w:t>
      </w:r>
    </w:p>
    <w:p>
      <w:pPr>
        <w:pStyle w:val="Heading3"/>
      </w:pPr>
      <w:r>
        <w:t>3.6.3 WP-18 制造过程数据集生产</w:t>
      </w:r>
    </w:p>
    <w:p>
      <w:pPr>
        <w:jc w:val="both"/>
      </w:pPr>
      <w:r>
        <w:t>WP-18 围绕工单、工件、工序、设备、参数、时序、影像及过程事件组织生产。接入时检查对象和时间关联，测点单位、采样周期、质量标记及设备变更共同登记。过程分段按真实阶段和事件确定，保留必要的前后时间窗口。</w:t>
      </w:r>
    </w:p>
    <w:p>
      <w:pPr>
        <w:jc w:val="both"/>
      </w:pPr>
      <w:r>
        <w:t>热处理资料关联材料、装炉、设定曲线、实际曲线和检验结果；焊接资料关联焊缝、工艺、参数、影像和检测；设备运行资料关联工况、报警、维修及确认结果。训练和验证划分避免同设备同事件近似片段泄漏，模型验证使用批准协议及相同测试条件。</w:t>
      </w:r>
    </w:p>
    <w:p>
      <w:pPr>
        <w:jc w:val="both"/>
      </w:pPr>
      <w:r>
        <w:t>净量目标为预训练105亿 Token、指令15万条、偏好1万组、基准0.2万条。每批检查模态有效性、跨模态对齐及实际任务完整性，时间未知或关系不明的数据先完成核实。最终质量材料能够从结论回查实际过程对象和依据。</w:t>
      </w:r>
    </w:p>
    <w:p>
      <w:pPr>
        <w:pStyle w:val="Heading3"/>
      </w:pPr>
      <w:r>
        <w:t>3.6.4 WP-19 产品质量数据集生产</w:t>
      </w:r>
    </w:p>
    <w:p>
      <w:pPr>
        <w:jc w:val="both"/>
      </w:pPr>
      <w:r>
        <w:t>WP-19 将检验方案、测量值、缺陷、影像、判定、不合格处置、返修和复检组织为完整质量记录。接收时确认对象、检验阶段、标准版本、单位及判定条件，同一对象多次检验按事件分别登记。标注保留缺陷类别、位置、程度和判断依据。</w:t>
      </w:r>
    </w:p>
    <w:p>
      <w:pPr>
        <w:jc w:val="both"/>
      </w:pPr>
      <w:r>
        <w:t>图像与视频任务核验可辨识程度、目标区域和对象关系，专业人员复核缺陷及边界。文本任务核验质量结论与原测量和技术要求一致，偏好任务保留判优理由。返修后复检结果与原结果建立关系，数据处理保持原始事实及实际处置过程。</w:t>
      </w:r>
    </w:p>
    <w:p>
      <w:pPr>
        <w:jc w:val="both"/>
      </w:pPr>
      <w:r>
        <w:t>净量目标为预训练164亿 Token、指令24万条、偏好1.6万组、基准0.25万条。批次质量检查与业务质量判定分别记录，正式评测采用实际数据版本。交付时同时核查规模、分布、来源许可、数据卡及专业审核证据。</w:t>
      </w:r>
    </w:p>
    <w:p>
      <w:pPr>
        <w:pStyle w:val="Heading3"/>
      </w:pPr>
      <w:r>
        <w:t>3.6.5 WP-20 用途隔离与数据卡</w:t>
      </w:r>
    </w:p>
    <w:p>
      <w:pPr>
        <w:jc w:val="both"/>
      </w:pPr>
      <w:r>
        <w:t>WP-20 负责统一四领域的用途划分、来源家族、合成增强属性和数据卡。来源家族覆盖同一文档的切片、同一工件的多视图、同一事件的时序窗口及同一视频的派生片段。划分规则在加工前确定，派生数据继承原始分区，独立评测权限单独管理。</w:t>
      </w:r>
    </w:p>
    <w:p>
      <w:pPr>
        <w:jc w:val="both"/>
      </w:pPr>
      <w:r>
        <w:t>比例计算保留实际分子分母、记录单位、去重和互斥组合，近三年以正式发布日期和实际形成时间计算。合成来源与增强方式分开登记，保持预训练20%、指令整体45%及任务30%或60%、偏好50%、基准0%的约束。发布后发生删除、替换或补充时重新计算受影响指标。</w:t>
      </w:r>
    </w:p>
    <w:p>
      <w:pPr>
        <w:jc w:val="both"/>
      </w:pPr>
      <w:r>
        <w:t>数据卡按七组84字段维护，四张汇总卡和十六张用途卡逐张绑定同一正式版本的规模、质量、来源和许可材料。验收随机选择卡片字段回查统计和证据，再从数据对象反查其所属卡片及用途。结果不一致时修正并重新冻结版本。</w:t>
      </w:r>
    </w:p>
    <w:p>
      <w:pPr>
        <w:pStyle w:val="Heading3"/>
      </w:pPr>
      <w:r>
        <w:t>3.6.6 WP-21 正式质量评测与复测</w:t>
      </w:r>
    </w:p>
    <w:p>
      <w:pPr>
        <w:jc w:val="both"/>
      </w:pPr>
      <w:r>
        <w:t>WP-21 在评测准备和方案设计经甲方确认后执行，覆盖三维度81项指标、自动检测、专业复核及适用模型对照。环境、规则、样本、划分、模型和参数形成冻结记录，静态与动态结果使用一致的数据版本。高危命中全部人工复核，确认缺陷按影响范围整改。</w:t>
      </w:r>
    </w:p>
    <w:p>
      <w:pPr>
        <w:jc w:val="both"/>
      </w:pPr>
      <w:r>
        <w:t>首轮全量评测后安排不少于四次集中复测，分别衔接首轮整改、主要增量、竣工验收和最终验收，具体日历随总计划确认。首轮评测及日常局部复检分别计量，集中复测保持完整指标与适用模型范围。未达到质量或最低模型提升要求时继续整改和复测。</w:t>
      </w:r>
    </w:p>
    <w:p>
      <w:pPr>
        <w:jc w:val="both"/>
      </w:pPr>
      <w:r>
        <w:t>第三方机构按实际评价版本出具正式盖章报告，报告采用评测概况、方案摘要、指标检测、模型应用、缺陷整改、综合判定、结论建议七章结构。验收核对各维度及综合分、高风险清零、中低风险整改、净量比例和档案完整性，全部满足后形成最终交付材料。</w:t>
      </w:r>
    </w:p>
    <w:p>
      <w:pPr>
        <w:pStyle w:val="Heading2"/>
      </w:pPr>
      <w:r>
        <w:t>3.7 资产运营与持续能力工作包</w:t>
      </w:r>
    </w:p>
    <w:p>
      <w:pPr>
        <w:pStyle w:val="Heading3"/>
      </w:pPr>
      <w:r>
        <w:t>3.7.1 WP-22 权利与资源目录</w:t>
      </w:r>
    </w:p>
    <w:p>
      <w:pPr>
        <w:jc w:val="both"/>
      </w:pPr>
      <w:r>
        <w:t>WP-22 对原始数据、治理结果和派生数据分别核验来源、存储位置及使用条件。权利登记依据合同、许可、业务形成关系和有效授权，保留实际证据。内部使用、模型训练、评测、共享和对外提供的权限分别确认，派生内容继承有关限制。</w:t>
      </w:r>
    </w:p>
    <w:p>
      <w:pPr>
        <w:jc w:val="both"/>
      </w:pPr>
      <w:r>
        <w:t>资源目录登记名称、对象、业务含义、责任、版本、质量、安全等级、可用方式及申请条件。目录展示采用业务标识，具体连接参数和敏感凭据在受控技术台账管理。资源退役、权利到期或质量状态变化时更新目录和使用关系。</w:t>
      </w:r>
    </w:p>
    <w:p>
      <w:pPr>
        <w:jc w:val="both"/>
      </w:pPr>
      <w:r>
        <w:t>验收检查目录对象可定位、描述与实际一致、权利证据可查，选择代表资源完成申请前查询和条件判断。未满足使用条件的资源记录限制及处理任务，完成核验后按实际结果更新状态。</w:t>
      </w:r>
    </w:p>
    <w:p>
      <w:pPr>
        <w:pStyle w:val="Heading3"/>
      </w:pPr>
      <w:r>
        <w:t>3.7.2 WP-23 授权服务与使用反馈</w:t>
      </w:r>
    </w:p>
    <w:p>
      <w:pPr>
        <w:jc w:val="both"/>
      </w:pPr>
      <w:r>
        <w:t>WP-23 建立申请、审核、授权、使用、到期和回收流程。申请说明用途、对象、范围、期限和环境，业务岗位审核必要性，安全及权利岗位审核边界，技术岗位按批准条件配置。授权结果与实际资源、操作及期限对应。</w:t>
      </w:r>
    </w:p>
    <w:p>
      <w:pPr>
        <w:jc w:val="both"/>
      </w:pPr>
      <w:r>
        <w:t>运行期间记录访问、调用、异常及使用效果，关注超出范围、凭据共用、过期授权和目录失效。使用反馈关联数据版本和业务任务，区分数据质量、服务能力、口径理解及需求变化，分别转交责任岗位处理。</w:t>
      </w:r>
    </w:p>
    <w:p>
      <w:pPr>
        <w:jc w:val="both"/>
      </w:pPr>
      <w:r>
        <w:t>验收执行正常申请、拒绝申请、期限到期、范围变更和权限回收，检查批准与实际访问一致。交付申请记录、服务配置、审计及反馈处理材料，形成可持续维护的运营流程。</w:t>
      </w:r>
    </w:p>
    <w:p>
      <w:pPr>
        <w:pStyle w:val="Heading3"/>
      </w:pPr>
      <w:r>
        <w:t>3.7.3 WP-24 价值评价与复用分析</w:t>
      </w:r>
    </w:p>
    <w:p>
      <w:pPr>
        <w:jc w:val="both"/>
      </w:pPr>
      <w:r>
        <w:t>WP-24 按业务适用、质量、可获得性、复用程度、成本及风险建立内部价值评价。评价对象采用明确版本，使用事实与预期作用分开记录。效率改善根据同口径业务任务比较，资源消耗与实际成果关联，收益归因核查业务变化及其他因素。</w:t>
      </w:r>
    </w:p>
    <w:p>
      <w:pPr>
        <w:jc w:val="both"/>
      </w:pPr>
      <w:r>
        <w:t>资源复用按真实独立任务或使用部门统计，重复调用和同一任务重试按既定规则去重。价值评价结果用于调整治理优先级、服务范围和维护投入，涉及货币计量或财务处理时按相应制度和证据另行审核。</w:t>
      </w:r>
    </w:p>
    <w:p>
      <w:pPr>
        <w:jc w:val="both"/>
      </w:pPr>
      <w:r>
        <w:t>验收检查评价维度、取数来源、计算、复核和结果应用，选择一项资源复算其使用与成本数据。交付价值评价规则、实际评价记录及优化任务，保留不同版本和不同业务条件下的变化。</w:t>
      </w:r>
    </w:p>
    <w:p>
      <w:pPr>
        <w:pStyle w:val="Heading3"/>
      </w:pPr>
      <w:r>
        <w:t>3.7.4 WP-25 战略评价与规划迭代</w:t>
      </w:r>
    </w:p>
    <w:p>
      <w:pPr>
        <w:jc w:val="both"/>
      </w:pPr>
      <w:r>
        <w:t>WP-25 按月度、阶段和年度安排采集目标、任务、资源和使用证据，形成战略评估报告。评价前核对目标版本、范围、时间和口径，评价中分析偏差及原因，评价后形成整改或规划调整。上期措施落实情况作为下一期评价的首项检查。</w:t>
      </w:r>
    </w:p>
    <w:p>
      <w:pPr>
        <w:jc w:val="both"/>
      </w:pPr>
      <w:r>
        <w:t>评估报告由责任岗位核对事实，独立岗位复核计算，治理管理层组织评审，重大调整提交决策层。评价结论与实际决议分别登记，批准措施转为明确的工作包或变更事项。原目标与历史结果保留，后续报告说明变化范围及可比关系。</w:t>
      </w:r>
    </w:p>
    <w:p>
      <w:pPr>
        <w:jc w:val="both"/>
      </w:pPr>
      <w:r>
        <w:t>验收检查报告能追溯到实际证据、偏差有具体原因、措施有责任与验证，抽取整改事项检查其实际执行和效果。交付战略评估报告、证据索引、整改及迭代清单。</w:t>
      </w:r>
    </w:p>
    <w:p>
      <w:pPr>
        <w:pStyle w:val="Heading3"/>
      </w:pPr>
      <w:r>
        <w:t>3.7.5 WP-26 能力评估与整改支撑</w:t>
      </w:r>
    </w:p>
    <w:p>
      <w:pPr>
        <w:jc w:val="both"/>
      </w:pPr>
      <w:r>
        <w:t>WP-26 按适用模型及正式评估要求建立能力证据对应，实际形成的制度、流程、配置、运行及检查材料随工作归集。内部核验逐项确认要求适用性和证据充分性，识别缺失、过期、范围不符或只具备设计材料的事项。</w:t>
      </w:r>
    </w:p>
    <w:p>
      <w:pPr>
        <w:jc w:val="both"/>
      </w:pPr>
      <w:r>
        <w:t>整改任务根据真实差距落实到岗位及时间，制度缺项完成审批，流程不足完成实际运行，工具缺陷完成配置与验证，岗位能力问题完成培训实践。正式评估所需访谈、查验和资料由我方组织配合，评价结果按实际评估结论登记。</w:t>
      </w:r>
    </w:p>
    <w:p>
      <w:pPr>
        <w:jc w:val="both"/>
      </w:pPr>
      <w:r>
        <w:t>验收核对能力建设、内部核验、正式评估支撑和整改材料，保留实际执行证据及责任承接。三级能力建设目标与合同要求保持一致，阶段自查结果和正式认证结果分别记录。</w:t>
      </w:r>
    </w:p>
    <w:p>
      <w:pPr>
        <w:pStyle w:val="Heading3"/>
      </w:pPr>
      <w:r>
        <w:t>3.7.6 WP-27 培训与岗位承接</w:t>
      </w:r>
    </w:p>
    <w:p>
      <w:pPr>
        <w:jc w:val="both"/>
      </w:pPr>
      <w:r>
        <w:t>WP-27 按决策、管理、业务、技术、质量安全和运行岗位设计培训。课程与实际工作包对应，涵盖目标管理、对象规则、平台操作、指标复算、异常处理、权限和档案。培训材料采用受控数据及有效规则，实际业务敏感信息按权限管理。</w:t>
      </w:r>
    </w:p>
    <w:p>
      <w:pPr>
        <w:jc w:val="both"/>
      </w:pPr>
      <w:r>
        <w:t>考核采用岗位实操，业务岗位完成对象及规则确认，技术岗位完成运行和异常恢复，质量岗位完成缺陷复核，管理岗位完成进度与指标检查，运营岗位完成授权及回收。失败项目分析原因并安排补训，复核通过后更新承接状态。</w:t>
      </w:r>
    </w:p>
    <w:p>
      <w:pPr>
        <w:jc w:val="both"/>
      </w:pPr>
      <w:r>
        <w:t>交付培训计划、材料、参加记录、实操结果和岗位承接清单。验收以独立完成规定任务为主要依据，培训签到及课时作为过程记录。岗位变化后按新职责组织必要补充培训。</w:t>
      </w:r>
    </w:p>
    <w:p>
      <w:pPr>
        <w:pStyle w:val="Heading3"/>
      </w:pPr>
      <w:r>
        <w:t>3.7.7 WP-28 验收档案与运行移交</w:t>
      </w:r>
    </w:p>
    <w:p>
      <w:pPr>
        <w:jc w:val="both"/>
      </w:pPr>
      <w:r>
        <w:t>WP-28 从各阶段持续收集成果和证据，最终核对合同清单、规划文档、数据、配置、报告、培训及运行材料。治理规划按列明的37项成果逐项登记，满足不少于25份要求，现状诊断报告和场景需求清单单独登记。文档版本与实际配置、数据和运行状态一致。</w:t>
      </w:r>
    </w:p>
    <w:p>
      <w:pPr>
        <w:jc w:val="both"/>
      </w:pPr>
      <w:r>
        <w:t>验收前组织交叉核对，从成果清单查实物，从实物查来源和质量，从报告查明细和计算，从权限查实际访问。问题整改后复核，正式材料按要求签章和归档。甲方接收岗位验证可读、可用、可恢复及必要的维护操作。</w:t>
      </w:r>
    </w:p>
    <w:p>
      <w:pPr>
        <w:jc w:val="both"/>
      </w:pPr>
      <w:r>
        <w:t>移交记录明确对象、版本、保管位置、访问范围、运行责任、未完事项和服务安排。按项目合同及服务计划提供质保和后续免费技术服务，运行问题持续关联原任务及成果，保留处理和知识积累。</w:t>
      </w:r>
    </w:p>
    <w:p>
      <w:pPr>
        <w:pStyle w:val="Heading2"/>
      </w:pPr>
      <w:r>
        <w:t>3.8 工作包节点与依赖清单</w:t>
      </w:r>
    </w:p>
    <w:p>
      <w:pPr>
        <w:pStyle w:val="Heading3"/>
      </w:pPr>
      <w:r>
        <w:t>3.8.1 首批实施安排</w:t>
      </w:r>
    </w:p>
    <w:p>
      <w:pPr>
        <w:jc w:val="both"/>
      </w:pPr>
      <w:r>
        <w:t>首批工作围绕组织、诊断、需求和共性基础推进。调查可按业务域并行，规划可在事实已确认范围内分批形成，正式批准仍以完整输入和跨域一致性为条件。项目管理岗位每周核对已完成输入、近期应交付输入和受阻事项，提前协调关键审核及访问条件。</w:t>
      </w:r>
    </w:p>
    <w:p>
      <w:pPr>
        <w:pStyle w:val="Caption"/>
        <w:keepNext/>
      </w:pPr>
      <w:r>
        <w:t>表3-5 首批实施安排</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工作包</w:t>
            </w:r>
          </w:p>
        </w:tc>
        <w:tc>
          <w:tcPr>
            <w:tcW w:type="dxa" w:w="2120"/>
            <w:vAlign w:val="center"/>
            <w:shd w:fill="EDF1F3"/>
          </w:tcPr>
          <w:p>
            <w:pPr>
              <w:keepNext/>
              <w:spacing w:line="320" w:lineRule="exact" w:after="0" w:before="0"/>
              <w:ind w:firstLine="0"/>
              <w:jc w:val="center"/>
            </w:pPr>
            <w:r>
              <w:rPr>
                <w:b/>
                <w:sz w:val="21"/>
              </w:rPr>
              <w:t>计划节点</w:t>
            </w:r>
          </w:p>
        </w:tc>
        <w:tc>
          <w:tcPr>
            <w:tcW w:type="dxa" w:w="1928"/>
            <w:vAlign w:val="center"/>
            <w:shd w:fill="EDF1F3"/>
          </w:tcPr>
          <w:p>
            <w:pPr>
              <w:keepNext/>
              <w:spacing w:line="320" w:lineRule="exact" w:after="0" w:before="0"/>
              <w:ind w:firstLine="0"/>
              <w:jc w:val="center"/>
            </w:pPr>
            <w:r>
              <w:rPr>
                <w:b/>
                <w:sz w:val="21"/>
              </w:rPr>
              <w:t>必需前置</w:t>
            </w:r>
          </w:p>
        </w:tc>
        <w:tc>
          <w:tcPr>
            <w:tcW w:type="dxa" w:w="1928"/>
            <w:vAlign w:val="center"/>
            <w:shd w:fill="EDF1F3"/>
          </w:tcPr>
          <w:p>
            <w:pPr>
              <w:keepNext/>
              <w:spacing w:line="320" w:lineRule="exact" w:after="0" w:before="0"/>
              <w:ind w:firstLine="0"/>
              <w:jc w:val="center"/>
            </w:pPr>
            <w:r>
              <w:rPr>
                <w:b/>
                <w:sz w:val="21"/>
              </w:rPr>
              <w:t>牵头及配合</w:t>
            </w:r>
          </w:p>
        </w:tc>
        <w:tc>
          <w:tcPr>
            <w:tcW w:type="dxa" w:w="1928"/>
            <w:vAlign w:val="center"/>
            <w:shd w:fill="EDF1F3"/>
          </w:tcPr>
          <w:p>
            <w:pPr>
              <w:keepNext/>
              <w:spacing w:line="320" w:lineRule="exact" w:after="0" w:before="0"/>
              <w:ind w:firstLine="0"/>
              <w:jc w:val="center"/>
            </w:pPr>
            <w:r>
              <w:rPr>
                <w:b/>
                <w:sz w:val="21"/>
              </w:rPr>
              <w:t>下游接收</w:t>
            </w:r>
          </w:p>
        </w:tc>
      </w:tr>
      <w:tr>
        <w:trPr>
          <w:cantSplit/>
        </w:trPr>
        <w:tc>
          <w:tcPr>
            <w:tcW w:type="dxa" w:w="1735"/>
            <w:vAlign w:val="center"/>
          </w:tcPr>
          <w:p>
            <w:pPr>
              <w:keepNext w:val="0"/>
              <w:spacing w:line="320" w:lineRule="exact" w:after="0" w:before="0"/>
              <w:ind w:firstLine="0"/>
              <w:jc w:val="left"/>
            </w:pPr>
            <w:r>
              <w:rPr>
                <w:b w:val="0"/>
                <w:sz w:val="21"/>
              </w:rPr>
              <w:t>WP-01</w:t>
            </w:r>
          </w:p>
        </w:tc>
        <w:tc>
          <w:tcPr>
            <w:tcW w:type="dxa" w:w="2120"/>
            <w:vAlign w:val="center"/>
          </w:tcPr>
          <w:p>
            <w:pPr>
              <w:keepNext w:val="0"/>
              <w:spacing w:line="320" w:lineRule="exact" w:after="0" w:before="0"/>
              <w:ind w:firstLine="0"/>
              <w:jc w:val="left"/>
            </w:pPr>
            <w:r>
              <w:rPr>
                <w:b w:val="0"/>
                <w:sz w:val="21"/>
              </w:rPr>
              <w:t>启动后第1至2周</w:t>
            </w:r>
          </w:p>
        </w:tc>
        <w:tc>
          <w:tcPr>
            <w:tcW w:type="dxa" w:w="1928"/>
            <w:vAlign w:val="center"/>
          </w:tcPr>
          <w:p>
            <w:pPr>
              <w:keepNext w:val="0"/>
              <w:spacing w:line="320" w:lineRule="exact" w:after="0" w:before="0"/>
              <w:ind w:firstLine="0"/>
              <w:jc w:val="left"/>
            </w:pPr>
            <w:r>
              <w:rPr>
                <w:b w:val="0"/>
                <w:sz w:val="21"/>
              </w:rPr>
              <w:t>项目范围、甲方职责及授权程序</w:t>
            </w:r>
          </w:p>
        </w:tc>
        <w:tc>
          <w:tcPr>
            <w:tcW w:type="dxa" w:w="1928"/>
            <w:vAlign w:val="center"/>
          </w:tcPr>
          <w:p>
            <w:pPr>
              <w:keepNext w:val="0"/>
              <w:spacing w:line="320" w:lineRule="exact" w:after="0" w:before="0"/>
              <w:ind w:firstLine="0"/>
              <w:jc w:val="left"/>
            </w:pPr>
            <w:r>
              <w:rPr>
                <w:b w:val="0"/>
                <w:sz w:val="21"/>
              </w:rPr>
              <w:t>治理管理与项目管理，业务和专业职能配合</w:t>
            </w:r>
          </w:p>
        </w:tc>
        <w:tc>
          <w:tcPr>
            <w:tcW w:type="dxa" w:w="1928"/>
            <w:vAlign w:val="center"/>
          </w:tcPr>
          <w:p>
            <w:pPr>
              <w:keepNext w:val="0"/>
              <w:spacing w:line="320" w:lineRule="exact" w:after="0" w:before="0"/>
              <w:ind w:firstLine="0"/>
              <w:jc w:val="left"/>
            </w:pPr>
            <w:r>
              <w:rPr>
                <w:b w:val="0"/>
                <w:sz w:val="21"/>
              </w:rPr>
              <w:t>所有工作包</w:t>
            </w:r>
          </w:p>
        </w:tc>
      </w:tr>
      <w:tr>
        <w:trPr>
          <w:cantSplit/>
        </w:trPr>
        <w:tc>
          <w:tcPr>
            <w:tcW w:type="dxa" w:w="1735"/>
            <w:vAlign w:val="center"/>
          </w:tcPr>
          <w:p>
            <w:pPr>
              <w:keepNext w:val="0"/>
              <w:spacing w:line="320" w:lineRule="exact" w:after="0" w:before="0"/>
              <w:ind w:firstLine="0"/>
              <w:jc w:val="left"/>
            </w:pPr>
            <w:r>
              <w:rPr>
                <w:b w:val="0"/>
                <w:sz w:val="21"/>
              </w:rPr>
              <w:t>WP-02</w:t>
            </w:r>
          </w:p>
        </w:tc>
        <w:tc>
          <w:tcPr>
            <w:tcW w:type="dxa" w:w="2120"/>
            <w:vAlign w:val="center"/>
          </w:tcPr>
          <w:p>
            <w:pPr>
              <w:keepNext w:val="0"/>
              <w:spacing w:line="320" w:lineRule="exact" w:after="0" w:before="0"/>
              <w:ind w:firstLine="0"/>
              <w:jc w:val="left"/>
            </w:pPr>
            <w:r>
              <w:rPr>
                <w:b w:val="0"/>
                <w:sz w:val="21"/>
              </w:rPr>
              <w:t>启动后第3至8周</w:t>
            </w:r>
          </w:p>
        </w:tc>
        <w:tc>
          <w:tcPr>
            <w:tcW w:type="dxa" w:w="1928"/>
            <w:vAlign w:val="center"/>
          </w:tcPr>
          <w:p>
            <w:pPr>
              <w:keepNext w:val="0"/>
              <w:spacing w:line="320" w:lineRule="exact" w:after="0" w:before="0"/>
              <w:ind w:firstLine="0"/>
              <w:jc w:val="left"/>
            </w:pPr>
            <w:r>
              <w:rPr>
                <w:b w:val="0"/>
                <w:sz w:val="21"/>
              </w:rPr>
              <w:t>WP-01 职责和议事条件</w:t>
            </w:r>
          </w:p>
        </w:tc>
        <w:tc>
          <w:tcPr>
            <w:tcW w:type="dxa" w:w="1928"/>
            <w:vAlign w:val="center"/>
          </w:tcPr>
          <w:p>
            <w:pPr>
              <w:keepNext w:val="0"/>
              <w:spacing w:line="320" w:lineRule="exact" w:after="0" w:before="0"/>
              <w:ind w:firstLine="0"/>
              <w:jc w:val="left"/>
            </w:pPr>
            <w:r>
              <w:rPr>
                <w:b w:val="0"/>
                <w:sz w:val="21"/>
              </w:rPr>
              <w:t>治理管理牵头，业务及制度审核岗位配合</w:t>
            </w:r>
          </w:p>
        </w:tc>
        <w:tc>
          <w:tcPr>
            <w:tcW w:type="dxa" w:w="1928"/>
            <w:vAlign w:val="center"/>
          </w:tcPr>
          <w:p>
            <w:pPr>
              <w:keepNext w:val="0"/>
              <w:spacing w:line="320" w:lineRule="exact" w:after="0" w:before="0"/>
              <w:ind w:firstLine="0"/>
              <w:jc w:val="left"/>
            </w:pPr>
            <w:r>
              <w:rPr>
                <w:b w:val="0"/>
                <w:sz w:val="21"/>
              </w:rPr>
              <w:t>WP-03、WP-04、WP-25</w:t>
            </w:r>
          </w:p>
        </w:tc>
      </w:tr>
      <w:tr>
        <w:trPr>
          <w:cantSplit/>
        </w:trPr>
        <w:tc>
          <w:tcPr>
            <w:tcW w:type="dxa" w:w="1735"/>
            <w:vAlign w:val="center"/>
          </w:tcPr>
          <w:p>
            <w:pPr>
              <w:keepNext w:val="0"/>
              <w:spacing w:line="320" w:lineRule="exact" w:after="0" w:before="0"/>
              <w:ind w:firstLine="0"/>
              <w:jc w:val="left"/>
            </w:pPr>
            <w:r>
              <w:rPr>
                <w:b w:val="0"/>
                <w:sz w:val="21"/>
              </w:rPr>
              <w:t>WP-03</w:t>
            </w:r>
          </w:p>
        </w:tc>
        <w:tc>
          <w:tcPr>
            <w:tcW w:type="dxa" w:w="2120"/>
            <w:vAlign w:val="center"/>
          </w:tcPr>
          <w:p>
            <w:pPr>
              <w:keepNext w:val="0"/>
              <w:spacing w:line="320" w:lineRule="exact" w:after="0" w:before="0"/>
              <w:ind w:firstLine="0"/>
              <w:jc w:val="left"/>
            </w:pPr>
            <w:r>
              <w:rPr>
                <w:b w:val="0"/>
                <w:sz w:val="21"/>
              </w:rPr>
              <w:t>启动后第6至12周</w:t>
            </w:r>
          </w:p>
        </w:tc>
        <w:tc>
          <w:tcPr>
            <w:tcW w:type="dxa" w:w="1928"/>
            <w:vAlign w:val="center"/>
          </w:tcPr>
          <w:p>
            <w:pPr>
              <w:keepNext w:val="0"/>
              <w:spacing w:line="320" w:lineRule="exact" w:after="0" w:before="0"/>
              <w:ind w:firstLine="0"/>
              <w:jc w:val="left"/>
            </w:pPr>
            <w:r>
              <w:rPr>
                <w:b w:val="0"/>
                <w:sz w:val="21"/>
              </w:rPr>
              <w:t>已确认诊断、需求及资源依据</w:t>
            </w:r>
          </w:p>
        </w:tc>
        <w:tc>
          <w:tcPr>
            <w:tcW w:type="dxa" w:w="1928"/>
            <w:vAlign w:val="center"/>
          </w:tcPr>
          <w:p>
            <w:pPr>
              <w:keepNext w:val="0"/>
              <w:spacing w:line="320" w:lineRule="exact" w:after="0" w:before="0"/>
              <w:ind w:firstLine="0"/>
              <w:jc w:val="left"/>
            </w:pPr>
            <w:r>
              <w:rPr>
                <w:b w:val="0"/>
                <w:sz w:val="21"/>
              </w:rPr>
              <w:t>治理管理牵头，各业务域及资源岗位配合</w:t>
            </w:r>
          </w:p>
        </w:tc>
        <w:tc>
          <w:tcPr>
            <w:tcW w:type="dxa" w:w="1928"/>
            <w:vAlign w:val="center"/>
          </w:tcPr>
          <w:p>
            <w:pPr>
              <w:keepNext w:val="0"/>
              <w:spacing w:line="320" w:lineRule="exact" w:after="0" w:before="0"/>
              <w:ind w:firstLine="0"/>
              <w:jc w:val="left"/>
            </w:pPr>
            <w:r>
              <w:rPr>
                <w:b w:val="0"/>
                <w:sz w:val="21"/>
              </w:rPr>
              <w:t>WP-04 及全部实施任务</w:t>
            </w:r>
          </w:p>
        </w:tc>
      </w:tr>
      <w:tr>
        <w:trPr>
          <w:cantSplit/>
        </w:trPr>
        <w:tc>
          <w:tcPr>
            <w:tcW w:type="dxa" w:w="1735"/>
            <w:vAlign w:val="center"/>
          </w:tcPr>
          <w:p>
            <w:pPr>
              <w:keepNext w:val="0"/>
              <w:spacing w:line="320" w:lineRule="exact" w:after="0" w:before="0"/>
              <w:ind w:firstLine="0"/>
              <w:jc w:val="left"/>
            </w:pPr>
            <w:r>
              <w:rPr>
                <w:b w:val="0"/>
                <w:sz w:val="21"/>
              </w:rPr>
              <w:t>WP-04</w:t>
            </w:r>
          </w:p>
        </w:tc>
        <w:tc>
          <w:tcPr>
            <w:tcW w:type="dxa" w:w="2120"/>
            <w:vAlign w:val="center"/>
          </w:tcPr>
          <w:p>
            <w:pPr>
              <w:keepNext w:val="0"/>
              <w:spacing w:line="320" w:lineRule="exact" w:after="0" w:before="0"/>
              <w:ind w:firstLine="0"/>
              <w:jc w:val="left"/>
            </w:pPr>
            <w:r>
              <w:rPr>
                <w:b w:val="0"/>
                <w:sz w:val="21"/>
              </w:rPr>
              <w:t>总计划启动时建立，第12周内完成首版统筹</w:t>
            </w:r>
          </w:p>
        </w:tc>
        <w:tc>
          <w:tcPr>
            <w:tcW w:type="dxa" w:w="1928"/>
            <w:vAlign w:val="center"/>
          </w:tcPr>
          <w:p>
            <w:pPr>
              <w:keepNext w:val="0"/>
              <w:spacing w:line="320" w:lineRule="exact" w:after="0" w:before="0"/>
              <w:ind w:firstLine="0"/>
              <w:jc w:val="left"/>
            </w:pPr>
            <w:r>
              <w:rPr>
                <w:b w:val="0"/>
                <w:sz w:val="21"/>
              </w:rPr>
              <w:t>项目总计划、WP-03 分批确认成果</w:t>
            </w:r>
          </w:p>
        </w:tc>
        <w:tc>
          <w:tcPr>
            <w:tcW w:type="dxa" w:w="1928"/>
            <w:vAlign w:val="center"/>
          </w:tcPr>
          <w:p>
            <w:pPr>
              <w:keepNext w:val="0"/>
              <w:spacing w:line="320" w:lineRule="exact" w:after="0" w:before="0"/>
              <w:ind w:firstLine="0"/>
              <w:jc w:val="left"/>
            </w:pPr>
            <w:r>
              <w:rPr>
                <w:b w:val="0"/>
                <w:sz w:val="21"/>
              </w:rPr>
              <w:t>项目管理牵头，全部任务负责人配合</w:t>
            </w:r>
          </w:p>
        </w:tc>
        <w:tc>
          <w:tcPr>
            <w:tcW w:type="dxa" w:w="1928"/>
            <w:vAlign w:val="center"/>
          </w:tcPr>
          <w:p>
            <w:pPr>
              <w:keepNext w:val="0"/>
              <w:spacing w:line="320" w:lineRule="exact" w:after="0" w:before="0"/>
              <w:ind w:firstLine="0"/>
              <w:jc w:val="left"/>
            </w:pPr>
            <w:r>
              <w:rPr>
                <w:b w:val="0"/>
                <w:sz w:val="21"/>
              </w:rPr>
              <w:t>全部执行岗位</w:t>
            </w:r>
          </w:p>
        </w:tc>
      </w:tr>
      <w:tr>
        <w:trPr>
          <w:cantSplit/>
        </w:trPr>
        <w:tc>
          <w:tcPr>
            <w:tcW w:type="dxa" w:w="1735"/>
            <w:vAlign w:val="center"/>
          </w:tcPr>
          <w:p>
            <w:pPr>
              <w:keepNext w:val="0"/>
              <w:spacing w:line="320" w:lineRule="exact" w:after="0" w:before="0"/>
              <w:ind w:firstLine="0"/>
              <w:jc w:val="left"/>
            </w:pPr>
            <w:r>
              <w:rPr>
                <w:b w:val="0"/>
                <w:sz w:val="21"/>
              </w:rPr>
              <w:t>WP-05</w:t>
            </w:r>
          </w:p>
        </w:tc>
        <w:tc>
          <w:tcPr>
            <w:tcW w:type="dxa" w:w="2120"/>
            <w:vAlign w:val="center"/>
          </w:tcPr>
          <w:p>
            <w:pPr>
              <w:keepNext w:val="0"/>
              <w:spacing w:line="320" w:lineRule="exact" w:after="0" w:before="0"/>
              <w:ind w:firstLine="0"/>
              <w:jc w:val="left"/>
            </w:pPr>
            <w:r>
              <w:rPr>
                <w:b w:val="0"/>
                <w:sz w:val="21"/>
              </w:rPr>
              <w:t>启动后第2至8周</w:t>
            </w:r>
          </w:p>
        </w:tc>
        <w:tc>
          <w:tcPr>
            <w:tcW w:type="dxa" w:w="1928"/>
            <w:vAlign w:val="center"/>
          </w:tcPr>
          <w:p>
            <w:pPr>
              <w:keepNext w:val="0"/>
              <w:spacing w:line="320" w:lineRule="exact" w:after="0" w:before="0"/>
              <w:ind w:firstLine="0"/>
              <w:jc w:val="left"/>
            </w:pPr>
            <w:r>
              <w:rPr>
                <w:b w:val="0"/>
                <w:sz w:val="21"/>
              </w:rPr>
              <w:t>调查授权及能力依据清单</w:t>
            </w:r>
          </w:p>
        </w:tc>
        <w:tc>
          <w:tcPr>
            <w:tcW w:type="dxa" w:w="1928"/>
            <w:vAlign w:val="center"/>
          </w:tcPr>
          <w:p>
            <w:pPr>
              <w:keepNext w:val="0"/>
              <w:spacing w:line="320" w:lineRule="exact" w:after="0" w:before="0"/>
              <w:ind w:firstLine="0"/>
              <w:jc w:val="left"/>
            </w:pPr>
            <w:r>
              <w:rPr>
                <w:b w:val="0"/>
                <w:sz w:val="21"/>
              </w:rPr>
              <w:t>治理评估牵头，业务及技术岗位配合</w:t>
            </w:r>
          </w:p>
        </w:tc>
        <w:tc>
          <w:tcPr>
            <w:tcW w:type="dxa" w:w="1928"/>
            <w:vAlign w:val="center"/>
          </w:tcPr>
          <w:p>
            <w:pPr>
              <w:keepNext w:val="0"/>
              <w:spacing w:line="320" w:lineRule="exact" w:after="0" w:before="0"/>
              <w:ind w:firstLine="0"/>
              <w:jc w:val="left"/>
            </w:pPr>
            <w:r>
              <w:rPr>
                <w:b w:val="0"/>
                <w:sz w:val="21"/>
              </w:rPr>
              <w:t>WP-03、WP-26</w:t>
            </w:r>
          </w:p>
        </w:tc>
      </w:tr>
      <w:tr>
        <w:trPr>
          <w:cantSplit/>
        </w:trPr>
        <w:tc>
          <w:tcPr>
            <w:tcW w:type="dxa" w:w="1735"/>
            <w:vAlign w:val="center"/>
          </w:tcPr>
          <w:p>
            <w:pPr>
              <w:keepNext w:val="0"/>
              <w:spacing w:line="320" w:lineRule="exact" w:after="0" w:before="0"/>
              <w:ind w:firstLine="0"/>
              <w:jc w:val="left"/>
            </w:pPr>
            <w:r>
              <w:rPr>
                <w:b w:val="0"/>
                <w:sz w:val="21"/>
              </w:rPr>
              <w:t>WP-06</w:t>
            </w:r>
          </w:p>
        </w:tc>
        <w:tc>
          <w:tcPr>
            <w:tcW w:type="dxa" w:w="2120"/>
            <w:vAlign w:val="center"/>
          </w:tcPr>
          <w:p>
            <w:pPr>
              <w:keepNext w:val="0"/>
              <w:spacing w:line="320" w:lineRule="exact" w:after="0" w:before="0"/>
              <w:ind w:firstLine="0"/>
              <w:jc w:val="left"/>
            </w:pPr>
            <w:r>
              <w:rPr>
                <w:b w:val="0"/>
                <w:sz w:val="21"/>
              </w:rPr>
              <w:t>启动后第2至8周</w:t>
            </w:r>
          </w:p>
        </w:tc>
        <w:tc>
          <w:tcPr>
            <w:tcW w:type="dxa" w:w="1928"/>
            <w:vAlign w:val="center"/>
          </w:tcPr>
          <w:p>
            <w:pPr>
              <w:keepNext w:val="0"/>
              <w:spacing w:line="320" w:lineRule="exact" w:after="0" w:before="0"/>
              <w:ind w:firstLine="0"/>
              <w:jc w:val="left"/>
            </w:pPr>
            <w:r>
              <w:rPr>
                <w:b w:val="0"/>
                <w:sz w:val="21"/>
              </w:rPr>
              <w:t>场景范围及业务接口岗位</w:t>
            </w:r>
          </w:p>
        </w:tc>
        <w:tc>
          <w:tcPr>
            <w:tcW w:type="dxa" w:w="1928"/>
            <w:vAlign w:val="center"/>
          </w:tcPr>
          <w:p>
            <w:pPr>
              <w:keepNext w:val="0"/>
              <w:spacing w:line="320" w:lineRule="exact" w:after="0" w:before="0"/>
              <w:ind w:firstLine="0"/>
              <w:jc w:val="left"/>
            </w:pPr>
            <w:r>
              <w:rPr>
                <w:b w:val="0"/>
                <w:sz w:val="21"/>
              </w:rPr>
              <w:t>业务岗位牵头，数据和验证岗位配合</w:t>
            </w:r>
          </w:p>
        </w:tc>
        <w:tc>
          <w:tcPr>
            <w:tcW w:type="dxa" w:w="1928"/>
            <w:vAlign w:val="center"/>
          </w:tcPr>
          <w:p>
            <w:pPr>
              <w:keepNext w:val="0"/>
              <w:spacing w:line="320" w:lineRule="exact" w:after="0" w:before="0"/>
              <w:ind w:firstLine="0"/>
              <w:jc w:val="left"/>
            </w:pPr>
            <w:r>
              <w:rPr>
                <w:b w:val="0"/>
                <w:sz w:val="21"/>
              </w:rPr>
              <w:t>WP-03、WP-16 至 WP-21</w:t>
            </w:r>
          </w:p>
        </w:tc>
      </w:tr>
      <w:tr>
        <w:trPr>
          <w:cantSplit/>
        </w:trPr>
        <w:tc>
          <w:tcPr>
            <w:tcW w:type="dxa" w:w="1735"/>
            <w:vAlign w:val="center"/>
          </w:tcPr>
          <w:p>
            <w:pPr>
              <w:keepNext w:val="0"/>
              <w:spacing w:line="320" w:lineRule="exact" w:after="0" w:before="0"/>
              <w:ind w:firstLine="0"/>
              <w:jc w:val="left"/>
            </w:pPr>
            <w:r>
              <w:rPr>
                <w:b w:val="0"/>
                <w:sz w:val="21"/>
              </w:rPr>
              <w:t>WP-07</w:t>
            </w:r>
          </w:p>
        </w:tc>
        <w:tc>
          <w:tcPr>
            <w:tcW w:type="dxa" w:w="2120"/>
            <w:vAlign w:val="center"/>
          </w:tcPr>
          <w:p>
            <w:pPr>
              <w:keepNext w:val="0"/>
              <w:spacing w:line="320" w:lineRule="exact" w:after="0" w:before="0"/>
              <w:ind w:firstLine="0"/>
              <w:jc w:val="left"/>
            </w:pPr>
            <w:r>
              <w:rPr>
                <w:b w:val="0"/>
                <w:sz w:val="21"/>
              </w:rPr>
              <w:t>启动后第2至8周</w:t>
            </w:r>
          </w:p>
        </w:tc>
        <w:tc>
          <w:tcPr>
            <w:tcW w:type="dxa" w:w="1928"/>
            <w:vAlign w:val="center"/>
          </w:tcPr>
          <w:p>
            <w:pPr>
              <w:keepNext w:val="0"/>
              <w:spacing w:line="320" w:lineRule="exact" w:after="0" w:before="0"/>
              <w:ind w:firstLine="0"/>
              <w:jc w:val="left"/>
            </w:pPr>
            <w:r>
              <w:rPr>
                <w:b w:val="0"/>
                <w:sz w:val="21"/>
              </w:rPr>
              <w:t>来源授权、系统及资料清单</w:t>
            </w:r>
          </w:p>
        </w:tc>
        <w:tc>
          <w:tcPr>
            <w:tcW w:type="dxa" w:w="1928"/>
            <w:vAlign w:val="center"/>
          </w:tcPr>
          <w:p>
            <w:pPr>
              <w:keepNext w:val="0"/>
              <w:spacing w:line="320" w:lineRule="exact" w:after="0" w:before="0"/>
              <w:ind w:firstLine="0"/>
              <w:jc w:val="left"/>
            </w:pPr>
            <w:r>
              <w:rPr>
                <w:b w:val="0"/>
                <w:sz w:val="21"/>
              </w:rPr>
              <w:t>资源盘点岗位牵头，系统与业务配合</w:t>
            </w:r>
          </w:p>
        </w:tc>
        <w:tc>
          <w:tcPr>
            <w:tcW w:type="dxa" w:w="1928"/>
            <w:vAlign w:val="center"/>
          </w:tcPr>
          <w:p>
            <w:pPr>
              <w:keepNext w:val="0"/>
              <w:spacing w:line="320" w:lineRule="exact" w:after="0" w:before="0"/>
              <w:ind w:firstLine="0"/>
              <w:jc w:val="left"/>
            </w:pPr>
            <w:r>
              <w:rPr>
                <w:b w:val="0"/>
                <w:sz w:val="21"/>
              </w:rPr>
              <w:t>WP-08、WP-09、WP-10、WP-22</w:t>
            </w:r>
          </w:p>
        </w:tc>
      </w:tr>
      <w:tr>
        <w:trPr>
          <w:cantSplit/>
        </w:trPr>
        <w:tc>
          <w:tcPr>
            <w:tcW w:type="dxa" w:w="1735"/>
            <w:vAlign w:val="center"/>
          </w:tcPr>
          <w:p>
            <w:pPr>
              <w:keepNext w:val="0"/>
              <w:spacing w:line="320" w:lineRule="exact" w:after="0" w:before="0"/>
              <w:ind w:firstLine="0"/>
              <w:jc w:val="left"/>
            </w:pPr>
            <w:r>
              <w:rPr>
                <w:b w:val="0"/>
                <w:sz w:val="21"/>
              </w:rPr>
              <w:t>WP-08</w:t>
            </w:r>
          </w:p>
        </w:tc>
        <w:tc>
          <w:tcPr>
            <w:tcW w:type="dxa" w:w="2120"/>
            <w:vAlign w:val="center"/>
          </w:tcPr>
          <w:p>
            <w:pPr>
              <w:keepNext w:val="0"/>
              <w:spacing w:line="320" w:lineRule="exact" w:after="0" w:before="0"/>
              <w:ind w:firstLine="0"/>
              <w:jc w:val="left"/>
            </w:pPr>
            <w:r>
              <w:rPr>
                <w:b w:val="0"/>
                <w:sz w:val="21"/>
              </w:rPr>
              <w:t>第4周起分批推进，首批在基础链路前确认</w:t>
            </w:r>
          </w:p>
        </w:tc>
        <w:tc>
          <w:tcPr>
            <w:tcW w:type="dxa" w:w="1928"/>
            <w:vAlign w:val="center"/>
          </w:tcPr>
          <w:p>
            <w:pPr>
              <w:keepNext w:val="0"/>
              <w:spacing w:line="320" w:lineRule="exact" w:after="0" w:before="0"/>
              <w:ind w:firstLine="0"/>
              <w:jc w:val="left"/>
            </w:pPr>
            <w:r>
              <w:rPr>
                <w:b w:val="0"/>
                <w:sz w:val="21"/>
              </w:rPr>
              <w:t>实际资源、业务定义和代表样本</w:t>
            </w:r>
          </w:p>
        </w:tc>
        <w:tc>
          <w:tcPr>
            <w:tcW w:type="dxa" w:w="1928"/>
            <w:vAlign w:val="center"/>
          </w:tcPr>
          <w:p>
            <w:pPr>
              <w:keepNext w:val="0"/>
              <w:spacing w:line="320" w:lineRule="exact" w:after="0" w:before="0"/>
              <w:ind w:firstLine="0"/>
              <w:jc w:val="left"/>
            </w:pPr>
            <w:r>
              <w:rPr>
                <w:b w:val="0"/>
                <w:sz w:val="21"/>
              </w:rPr>
              <w:t>业务归口牵头，治理及技术配合</w:t>
            </w:r>
          </w:p>
        </w:tc>
        <w:tc>
          <w:tcPr>
            <w:tcW w:type="dxa" w:w="1928"/>
            <w:vAlign w:val="center"/>
          </w:tcPr>
          <w:p>
            <w:pPr>
              <w:keepNext w:val="0"/>
              <w:spacing w:line="320" w:lineRule="exact" w:after="0" w:before="0"/>
              <w:ind w:firstLine="0"/>
              <w:jc w:val="left"/>
            </w:pPr>
            <w:r>
              <w:rPr>
                <w:b w:val="0"/>
                <w:sz w:val="21"/>
              </w:rPr>
              <w:t>WP-09 至 WP-20</w:t>
            </w:r>
          </w:p>
        </w:tc>
      </w:tr>
      <w:tr>
        <w:trPr>
          <w:cantSplit/>
        </w:trPr>
        <w:tc>
          <w:tcPr>
            <w:tcW w:type="dxa" w:w="1735"/>
            <w:vAlign w:val="center"/>
          </w:tcPr>
          <w:p>
            <w:pPr>
              <w:keepNext w:val="0"/>
              <w:spacing w:line="320" w:lineRule="exact" w:after="0" w:before="0"/>
              <w:ind w:firstLine="0"/>
              <w:jc w:val="left"/>
            </w:pPr>
            <w:r>
              <w:rPr>
                <w:b w:val="0"/>
                <w:sz w:val="21"/>
              </w:rPr>
              <w:t>WP-09</w:t>
            </w:r>
          </w:p>
        </w:tc>
        <w:tc>
          <w:tcPr>
            <w:tcW w:type="dxa" w:w="2120"/>
            <w:vAlign w:val="center"/>
          </w:tcPr>
          <w:p>
            <w:pPr>
              <w:keepNext w:val="0"/>
              <w:spacing w:line="320" w:lineRule="exact" w:after="0" w:before="0"/>
              <w:ind w:firstLine="0"/>
              <w:jc w:val="left"/>
            </w:pPr>
            <w:r>
              <w:rPr>
                <w:b w:val="0"/>
                <w:sz w:val="21"/>
              </w:rPr>
              <w:t>第6周起推进，首批设计在第12周内确认</w:t>
            </w:r>
          </w:p>
        </w:tc>
        <w:tc>
          <w:tcPr>
            <w:tcW w:type="dxa" w:w="1928"/>
            <w:vAlign w:val="center"/>
          </w:tcPr>
          <w:p>
            <w:pPr>
              <w:keepNext w:val="0"/>
              <w:spacing w:line="320" w:lineRule="exact" w:after="0" w:before="0"/>
              <w:ind w:firstLine="0"/>
              <w:jc w:val="left"/>
            </w:pPr>
            <w:r>
              <w:rPr>
                <w:b w:val="0"/>
                <w:sz w:val="21"/>
              </w:rPr>
              <w:t>对象、来源和使用需求</w:t>
            </w:r>
          </w:p>
        </w:tc>
        <w:tc>
          <w:tcPr>
            <w:tcW w:type="dxa" w:w="1928"/>
            <w:vAlign w:val="center"/>
          </w:tcPr>
          <w:p>
            <w:pPr>
              <w:keepNext w:val="0"/>
              <w:spacing w:line="320" w:lineRule="exact" w:after="0" w:before="0"/>
              <w:ind w:firstLine="0"/>
              <w:jc w:val="left"/>
            </w:pPr>
            <w:r>
              <w:rPr>
                <w:b w:val="0"/>
                <w:sz w:val="21"/>
              </w:rPr>
              <w:t>架构岗位牵头，业务及安全质量配合</w:t>
            </w:r>
          </w:p>
        </w:tc>
        <w:tc>
          <w:tcPr>
            <w:tcW w:type="dxa" w:w="1928"/>
            <w:vAlign w:val="center"/>
          </w:tcPr>
          <w:p>
            <w:pPr>
              <w:keepNext w:val="0"/>
              <w:spacing w:line="320" w:lineRule="exact" w:after="0" w:before="0"/>
              <w:ind w:firstLine="0"/>
              <w:jc w:val="left"/>
            </w:pPr>
            <w:r>
              <w:rPr>
                <w:b w:val="0"/>
                <w:sz w:val="21"/>
              </w:rPr>
              <w:t>WP-10 至 WP-15</w:t>
            </w:r>
          </w:p>
        </w:tc>
      </w:tr>
    </w:tbl>
    <w:p>
      <w:pPr>
        <w:spacing w:after="40" w:line="240" w:lineRule="auto"/>
        <w:ind w:firstLine="0"/>
      </w:pPr>
      <w:r>
        <w:rPr>
          <w:sz w:val="4"/>
        </w:rPr>
      </w:r>
    </w:p>
    <w:p>
      <w:pPr>
        <w:jc w:val="both"/>
      </w:pPr>
      <w:r>
        <w:t>WP-04 在启动时建立统筹框架，战略规划分批批准后补充工作包详细基准，两者保留计划层级和版本关系。已获批准且输入具备的工作按有效计划推进，尚未确认部分登记具体确认任务与节点。首批计划日期在总计划评审时统一校核，并向所有责任岗位下达。</w:t>
      </w:r>
    </w:p>
    <w:p>
      <w:pPr>
        <w:pStyle w:val="Heading3"/>
      </w:pPr>
      <w:r>
        <w:t>3.8.2 规模实施与验收安排</w:t>
      </w:r>
    </w:p>
    <w:p>
      <w:pPr>
        <w:pStyle w:val="Caption"/>
        <w:keepNext/>
      </w:pPr>
      <w:r>
        <w:t>表3-6 规模实施与验收安排</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工作包</w:t>
            </w:r>
          </w:p>
        </w:tc>
        <w:tc>
          <w:tcPr>
            <w:tcW w:type="dxa" w:w="2699"/>
            <w:vAlign w:val="center"/>
            <w:shd w:fill="EDF1F3"/>
          </w:tcPr>
          <w:p>
            <w:pPr>
              <w:keepNext/>
              <w:spacing w:line="320" w:lineRule="exact" w:after="0" w:before="0"/>
              <w:ind w:firstLine="0"/>
              <w:jc w:val="center"/>
            </w:pPr>
            <w:r>
              <w:rPr>
                <w:b/>
                <w:sz w:val="21"/>
              </w:rPr>
              <w:t>执行窗口</w:t>
            </w:r>
          </w:p>
        </w:tc>
        <w:tc>
          <w:tcPr>
            <w:tcW w:type="dxa" w:w="2409"/>
            <w:vAlign w:val="center"/>
            <w:shd w:fill="EDF1F3"/>
          </w:tcPr>
          <w:p>
            <w:pPr>
              <w:keepNext/>
              <w:spacing w:line="320" w:lineRule="exact" w:after="0" w:before="0"/>
              <w:ind w:firstLine="0"/>
              <w:jc w:val="center"/>
            </w:pPr>
            <w:r>
              <w:rPr>
                <w:b/>
                <w:sz w:val="21"/>
              </w:rPr>
              <w:t>主要前置</w:t>
            </w:r>
          </w:p>
        </w:tc>
        <w:tc>
          <w:tcPr>
            <w:tcW w:type="dxa" w:w="2891"/>
            <w:vAlign w:val="center"/>
            <w:shd w:fill="EDF1F3"/>
          </w:tcPr>
          <w:p>
            <w:pPr>
              <w:keepNext/>
              <w:spacing w:line="320" w:lineRule="exact" w:after="0" w:before="0"/>
              <w:ind w:firstLine="0"/>
              <w:jc w:val="center"/>
            </w:pPr>
            <w:r>
              <w:rPr>
                <w:b/>
                <w:sz w:val="21"/>
              </w:rPr>
              <w:t>阶段检查</w:t>
            </w:r>
          </w:p>
        </w:tc>
      </w:tr>
      <w:tr>
        <w:trPr>
          <w:cantSplit/>
        </w:trPr>
        <w:tc>
          <w:tcPr>
            <w:tcW w:type="dxa" w:w="1638"/>
            <w:vAlign w:val="center"/>
          </w:tcPr>
          <w:p>
            <w:pPr>
              <w:keepNext w:val="0"/>
              <w:spacing w:line="320" w:lineRule="exact" w:after="0" w:before="0"/>
              <w:ind w:firstLine="0"/>
              <w:jc w:val="left"/>
            </w:pPr>
            <w:r>
              <w:rPr>
                <w:b w:val="0"/>
                <w:sz w:val="21"/>
              </w:rPr>
              <w:t>WP-10</w:t>
            </w:r>
          </w:p>
        </w:tc>
        <w:tc>
          <w:tcPr>
            <w:tcW w:type="dxa" w:w="2699"/>
            <w:vAlign w:val="center"/>
          </w:tcPr>
          <w:p>
            <w:pPr>
              <w:keepNext w:val="0"/>
              <w:spacing w:line="320" w:lineRule="exact" w:after="0" w:before="0"/>
              <w:ind w:firstLine="0"/>
              <w:jc w:val="left"/>
            </w:pPr>
            <w:r>
              <w:rPr>
                <w:b w:val="0"/>
                <w:sz w:val="21"/>
              </w:rPr>
              <w:t>来源及设计确认后按系统分批</w:t>
            </w:r>
          </w:p>
        </w:tc>
        <w:tc>
          <w:tcPr>
            <w:tcW w:type="dxa" w:w="2409"/>
            <w:vAlign w:val="center"/>
          </w:tcPr>
          <w:p>
            <w:pPr>
              <w:keepNext w:val="0"/>
              <w:spacing w:line="320" w:lineRule="exact" w:after="0" w:before="0"/>
              <w:ind w:firstLine="0"/>
              <w:jc w:val="left"/>
            </w:pPr>
            <w:r>
              <w:rPr>
                <w:b w:val="0"/>
                <w:sz w:val="21"/>
              </w:rPr>
              <w:t>授权、接口、对象及环境</w:t>
            </w:r>
          </w:p>
        </w:tc>
        <w:tc>
          <w:tcPr>
            <w:tcW w:type="dxa" w:w="2891"/>
            <w:vAlign w:val="center"/>
          </w:tcPr>
          <w:p>
            <w:pPr>
              <w:keepNext w:val="0"/>
              <w:spacing w:line="320" w:lineRule="exact" w:after="0" w:before="0"/>
              <w:ind w:firstLine="0"/>
              <w:jc w:val="left"/>
            </w:pPr>
            <w:r>
              <w:rPr>
                <w:b w:val="0"/>
                <w:sz w:val="21"/>
              </w:rPr>
              <w:t>接入、对账、异常和恢复通过</w:t>
            </w:r>
          </w:p>
        </w:tc>
      </w:tr>
      <w:tr>
        <w:trPr>
          <w:cantSplit/>
        </w:trPr>
        <w:tc>
          <w:tcPr>
            <w:tcW w:type="dxa" w:w="1638"/>
            <w:vAlign w:val="center"/>
          </w:tcPr>
          <w:p>
            <w:pPr>
              <w:keepNext w:val="0"/>
              <w:spacing w:line="320" w:lineRule="exact" w:after="0" w:before="0"/>
              <w:ind w:firstLine="0"/>
              <w:jc w:val="left"/>
            </w:pPr>
            <w:r>
              <w:rPr>
                <w:b w:val="0"/>
                <w:sz w:val="21"/>
              </w:rPr>
              <w:t>WP-11</w:t>
            </w:r>
          </w:p>
        </w:tc>
        <w:tc>
          <w:tcPr>
            <w:tcW w:type="dxa" w:w="2699"/>
            <w:vAlign w:val="center"/>
          </w:tcPr>
          <w:p>
            <w:pPr>
              <w:keepNext w:val="0"/>
              <w:spacing w:line="320" w:lineRule="exact" w:after="0" w:before="0"/>
              <w:ind w:firstLine="0"/>
              <w:jc w:val="left"/>
            </w:pPr>
            <w:r>
              <w:rPr>
                <w:b w:val="0"/>
                <w:sz w:val="21"/>
              </w:rPr>
              <w:t>核心定义确认后持续落标</w:t>
            </w:r>
          </w:p>
        </w:tc>
        <w:tc>
          <w:tcPr>
            <w:tcW w:type="dxa" w:w="2409"/>
            <w:vAlign w:val="center"/>
          </w:tcPr>
          <w:p>
            <w:pPr>
              <w:keepNext w:val="0"/>
              <w:spacing w:line="320" w:lineRule="exact" w:after="0" w:before="0"/>
              <w:ind w:firstLine="0"/>
              <w:jc w:val="left"/>
            </w:pPr>
            <w:r>
              <w:rPr>
                <w:b w:val="0"/>
                <w:sz w:val="21"/>
              </w:rPr>
              <w:t>业务规则和实际样本</w:t>
            </w:r>
          </w:p>
        </w:tc>
        <w:tc>
          <w:tcPr>
            <w:tcW w:type="dxa" w:w="2891"/>
            <w:vAlign w:val="center"/>
          </w:tcPr>
          <w:p>
            <w:pPr>
              <w:keepNext w:val="0"/>
              <w:spacing w:line="320" w:lineRule="exact" w:after="0" w:before="0"/>
              <w:ind w:firstLine="0"/>
              <w:jc w:val="left"/>
            </w:pPr>
            <w:r>
              <w:rPr>
                <w:b w:val="0"/>
                <w:sz w:val="21"/>
              </w:rPr>
              <w:t>标准、配置与检测一致</w:t>
            </w:r>
          </w:p>
        </w:tc>
      </w:tr>
      <w:tr>
        <w:trPr>
          <w:cantSplit/>
        </w:trPr>
        <w:tc>
          <w:tcPr>
            <w:tcW w:type="dxa" w:w="1638"/>
            <w:vAlign w:val="center"/>
          </w:tcPr>
          <w:p>
            <w:pPr>
              <w:keepNext w:val="0"/>
              <w:spacing w:line="320" w:lineRule="exact" w:after="0" w:before="0"/>
              <w:ind w:firstLine="0"/>
              <w:jc w:val="left"/>
            </w:pPr>
            <w:r>
              <w:rPr>
                <w:b w:val="0"/>
                <w:sz w:val="21"/>
              </w:rPr>
              <w:t>WP-12</w:t>
            </w:r>
          </w:p>
        </w:tc>
        <w:tc>
          <w:tcPr>
            <w:tcW w:type="dxa" w:w="2699"/>
            <w:vAlign w:val="center"/>
          </w:tcPr>
          <w:p>
            <w:pPr>
              <w:keepNext w:val="0"/>
              <w:spacing w:line="320" w:lineRule="exact" w:after="0" w:before="0"/>
              <w:ind w:firstLine="0"/>
              <w:jc w:val="left"/>
            </w:pPr>
            <w:r>
              <w:rPr>
                <w:b w:val="0"/>
                <w:sz w:val="21"/>
              </w:rPr>
              <w:t>首批数据进入治理后持续执行</w:t>
            </w:r>
          </w:p>
        </w:tc>
        <w:tc>
          <w:tcPr>
            <w:tcW w:type="dxa" w:w="2409"/>
            <w:vAlign w:val="center"/>
          </w:tcPr>
          <w:p>
            <w:pPr>
              <w:keepNext w:val="0"/>
              <w:spacing w:line="320" w:lineRule="exact" w:after="0" w:before="0"/>
              <w:ind w:firstLine="0"/>
              <w:jc w:val="left"/>
            </w:pPr>
            <w:r>
              <w:rPr>
                <w:b w:val="0"/>
                <w:sz w:val="21"/>
              </w:rPr>
              <w:t>质量需求、规则及责任</w:t>
            </w:r>
          </w:p>
        </w:tc>
        <w:tc>
          <w:tcPr>
            <w:tcW w:type="dxa" w:w="2891"/>
            <w:vAlign w:val="center"/>
          </w:tcPr>
          <w:p>
            <w:pPr>
              <w:keepNext w:val="0"/>
              <w:spacing w:line="320" w:lineRule="exact" w:after="0" w:before="0"/>
              <w:ind w:firstLine="0"/>
              <w:jc w:val="left"/>
            </w:pPr>
            <w:r>
              <w:rPr>
                <w:b w:val="0"/>
                <w:sz w:val="21"/>
              </w:rPr>
              <w:t>缺陷可定位、整改和复核</w:t>
            </w:r>
          </w:p>
        </w:tc>
      </w:tr>
      <w:tr>
        <w:trPr>
          <w:cantSplit/>
        </w:trPr>
        <w:tc>
          <w:tcPr>
            <w:tcW w:type="dxa" w:w="1638"/>
            <w:vAlign w:val="center"/>
          </w:tcPr>
          <w:p>
            <w:pPr>
              <w:keepNext w:val="0"/>
              <w:spacing w:line="320" w:lineRule="exact" w:after="0" w:before="0"/>
              <w:ind w:firstLine="0"/>
              <w:jc w:val="left"/>
            </w:pPr>
            <w:r>
              <w:rPr>
                <w:b w:val="0"/>
                <w:sz w:val="21"/>
              </w:rPr>
              <w:t>WP-13</w:t>
            </w:r>
          </w:p>
        </w:tc>
        <w:tc>
          <w:tcPr>
            <w:tcW w:type="dxa" w:w="2699"/>
            <w:vAlign w:val="center"/>
          </w:tcPr>
          <w:p>
            <w:pPr>
              <w:keepNext w:val="0"/>
              <w:spacing w:line="320" w:lineRule="exact" w:after="0" w:before="0"/>
              <w:ind w:firstLine="0"/>
              <w:jc w:val="left"/>
            </w:pPr>
            <w:r>
              <w:rPr>
                <w:b w:val="0"/>
                <w:sz w:val="21"/>
              </w:rPr>
              <w:t>数据接收前建立，贯穿全过程</w:t>
            </w:r>
          </w:p>
        </w:tc>
        <w:tc>
          <w:tcPr>
            <w:tcW w:type="dxa" w:w="2409"/>
            <w:vAlign w:val="center"/>
          </w:tcPr>
          <w:p>
            <w:pPr>
              <w:keepNext w:val="0"/>
              <w:spacing w:line="320" w:lineRule="exact" w:after="0" w:before="0"/>
              <w:ind w:firstLine="0"/>
              <w:jc w:val="left"/>
            </w:pPr>
            <w:r>
              <w:rPr>
                <w:b w:val="0"/>
                <w:sz w:val="21"/>
              </w:rPr>
              <w:t>分类、权限及环境要求</w:t>
            </w:r>
          </w:p>
        </w:tc>
        <w:tc>
          <w:tcPr>
            <w:tcW w:type="dxa" w:w="2891"/>
            <w:vAlign w:val="center"/>
          </w:tcPr>
          <w:p>
            <w:pPr>
              <w:keepNext w:val="0"/>
              <w:spacing w:line="320" w:lineRule="exact" w:after="0" w:before="0"/>
              <w:ind w:firstLine="0"/>
              <w:jc w:val="left"/>
            </w:pPr>
            <w:r>
              <w:rPr>
                <w:b w:val="0"/>
                <w:sz w:val="21"/>
              </w:rPr>
              <w:t>授权、敏感处理及审计有效</w:t>
            </w:r>
          </w:p>
        </w:tc>
      </w:tr>
      <w:tr>
        <w:trPr>
          <w:cantSplit/>
        </w:trPr>
        <w:tc>
          <w:tcPr>
            <w:tcW w:type="dxa" w:w="1638"/>
            <w:vAlign w:val="center"/>
          </w:tcPr>
          <w:p>
            <w:pPr>
              <w:keepNext w:val="0"/>
              <w:spacing w:line="320" w:lineRule="exact" w:after="0" w:before="0"/>
              <w:ind w:firstLine="0"/>
              <w:jc w:val="left"/>
            </w:pPr>
            <w:r>
              <w:rPr>
                <w:b w:val="0"/>
                <w:sz w:val="21"/>
              </w:rPr>
              <w:t>WP-14</w:t>
            </w:r>
          </w:p>
        </w:tc>
        <w:tc>
          <w:tcPr>
            <w:tcW w:type="dxa" w:w="2699"/>
            <w:vAlign w:val="center"/>
          </w:tcPr>
          <w:p>
            <w:pPr>
              <w:keepNext w:val="0"/>
              <w:spacing w:line="320" w:lineRule="exact" w:after="0" w:before="0"/>
              <w:ind w:firstLine="0"/>
              <w:jc w:val="left"/>
            </w:pPr>
            <w:r>
              <w:rPr>
                <w:b w:val="0"/>
                <w:sz w:val="21"/>
              </w:rPr>
              <w:t>模型与作业形成时同步实施</w:t>
            </w:r>
          </w:p>
        </w:tc>
        <w:tc>
          <w:tcPr>
            <w:tcW w:type="dxa" w:w="2409"/>
            <w:vAlign w:val="center"/>
          </w:tcPr>
          <w:p>
            <w:pPr>
              <w:keepNext w:val="0"/>
              <w:spacing w:line="320" w:lineRule="exact" w:after="0" w:before="0"/>
              <w:ind w:firstLine="0"/>
              <w:jc w:val="left"/>
            </w:pPr>
            <w:r>
              <w:rPr>
                <w:b w:val="0"/>
                <w:sz w:val="21"/>
              </w:rPr>
              <w:t>元数据设计与实际配置</w:t>
            </w:r>
          </w:p>
        </w:tc>
        <w:tc>
          <w:tcPr>
            <w:tcW w:type="dxa" w:w="2891"/>
            <w:vAlign w:val="center"/>
          </w:tcPr>
          <w:p>
            <w:pPr>
              <w:keepNext w:val="0"/>
              <w:spacing w:line="320" w:lineRule="exact" w:after="0" w:before="0"/>
              <w:ind w:firstLine="0"/>
              <w:jc w:val="left"/>
            </w:pPr>
            <w:r>
              <w:rPr>
                <w:b w:val="0"/>
                <w:sz w:val="21"/>
              </w:rPr>
              <w:t>双向血缘和影响分析有效</w:t>
            </w:r>
          </w:p>
        </w:tc>
      </w:tr>
      <w:tr>
        <w:trPr>
          <w:cantSplit/>
        </w:trPr>
        <w:tc>
          <w:tcPr>
            <w:tcW w:type="dxa" w:w="1638"/>
            <w:vAlign w:val="center"/>
          </w:tcPr>
          <w:p>
            <w:pPr>
              <w:keepNext w:val="0"/>
              <w:spacing w:line="320" w:lineRule="exact" w:after="0" w:before="0"/>
              <w:ind w:firstLine="0"/>
              <w:jc w:val="left"/>
            </w:pPr>
            <w:r>
              <w:rPr>
                <w:b w:val="0"/>
                <w:sz w:val="21"/>
              </w:rPr>
              <w:t>WP-15</w:t>
            </w:r>
          </w:p>
        </w:tc>
        <w:tc>
          <w:tcPr>
            <w:tcW w:type="dxa" w:w="2699"/>
            <w:vAlign w:val="center"/>
          </w:tcPr>
          <w:p>
            <w:pPr>
              <w:keepNext w:val="0"/>
              <w:spacing w:line="320" w:lineRule="exact" w:after="0" w:before="0"/>
              <w:ind w:firstLine="0"/>
              <w:jc w:val="left"/>
            </w:pPr>
            <w:r>
              <w:rPr>
                <w:b w:val="0"/>
                <w:sz w:val="21"/>
              </w:rPr>
              <w:t>治理规划及口径确认后分批形成</w:t>
            </w:r>
          </w:p>
        </w:tc>
        <w:tc>
          <w:tcPr>
            <w:tcW w:type="dxa" w:w="2409"/>
            <w:vAlign w:val="center"/>
          </w:tcPr>
          <w:p>
            <w:pPr>
              <w:keepNext w:val="0"/>
              <w:spacing w:line="320" w:lineRule="exact" w:after="0" w:before="0"/>
              <w:ind w:firstLine="0"/>
              <w:jc w:val="left"/>
            </w:pPr>
            <w:r>
              <w:rPr>
                <w:b w:val="0"/>
                <w:sz w:val="21"/>
              </w:rPr>
              <w:t>明细、规则及授权条件</w:t>
            </w:r>
          </w:p>
        </w:tc>
        <w:tc>
          <w:tcPr>
            <w:tcW w:type="dxa" w:w="2891"/>
            <w:vAlign w:val="center"/>
          </w:tcPr>
          <w:p>
            <w:pPr>
              <w:keepNext w:val="0"/>
              <w:spacing w:line="320" w:lineRule="exact" w:after="0" w:before="0"/>
              <w:ind w:firstLine="0"/>
              <w:jc w:val="left"/>
            </w:pPr>
            <w:r>
              <w:rPr>
                <w:b w:val="0"/>
                <w:sz w:val="21"/>
              </w:rPr>
              <w:t>独立复算与服务使用通过</w:t>
            </w:r>
          </w:p>
        </w:tc>
      </w:tr>
      <w:tr>
        <w:trPr>
          <w:cantSplit/>
        </w:trPr>
        <w:tc>
          <w:tcPr>
            <w:tcW w:type="dxa" w:w="1638"/>
            <w:vAlign w:val="center"/>
          </w:tcPr>
          <w:p>
            <w:pPr>
              <w:keepNext w:val="0"/>
              <w:spacing w:line="320" w:lineRule="exact" w:after="0" w:before="0"/>
              <w:ind w:firstLine="0"/>
              <w:jc w:val="left"/>
            </w:pPr>
            <w:r>
              <w:rPr>
                <w:b w:val="0"/>
                <w:sz w:val="21"/>
              </w:rPr>
              <w:t>WP-16 至 WP-19</w:t>
            </w:r>
          </w:p>
        </w:tc>
        <w:tc>
          <w:tcPr>
            <w:tcW w:type="dxa" w:w="2699"/>
            <w:vAlign w:val="center"/>
          </w:tcPr>
          <w:p>
            <w:pPr>
              <w:keepNext w:val="0"/>
              <w:spacing w:line="320" w:lineRule="exact" w:after="0" w:before="0"/>
              <w:ind w:firstLine="0"/>
              <w:jc w:val="left"/>
            </w:pPr>
            <w:r>
              <w:rPr>
                <w:b w:val="0"/>
                <w:sz w:val="21"/>
              </w:rPr>
              <w:t>来源具备后分批生产至最终交付</w:t>
            </w:r>
          </w:p>
        </w:tc>
        <w:tc>
          <w:tcPr>
            <w:tcW w:type="dxa" w:w="2409"/>
            <w:vAlign w:val="center"/>
          </w:tcPr>
          <w:p>
            <w:pPr>
              <w:keepNext w:val="0"/>
              <w:spacing w:line="320" w:lineRule="exact" w:after="0" w:before="0"/>
              <w:ind w:firstLine="0"/>
              <w:jc w:val="left"/>
            </w:pPr>
            <w:r>
              <w:rPr>
                <w:b w:val="0"/>
                <w:sz w:val="21"/>
              </w:rPr>
              <w:t>来源、专业规则、工具和质量条件</w:t>
            </w:r>
          </w:p>
        </w:tc>
        <w:tc>
          <w:tcPr>
            <w:tcW w:type="dxa" w:w="2891"/>
            <w:vAlign w:val="center"/>
          </w:tcPr>
          <w:p>
            <w:pPr>
              <w:keepNext w:val="0"/>
              <w:spacing w:line="320" w:lineRule="exact" w:after="0" w:before="0"/>
              <w:ind w:firstLine="0"/>
              <w:jc w:val="left"/>
            </w:pPr>
            <w:r>
              <w:rPr>
                <w:b w:val="0"/>
                <w:sz w:val="21"/>
              </w:rPr>
              <w:t>各领域四用途净量与质量分别满足</w:t>
            </w:r>
          </w:p>
        </w:tc>
      </w:tr>
      <w:tr>
        <w:trPr>
          <w:cantSplit/>
        </w:trPr>
        <w:tc>
          <w:tcPr>
            <w:tcW w:type="dxa" w:w="1638"/>
            <w:vAlign w:val="center"/>
          </w:tcPr>
          <w:p>
            <w:pPr>
              <w:keepNext w:val="0"/>
              <w:spacing w:line="320" w:lineRule="exact" w:after="0" w:before="0"/>
              <w:ind w:firstLine="0"/>
              <w:jc w:val="left"/>
            </w:pPr>
            <w:r>
              <w:rPr>
                <w:b w:val="0"/>
                <w:sz w:val="21"/>
              </w:rPr>
              <w:t>WP-20</w:t>
            </w:r>
          </w:p>
        </w:tc>
        <w:tc>
          <w:tcPr>
            <w:tcW w:type="dxa" w:w="2699"/>
            <w:vAlign w:val="center"/>
          </w:tcPr>
          <w:p>
            <w:pPr>
              <w:keepNext w:val="0"/>
              <w:spacing w:line="320" w:lineRule="exact" w:after="0" w:before="0"/>
              <w:ind w:firstLine="0"/>
              <w:jc w:val="left"/>
            </w:pPr>
            <w:r>
              <w:rPr>
                <w:b w:val="0"/>
                <w:sz w:val="21"/>
              </w:rPr>
              <w:t>加工前划分，随版本持续维护</w:t>
            </w:r>
          </w:p>
        </w:tc>
        <w:tc>
          <w:tcPr>
            <w:tcW w:type="dxa" w:w="2409"/>
            <w:vAlign w:val="center"/>
          </w:tcPr>
          <w:p>
            <w:pPr>
              <w:keepNext w:val="0"/>
              <w:spacing w:line="320" w:lineRule="exact" w:after="0" w:before="0"/>
              <w:ind w:firstLine="0"/>
              <w:jc w:val="left"/>
            </w:pPr>
            <w:r>
              <w:rPr>
                <w:b w:val="0"/>
                <w:sz w:val="21"/>
              </w:rPr>
              <w:t>来源家族和用途规则</w:t>
            </w:r>
          </w:p>
        </w:tc>
        <w:tc>
          <w:tcPr>
            <w:tcW w:type="dxa" w:w="2891"/>
            <w:vAlign w:val="center"/>
          </w:tcPr>
          <w:p>
            <w:pPr>
              <w:keepNext w:val="0"/>
              <w:spacing w:line="320" w:lineRule="exact" w:after="0" w:before="0"/>
              <w:ind w:firstLine="0"/>
              <w:jc w:val="left"/>
            </w:pPr>
            <w:r>
              <w:rPr>
                <w:b w:val="0"/>
                <w:sz w:val="21"/>
              </w:rPr>
              <w:t>隔离、比例和数据卡一致</w:t>
            </w:r>
          </w:p>
        </w:tc>
      </w:tr>
      <w:tr>
        <w:trPr>
          <w:cantSplit/>
        </w:trPr>
        <w:tc>
          <w:tcPr>
            <w:tcW w:type="dxa" w:w="1638"/>
            <w:vAlign w:val="center"/>
          </w:tcPr>
          <w:p>
            <w:pPr>
              <w:keepNext w:val="0"/>
              <w:spacing w:line="320" w:lineRule="exact" w:after="0" w:before="0"/>
              <w:ind w:firstLine="0"/>
              <w:jc w:val="left"/>
            </w:pPr>
            <w:r>
              <w:rPr>
                <w:b w:val="0"/>
                <w:sz w:val="21"/>
              </w:rPr>
              <w:t>WP-21</w:t>
            </w:r>
          </w:p>
        </w:tc>
        <w:tc>
          <w:tcPr>
            <w:tcW w:type="dxa" w:w="2699"/>
            <w:vAlign w:val="center"/>
          </w:tcPr>
          <w:p>
            <w:pPr>
              <w:keepNext w:val="0"/>
              <w:spacing w:line="320" w:lineRule="exact" w:after="0" w:before="0"/>
              <w:ind w:firstLine="0"/>
              <w:jc w:val="left"/>
            </w:pPr>
            <w:r>
              <w:rPr>
                <w:b w:val="0"/>
                <w:sz w:val="21"/>
              </w:rPr>
              <w:t>准备设计确认后执行并衔接验收</w:t>
            </w:r>
          </w:p>
        </w:tc>
        <w:tc>
          <w:tcPr>
            <w:tcW w:type="dxa" w:w="2409"/>
            <w:vAlign w:val="center"/>
          </w:tcPr>
          <w:p>
            <w:pPr>
              <w:keepNext w:val="0"/>
              <w:spacing w:line="320" w:lineRule="exact" w:after="0" w:before="0"/>
              <w:ind w:firstLine="0"/>
              <w:jc w:val="left"/>
            </w:pPr>
            <w:r>
              <w:rPr>
                <w:b w:val="0"/>
                <w:sz w:val="21"/>
              </w:rPr>
              <w:t>正式数据版本和评测协议</w:t>
            </w:r>
          </w:p>
        </w:tc>
        <w:tc>
          <w:tcPr>
            <w:tcW w:type="dxa" w:w="2891"/>
            <w:vAlign w:val="center"/>
          </w:tcPr>
          <w:p>
            <w:pPr>
              <w:keepNext w:val="0"/>
              <w:spacing w:line="320" w:lineRule="exact" w:after="0" w:before="0"/>
              <w:ind w:firstLine="0"/>
              <w:jc w:val="left"/>
            </w:pPr>
            <w:r>
              <w:rPr>
                <w:b w:val="0"/>
                <w:sz w:val="21"/>
              </w:rPr>
              <w:t>三维度、模型、缺陷和盖章报告</w:t>
            </w:r>
          </w:p>
        </w:tc>
      </w:tr>
      <w:tr>
        <w:trPr>
          <w:cantSplit/>
        </w:trPr>
        <w:tc>
          <w:tcPr>
            <w:tcW w:type="dxa" w:w="1638"/>
            <w:vAlign w:val="center"/>
          </w:tcPr>
          <w:p>
            <w:pPr>
              <w:keepNext w:val="0"/>
              <w:spacing w:line="320" w:lineRule="exact" w:after="0" w:before="0"/>
              <w:ind w:firstLine="0"/>
              <w:jc w:val="left"/>
            </w:pPr>
            <w:r>
              <w:rPr>
                <w:b w:val="0"/>
                <w:sz w:val="21"/>
              </w:rPr>
              <w:t>WP-22 至 WP-24</w:t>
            </w:r>
          </w:p>
        </w:tc>
        <w:tc>
          <w:tcPr>
            <w:tcW w:type="dxa" w:w="2699"/>
            <w:vAlign w:val="center"/>
          </w:tcPr>
          <w:p>
            <w:pPr>
              <w:keepNext w:val="0"/>
              <w:spacing w:line="320" w:lineRule="exact" w:after="0" w:before="0"/>
              <w:ind w:firstLine="0"/>
              <w:jc w:val="left"/>
            </w:pPr>
            <w:r>
              <w:rPr>
                <w:b w:val="0"/>
                <w:sz w:val="21"/>
              </w:rPr>
              <w:t>资源登记后建立，随使用持续维护</w:t>
            </w:r>
          </w:p>
        </w:tc>
        <w:tc>
          <w:tcPr>
            <w:tcW w:type="dxa" w:w="2409"/>
            <w:vAlign w:val="center"/>
          </w:tcPr>
          <w:p>
            <w:pPr>
              <w:keepNext w:val="0"/>
              <w:spacing w:line="320" w:lineRule="exact" w:after="0" w:before="0"/>
              <w:ind w:firstLine="0"/>
              <w:jc w:val="left"/>
            </w:pPr>
            <w:r>
              <w:rPr>
                <w:b w:val="0"/>
                <w:sz w:val="21"/>
              </w:rPr>
              <w:t>权利、目录、服务及业务记录</w:t>
            </w:r>
          </w:p>
        </w:tc>
        <w:tc>
          <w:tcPr>
            <w:tcW w:type="dxa" w:w="2891"/>
            <w:vAlign w:val="center"/>
          </w:tcPr>
          <w:p>
            <w:pPr>
              <w:keepNext w:val="0"/>
              <w:spacing w:line="320" w:lineRule="exact" w:after="0" w:before="0"/>
              <w:ind w:firstLine="0"/>
              <w:jc w:val="left"/>
            </w:pPr>
            <w:r>
              <w:rPr>
                <w:b w:val="0"/>
                <w:sz w:val="21"/>
              </w:rPr>
              <w:t>授权使用与评价可复核</w:t>
            </w:r>
          </w:p>
        </w:tc>
      </w:tr>
      <w:tr>
        <w:trPr>
          <w:cantSplit/>
        </w:trPr>
        <w:tc>
          <w:tcPr>
            <w:tcW w:type="dxa" w:w="1638"/>
            <w:vAlign w:val="center"/>
          </w:tcPr>
          <w:p>
            <w:pPr>
              <w:keepNext w:val="0"/>
              <w:spacing w:line="320" w:lineRule="exact" w:after="0" w:before="0"/>
              <w:ind w:firstLine="0"/>
              <w:jc w:val="left"/>
            </w:pPr>
            <w:r>
              <w:rPr>
                <w:b w:val="0"/>
                <w:sz w:val="21"/>
              </w:rPr>
              <w:t>WP-25</w:t>
            </w:r>
          </w:p>
        </w:tc>
        <w:tc>
          <w:tcPr>
            <w:tcW w:type="dxa" w:w="2699"/>
            <w:vAlign w:val="center"/>
          </w:tcPr>
          <w:p>
            <w:pPr>
              <w:keepNext w:val="0"/>
              <w:spacing w:line="320" w:lineRule="exact" w:after="0" w:before="0"/>
              <w:ind w:firstLine="0"/>
              <w:jc w:val="left"/>
            </w:pPr>
            <w:r>
              <w:rPr>
                <w:b w:val="0"/>
                <w:sz w:val="21"/>
              </w:rPr>
              <w:t>月度、阶段、年度及专项节点</w:t>
            </w:r>
          </w:p>
        </w:tc>
        <w:tc>
          <w:tcPr>
            <w:tcW w:type="dxa" w:w="2409"/>
            <w:vAlign w:val="center"/>
          </w:tcPr>
          <w:p>
            <w:pPr>
              <w:keepNext w:val="0"/>
              <w:spacing w:line="320" w:lineRule="exact" w:after="0" w:before="0"/>
              <w:ind w:firstLine="0"/>
              <w:jc w:val="left"/>
            </w:pPr>
            <w:r>
              <w:rPr>
                <w:b w:val="0"/>
                <w:sz w:val="21"/>
              </w:rPr>
              <w:t>目标、任务、指标和实际证据</w:t>
            </w:r>
          </w:p>
        </w:tc>
        <w:tc>
          <w:tcPr>
            <w:tcW w:type="dxa" w:w="2891"/>
            <w:vAlign w:val="center"/>
          </w:tcPr>
          <w:p>
            <w:pPr>
              <w:keepNext w:val="0"/>
              <w:spacing w:line="320" w:lineRule="exact" w:after="0" w:before="0"/>
              <w:ind w:firstLine="0"/>
              <w:jc w:val="left"/>
            </w:pPr>
            <w:r>
              <w:rPr>
                <w:b w:val="0"/>
                <w:sz w:val="21"/>
              </w:rPr>
              <w:t>偏差、措施与迭代落实</w:t>
            </w:r>
          </w:p>
        </w:tc>
      </w:tr>
      <w:tr>
        <w:trPr>
          <w:cantSplit/>
        </w:trPr>
        <w:tc>
          <w:tcPr>
            <w:tcW w:type="dxa" w:w="1638"/>
            <w:vAlign w:val="center"/>
          </w:tcPr>
          <w:p>
            <w:pPr>
              <w:keepNext w:val="0"/>
              <w:spacing w:line="320" w:lineRule="exact" w:after="0" w:before="0"/>
              <w:ind w:firstLine="0"/>
              <w:jc w:val="left"/>
            </w:pPr>
            <w:r>
              <w:rPr>
                <w:b w:val="0"/>
                <w:sz w:val="21"/>
              </w:rPr>
              <w:t>WP-26</w:t>
            </w:r>
          </w:p>
        </w:tc>
        <w:tc>
          <w:tcPr>
            <w:tcW w:type="dxa" w:w="2699"/>
            <w:vAlign w:val="center"/>
          </w:tcPr>
          <w:p>
            <w:pPr>
              <w:keepNext w:val="0"/>
              <w:spacing w:line="320" w:lineRule="exact" w:after="0" w:before="0"/>
              <w:ind w:firstLine="0"/>
              <w:jc w:val="left"/>
            </w:pPr>
            <w:r>
              <w:rPr>
                <w:b w:val="0"/>
                <w:sz w:val="21"/>
              </w:rPr>
              <w:t>建设同步归集，按评估计划推进</w:t>
            </w:r>
          </w:p>
        </w:tc>
        <w:tc>
          <w:tcPr>
            <w:tcW w:type="dxa" w:w="2409"/>
            <w:vAlign w:val="center"/>
          </w:tcPr>
          <w:p>
            <w:pPr>
              <w:keepNext w:val="0"/>
              <w:spacing w:line="320" w:lineRule="exact" w:after="0" w:before="0"/>
              <w:ind w:firstLine="0"/>
              <w:jc w:val="left"/>
            </w:pPr>
            <w:r>
              <w:rPr>
                <w:b w:val="0"/>
                <w:sz w:val="21"/>
              </w:rPr>
              <w:t>实际制度流程和运行材料</w:t>
            </w:r>
          </w:p>
        </w:tc>
        <w:tc>
          <w:tcPr>
            <w:tcW w:type="dxa" w:w="2891"/>
            <w:vAlign w:val="center"/>
          </w:tcPr>
          <w:p>
            <w:pPr>
              <w:keepNext w:val="0"/>
              <w:spacing w:line="320" w:lineRule="exact" w:after="0" w:before="0"/>
              <w:ind w:firstLine="0"/>
              <w:jc w:val="left"/>
            </w:pPr>
            <w:r>
              <w:rPr>
                <w:b w:val="0"/>
                <w:sz w:val="21"/>
              </w:rPr>
              <w:t>能力差距整改及正式评估支撑</w:t>
            </w:r>
          </w:p>
        </w:tc>
      </w:tr>
      <w:tr>
        <w:trPr>
          <w:cantSplit/>
        </w:trPr>
        <w:tc>
          <w:tcPr>
            <w:tcW w:type="dxa" w:w="1638"/>
            <w:vAlign w:val="center"/>
          </w:tcPr>
          <w:p>
            <w:pPr>
              <w:keepNext w:val="0"/>
              <w:spacing w:line="320" w:lineRule="exact" w:after="0" w:before="0"/>
              <w:ind w:firstLine="0"/>
              <w:jc w:val="left"/>
            </w:pPr>
            <w:r>
              <w:rPr>
                <w:b w:val="0"/>
                <w:sz w:val="21"/>
              </w:rPr>
              <w:t>WP-27</w:t>
            </w:r>
          </w:p>
        </w:tc>
        <w:tc>
          <w:tcPr>
            <w:tcW w:type="dxa" w:w="2699"/>
            <w:vAlign w:val="center"/>
          </w:tcPr>
          <w:p>
            <w:pPr>
              <w:keepNext w:val="0"/>
              <w:spacing w:line="320" w:lineRule="exact" w:after="0" w:before="0"/>
              <w:ind w:firstLine="0"/>
              <w:jc w:val="left"/>
            </w:pPr>
            <w:r>
              <w:rPr>
                <w:b w:val="0"/>
                <w:sz w:val="21"/>
              </w:rPr>
              <w:t>各阶段培训，移交前完成实操</w:t>
            </w:r>
          </w:p>
        </w:tc>
        <w:tc>
          <w:tcPr>
            <w:tcW w:type="dxa" w:w="2409"/>
            <w:vAlign w:val="center"/>
          </w:tcPr>
          <w:p>
            <w:pPr>
              <w:keepNext w:val="0"/>
              <w:spacing w:line="320" w:lineRule="exact" w:after="0" w:before="0"/>
              <w:ind w:firstLine="0"/>
              <w:jc w:val="left"/>
            </w:pPr>
            <w:r>
              <w:rPr>
                <w:b w:val="0"/>
                <w:sz w:val="21"/>
              </w:rPr>
              <w:t>有效规则、系统和岗位职责</w:t>
            </w:r>
          </w:p>
        </w:tc>
        <w:tc>
          <w:tcPr>
            <w:tcW w:type="dxa" w:w="2891"/>
            <w:vAlign w:val="center"/>
          </w:tcPr>
          <w:p>
            <w:pPr>
              <w:keepNext w:val="0"/>
              <w:spacing w:line="320" w:lineRule="exact" w:after="0" w:before="0"/>
              <w:ind w:firstLine="0"/>
              <w:jc w:val="left"/>
            </w:pPr>
            <w:r>
              <w:rPr>
                <w:b w:val="0"/>
                <w:sz w:val="21"/>
              </w:rPr>
              <w:t>岗位独立操作与异常处理</w:t>
            </w:r>
          </w:p>
        </w:tc>
      </w:tr>
      <w:tr>
        <w:trPr>
          <w:cantSplit/>
        </w:trPr>
        <w:tc>
          <w:tcPr>
            <w:tcW w:type="dxa" w:w="1638"/>
            <w:vAlign w:val="center"/>
          </w:tcPr>
          <w:p>
            <w:pPr>
              <w:keepNext w:val="0"/>
              <w:spacing w:line="320" w:lineRule="exact" w:after="0" w:before="0"/>
              <w:ind w:firstLine="0"/>
              <w:jc w:val="left"/>
            </w:pPr>
            <w:r>
              <w:rPr>
                <w:b w:val="0"/>
                <w:sz w:val="21"/>
              </w:rPr>
              <w:t>WP-28</w:t>
            </w:r>
          </w:p>
        </w:tc>
        <w:tc>
          <w:tcPr>
            <w:tcW w:type="dxa" w:w="2699"/>
            <w:vAlign w:val="center"/>
          </w:tcPr>
          <w:p>
            <w:pPr>
              <w:keepNext w:val="0"/>
              <w:spacing w:line="320" w:lineRule="exact" w:after="0" w:before="0"/>
              <w:ind w:firstLine="0"/>
              <w:jc w:val="left"/>
            </w:pPr>
            <w:r>
              <w:rPr>
                <w:b w:val="0"/>
                <w:sz w:val="21"/>
              </w:rPr>
              <w:t>持续归档，最终验收前完成核对</w:t>
            </w:r>
          </w:p>
        </w:tc>
        <w:tc>
          <w:tcPr>
            <w:tcW w:type="dxa" w:w="2409"/>
            <w:vAlign w:val="center"/>
          </w:tcPr>
          <w:p>
            <w:pPr>
              <w:keepNext w:val="0"/>
              <w:spacing w:line="320" w:lineRule="exact" w:after="0" w:before="0"/>
              <w:ind w:firstLine="0"/>
              <w:jc w:val="left"/>
            </w:pPr>
            <w:r>
              <w:rPr>
                <w:b w:val="0"/>
                <w:sz w:val="21"/>
              </w:rPr>
              <w:t>最终成果、整改和接收条件</w:t>
            </w:r>
          </w:p>
        </w:tc>
        <w:tc>
          <w:tcPr>
            <w:tcW w:type="dxa" w:w="2891"/>
            <w:vAlign w:val="center"/>
          </w:tcPr>
          <w:p>
            <w:pPr>
              <w:keepNext w:val="0"/>
              <w:spacing w:line="320" w:lineRule="exact" w:after="0" w:before="0"/>
              <w:ind w:firstLine="0"/>
              <w:jc w:val="left"/>
            </w:pPr>
            <w:r>
              <w:rPr>
                <w:b w:val="0"/>
                <w:sz w:val="21"/>
              </w:rPr>
              <w:t>文件数据配置一致且责任移交</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8" name="Picture 8"/>
            <wp:cNvGraphicFramePr>
              <a:graphicFrameLocks noChangeAspect="1"/>
            </wp:cNvGraphicFramePr>
            <a:graphic>
              <a:graphicData uri="http://schemas.openxmlformats.org/drawingml/2006/picture">
                <pic:pic>
                  <pic:nvPicPr>
                    <pic:cNvPr id="0" name="图8_业务依赖.png"/>
                    <pic:cNvPicPr/>
                  </pic:nvPicPr>
                  <pic:blipFill>
                    <a:blip r:embed="rId18"/>
                    <a:stretch>
                      <a:fillRect/>
                    </a:stretch>
                  </pic:blipFill>
                  <pic:spPr>
                    <a:xfrm>
                      <a:off x="0" y="0"/>
                      <a:ext cx="6048000" cy="1942338"/>
                    </a:xfrm>
                    <a:prstGeom prst="rect"/>
                  </pic:spPr>
                </pic:pic>
              </a:graphicData>
            </a:graphic>
          </wp:inline>
        </w:drawing>
      </w:r>
    </w:p>
    <w:p>
      <w:pPr>
        <w:pStyle w:val="Caption"/>
        <w:jc w:val="center"/>
      </w:pPr>
      <w:r>
        <w:t>图3-2 工作包依赖与成果接收</w:t>
      </w:r>
    </w:p>
    <w:p>
      <w:pPr>
        <w:pStyle w:val="Heading2"/>
      </w:pPr>
      <w:r>
        <w:t>3.9 关键业务链执行控制</w:t>
      </w:r>
    </w:p>
    <w:p>
      <w:pPr>
        <w:pStyle w:val="Heading3"/>
      </w:pPr>
      <w:r>
        <w:t>3.9.1 图纸工艺制造检验链</w:t>
      </w:r>
    </w:p>
    <w:p>
      <w:pPr>
        <w:jc w:val="both"/>
      </w:pPr>
      <w:r>
        <w:t>该链由研发设计、生产制造和质量管理共同确认，技术岗位实现对象关联。首先选取具有完整版本关系的产品和工件，核对图号、零件号、物料、工艺、工单和检验对象，再确认设计版本与实际制造时间。工艺变更影响在制品时按业务决定保留实际执行依据。</w:t>
      </w:r>
    </w:p>
    <w:p>
      <w:pPr>
        <w:jc w:val="both"/>
      </w:pPr>
      <w:r>
        <w:t>接入和加工先保证原始文件可定位，结构化提取保留关键数值、单位、公差和附注。质量规则分别检查文件完整、数值合法、对象关联和业务含义，专业人员复核对结果影响较大的条件。生成训练任务时携带必要上下文，正式答案能够回查来源。</w:t>
      </w:r>
    </w:p>
    <w:p>
      <w:pPr>
        <w:jc w:val="both"/>
      </w:pPr>
      <w:r>
        <w:t>验收以一个完整工件过程回放为主，检查设计要求、实际工艺、制造参数、检验结果及返修复检关系。发现不一致时定位来源、转换或引用问题，扩大检查到同版本和同规则对象，完成修正后重新验证链路。</w:t>
      </w:r>
    </w:p>
    <w:p>
      <w:pPr>
        <w:pStyle w:val="Heading3"/>
      </w:pPr>
      <w:r>
        <w:t>3.9.2 需求采购库存交付链</w:t>
      </w:r>
    </w:p>
    <w:p>
      <w:pPr>
        <w:jc w:val="both"/>
      </w:pPr>
      <w:r>
        <w:t>该链由营销、采购、仓储物流及有关生产岗位共同确认。需求对象、采购对象、物料批次、库存状态和交付对象分别登记，建立实际单据关联。数量字段明确单位、换算和状态，时间字段区分业务发生、录入、审核和计划日期。</w:t>
      </w:r>
    </w:p>
    <w:p>
      <w:pPr>
        <w:jc w:val="both"/>
      </w:pPr>
      <w:r>
        <w:t>库存相关分析按指定时点取数，冻结、占用、在途及可用数量按规则分别统计。采购变更和延迟保留原计划与当前预测，业务实际到货和检验状态分开保存。数据加工保持当时可获得信息，验证结果分析使用后续事实时标明对应时间关系。</w:t>
      </w:r>
    </w:p>
    <w:p>
      <w:pPr>
        <w:jc w:val="both"/>
      </w:pPr>
      <w:r>
        <w:t>验收选择跨采购、库存和交付的真实业务链进行明细对账，核对数量、状态、日期和授权。出现跨系统差异时由业务归口确认含义，技术岗位修正映射或处理，复核后更新任务及质量记录。</w:t>
      </w:r>
    </w:p>
    <w:p>
      <w:pPr>
        <w:pStyle w:val="Heading3"/>
      </w:pPr>
      <w:r>
        <w:t>3.9.3 设备测点故障维修链</w:t>
      </w:r>
    </w:p>
    <w:p>
      <w:pPr>
        <w:jc w:val="both"/>
      </w:pPr>
      <w:r>
        <w:t>该链由设备管理和实际运维岗位确认设备层级、测点、工况及故障事件。设备替换、部件更换和测点调整保留有效期，采样数据按当时配置解释。报警、故障确认、维修动作和恢复结果分别记录，专业标签采用实际证据。</w:t>
      </w:r>
    </w:p>
    <w:p>
      <w:pPr>
        <w:jc w:val="both"/>
      </w:pPr>
      <w:r>
        <w:t>数据处理检查时间同步、采样间隔、单位、缺失及异常值，对维护停机和真实异常分别标注。事件窗口保留必要前后信息，训练验证按设备和来源事件隔离。诊断模型使用条件与业务处置流程衔接，关键结论由专业岗位复核。</w:t>
      </w:r>
    </w:p>
    <w:p>
      <w:pPr>
        <w:jc w:val="both"/>
      </w:pPr>
      <w:r>
        <w:t>验收从故障事件回查时序、设备状态、维修和恢复，再从测点数据反查适用设备及配置。标签、时间或对象关系修正后同步更新受影响数据及实验，保留原始结果和复测记录。</w:t>
      </w:r>
    </w:p>
    <w:p>
      <w:pPr>
        <w:pStyle w:val="Heading3"/>
      </w:pPr>
      <w:r>
        <w:t>3.9.4 制度标准指标合同链</w:t>
      </w:r>
    </w:p>
    <w:p>
      <w:pPr>
        <w:jc w:val="both"/>
      </w:pPr>
      <w:r>
        <w:t>资料类链路由制度、技术标准、经营指标和合同归口岗位分别确认，统一管理发布、版本、适用范围和权限。制度标准保留条款及附件，指标保留公式和明细来源，合同保留上下文、修订与审核依据。不同资料之间引用关系按实际有效时间核对。</w:t>
      </w:r>
    </w:p>
    <w:p>
      <w:pPr>
        <w:jc w:val="both"/>
      </w:pPr>
      <w:r>
        <w:t>文本解析保持标题层级、条款编号、表格条件和重要附件，分段结果能定位原文。资料更新后查询受影响的知识、训练数据和服务，按批准程序重新加工及验证。使用授权与内容限制同时传递到派生结果和实际查询。</w:t>
      </w:r>
    </w:p>
    <w:p>
      <w:pPr>
        <w:jc w:val="both"/>
      </w:pPr>
      <w:r>
        <w:t>验收选择有效、已替代、跨版本和权限受限的资料分别验证，检查答案引用、指标计算和审核条件。结果存在缺陷时修改来源关系或加工规则，并对受影响对象重新核验。</w:t>
      </w:r>
    </w:p>
    <w:p>
      <w:pPr>
        <w:pStyle w:val="Heading2"/>
      </w:pPr>
      <w:r>
        <w:t>3.10 进度与资源跟踪</w:t>
      </w:r>
    </w:p>
    <w:p>
      <w:pPr>
        <w:pStyle w:val="Heading3"/>
      </w:pPr>
      <w:r>
        <w:t>3.10.1 周度跟踪和月度报告</w:t>
      </w:r>
    </w:p>
    <w:p>
      <w:pPr>
        <w:jc w:val="both"/>
      </w:pPr>
      <w:r>
        <w:t>周度跟踪以工作包和实际成果为单位，记录本周完成、原计划未完成、受阻、整改及下周安排。进度证据包括正式文件、配置、数据批次、检查和接收记录。阶段产物已形成但尚未通过审核时分别记录形成进度和验收状态。</w:t>
      </w:r>
    </w:p>
    <w:p>
      <w:pPr>
        <w:jc w:val="both"/>
      </w:pPr>
      <w:r>
        <w:t>月度报告按战略目标汇总成果、里程碑预测、资源、质量安全及待决事项。报告采用固定统计截止时间，对同一成果多次提交、任务拆并、历史补录和范围变化分别处理。关键路径任务单独分析，说明延迟影响如何传递到供给、验证、评测和最终验收。</w:t>
      </w:r>
    </w:p>
    <w:p>
      <w:pPr>
        <w:pStyle w:val="Caption"/>
        <w:keepNext/>
      </w:pPr>
      <w:r>
        <w:t>表3-7 周度跟踪和月度报告</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报告项目</w:t>
            </w:r>
          </w:p>
        </w:tc>
        <w:tc>
          <w:tcPr>
            <w:tcW w:type="dxa" w:w="2699"/>
            <w:vAlign w:val="center"/>
            <w:shd w:fill="EDF1F3"/>
          </w:tcPr>
          <w:p>
            <w:pPr>
              <w:keepNext/>
              <w:spacing w:line="320" w:lineRule="exact" w:after="0" w:before="0"/>
              <w:ind w:firstLine="0"/>
              <w:jc w:val="center"/>
            </w:pPr>
            <w:r>
              <w:rPr>
                <w:b/>
                <w:sz w:val="21"/>
              </w:rPr>
              <w:t>必须提供的内容</w:t>
            </w:r>
          </w:p>
        </w:tc>
        <w:tc>
          <w:tcPr>
            <w:tcW w:type="dxa" w:w="2409"/>
            <w:vAlign w:val="center"/>
            <w:shd w:fill="EDF1F3"/>
          </w:tcPr>
          <w:p>
            <w:pPr>
              <w:keepNext/>
              <w:spacing w:line="320" w:lineRule="exact" w:after="0" w:before="0"/>
              <w:ind w:firstLine="0"/>
              <w:jc w:val="center"/>
            </w:pPr>
            <w:r>
              <w:rPr>
                <w:b/>
                <w:sz w:val="21"/>
              </w:rPr>
              <w:t>主要来源</w:t>
            </w:r>
          </w:p>
        </w:tc>
        <w:tc>
          <w:tcPr>
            <w:tcW w:type="dxa" w:w="2891"/>
            <w:vAlign w:val="center"/>
            <w:shd w:fill="EDF1F3"/>
          </w:tcPr>
          <w:p>
            <w:pPr>
              <w:keepNext/>
              <w:spacing w:line="320" w:lineRule="exact" w:after="0" w:before="0"/>
              <w:ind w:firstLine="0"/>
              <w:jc w:val="center"/>
            </w:pPr>
            <w:r>
              <w:rPr>
                <w:b/>
                <w:sz w:val="21"/>
              </w:rPr>
              <w:t>复核重点</w:t>
            </w:r>
          </w:p>
        </w:tc>
      </w:tr>
      <w:tr>
        <w:trPr>
          <w:cantSplit/>
        </w:trPr>
        <w:tc>
          <w:tcPr>
            <w:tcW w:type="dxa" w:w="1638"/>
            <w:vAlign w:val="center"/>
          </w:tcPr>
          <w:p>
            <w:pPr>
              <w:keepNext w:val="0"/>
              <w:spacing w:line="320" w:lineRule="exact" w:after="0" w:before="0"/>
              <w:ind w:firstLine="0"/>
              <w:jc w:val="left"/>
            </w:pPr>
            <w:r>
              <w:rPr>
                <w:b w:val="0"/>
                <w:sz w:val="21"/>
              </w:rPr>
              <w:t>目标进展</w:t>
            </w:r>
          </w:p>
        </w:tc>
        <w:tc>
          <w:tcPr>
            <w:tcW w:type="dxa" w:w="2699"/>
            <w:vAlign w:val="center"/>
          </w:tcPr>
          <w:p>
            <w:pPr>
              <w:keepNext w:val="0"/>
              <w:spacing w:line="320" w:lineRule="exact" w:after="0" w:before="0"/>
              <w:ind w:firstLine="0"/>
              <w:jc w:val="left"/>
            </w:pPr>
            <w:r>
              <w:rPr>
                <w:b w:val="0"/>
                <w:sz w:val="21"/>
              </w:rPr>
              <w:t>应完成范围、已验收范围、剩余条件</w:t>
            </w:r>
          </w:p>
        </w:tc>
        <w:tc>
          <w:tcPr>
            <w:tcW w:type="dxa" w:w="2409"/>
            <w:vAlign w:val="center"/>
          </w:tcPr>
          <w:p>
            <w:pPr>
              <w:keepNext w:val="0"/>
              <w:spacing w:line="320" w:lineRule="exact" w:after="0" w:before="0"/>
              <w:ind w:firstLine="0"/>
              <w:jc w:val="left"/>
            </w:pPr>
            <w:r>
              <w:rPr>
                <w:b w:val="0"/>
                <w:sz w:val="21"/>
              </w:rPr>
              <w:t>目标卡及成果记录</w:t>
            </w:r>
          </w:p>
        </w:tc>
        <w:tc>
          <w:tcPr>
            <w:tcW w:type="dxa" w:w="2891"/>
            <w:vAlign w:val="center"/>
          </w:tcPr>
          <w:p>
            <w:pPr>
              <w:keepNext w:val="0"/>
              <w:spacing w:line="320" w:lineRule="exact" w:after="0" w:before="0"/>
              <w:ind w:firstLine="0"/>
              <w:jc w:val="left"/>
            </w:pPr>
            <w:r>
              <w:rPr>
                <w:b w:val="0"/>
                <w:sz w:val="21"/>
              </w:rPr>
              <w:t>范围与原批准目标一致</w:t>
            </w:r>
          </w:p>
        </w:tc>
      </w:tr>
      <w:tr>
        <w:trPr>
          <w:cantSplit/>
        </w:trPr>
        <w:tc>
          <w:tcPr>
            <w:tcW w:type="dxa" w:w="1638"/>
            <w:vAlign w:val="center"/>
          </w:tcPr>
          <w:p>
            <w:pPr>
              <w:keepNext w:val="0"/>
              <w:spacing w:line="320" w:lineRule="exact" w:after="0" w:before="0"/>
              <w:ind w:firstLine="0"/>
              <w:jc w:val="left"/>
            </w:pPr>
            <w:r>
              <w:rPr>
                <w:b w:val="0"/>
                <w:sz w:val="21"/>
              </w:rPr>
              <w:t>里程碑</w:t>
            </w:r>
          </w:p>
        </w:tc>
        <w:tc>
          <w:tcPr>
            <w:tcW w:type="dxa" w:w="2699"/>
            <w:vAlign w:val="center"/>
          </w:tcPr>
          <w:p>
            <w:pPr>
              <w:keepNext w:val="0"/>
              <w:spacing w:line="320" w:lineRule="exact" w:after="0" w:before="0"/>
              <w:ind w:firstLine="0"/>
              <w:jc w:val="left"/>
            </w:pPr>
            <w:r>
              <w:rPr>
                <w:b w:val="0"/>
                <w:sz w:val="21"/>
              </w:rPr>
              <w:t>原计划、当前预测、实际及偏差</w:t>
            </w:r>
          </w:p>
        </w:tc>
        <w:tc>
          <w:tcPr>
            <w:tcW w:type="dxa" w:w="2409"/>
            <w:vAlign w:val="center"/>
          </w:tcPr>
          <w:p>
            <w:pPr>
              <w:keepNext w:val="0"/>
              <w:spacing w:line="320" w:lineRule="exact" w:after="0" w:before="0"/>
              <w:ind w:firstLine="0"/>
              <w:jc w:val="left"/>
            </w:pPr>
            <w:r>
              <w:rPr>
                <w:b w:val="0"/>
                <w:sz w:val="21"/>
              </w:rPr>
              <w:t>总计划和任务依赖</w:t>
            </w:r>
          </w:p>
        </w:tc>
        <w:tc>
          <w:tcPr>
            <w:tcW w:type="dxa" w:w="2891"/>
            <w:vAlign w:val="center"/>
          </w:tcPr>
          <w:p>
            <w:pPr>
              <w:keepNext w:val="0"/>
              <w:spacing w:line="320" w:lineRule="exact" w:after="0" w:before="0"/>
              <w:ind w:firstLine="0"/>
              <w:jc w:val="left"/>
            </w:pPr>
            <w:r>
              <w:rPr>
                <w:b w:val="0"/>
                <w:sz w:val="21"/>
              </w:rPr>
              <w:t>下游影响与关键路径</w:t>
            </w:r>
          </w:p>
        </w:tc>
      </w:tr>
      <w:tr>
        <w:trPr>
          <w:cantSplit/>
        </w:trPr>
        <w:tc>
          <w:tcPr>
            <w:tcW w:type="dxa" w:w="1638"/>
            <w:vAlign w:val="center"/>
          </w:tcPr>
          <w:p>
            <w:pPr>
              <w:keepNext w:val="0"/>
              <w:spacing w:line="320" w:lineRule="exact" w:after="0" w:before="0"/>
              <w:ind w:firstLine="0"/>
              <w:jc w:val="left"/>
            </w:pPr>
            <w:r>
              <w:rPr>
                <w:b w:val="0"/>
                <w:sz w:val="21"/>
              </w:rPr>
              <w:t>工作包</w:t>
            </w:r>
          </w:p>
        </w:tc>
        <w:tc>
          <w:tcPr>
            <w:tcW w:type="dxa" w:w="2699"/>
            <w:vAlign w:val="center"/>
          </w:tcPr>
          <w:p>
            <w:pPr>
              <w:keepNext w:val="0"/>
              <w:spacing w:line="320" w:lineRule="exact" w:after="0" w:before="0"/>
              <w:ind w:firstLine="0"/>
              <w:jc w:val="left"/>
            </w:pPr>
            <w:r>
              <w:rPr>
                <w:b w:val="0"/>
                <w:sz w:val="21"/>
              </w:rPr>
              <w:t>各状态数量及关键事项</w:t>
            </w:r>
          </w:p>
        </w:tc>
        <w:tc>
          <w:tcPr>
            <w:tcW w:type="dxa" w:w="2409"/>
            <w:vAlign w:val="center"/>
          </w:tcPr>
          <w:p>
            <w:pPr>
              <w:keepNext w:val="0"/>
              <w:spacing w:line="320" w:lineRule="exact" w:after="0" w:before="0"/>
              <w:ind w:firstLine="0"/>
              <w:jc w:val="left"/>
            </w:pPr>
            <w:r>
              <w:rPr>
                <w:b w:val="0"/>
                <w:sz w:val="21"/>
              </w:rPr>
              <w:t>统一任务台账</w:t>
            </w:r>
          </w:p>
        </w:tc>
        <w:tc>
          <w:tcPr>
            <w:tcW w:type="dxa" w:w="2891"/>
            <w:vAlign w:val="center"/>
          </w:tcPr>
          <w:p>
            <w:pPr>
              <w:keepNext w:val="0"/>
              <w:spacing w:line="320" w:lineRule="exact" w:after="0" w:before="0"/>
              <w:ind w:firstLine="0"/>
              <w:jc w:val="left"/>
            </w:pPr>
            <w:r>
              <w:rPr>
                <w:b w:val="0"/>
                <w:sz w:val="21"/>
              </w:rPr>
              <w:t>拆并、重复和受阻事实</w:t>
            </w:r>
          </w:p>
        </w:tc>
      </w:tr>
      <w:tr>
        <w:trPr>
          <w:cantSplit/>
        </w:trPr>
        <w:tc>
          <w:tcPr>
            <w:tcW w:type="dxa" w:w="1638"/>
            <w:vAlign w:val="center"/>
          </w:tcPr>
          <w:p>
            <w:pPr>
              <w:keepNext w:val="0"/>
              <w:spacing w:line="320" w:lineRule="exact" w:after="0" w:before="0"/>
              <w:ind w:firstLine="0"/>
              <w:jc w:val="left"/>
            </w:pPr>
            <w:r>
              <w:rPr>
                <w:b w:val="0"/>
                <w:sz w:val="21"/>
              </w:rPr>
              <w:t>数据供给</w:t>
            </w:r>
          </w:p>
        </w:tc>
        <w:tc>
          <w:tcPr>
            <w:tcW w:type="dxa" w:w="2699"/>
            <w:vAlign w:val="center"/>
          </w:tcPr>
          <w:p>
            <w:pPr>
              <w:keepNext w:val="0"/>
              <w:spacing w:line="320" w:lineRule="exact" w:after="0" w:before="0"/>
              <w:ind w:firstLine="0"/>
              <w:jc w:val="left"/>
            </w:pPr>
            <w:r>
              <w:rPr>
                <w:b w:val="0"/>
                <w:sz w:val="21"/>
              </w:rPr>
              <w:t>四域四用途净量、质量及比例</w:t>
            </w:r>
          </w:p>
        </w:tc>
        <w:tc>
          <w:tcPr>
            <w:tcW w:type="dxa" w:w="2409"/>
            <w:vAlign w:val="center"/>
          </w:tcPr>
          <w:p>
            <w:pPr>
              <w:keepNext w:val="0"/>
              <w:spacing w:line="320" w:lineRule="exact" w:after="0" w:before="0"/>
              <w:ind w:firstLine="0"/>
              <w:jc w:val="left"/>
            </w:pPr>
            <w:r>
              <w:rPr>
                <w:b w:val="0"/>
                <w:sz w:val="21"/>
              </w:rPr>
              <w:t>生产、卡片与评测</w:t>
            </w:r>
          </w:p>
        </w:tc>
        <w:tc>
          <w:tcPr>
            <w:tcW w:type="dxa" w:w="2891"/>
            <w:vAlign w:val="center"/>
          </w:tcPr>
          <w:p>
            <w:pPr>
              <w:keepNext w:val="0"/>
              <w:spacing w:line="320" w:lineRule="exact" w:after="0" w:before="0"/>
              <w:ind w:firstLine="0"/>
              <w:jc w:val="left"/>
            </w:pPr>
            <w:r>
              <w:rPr>
                <w:b w:val="0"/>
                <w:sz w:val="21"/>
              </w:rPr>
              <w:t>净量和过程处理量分开</w:t>
            </w:r>
          </w:p>
        </w:tc>
      </w:tr>
      <w:tr>
        <w:trPr>
          <w:cantSplit/>
        </w:trPr>
        <w:tc>
          <w:tcPr>
            <w:tcW w:type="dxa" w:w="1638"/>
            <w:vAlign w:val="center"/>
          </w:tcPr>
          <w:p>
            <w:pPr>
              <w:keepNext w:val="0"/>
              <w:spacing w:line="320" w:lineRule="exact" w:after="0" w:before="0"/>
              <w:ind w:firstLine="0"/>
              <w:jc w:val="left"/>
            </w:pPr>
            <w:r>
              <w:rPr>
                <w:b w:val="0"/>
                <w:sz w:val="21"/>
              </w:rPr>
              <w:t>资源投入</w:t>
            </w:r>
          </w:p>
        </w:tc>
        <w:tc>
          <w:tcPr>
            <w:tcW w:type="dxa" w:w="2699"/>
            <w:vAlign w:val="center"/>
          </w:tcPr>
          <w:p>
            <w:pPr>
              <w:keepNext w:val="0"/>
              <w:spacing w:line="320" w:lineRule="exact" w:after="0" w:before="0"/>
              <w:ind w:firstLine="0"/>
              <w:jc w:val="left"/>
            </w:pPr>
            <w:r>
              <w:rPr>
                <w:b w:val="0"/>
                <w:sz w:val="21"/>
              </w:rPr>
              <w:t>计划与实际工时、环境和审核负荷</w:t>
            </w:r>
          </w:p>
        </w:tc>
        <w:tc>
          <w:tcPr>
            <w:tcW w:type="dxa" w:w="2409"/>
            <w:vAlign w:val="center"/>
          </w:tcPr>
          <w:p>
            <w:pPr>
              <w:keepNext w:val="0"/>
              <w:spacing w:line="320" w:lineRule="exact" w:after="0" w:before="0"/>
              <w:ind w:firstLine="0"/>
              <w:jc w:val="left"/>
            </w:pPr>
            <w:r>
              <w:rPr>
                <w:b w:val="0"/>
                <w:sz w:val="21"/>
              </w:rPr>
              <w:t>资源及运行记录</w:t>
            </w:r>
          </w:p>
        </w:tc>
        <w:tc>
          <w:tcPr>
            <w:tcW w:type="dxa" w:w="2891"/>
            <w:vAlign w:val="center"/>
          </w:tcPr>
          <w:p>
            <w:pPr>
              <w:keepNext w:val="0"/>
              <w:spacing w:line="320" w:lineRule="exact" w:after="0" w:before="0"/>
              <w:ind w:firstLine="0"/>
              <w:jc w:val="left"/>
            </w:pPr>
            <w:r>
              <w:rPr>
                <w:b w:val="0"/>
                <w:sz w:val="21"/>
              </w:rPr>
              <w:t>产出、等待及返工原因</w:t>
            </w:r>
          </w:p>
        </w:tc>
      </w:tr>
      <w:tr>
        <w:trPr>
          <w:cantSplit/>
        </w:trPr>
        <w:tc>
          <w:tcPr>
            <w:tcW w:type="dxa" w:w="1638"/>
            <w:vAlign w:val="center"/>
          </w:tcPr>
          <w:p>
            <w:pPr>
              <w:keepNext w:val="0"/>
              <w:spacing w:line="320" w:lineRule="exact" w:after="0" w:before="0"/>
              <w:ind w:firstLine="0"/>
              <w:jc w:val="left"/>
            </w:pPr>
            <w:r>
              <w:rPr>
                <w:b w:val="0"/>
                <w:sz w:val="21"/>
              </w:rPr>
              <w:t>质量安全</w:t>
            </w:r>
          </w:p>
        </w:tc>
        <w:tc>
          <w:tcPr>
            <w:tcW w:type="dxa" w:w="2699"/>
            <w:vAlign w:val="center"/>
          </w:tcPr>
          <w:p>
            <w:pPr>
              <w:keepNext w:val="0"/>
              <w:spacing w:line="320" w:lineRule="exact" w:after="0" w:before="0"/>
              <w:ind w:firstLine="0"/>
              <w:jc w:val="left"/>
            </w:pPr>
            <w:r>
              <w:rPr>
                <w:b w:val="0"/>
                <w:sz w:val="21"/>
              </w:rPr>
              <w:t>已确认问题、处置和复核</w:t>
            </w:r>
          </w:p>
        </w:tc>
        <w:tc>
          <w:tcPr>
            <w:tcW w:type="dxa" w:w="2409"/>
            <w:vAlign w:val="center"/>
          </w:tcPr>
          <w:p>
            <w:pPr>
              <w:keepNext w:val="0"/>
              <w:spacing w:line="320" w:lineRule="exact" w:after="0" w:before="0"/>
              <w:ind w:firstLine="0"/>
              <w:jc w:val="left"/>
            </w:pPr>
            <w:r>
              <w:rPr>
                <w:b w:val="0"/>
                <w:sz w:val="21"/>
              </w:rPr>
              <w:t>检测、审计及问题台账</w:t>
            </w:r>
          </w:p>
        </w:tc>
        <w:tc>
          <w:tcPr>
            <w:tcW w:type="dxa" w:w="2891"/>
            <w:vAlign w:val="center"/>
          </w:tcPr>
          <w:p>
            <w:pPr>
              <w:keepNext w:val="0"/>
              <w:spacing w:line="320" w:lineRule="exact" w:after="0" w:before="0"/>
              <w:ind w:firstLine="0"/>
              <w:jc w:val="left"/>
            </w:pPr>
            <w:r>
              <w:rPr>
                <w:b w:val="0"/>
                <w:sz w:val="21"/>
              </w:rPr>
              <w:t>高风险状态和影响范围</w:t>
            </w:r>
          </w:p>
        </w:tc>
      </w:tr>
      <w:tr>
        <w:trPr>
          <w:cantSplit/>
        </w:trPr>
        <w:tc>
          <w:tcPr>
            <w:tcW w:type="dxa" w:w="1638"/>
            <w:vAlign w:val="center"/>
          </w:tcPr>
          <w:p>
            <w:pPr>
              <w:keepNext w:val="0"/>
              <w:spacing w:line="320" w:lineRule="exact" w:after="0" w:before="0"/>
              <w:ind w:firstLine="0"/>
              <w:jc w:val="left"/>
            </w:pPr>
            <w:r>
              <w:rPr>
                <w:b w:val="0"/>
                <w:sz w:val="21"/>
              </w:rPr>
              <w:t>待决事项</w:t>
            </w:r>
          </w:p>
        </w:tc>
        <w:tc>
          <w:tcPr>
            <w:tcW w:type="dxa" w:w="2699"/>
            <w:vAlign w:val="center"/>
          </w:tcPr>
          <w:p>
            <w:pPr>
              <w:keepNext w:val="0"/>
              <w:spacing w:line="320" w:lineRule="exact" w:after="0" w:before="0"/>
              <w:ind w:firstLine="0"/>
              <w:jc w:val="left"/>
            </w:pPr>
            <w:r>
              <w:rPr>
                <w:b w:val="0"/>
                <w:sz w:val="21"/>
              </w:rPr>
              <w:t>事实、可选措施和最迟决策时间</w:t>
            </w:r>
          </w:p>
        </w:tc>
        <w:tc>
          <w:tcPr>
            <w:tcW w:type="dxa" w:w="2409"/>
            <w:vAlign w:val="center"/>
          </w:tcPr>
          <w:p>
            <w:pPr>
              <w:keepNext w:val="0"/>
              <w:spacing w:line="320" w:lineRule="exact" w:after="0" w:before="0"/>
              <w:ind w:firstLine="0"/>
              <w:jc w:val="left"/>
            </w:pPr>
            <w:r>
              <w:rPr>
                <w:b w:val="0"/>
                <w:sz w:val="21"/>
              </w:rPr>
              <w:t>风险、依赖和变更</w:t>
            </w:r>
          </w:p>
        </w:tc>
        <w:tc>
          <w:tcPr>
            <w:tcW w:type="dxa" w:w="2891"/>
            <w:vAlign w:val="center"/>
          </w:tcPr>
          <w:p>
            <w:pPr>
              <w:keepNext w:val="0"/>
              <w:spacing w:line="320" w:lineRule="exact" w:after="0" w:before="0"/>
              <w:ind w:firstLine="0"/>
              <w:jc w:val="left"/>
            </w:pPr>
            <w:r>
              <w:rPr>
                <w:b w:val="0"/>
                <w:sz w:val="21"/>
              </w:rPr>
              <w:t>接收主体具有相应权限</w:t>
            </w:r>
          </w:p>
        </w:tc>
      </w:tr>
      <w:tr>
        <w:trPr>
          <w:cantSplit/>
        </w:trPr>
        <w:tc>
          <w:tcPr>
            <w:tcW w:type="dxa" w:w="1638"/>
            <w:vAlign w:val="center"/>
          </w:tcPr>
          <w:p>
            <w:pPr>
              <w:keepNext w:val="0"/>
              <w:spacing w:line="320" w:lineRule="exact" w:after="0" w:before="0"/>
              <w:ind w:firstLine="0"/>
              <w:jc w:val="left"/>
            </w:pPr>
            <w:r>
              <w:rPr>
                <w:b w:val="0"/>
                <w:sz w:val="21"/>
              </w:rPr>
              <w:t>下期安排</w:t>
            </w:r>
          </w:p>
        </w:tc>
        <w:tc>
          <w:tcPr>
            <w:tcW w:type="dxa" w:w="2699"/>
            <w:vAlign w:val="center"/>
          </w:tcPr>
          <w:p>
            <w:pPr>
              <w:keepNext w:val="0"/>
              <w:spacing w:line="320" w:lineRule="exact" w:after="0" w:before="0"/>
              <w:ind w:firstLine="0"/>
              <w:jc w:val="left"/>
            </w:pPr>
            <w:r>
              <w:rPr>
                <w:b w:val="0"/>
                <w:sz w:val="21"/>
              </w:rPr>
              <w:t>任务、输入、资源和检查节点</w:t>
            </w:r>
          </w:p>
        </w:tc>
        <w:tc>
          <w:tcPr>
            <w:tcW w:type="dxa" w:w="2409"/>
            <w:vAlign w:val="center"/>
          </w:tcPr>
          <w:p>
            <w:pPr>
              <w:keepNext w:val="0"/>
              <w:spacing w:line="320" w:lineRule="exact" w:after="0" w:before="0"/>
              <w:ind w:firstLine="0"/>
              <w:jc w:val="left"/>
            </w:pPr>
            <w:r>
              <w:rPr>
                <w:b w:val="0"/>
                <w:sz w:val="21"/>
              </w:rPr>
              <w:t>当前执行计划</w:t>
            </w:r>
          </w:p>
        </w:tc>
        <w:tc>
          <w:tcPr>
            <w:tcW w:type="dxa" w:w="2891"/>
            <w:vAlign w:val="center"/>
          </w:tcPr>
          <w:p>
            <w:pPr>
              <w:keepNext w:val="0"/>
              <w:spacing w:line="320" w:lineRule="exact" w:after="0" w:before="0"/>
              <w:ind w:firstLine="0"/>
              <w:jc w:val="left"/>
            </w:pPr>
            <w:r>
              <w:rPr>
                <w:b w:val="0"/>
                <w:sz w:val="21"/>
              </w:rPr>
              <w:t>可执行性与责任落实</w:t>
            </w:r>
          </w:p>
        </w:tc>
      </w:tr>
    </w:tbl>
    <w:p>
      <w:pPr>
        <w:spacing w:after="40" w:line="240" w:lineRule="auto"/>
        <w:ind w:firstLine="0"/>
      </w:pPr>
      <w:r>
        <w:rPr>
          <w:sz w:val="4"/>
        </w:rPr>
      </w:r>
    </w:p>
    <w:p>
      <w:pPr>
        <w:pStyle w:val="Heading3"/>
      </w:pPr>
      <w:r>
        <w:t>3.10.2 容量测算与任务调配</w:t>
      </w:r>
    </w:p>
    <w:p>
      <w:pPr>
        <w:jc w:val="both"/>
      </w:pPr>
      <w:r>
        <w:t>资源调配先检查关键路径与实际负荷，再调整并行和批次。数据处理吞吐按模态、文件大小和任务复杂度测量，专业审核按样本难度和问题率测量，模型实验按批准协议及资源条件测量。测算结果保留时间、环境和样本范围，定期与实际值对比。</w:t>
      </w:r>
    </w:p>
    <w:p>
      <w:pPr>
        <w:jc w:val="both"/>
      </w:pPr>
      <w:r>
        <w:t>资源冲突时优先保证来源修正、关键专业审核、质量安全和验收必需实验。可并行的工作分配独立范围和版本，重复使用结果时核查适用条件。调整后更新资源计划和预测日期，通知受影响岗位，按新的安排检查实际效果。</w:t>
      </w:r>
    </w:p>
    <w:p>
      <w:pPr>
        <w:pStyle w:val="Heading2"/>
      </w:pPr>
      <w:r>
        <w:t>3.11 风险问题与变更处理</w:t>
      </w:r>
    </w:p>
    <w:p>
      <w:pPr>
        <w:pStyle w:val="Heading3"/>
      </w:pPr>
      <w:r>
        <w:t>3.11.1 问题登记与根因整改</w:t>
      </w:r>
    </w:p>
    <w:p>
      <w:pPr>
        <w:jc w:val="both"/>
      </w:pPr>
      <w:r>
        <w:t>问题发现岗位登记具体对象、事实、证据、影响和临时措施，牵头岗位确认责任及处理期限。涉及多个系统或领域时组织联合核验，区分源端事实、映射规则、加工执行、专业标注、使用理解和环境问题。根因明确后形成修正动作及受影响对象范围。</w:t>
      </w:r>
    </w:p>
    <w:p>
      <w:pPr>
        <w:jc w:val="both"/>
      </w:pPr>
      <w:r>
        <w:t>整改包括原问题修正、同类对象扩大检查和后续规则完善。关闭前由复核岗位验证结果，必要时通过真实任务重跑或独立复算。长期问题按剩余影响和解决条件持续跟踪，措施无效时重新分析原因并调整方案。</w:t>
      </w:r>
    </w:p>
    <w:p>
      <w:pPr>
        <w:pStyle w:val="Heading3"/>
      </w:pPr>
      <w:r>
        <w:t>3.11.2 计划变更及回归检查</w:t>
      </w:r>
    </w:p>
    <w:p>
      <w:pPr>
        <w:jc w:val="both"/>
      </w:pPr>
      <w:r>
        <w:t>计划变更记录原任务、原节点、实际条件、拟调整内容及影响。目标、合同范围、质量安全或关键节点变化提交相应决策，日常顺序调整按授权执行。批准后更新关联工作包、资源、指标、文档和运行配置，保留原基准。</w:t>
      </w:r>
    </w:p>
    <w:p>
      <w:pPr>
        <w:jc w:val="both"/>
      </w:pPr>
      <w:r>
        <w:t>变更实施后检查受影响的接口、模型、数据、卡片及服务。仅改变排期的变更检查依赖和资源是否落实；改变业务口径或规则的变更重新验证实际结果；改变来源或许可的变更检查派生范围及使用授权。完成验证后按批准时间生效。</w:t>
      </w:r>
    </w:p>
    <w:p>
      <w:pPr>
        <w:pStyle w:val="Caption"/>
        <w:keepNext/>
      </w:pPr>
      <w:r>
        <w:t>表3-8 计划变更及回归检查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处置记录</w:t>
            </w:r>
          </w:p>
        </w:tc>
        <w:tc>
          <w:tcPr>
            <w:tcW w:type="dxa" w:w="2699"/>
            <w:vAlign w:val="center"/>
            <w:shd w:fill="EDF1F3"/>
          </w:tcPr>
          <w:p>
            <w:pPr>
              <w:keepNext/>
              <w:spacing w:line="320" w:lineRule="exact" w:after="0" w:before="0"/>
              <w:ind w:firstLine="0"/>
              <w:jc w:val="center"/>
            </w:pPr>
            <w:r>
              <w:rPr>
                <w:b/>
                <w:sz w:val="21"/>
              </w:rPr>
              <w:t>核心字段</w:t>
            </w:r>
          </w:p>
        </w:tc>
        <w:tc>
          <w:tcPr>
            <w:tcW w:type="dxa" w:w="2409"/>
            <w:vAlign w:val="center"/>
            <w:shd w:fill="EDF1F3"/>
          </w:tcPr>
          <w:p>
            <w:pPr>
              <w:keepNext/>
              <w:spacing w:line="320" w:lineRule="exact" w:after="0" w:before="0"/>
              <w:ind w:firstLine="0"/>
              <w:jc w:val="center"/>
            </w:pPr>
            <w:r>
              <w:rPr>
                <w:b/>
                <w:sz w:val="21"/>
              </w:rPr>
              <w:t>校验条件</w:t>
            </w:r>
          </w:p>
        </w:tc>
        <w:tc>
          <w:tcPr>
            <w:tcW w:type="dxa" w:w="2891"/>
            <w:vAlign w:val="center"/>
            <w:shd w:fill="EDF1F3"/>
          </w:tcPr>
          <w:p>
            <w:pPr>
              <w:keepNext/>
              <w:spacing w:line="320" w:lineRule="exact" w:after="0" w:before="0"/>
              <w:ind w:firstLine="0"/>
              <w:jc w:val="center"/>
            </w:pPr>
            <w:r>
              <w:rPr>
                <w:b/>
                <w:sz w:val="21"/>
              </w:rPr>
              <w:t>关闭依据</w:t>
            </w:r>
          </w:p>
        </w:tc>
      </w:tr>
      <w:tr>
        <w:trPr>
          <w:cantSplit/>
        </w:trPr>
        <w:tc>
          <w:tcPr>
            <w:tcW w:type="dxa" w:w="1638"/>
            <w:vAlign w:val="center"/>
          </w:tcPr>
          <w:p>
            <w:pPr>
              <w:keepNext w:val="0"/>
              <w:spacing w:line="320" w:lineRule="exact" w:after="0" w:before="0"/>
              <w:ind w:firstLine="0"/>
              <w:jc w:val="left"/>
            </w:pPr>
            <w:r>
              <w:rPr>
                <w:b w:val="0"/>
                <w:sz w:val="21"/>
              </w:rPr>
              <w:t>依赖阻塞</w:t>
            </w:r>
          </w:p>
        </w:tc>
        <w:tc>
          <w:tcPr>
            <w:tcW w:type="dxa" w:w="2699"/>
            <w:vAlign w:val="center"/>
          </w:tcPr>
          <w:p>
            <w:pPr>
              <w:keepNext w:val="0"/>
              <w:spacing w:line="320" w:lineRule="exact" w:after="0" w:before="0"/>
              <w:ind w:firstLine="0"/>
              <w:jc w:val="left"/>
            </w:pPr>
            <w:r>
              <w:rPr>
                <w:b w:val="0"/>
                <w:sz w:val="21"/>
              </w:rPr>
              <w:t>前置、接收条件、影响时间和责任</w:t>
            </w:r>
          </w:p>
        </w:tc>
        <w:tc>
          <w:tcPr>
            <w:tcW w:type="dxa" w:w="2409"/>
            <w:vAlign w:val="center"/>
          </w:tcPr>
          <w:p>
            <w:pPr>
              <w:keepNext w:val="0"/>
              <w:spacing w:line="320" w:lineRule="exact" w:after="0" w:before="0"/>
              <w:ind w:firstLine="0"/>
              <w:jc w:val="left"/>
            </w:pPr>
            <w:r>
              <w:rPr>
                <w:b w:val="0"/>
                <w:sz w:val="21"/>
              </w:rPr>
              <w:t>阻塞事实可核查，预测同步</w:t>
            </w:r>
          </w:p>
        </w:tc>
        <w:tc>
          <w:tcPr>
            <w:tcW w:type="dxa" w:w="2891"/>
            <w:vAlign w:val="center"/>
          </w:tcPr>
          <w:p>
            <w:pPr>
              <w:keepNext w:val="0"/>
              <w:spacing w:line="320" w:lineRule="exact" w:after="0" w:before="0"/>
              <w:ind w:firstLine="0"/>
              <w:jc w:val="left"/>
            </w:pPr>
            <w:r>
              <w:rPr>
                <w:b w:val="0"/>
                <w:sz w:val="21"/>
              </w:rPr>
              <w:t>输入通过接收检查</w:t>
            </w:r>
          </w:p>
        </w:tc>
      </w:tr>
      <w:tr>
        <w:trPr>
          <w:cantSplit/>
        </w:trPr>
        <w:tc>
          <w:tcPr>
            <w:tcW w:type="dxa" w:w="1638"/>
            <w:vAlign w:val="center"/>
          </w:tcPr>
          <w:p>
            <w:pPr>
              <w:keepNext w:val="0"/>
              <w:spacing w:line="320" w:lineRule="exact" w:after="0" w:before="0"/>
              <w:ind w:firstLine="0"/>
              <w:jc w:val="left"/>
            </w:pPr>
            <w:r>
              <w:rPr>
                <w:b w:val="0"/>
                <w:sz w:val="21"/>
              </w:rPr>
              <w:t>数据缺陷</w:t>
            </w:r>
          </w:p>
        </w:tc>
        <w:tc>
          <w:tcPr>
            <w:tcW w:type="dxa" w:w="2699"/>
            <w:vAlign w:val="center"/>
          </w:tcPr>
          <w:p>
            <w:pPr>
              <w:keepNext w:val="0"/>
              <w:spacing w:line="320" w:lineRule="exact" w:after="0" w:before="0"/>
              <w:ind w:firstLine="0"/>
              <w:jc w:val="left"/>
            </w:pPr>
            <w:r>
              <w:rPr>
                <w:b w:val="0"/>
                <w:sz w:val="21"/>
              </w:rPr>
              <w:t>对象、规则、风险、来源和版本</w:t>
            </w:r>
          </w:p>
        </w:tc>
        <w:tc>
          <w:tcPr>
            <w:tcW w:type="dxa" w:w="2409"/>
            <w:vAlign w:val="center"/>
          </w:tcPr>
          <w:p>
            <w:pPr>
              <w:keepNext w:val="0"/>
              <w:spacing w:line="320" w:lineRule="exact" w:after="0" w:before="0"/>
              <w:ind w:firstLine="0"/>
              <w:jc w:val="left"/>
            </w:pPr>
            <w:r>
              <w:rPr>
                <w:b w:val="0"/>
                <w:sz w:val="21"/>
              </w:rPr>
              <w:t>原证据存在，范围可以定位</w:t>
            </w:r>
          </w:p>
        </w:tc>
        <w:tc>
          <w:tcPr>
            <w:tcW w:type="dxa" w:w="2891"/>
            <w:vAlign w:val="center"/>
          </w:tcPr>
          <w:p>
            <w:pPr>
              <w:keepNext w:val="0"/>
              <w:spacing w:line="320" w:lineRule="exact" w:after="0" w:before="0"/>
              <w:ind w:firstLine="0"/>
              <w:jc w:val="left"/>
            </w:pPr>
            <w:r>
              <w:rPr>
                <w:b w:val="0"/>
                <w:sz w:val="21"/>
              </w:rPr>
              <w:t>修正及扩大检查通过</w:t>
            </w:r>
          </w:p>
        </w:tc>
      </w:tr>
      <w:tr>
        <w:trPr>
          <w:cantSplit/>
        </w:trPr>
        <w:tc>
          <w:tcPr>
            <w:tcW w:type="dxa" w:w="1638"/>
            <w:vAlign w:val="center"/>
          </w:tcPr>
          <w:p>
            <w:pPr>
              <w:keepNext w:val="0"/>
              <w:spacing w:line="320" w:lineRule="exact" w:after="0" w:before="0"/>
              <w:ind w:firstLine="0"/>
              <w:jc w:val="left"/>
            </w:pPr>
            <w:r>
              <w:rPr>
                <w:b w:val="0"/>
                <w:sz w:val="21"/>
              </w:rPr>
              <w:t>资源不足</w:t>
            </w:r>
          </w:p>
        </w:tc>
        <w:tc>
          <w:tcPr>
            <w:tcW w:type="dxa" w:w="2699"/>
            <w:vAlign w:val="center"/>
          </w:tcPr>
          <w:p>
            <w:pPr>
              <w:keepNext w:val="0"/>
              <w:spacing w:line="320" w:lineRule="exact" w:after="0" w:before="0"/>
              <w:ind w:firstLine="0"/>
              <w:jc w:val="left"/>
            </w:pPr>
            <w:r>
              <w:rPr>
                <w:b w:val="0"/>
                <w:sz w:val="21"/>
              </w:rPr>
              <w:t>所需能力、实际容量和工作量</w:t>
            </w:r>
          </w:p>
        </w:tc>
        <w:tc>
          <w:tcPr>
            <w:tcW w:type="dxa" w:w="2409"/>
            <w:vAlign w:val="center"/>
          </w:tcPr>
          <w:p>
            <w:pPr>
              <w:keepNext w:val="0"/>
              <w:spacing w:line="320" w:lineRule="exact" w:after="0" w:before="0"/>
              <w:ind w:firstLine="0"/>
              <w:jc w:val="left"/>
            </w:pPr>
            <w:r>
              <w:rPr>
                <w:b w:val="0"/>
                <w:sz w:val="21"/>
              </w:rPr>
              <w:t>估算有依据，关联受影响任务</w:t>
            </w:r>
          </w:p>
        </w:tc>
        <w:tc>
          <w:tcPr>
            <w:tcW w:type="dxa" w:w="2891"/>
            <w:vAlign w:val="center"/>
          </w:tcPr>
          <w:p>
            <w:pPr>
              <w:keepNext w:val="0"/>
              <w:spacing w:line="320" w:lineRule="exact" w:after="0" w:before="0"/>
              <w:ind w:firstLine="0"/>
              <w:jc w:val="left"/>
            </w:pPr>
            <w:r>
              <w:rPr>
                <w:b w:val="0"/>
                <w:sz w:val="21"/>
              </w:rPr>
              <w:t>资源到位且任务恢复</w:t>
            </w:r>
          </w:p>
        </w:tc>
      </w:tr>
      <w:tr>
        <w:trPr>
          <w:cantSplit/>
        </w:trPr>
        <w:tc>
          <w:tcPr>
            <w:tcW w:type="dxa" w:w="1638"/>
            <w:vAlign w:val="center"/>
          </w:tcPr>
          <w:p>
            <w:pPr>
              <w:keepNext w:val="0"/>
              <w:spacing w:line="320" w:lineRule="exact" w:after="0" w:before="0"/>
              <w:ind w:firstLine="0"/>
              <w:jc w:val="left"/>
            </w:pPr>
            <w:r>
              <w:rPr>
                <w:b w:val="0"/>
                <w:sz w:val="21"/>
              </w:rPr>
              <w:t>业务争议</w:t>
            </w:r>
          </w:p>
        </w:tc>
        <w:tc>
          <w:tcPr>
            <w:tcW w:type="dxa" w:w="2699"/>
            <w:vAlign w:val="center"/>
          </w:tcPr>
          <w:p>
            <w:pPr>
              <w:keepNext w:val="0"/>
              <w:spacing w:line="320" w:lineRule="exact" w:after="0" w:before="0"/>
              <w:ind w:firstLine="0"/>
              <w:jc w:val="left"/>
            </w:pPr>
            <w:r>
              <w:rPr>
                <w:b w:val="0"/>
                <w:sz w:val="21"/>
              </w:rPr>
              <w:t>不同意见、依据、影响及裁决</w:t>
            </w:r>
          </w:p>
        </w:tc>
        <w:tc>
          <w:tcPr>
            <w:tcW w:type="dxa" w:w="2409"/>
            <w:vAlign w:val="center"/>
          </w:tcPr>
          <w:p>
            <w:pPr>
              <w:keepNext w:val="0"/>
              <w:spacing w:line="320" w:lineRule="exact" w:after="0" w:before="0"/>
              <w:ind w:firstLine="0"/>
              <w:jc w:val="left"/>
            </w:pPr>
            <w:r>
              <w:rPr>
                <w:b w:val="0"/>
                <w:sz w:val="21"/>
              </w:rPr>
              <w:t>相关归口岗位参与</w:t>
            </w:r>
          </w:p>
        </w:tc>
        <w:tc>
          <w:tcPr>
            <w:tcW w:type="dxa" w:w="2891"/>
            <w:vAlign w:val="center"/>
          </w:tcPr>
          <w:p>
            <w:pPr>
              <w:keepNext w:val="0"/>
              <w:spacing w:line="320" w:lineRule="exact" w:after="0" w:before="0"/>
              <w:ind w:firstLine="0"/>
              <w:jc w:val="left"/>
            </w:pPr>
            <w:r>
              <w:rPr>
                <w:b w:val="0"/>
                <w:sz w:val="21"/>
              </w:rPr>
              <w:t>有权确认且规则同步</w:t>
            </w:r>
          </w:p>
        </w:tc>
      </w:tr>
      <w:tr>
        <w:trPr>
          <w:cantSplit/>
        </w:trPr>
        <w:tc>
          <w:tcPr>
            <w:tcW w:type="dxa" w:w="1638"/>
            <w:vAlign w:val="center"/>
          </w:tcPr>
          <w:p>
            <w:pPr>
              <w:keepNext w:val="0"/>
              <w:spacing w:line="320" w:lineRule="exact" w:after="0" w:before="0"/>
              <w:ind w:firstLine="0"/>
              <w:jc w:val="left"/>
            </w:pPr>
            <w:r>
              <w:rPr>
                <w:b w:val="0"/>
                <w:sz w:val="21"/>
              </w:rPr>
              <w:t>计划变更</w:t>
            </w:r>
          </w:p>
        </w:tc>
        <w:tc>
          <w:tcPr>
            <w:tcW w:type="dxa" w:w="2699"/>
            <w:vAlign w:val="center"/>
          </w:tcPr>
          <w:p>
            <w:pPr>
              <w:keepNext w:val="0"/>
              <w:spacing w:line="320" w:lineRule="exact" w:after="0" w:before="0"/>
              <w:ind w:firstLine="0"/>
              <w:jc w:val="left"/>
            </w:pPr>
            <w:r>
              <w:rPr>
                <w:b w:val="0"/>
                <w:sz w:val="21"/>
              </w:rPr>
              <w:t>原基准、调整、原因及批准</w:t>
            </w:r>
          </w:p>
        </w:tc>
        <w:tc>
          <w:tcPr>
            <w:tcW w:type="dxa" w:w="2409"/>
            <w:vAlign w:val="center"/>
          </w:tcPr>
          <w:p>
            <w:pPr>
              <w:keepNext w:val="0"/>
              <w:spacing w:line="320" w:lineRule="exact" w:after="0" w:before="0"/>
              <w:ind w:firstLine="0"/>
              <w:jc w:val="left"/>
            </w:pPr>
            <w:r>
              <w:rPr>
                <w:b w:val="0"/>
                <w:sz w:val="21"/>
              </w:rPr>
              <w:t>权限有效，依赖和成果完整</w:t>
            </w:r>
          </w:p>
        </w:tc>
        <w:tc>
          <w:tcPr>
            <w:tcW w:type="dxa" w:w="2891"/>
            <w:vAlign w:val="center"/>
          </w:tcPr>
          <w:p>
            <w:pPr>
              <w:keepNext w:val="0"/>
              <w:spacing w:line="320" w:lineRule="exact" w:after="0" w:before="0"/>
              <w:ind w:firstLine="0"/>
              <w:jc w:val="left"/>
            </w:pPr>
            <w:r>
              <w:rPr>
                <w:b w:val="0"/>
                <w:sz w:val="21"/>
              </w:rPr>
              <w:t>新安排落实并验证</w:t>
            </w:r>
          </w:p>
        </w:tc>
      </w:tr>
      <w:tr>
        <w:trPr>
          <w:cantSplit/>
        </w:trPr>
        <w:tc>
          <w:tcPr>
            <w:tcW w:type="dxa" w:w="1638"/>
            <w:vAlign w:val="center"/>
          </w:tcPr>
          <w:p>
            <w:pPr>
              <w:keepNext w:val="0"/>
              <w:spacing w:line="320" w:lineRule="exact" w:after="0" w:before="0"/>
              <w:ind w:firstLine="0"/>
              <w:jc w:val="left"/>
            </w:pPr>
            <w:r>
              <w:rPr>
                <w:b w:val="0"/>
                <w:sz w:val="21"/>
              </w:rPr>
              <w:t>规则回退</w:t>
            </w:r>
          </w:p>
        </w:tc>
        <w:tc>
          <w:tcPr>
            <w:tcW w:type="dxa" w:w="2699"/>
            <w:vAlign w:val="center"/>
          </w:tcPr>
          <w:p>
            <w:pPr>
              <w:keepNext w:val="0"/>
              <w:spacing w:line="320" w:lineRule="exact" w:after="0" w:before="0"/>
              <w:ind w:firstLine="0"/>
              <w:jc w:val="left"/>
            </w:pPr>
            <w:r>
              <w:rPr>
                <w:b w:val="0"/>
                <w:sz w:val="21"/>
              </w:rPr>
              <w:t>触发、原配置、目标版本和验证</w:t>
            </w:r>
          </w:p>
        </w:tc>
        <w:tc>
          <w:tcPr>
            <w:tcW w:type="dxa" w:w="2409"/>
            <w:vAlign w:val="center"/>
          </w:tcPr>
          <w:p>
            <w:pPr>
              <w:keepNext w:val="0"/>
              <w:spacing w:line="320" w:lineRule="exact" w:after="0" w:before="0"/>
              <w:ind w:firstLine="0"/>
              <w:jc w:val="left"/>
            </w:pPr>
            <w:r>
              <w:rPr>
                <w:b w:val="0"/>
                <w:sz w:val="21"/>
              </w:rPr>
              <w:t>回退版本可用且范围明确</w:t>
            </w:r>
          </w:p>
        </w:tc>
        <w:tc>
          <w:tcPr>
            <w:tcW w:type="dxa" w:w="2891"/>
            <w:vAlign w:val="center"/>
          </w:tcPr>
          <w:p>
            <w:pPr>
              <w:keepNext w:val="0"/>
              <w:spacing w:line="320" w:lineRule="exact" w:after="0" w:before="0"/>
              <w:ind w:firstLine="0"/>
              <w:jc w:val="left"/>
            </w:pPr>
            <w:r>
              <w:rPr>
                <w:b w:val="0"/>
                <w:sz w:val="21"/>
              </w:rPr>
              <w:t>业务恢复、结果正确</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9" name="Picture 9"/>
            <wp:cNvGraphicFramePr>
              <a:graphicFrameLocks noChangeAspect="1"/>
            </wp:cNvGraphicFramePr>
            <a:graphic>
              <a:graphicData uri="http://schemas.openxmlformats.org/drawingml/2006/picture">
                <pic:pic>
                  <pic:nvPicPr>
                    <pic:cNvPr id="0" name="图9_数据发布.png"/>
                    <pic:cNvPicPr/>
                  </pic:nvPicPr>
                  <pic:blipFill>
                    <a:blip r:embed="rId19"/>
                    <a:stretch>
                      <a:fillRect/>
                    </a:stretch>
                  </pic:blipFill>
                  <pic:spPr>
                    <a:xfrm>
                      <a:off x="0" y="0"/>
                      <a:ext cx="6048000" cy="1942338"/>
                    </a:xfrm>
                    <a:prstGeom prst="rect"/>
                  </pic:spPr>
                </pic:pic>
              </a:graphicData>
            </a:graphic>
          </wp:inline>
        </w:drawing>
      </w:r>
    </w:p>
    <w:p>
      <w:pPr>
        <w:pStyle w:val="Caption"/>
        <w:jc w:val="center"/>
      </w:pPr>
      <w:r>
        <w:t>图3-3 数据发布与交付检查</w:t>
      </w:r>
    </w:p>
    <w:p>
      <w:pPr>
        <w:pStyle w:val="Heading2"/>
      </w:pPr>
      <w:r>
        <w:t>3.12 阶段验收与移交管理</w:t>
      </w:r>
    </w:p>
    <w:p>
      <w:pPr>
        <w:pStyle w:val="Heading3"/>
      </w:pPr>
      <w:r>
        <w:t>3.12.1 成果接收与检查程序</w:t>
      </w:r>
    </w:p>
    <w:p>
      <w:pPr>
        <w:jc w:val="both"/>
      </w:pPr>
      <w:r>
        <w:t>执行岗位按工作包提交成果清单、自检和必要说明业务用途的资料，项目管理岗位检查齐套性，专业复核岗位检查实际质量，业务岗位验证使用条件。检查记录标明版本、方法、范围、结果和问题，批准接收后登记实际完成时间。</w:t>
      </w:r>
    </w:p>
    <w:p>
      <w:pPr>
        <w:jc w:val="both"/>
      </w:pPr>
      <w:r>
        <w:t>阶段验收按既定里程碑检查，不同类型成果采用对应验证。治理制度核查批准和执行，平台能力核查配置与实际操作，数据核查有效净量及质量，评测核查指标、实验和正式盖章报告，培训核查实操与承接。未满足条件的事项整改后重新提交复核。</w:t>
      </w:r>
    </w:p>
    <w:p>
      <w:pPr>
        <w:pStyle w:val="Heading3"/>
      </w:pPr>
      <w:r>
        <w:t>3.12.2 最终验收与服务接续</w:t>
      </w:r>
    </w:p>
    <w:p>
      <w:pPr>
        <w:jc w:val="both"/>
      </w:pPr>
      <w:r>
        <w:t>最终验收前核对项目范围、软件硬件指标、正式成果及全部整改，满足招标文件、投标文件、技术协议、合同和批准蓝图要求。我方在成果完整并经甲方评审后提出验收申请，组织测试并在甲方配合下形成验收测试报告。验收前按甲方要求完成优化整改，整改发生的费用由我方承担。</w:t>
      </w:r>
    </w:p>
    <w:p>
      <w:pPr>
        <w:jc w:val="both"/>
      </w:pPr>
      <w:r>
        <w:t>移交采用清单与实际操作结合，接收岗位核验文件、数据、配置、权限、备份及维护资料。重要能力进行恢复或使用演练，未完事项明确责任及处理安排，影响验收的缺陷完成关闭。验收后按至少12个月质保和期满24个月免费技术服务的统一安排衔接持续支持。</w:t>
      </w:r>
    </w:p>
    <w:p>
      <w:pPr>
        <w:pStyle w:val="Heading2"/>
      </w:pPr>
      <w:r>
        <w:t>3.13 实施计划评审与修订</w:t>
      </w:r>
    </w:p>
    <w:p>
      <w:pPr>
        <w:pStyle w:val="Heading3"/>
      </w:pPr>
      <w:r>
        <w:t>3.13.1 计划评审要点</w:t>
      </w:r>
    </w:p>
    <w:p>
      <w:pPr>
        <w:jc w:val="both"/>
      </w:pPr>
      <w:r>
        <w:t>计划首版评审检查目标与任务是否完整对应、责任是否明确、依赖是否可执行、资源是否足够、成果是否可验收、时间是否满足终验约束。业务岗位重点检查输入与专业审核，技术岗位重点检查环境和实现，质量安全岗位重点检查验证与风险，项目管理岗位检查总体协调。</w:t>
      </w:r>
    </w:p>
    <w:p>
      <w:pPr>
        <w:jc w:val="both"/>
      </w:pPr>
      <w:r>
        <w:t>评审意见逐项处理，涉及多工作包的事项统一调整。批准后向所有责任岗位发布，工作包负责人确认接收。对尚需在现场核定的具体执行条件，建立明确的核定任务及节点，核定结论通过计划变更机制落实到日期和资源。</w:t>
      </w:r>
    </w:p>
    <w:p>
      <w:pPr>
        <w:pStyle w:val="Heading3"/>
      </w:pPr>
      <w:r>
        <w:t>3.13.2 滚动修订与历史保留</w:t>
      </w:r>
    </w:p>
    <w:p>
      <w:pPr>
        <w:jc w:val="both"/>
      </w:pPr>
      <w:r>
        <w:t>月度检查及阶段评价后，项目管理岗位根据真实完成量、剩余工作、依赖及资源更新预测，必要时形成计划修订申请。历史任务、原批准节点和原验收条件保留，新增任务与其触发问题关联，取消或合并任务须明确原成果如何继续覆盖。</w:t>
      </w:r>
    </w:p>
    <w:p>
      <w:pPr>
        <w:jc w:val="both"/>
      </w:pPr>
      <w:r>
        <w:t>计划修订完成后复核战略规划、目标卡、工作包、资源和风险台账的一致性。后续报告同时呈现原目标达成情况和新安排执行情况，使治理管理层能够判断调整是否解决问题，并据此安排下一轮实施。</w:t>
      </w:r>
    </w:p>
    <w:p>
      <w:pPr>
        <w:pStyle w:val="Heading1"/>
        <w:pageBreakBefore/>
      </w:pPr>
      <w:r>
        <w:t>4 战略评估报告</w:t>
      </w:r>
    </w:p>
    <w:p>
      <w:pPr>
        <w:pStyle w:val="Heading2"/>
      </w:pPr>
      <w:r>
        <w:t>4.1 报告管理与评价结论</w:t>
      </w:r>
    </w:p>
    <w:p>
      <w:pPr>
        <w:pStyle w:val="Heading3"/>
      </w:pPr>
      <w:r>
        <w:t>4.1.1 报告标识与评价对象</w:t>
      </w:r>
    </w:p>
    <w:p>
      <w:pPr>
        <w:pStyle w:val="Caption"/>
        <w:keepNext/>
      </w:pPr>
      <w:r>
        <w:t>表4-1 报告标识与评价对象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管理项目</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文件名称</w:t>
            </w:r>
          </w:p>
        </w:tc>
        <w:tc>
          <w:tcPr>
            <w:tcW w:type="dxa" w:w="7228"/>
            <w:vAlign w:val="center"/>
          </w:tcPr>
          <w:p>
            <w:pPr>
              <w:keepNext w:val="0"/>
              <w:spacing w:line="320" w:lineRule="exact" w:after="0" w:before="0"/>
              <w:ind w:firstLine="0"/>
              <w:jc w:val="left"/>
            </w:pPr>
            <w:r>
              <w:rPr>
                <w:b w:val="0"/>
                <w:sz w:val="21"/>
              </w:rPr>
              <w:t>战略评估报告</w:t>
            </w:r>
          </w:p>
        </w:tc>
      </w:tr>
      <w:tr>
        <w:trPr>
          <w:cantSplit/>
        </w:trPr>
        <w:tc>
          <w:tcPr>
            <w:tcW w:type="dxa" w:w="2409"/>
            <w:vAlign w:val="center"/>
          </w:tcPr>
          <w:p>
            <w:pPr>
              <w:keepNext w:val="0"/>
              <w:spacing w:line="320" w:lineRule="exact" w:after="0" w:before="0"/>
              <w:ind w:firstLine="0"/>
              <w:jc w:val="left"/>
            </w:pPr>
            <w:r>
              <w:rPr>
                <w:b w:val="0"/>
                <w:sz w:val="21"/>
              </w:rPr>
              <w:t>文件标识</w:t>
            </w:r>
          </w:p>
        </w:tc>
        <w:tc>
          <w:tcPr>
            <w:tcW w:type="dxa" w:w="7228"/>
            <w:vAlign w:val="center"/>
          </w:tcPr>
          <w:p>
            <w:pPr>
              <w:keepNext w:val="0"/>
              <w:spacing w:line="320" w:lineRule="exact" w:after="0" w:before="0"/>
              <w:ind w:firstLine="0"/>
              <w:jc w:val="left"/>
            </w:pPr>
            <w:r>
              <w:rPr>
                <w:b w:val="0"/>
                <w:sz w:val="21"/>
              </w:rPr>
              <w:t>GHY26691-GV-01-0004-V1.0</w:t>
            </w:r>
          </w:p>
        </w:tc>
      </w:tr>
      <w:tr>
        <w:trPr>
          <w:cantSplit/>
        </w:trPr>
        <w:tc>
          <w:tcPr>
            <w:tcW w:type="dxa" w:w="2409"/>
            <w:vAlign w:val="center"/>
          </w:tcPr>
          <w:p>
            <w:pPr>
              <w:keepNext w:val="0"/>
              <w:spacing w:line="320" w:lineRule="exact" w:after="0" w:before="0"/>
              <w:ind w:firstLine="0"/>
              <w:jc w:val="left"/>
            </w:pPr>
            <w:r>
              <w:rPr>
                <w:b w:val="0"/>
                <w:sz w:val="21"/>
              </w:rPr>
              <w:t>评价类型</w:t>
            </w:r>
          </w:p>
        </w:tc>
        <w:tc>
          <w:tcPr>
            <w:tcW w:type="dxa" w:w="7228"/>
            <w:vAlign w:val="center"/>
          </w:tcPr>
          <w:p>
            <w:pPr>
              <w:keepNext w:val="0"/>
              <w:spacing w:line="320" w:lineRule="exact" w:after="0" w:before="0"/>
              <w:ind w:firstLine="0"/>
              <w:jc w:val="left"/>
            </w:pPr>
            <w:r>
              <w:rPr>
                <w:b w:val="0"/>
                <w:sz w:val="21"/>
              </w:rPr>
              <w:t>战略设计与实施准备评价</w:t>
            </w:r>
          </w:p>
        </w:tc>
      </w:tr>
      <w:tr>
        <w:trPr>
          <w:cantSplit/>
        </w:trPr>
        <w:tc>
          <w:tcPr>
            <w:tcW w:type="dxa" w:w="2409"/>
            <w:vAlign w:val="center"/>
          </w:tcPr>
          <w:p>
            <w:pPr>
              <w:keepNext w:val="0"/>
              <w:spacing w:line="320" w:lineRule="exact" w:after="0" w:before="0"/>
              <w:ind w:firstLine="0"/>
              <w:jc w:val="left"/>
            </w:pPr>
            <w:r>
              <w:rPr>
                <w:b w:val="0"/>
                <w:sz w:val="21"/>
              </w:rPr>
              <w:t>评价对象</w:t>
            </w:r>
          </w:p>
        </w:tc>
        <w:tc>
          <w:tcPr>
            <w:tcW w:type="dxa" w:w="7228"/>
            <w:vAlign w:val="center"/>
          </w:tcPr>
          <w:p>
            <w:pPr>
              <w:keepNext w:val="0"/>
              <w:spacing w:line="320" w:lineRule="exact" w:after="0" w:before="0"/>
              <w:ind w:firstLine="0"/>
              <w:jc w:val="left"/>
            </w:pPr>
            <w:r>
              <w:rPr>
                <w:b w:val="0"/>
                <w:sz w:val="21"/>
              </w:rPr>
              <w:t>数据战略管理办法、数据战略规划、数据战略实施计划及其相互关系</w:t>
            </w:r>
          </w:p>
        </w:tc>
      </w:tr>
      <w:tr>
        <w:trPr>
          <w:cantSplit/>
        </w:trPr>
        <w:tc>
          <w:tcPr>
            <w:tcW w:type="dxa" w:w="2409"/>
            <w:vAlign w:val="center"/>
          </w:tcPr>
          <w:p>
            <w:pPr>
              <w:keepNext w:val="0"/>
              <w:spacing w:line="320" w:lineRule="exact" w:after="0" w:before="0"/>
              <w:ind w:firstLine="0"/>
              <w:jc w:val="left"/>
            </w:pPr>
            <w:r>
              <w:rPr>
                <w:b w:val="0"/>
                <w:sz w:val="21"/>
              </w:rPr>
              <w:t>对象版本</w:t>
            </w:r>
          </w:p>
        </w:tc>
        <w:tc>
          <w:tcPr>
            <w:tcW w:type="dxa" w:w="7228"/>
            <w:vAlign w:val="center"/>
          </w:tcPr>
          <w:p>
            <w:pPr>
              <w:keepNext w:val="0"/>
              <w:spacing w:line="320" w:lineRule="exact" w:after="0" w:before="0"/>
              <w:ind w:firstLine="0"/>
              <w:jc w:val="left"/>
            </w:pPr>
            <w:r>
              <w:rPr>
                <w:b w:val="0"/>
                <w:sz w:val="21"/>
              </w:rPr>
              <w:t>GHY26691-GV-01-0001、0002、0003 的 V1.0 版本</w:t>
            </w:r>
          </w:p>
        </w:tc>
      </w:tr>
      <w:tr>
        <w:trPr>
          <w:cantSplit/>
        </w:trPr>
        <w:tc>
          <w:tcPr>
            <w:tcW w:type="dxa" w:w="2409"/>
            <w:vAlign w:val="center"/>
          </w:tcPr>
          <w:p>
            <w:pPr>
              <w:keepNext w:val="0"/>
              <w:spacing w:line="320" w:lineRule="exact" w:after="0" w:before="0"/>
              <w:ind w:firstLine="0"/>
              <w:jc w:val="left"/>
            </w:pPr>
            <w:r>
              <w:rPr>
                <w:b w:val="0"/>
                <w:sz w:val="21"/>
              </w:rPr>
              <w:t>评价区间</w:t>
            </w:r>
          </w:p>
        </w:tc>
        <w:tc>
          <w:tcPr>
            <w:tcW w:type="dxa" w:w="7228"/>
            <w:vAlign w:val="center"/>
          </w:tcPr>
          <w:p>
            <w:pPr>
              <w:keepNext w:val="0"/>
              <w:spacing w:line="320" w:lineRule="exact" w:after="0" w:before="0"/>
              <w:ind w:firstLine="0"/>
              <w:jc w:val="left"/>
            </w:pPr>
            <w:r>
              <w:rPr>
                <w:b w:val="0"/>
                <w:sz w:val="21"/>
              </w:rPr>
              <w:t>首版战略文件设计范围及其规定的实施准备阶段</w:t>
            </w:r>
          </w:p>
        </w:tc>
      </w:tr>
      <w:tr>
        <w:trPr>
          <w:cantSplit/>
        </w:trPr>
        <w:tc>
          <w:tcPr>
            <w:tcW w:type="dxa" w:w="2409"/>
            <w:vAlign w:val="center"/>
          </w:tcPr>
          <w:p>
            <w:pPr>
              <w:keepNext w:val="0"/>
              <w:spacing w:line="320" w:lineRule="exact" w:after="0" w:before="0"/>
              <w:ind w:firstLine="0"/>
              <w:jc w:val="left"/>
            </w:pPr>
            <w:r>
              <w:rPr>
                <w:b w:val="0"/>
                <w:sz w:val="21"/>
              </w:rPr>
              <w:t>组织责任</w:t>
            </w:r>
          </w:p>
        </w:tc>
        <w:tc>
          <w:tcPr>
            <w:tcW w:type="dxa" w:w="7228"/>
            <w:vAlign w:val="center"/>
          </w:tcPr>
          <w:p>
            <w:pPr>
              <w:keepNext w:val="0"/>
              <w:spacing w:line="320" w:lineRule="exact" w:after="0" w:before="0"/>
              <w:ind w:firstLine="0"/>
              <w:jc w:val="left"/>
            </w:pPr>
            <w:r>
              <w:rPr>
                <w:b w:val="0"/>
                <w:sz w:val="21"/>
              </w:rPr>
              <w:t>治理管理层组织，业务、技术、质量、安全及资源岗位分别复核</w:t>
            </w:r>
          </w:p>
        </w:tc>
      </w:tr>
      <w:tr>
        <w:trPr>
          <w:cantSplit/>
        </w:trPr>
        <w:tc>
          <w:tcPr>
            <w:tcW w:type="dxa" w:w="2409"/>
            <w:vAlign w:val="center"/>
          </w:tcPr>
          <w:p>
            <w:pPr>
              <w:keepNext w:val="0"/>
              <w:spacing w:line="320" w:lineRule="exact" w:after="0" w:before="0"/>
              <w:ind w:firstLine="0"/>
              <w:jc w:val="left"/>
            </w:pPr>
            <w:r>
              <w:rPr>
                <w:b w:val="0"/>
                <w:sz w:val="21"/>
              </w:rPr>
              <w:t>审核与批准</w:t>
            </w:r>
          </w:p>
        </w:tc>
        <w:tc>
          <w:tcPr>
            <w:tcW w:type="dxa" w:w="7228"/>
            <w:vAlign w:val="center"/>
          </w:tcPr>
          <w:p>
            <w:pPr>
              <w:keepNext w:val="0"/>
              <w:spacing w:line="320" w:lineRule="exact" w:after="0" w:before="0"/>
              <w:ind w:firstLine="0"/>
              <w:jc w:val="left"/>
            </w:pPr>
            <w:r>
              <w:rPr>
                <w:b w:val="0"/>
                <w:sz w:val="21"/>
              </w:rPr>
              <w:t>按公司战略评估及文件批准权限履行审核、会签与批准</w:t>
            </w:r>
          </w:p>
        </w:tc>
      </w:tr>
      <w:tr>
        <w:trPr>
          <w:cantSplit/>
        </w:trPr>
        <w:tc>
          <w:tcPr>
            <w:tcW w:type="dxa" w:w="2409"/>
            <w:vAlign w:val="center"/>
          </w:tcPr>
          <w:p>
            <w:pPr>
              <w:keepNext w:val="0"/>
              <w:spacing w:line="320" w:lineRule="exact" w:after="0" w:before="0"/>
              <w:ind w:firstLine="0"/>
              <w:jc w:val="left"/>
            </w:pPr>
            <w:r>
              <w:rPr>
                <w:b w:val="0"/>
                <w:sz w:val="21"/>
              </w:rPr>
              <w:t>后续衔接</w:t>
            </w:r>
          </w:p>
        </w:tc>
        <w:tc>
          <w:tcPr>
            <w:tcW w:type="dxa" w:w="7228"/>
            <w:vAlign w:val="center"/>
          </w:tcPr>
          <w:p>
            <w:pPr>
              <w:keepNext w:val="0"/>
              <w:spacing w:line="320" w:lineRule="exact" w:after="0" w:before="0"/>
              <w:ind w:firstLine="0"/>
              <w:jc w:val="left"/>
            </w:pPr>
            <w:r>
              <w:rPr>
                <w:b w:val="0"/>
                <w:sz w:val="21"/>
              </w:rPr>
              <w:t>月度、阶段、年度和专项评价沿用统一目标标识，增加当期实际运行证据</w:t>
            </w:r>
          </w:p>
        </w:tc>
      </w:tr>
    </w:tbl>
    <w:p>
      <w:pPr>
        <w:spacing w:after="40" w:line="240" w:lineRule="auto"/>
        <w:ind w:firstLine="0"/>
      </w:pPr>
      <w:r>
        <w:rPr>
          <w:sz w:val="4"/>
        </w:rPr>
      </w:r>
    </w:p>
    <w:p>
      <w:pPr>
        <w:jc w:val="both"/>
      </w:pPr>
      <w:r>
        <w:t>本次评价围绕矿山装备制造领域高质量数据集建设及场景应用项目，对战略目标、实施范围、任务分解、资源条件、质量安全及持续运行安排进行检查。评价依据为项目招标要求和本次形成的战略文件内容，评价结论限于战略设计及实施准备要求的完整性、一致性和可执行性。</w:t>
      </w:r>
    </w:p>
    <w:p>
      <w:pPr>
        <w:jc w:val="both"/>
      </w:pPr>
      <w:r>
        <w:t>评价将文件设计结论与执行达成结论分别登记。制度生效、来源接入、数据生产、模型验证、业务使用、能力评估和最终验收，以相应实际批准、运行及验收证据为准。战略文件中规定的目标值不作为已完成值，拟安排的任务不作为已完成成果。</w:t>
      </w:r>
    </w:p>
    <w:p>
      <w:pPr>
        <w:pStyle w:val="Heading3"/>
      </w:pPr>
      <w:r>
        <w:t>4.1.2 总体评价结论</w:t>
      </w:r>
    </w:p>
    <w:p>
      <w:pPr>
        <w:jc w:val="both"/>
      </w:pPr>
      <w:r>
        <w:t>管理办法已覆盖职责授权、战略制定、任务下达、资源管理、常态化评价、风险处置、战略调整、档案和监督。战略规划形成八项企业级目标，明确九个业务域、十七套系统、四大数据集和十一个场景的建设安排。实施计划将六类战略任务分解为二十八个工作包，列明输入、责任、产出、检查及依赖条件，形成从现状调查到运行移交的执行路径。</w:t>
      </w:r>
    </w:p>
    <w:p>
      <w:pPr>
        <w:jc w:val="both"/>
      </w:pPr>
      <w:r>
        <w:t>四份战略文件采用同一目标、任务和证据关联方式。治理制度与数据生产、正式评测、资产运营及能力建设相互衔接，规模、质量、安全和时限分别设置检查条件。战略设计具备组织实施所需的目标体系、管理规则和任务结构；具体实施条件通过来源核验、责任授权、资源测算及总计划评审逐项落实。</w:t>
      </w:r>
    </w:p>
    <w:p>
      <w:pPr>
        <w:jc w:val="both"/>
      </w:pPr>
      <w:r>
        <w:t>实施准备的重点控制事项为责任岗位与实际部门对应、数据来源授权及可用性、资源容量与排期匹配、业务基线测量、场景评价协议和接收验收条件。上述事项纳入启动及现状调查工作包，完成核验并履行批准程序后进入对应执行阶段。未经确认的来源、参数、业务效果或能力等级，不进入完成成果统计。</w:t>
      </w:r>
    </w:p>
    <w:p>
      <w:pPr>
        <w:pStyle w:val="Heading2"/>
      </w:pPr>
      <w:r>
        <w:t>4.2 评价依据与证据方法</w:t>
      </w:r>
    </w:p>
    <w:p>
      <w:pPr>
        <w:pStyle w:val="Heading3"/>
      </w:pPr>
      <w:r>
        <w:t>4.2.1 依据分层与适用范围</w:t>
      </w:r>
    </w:p>
    <w:p>
      <w:pPr>
        <w:jc w:val="both"/>
      </w:pPr>
      <w:r>
        <w:t>项目要求按招标文件、投标承诺、技术协议、合同和批准实施文件建立对应关系，具体执行时核对有效版本及适用范围。公司治理要求按组织授权、制度、流程及批准决定登记。业务依据包括场景需求、工艺及检验要求、关键数据元素和业务归口确认。技术依据包括架构、接口、模型、规则、数据卡和质量评测协议。</w:t>
      </w:r>
    </w:p>
    <w:p>
      <w:pPr>
        <w:jc w:val="both"/>
      </w:pPr>
      <w:r>
        <w:t>评价依据清单保留名称、版本、来源、适用对象、有效状态、批准责任和关联目标。要求发生变化时先确认变更效力，再核查受影响任务及历史结论。不同依据对同一对象出现不一致时记录差异及处理决定，相关岗位共同复核，避免执行人员自行选取较低标准。</w:t>
      </w:r>
    </w:p>
    <w:p>
      <w:pPr>
        <w:pStyle w:val="Caption"/>
        <w:keepNext/>
      </w:pPr>
      <w:r>
        <w:t>表4-2 依据分层与适用范围</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评价主题</w:t>
            </w:r>
          </w:p>
        </w:tc>
        <w:tc>
          <w:tcPr>
            <w:tcW w:type="dxa" w:w="2699"/>
            <w:vAlign w:val="center"/>
            <w:shd w:fill="EDF1F3"/>
          </w:tcPr>
          <w:p>
            <w:pPr>
              <w:keepNext/>
              <w:spacing w:line="320" w:lineRule="exact" w:after="0" w:before="0"/>
              <w:ind w:firstLine="0"/>
              <w:jc w:val="center"/>
            </w:pPr>
            <w:r>
              <w:rPr>
                <w:b/>
                <w:sz w:val="21"/>
              </w:rPr>
              <w:t>主要设计证据</w:t>
            </w:r>
          </w:p>
        </w:tc>
        <w:tc>
          <w:tcPr>
            <w:tcW w:type="dxa" w:w="2409"/>
            <w:vAlign w:val="center"/>
            <w:shd w:fill="EDF1F3"/>
          </w:tcPr>
          <w:p>
            <w:pPr>
              <w:keepNext/>
              <w:spacing w:line="320" w:lineRule="exact" w:after="0" w:before="0"/>
              <w:ind w:firstLine="0"/>
              <w:jc w:val="center"/>
            </w:pPr>
            <w:r>
              <w:rPr>
                <w:b/>
                <w:sz w:val="21"/>
              </w:rPr>
              <w:t>可核验内容</w:t>
            </w:r>
          </w:p>
        </w:tc>
        <w:tc>
          <w:tcPr>
            <w:tcW w:type="dxa" w:w="2891"/>
            <w:vAlign w:val="center"/>
            <w:shd w:fill="EDF1F3"/>
          </w:tcPr>
          <w:p>
            <w:pPr>
              <w:keepNext/>
              <w:spacing w:line="320" w:lineRule="exact" w:after="0" w:before="0"/>
              <w:ind w:firstLine="0"/>
              <w:jc w:val="center"/>
            </w:pPr>
            <w:r>
              <w:rPr>
                <w:b/>
                <w:sz w:val="21"/>
              </w:rPr>
              <w:t>后续执行证据</w:t>
            </w:r>
          </w:p>
        </w:tc>
      </w:tr>
      <w:tr>
        <w:trPr>
          <w:cantSplit/>
        </w:trPr>
        <w:tc>
          <w:tcPr>
            <w:tcW w:type="dxa" w:w="1638"/>
            <w:vAlign w:val="center"/>
          </w:tcPr>
          <w:p>
            <w:pPr>
              <w:keepNext w:val="0"/>
              <w:spacing w:line="320" w:lineRule="exact" w:after="0" w:before="0"/>
              <w:ind w:firstLine="0"/>
              <w:jc w:val="left"/>
            </w:pPr>
            <w:r>
              <w:rPr>
                <w:b w:val="0"/>
                <w:sz w:val="21"/>
              </w:rPr>
              <w:t>职责与制度</w:t>
            </w:r>
          </w:p>
        </w:tc>
        <w:tc>
          <w:tcPr>
            <w:tcW w:type="dxa" w:w="2699"/>
            <w:vAlign w:val="center"/>
          </w:tcPr>
          <w:p>
            <w:pPr>
              <w:keepNext w:val="0"/>
              <w:spacing w:line="320" w:lineRule="exact" w:after="0" w:before="0"/>
              <w:ind w:firstLine="0"/>
              <w:jc w:val="left"/>
            </w:pPr>
            <w:r>
              <w:rPr>
                <w:b w:val="0"/>
                <w:sz w:val="21"/>
              </w:rPr>
              <w:t>管理办法第1.3至1.5节</w:t>
            </w:r>
          </w:p>
        </w:tc>
        <w:tc>
          <w:tcPr>
            <w:tcW w:type="dxa" w:w="2409"/>
            <w:vAlign w:val="center"/>
          </w:tcPr>
          <w:p>
            <w:pPr>
              <w:keepNext w:val="0"/>
              <w:spacing w:line="320" w:lineRule="exact" w:after="0" w:before="0"/>
              <w:ind w:firstLine="0"/>
              <w:jc w:val="left"/>
            </w:pPr>
            <w:r>
              <w:rPr>
                <w:b w:val="0"/>
                <w:sz w:val="21"/>
              </w:rPr>
              <w:t>决策管理执行职责、任务状态与批准</w:t>
            </w:r>
          </w:p>
        </w:tc>
        <w:tc>
          <w:tcPr>
            <w:tcW w:type="dxa" w:w="2891"/>
            <w:vAlign w:val="center"/>
          </w:tcPr>
          <w:p>
            <w:pPr>
              <w:keepNext w:val="0"/>
              <w:spacing w:line="320" w:lineRule="exact" w:after="0" w:before="0"/>
              <w:ind w:firstLine="0"/>
              <w:jc w:val="left"/>
            </w:pPr>
            <w:r>
              <w:rPr>
                <w:b w:val="0"/>
                <w:sz w:val="21"/>
              </w:rPr>
              <w:t>授权记录、议事决定、任务接收</w:t>
            </w:r>
          </w:p>
        </w:tc>
      </w:tr>
      <w:tr>
        <w:trPr>
          <w:cantSplit/>
        </w:trPr>
        <w:tc>
          <w:tcPr>
            <w:tcW w:type="dxa" w:w="1638"/>
            <w:vAlign w:val="center"/>
          </w:tcPr>
          <w:p>
            <w:pPr>
              <w:keepNext w:val="0"/>
              <w:spacing w:line="320" w:lineRule="exact" w:after="0" w:before="0"/>
              <w:ind w:firstLine="0"/>
              <w:jc w:val="left"/>
            </w:pPr>
            <w:r>
              <w:rPr>
                <w:b w:val="0"/>
                <w:sz w:val="21"/>
              </w:rPr>
              <w:t>目标与范围</w:t>
            </w:r>
          </w:p>
        </w:tc>
        <w:tc>
          <w:tcPr>
            <w:tcW w:type="dxa" w:w="2699"/>
            <w:vAlign w:val="center"/>
          </w:tcPr>
          <w:p>
            <w:pPr>
              <w:keepNext w:val="0"/>
              <w:spacing w:line="320" w:lineRule="exact" w:after="0" w:before="0"/>
              <w:ind w:firstLine="0"/>
              <w:jc w:val="left"/>
            </w:pPr>
            <w:r>
              <w:rPr>
                <w:b w:val="0"/>
                <w:sz w:val="21"/>
              </w:rPr>
              <w:t>战略规划第2.3至2.7节</w:t>
            </w:r>
          </w:p>
        </w:tc>
        <w:tc>
          <w:tcPr>
            <w:tcW w:type="dxa" w:w="2409"/>
            <w:vAlign w:val="center"/>
          </w:tcPr>
          <w:p>
            <w:pPr>
              <w:keepNext w:val="0"/>
              <w:spacing w:line="320" w:lineRule="exact" w:after="0" w:before="0"/>
              <w:ind w:firstLine="0"/>
              <w:jc w:val="left"/>
            </w:pPr>
            <w:r>
              <w:rPr>
                <w:b w:val="0"/>
                <w:sz w:val="21"/>
              </w:rPr>
              <w:t>八项目标及业务、系统、数据、场景覆盖</w:t>
            </w:r>
          </w:p>
        </w:tc>
        <w:tc>
          <w:tcPr>
            <w:tcW w:type="dxa" w:w="2891"/>
            <w:vAlign w:val="center"/>
          </w:tcPr>
          <w:p>
            <w:pPr>
              <w:keepNext w:val="0"/>
              <w:spacing w:line="320" w:lineRule="exact" w:after="0" w:before="0"/>
              <w:ind w:firstLine="0"/>
              <w:jc w:val="left"/>
            </w:pPr>
            <w:r>
              <w:rPr>
                <w:b w:val="0"/>
                <w:sz w:val="21"/>
              </w:rPr>
              <w:t>基线、资源清单、实际供给及使用</w:t>
            </w:r>
          </w:p>
        </w:tc>
      </w:tr>
      <w:tr>
        <w:trPr>
          <w:cantSplit/>
        </w:trPr>
        <w:tc>
          <w:tcPr>
            <w:tcW w:type="dxa" w:w="1638"/>
            <w:vAlign w:val="center"/>
          </w:tcPr>
          <w:p>
            <w:pPr>
              <w:keepNext w:val="0"/>
              <w:spacing w:line="320" w:lineRule="exact" w:after="0" w:before="0"/>
              <w:ind w:firstLine="0"/>
              <w:jc w:val="left"/>
            </w:pPr>
            <w:r>
              <w:rPr>
                <w:b w:val="0"/>
                <w:sz w:val="21"/>
              </w:rPr>
              <w:t>路线与资源</w:t>
            </w:r>
          </w:p>
        </w:tc>
        <w:tc>
          <w:tcPr>
            <w:tcW w:type="dxa" w:w="2699"/>
            <w:vAlign w:val="center"/>
          </w:tcPr>
          <w:p>
            <w:pPr>
              <w:keepNext w:val="0"/>
              <w:spacing w:line="320" w:lineRule="exact" w:after="0" w:before="0"/>
              <w:ind w:firstLine="0"/>
              <w:jc w:val="left"/>
            </w:pPr>
            <w:r>
              <w:rPr>
                <w:b w:val="0"/>
                <w:sz w:val="21"/>
              </w:rPr>
              <w:t>战略规划第2.8至2.10节</w:t>
            </w:r>
          </w:p>
        </w:tc>
        <w:tc>
          <w:tcPr>
            <w:tcW w:type="dxa" w:w="2409"/>
            <w:vAlign w:val="center"/>
          </w:tcPr>
          <w:p>
            <w:pPr>
              <w:keepNext w:val="0"/>
              <w:spacing w:line="320" w:lineRule="exact" w:after="0" w:before="0"/>
              <w:ind w:firstLine="0"/>
              <w:jc w:val="left"/>
            </w:pPr>
            <w:r>
              <w:rPr>
                <w:b w:val="0"/>
                <w:sz w:val="21"/>
              </w:rPr>
              <w:t>六类任务、投入条件和六阶段路线</w:t>
            </w:r>
          </w:p>
        </w:tc>
        <w:tc>
          <w:tcPr>
            <w:tcW w:type="dxa" w:w="2891"/>
            <w:vAlign w:val="center"/>
          </w:tcPr>
          <w:p>
            <w:pPr>
              <w:keepNext w:val="0"/>
              <w:spacing w:line="320" w:lineRule="exact" w:after="0" w:before="0"/>
              <w:ind w:firstLine="0"/>
              <w:jc w:val="left"/>
            </w:pPr>
            <w:r>
              <w:rPr>
                <w:b w:val="0"/>
                <w:sz w:val="21"/>
              </w:rPr>
              <w:t>资源排期、环境验证、阶段检查</w:t>
            </w:r>
          </w:p>
        </w:tc>
      </w:tr>
      <w:tr>
        <w:trPr>
          <w:cantSplit/>
        </w:trPr>
        <w:tc>
          <w:tcPr>
            <w:tcW w:type="dxa" w:w="1638"/>
            <w:vAlign w:val="center"/>
          </w:tcPr>
          <w:p>
            <w:pPr>
              <w:keepNext w:val="0"/>
              <w:spacing w:line="320" w:lineRule="exact" w:after="0" w:before="0"/>
              <w:ind w:firstLine="0"/>
              <w:jc w:val="left"/>
            </w:pPr>
            <w:r>
              <w:rPr>
                <w:b w:val="0"/>
                <w:sz w:val="21"/>
              </w:rPr>
              <w:t>实施与依赖</w:t>
            </w:r>
          </w:p>
        </w:tc>
        <w:tc>
          <w:tcPr>
            <w:tcW w:type="dxa" w:w="2699"/>
            <w:vAlign w:val="center"/>
          </w:tcPr>
          <w:p>
            <w:pPr>
              <w:keepNext w:val="0"/>
              <w:spacing w:line="320" w:lineRule="exact" w:after="0" w:before="0"/>
              <w:ind w:firstLine="0"/>
              <w:jc w:val="left"/>
            </w:pPr>
            <w:r>
              <w:rPr>
                <w:b w:val="0"/>
                <w:sz w:val="21"/>
              </w:rPr>
              <w:t>实施计划第3.3至3.9节</w:t>
            </w:r>
          </w:p>
        </w:tc>
        <w:tc>
          <w:tcPr>
            <w:tcW w:type="dxa" w:w="2409"/>
            <w:vAlign w:val="center"/>
          </w:tcPr>
          <w:p>
            <w:pPr>
              <w:keepNext w:val="0"/>
              <w:spacing w:line="320" w:lineRule="exact" w:after="0" w:before="0"/>
              <w:ind w:firstLine="0"/>
              <w:jc w:val="left"/>
            </w:pPr>
            <w:r>
              <w:rPr>
                <w:b w:val="0"/>
                <w:sz w:val="21"/>
              </w:rPr>
              <w:t>二十八工作包、前置条件与业务链</w:t>
            </w:r>
          </w:p>
        </w:tc>
        <w:tc>
          <w:tcPr>
            <w:tcW w:type="dxa" w:w="2891"/>
            <w:vAlign w:val="center"/>
          </w:tcPr>
          <w:p>
            <w:pPr>
              <w:keepNext w:val="0"/>
              <w:spacing w:line="320" w:lineRule="exact" w:after="0" w:before="0"/>
              <w:ind w:firstLine="0"/>
              <w:jc w:val="left"/>
            </w:pPr>
            <w:r>
              <w:rPr>
                <w:b w:val="0"/>
                <w:sz w:val="21"/>
              </w:rPr>
              <w:t>工作记录、输入接收、成果检查</w:t>
            </w:r>
          </w:p>
        </w:tc>
      </w:tr>
      <w:tr>
        <w:trPr>
          <w:cantSplit/>
        </w:trPr>
        <w:tc>
          <w:tcPr>
            <w:tcW w:type="dxa" w:w="1638"/>
            <w:vAlign w:val="center"/>
          </w:tcPr>
          <w:p>
            <w:pPr>
              <w:keepNext w:val="0"/>
              <w:spacing w:line="320" w:lineRule="exact" w:after="0" w:before="0"/>
              <w:ind w:firstLine="0"/>
              <w:jc w:val="left"/>
            </w:pPr>
            <w:r>
              <w:rPr>
                <w:b w:val="0"/>
                <w:sz w:val="21"/>
              </w:rPr>
              <w:t>评价与调整</w:t>
            </w:r>
          </w:p>
        </w:tc>
        <w:tc>
          <w:tcPr>
            <w:tcW w:type="dxa" w:w="2699"/>
            <w:vAlign w:val="center"/>
          </w:tcPr>
          <w:p>
            <w:pPr>
              <w:keepNext w:val="0"/>
              <w:spacing w:line="320" w:lineRule="exact" w:after="0" w:before="0"/>
              <w:ind w:firstLine="0"/>
              <w:jc w:val="left"/>
            </w:pPr>
            <w:r>
              <w:rPr>
                <w:b w:val="0"/>
                <w:sz w:val="21"/>
              </w:rPr>
              <w:t>管理办法第1.7至1.9节及实施计划第3.10至3.13节</w:t>
            </w:r>
          </w:p>
        </w:tc>
        <w:tc>
          <w:tcPr>
            <w:tcW w:type="dxa" w:w="2409"/>
            <w:vAlign w:val="center"/>
          </w:tcPr>
          <w:p>
            <w:pPr>
              <w:keepNext w:val="0"/>
              <w:spacing w:line="320" w:lineRule="exact" w:after="0" w:before="0"/>
              <w:ind w:firstLine="0"/>
              <w:jc w:val="left"/>
            </w:pPr>
            <w:r>
              <w:rPr>
                <w:b w:val="0"/>
                <w:sz w:val="21"/>
              </w:rPr>
              <w:t>偏差、风险、变更、复核和修订</w:t>
            </w:r>
          </w:p>
        </w:tc>
        <w:tc>
          <w:tcPr>
            <w:tcW w:type="dxa" w:w="2891"/>
            <w:vAlign w:val="center"/>
          </w:tcPr>
          <w:p>
            <w:pPr>
              <w:keepNext w:val="0"/>
              <w:spacing w:line="320" w:lineRule="exact" w:after="0" w:before="0"/>
              <w:ind w:firstLine="0"/>
              <w:jc w:val="left"/>
            </w:pPr>
            <w:r>
              <w:rPr>
                <w:b w:val="0"/>
                <w:sz w:val="21"/>
              </w:rPr>
              <w:t>评估报告、批准变更、整改复测</w:t>
            </w:r>
          </w:p>
        </w:tc>
      </w:tr>
      <w:tr>
        <w:trPr>
          <w:cantSplit/>
        </w:trPr>
        <w:tc>
          <w:tcPr>
            <w:tcW w:type="dxa" w:w="1638"/>
            <w:vAlign w:val="center"/>
          </w:tcPr>
          <w:p>
            <w:pPr>
              <w:keepNext w:val="0"/>
              <w:spacing w:line="320" w:lineRule="exact" w:after="0" w:before="0"/>
              <w:ind w:firstLine="0"/>
              <w:jc w:val="left"/>
            </w:pPr>
            <w:r>
              <w:rPr>
                <w:b w:val="0"/>
                <w:sz w:val="21"/>
              </w:rPr>
              <w:t>持续运行</w:t>
            </w:r>
          </w:p>
        </w:tc>
        <w:tc>
          <w:tcPr>
            <w:tcW w:type="dxa" w:w="2699"/>
            <w:vAlign w:val="center"/>
          </w:tcPr>
          <w:p>
            <w:pPr>
              <w:keepNext w:val="0"/>
              <w:spacing w:line="320" w:lineRule="exact" w:after="0" w:before="0"/>
              <w:ind w:firstLine="0"/>
              <w:jc w:val="left"/>
            </w:pPr>
            <w:r>
              <w:rPr>
                <w:b w:val="0"/>
                <w:sz w:val="21"/>
              </w:rPr>
              <w:t>战略规划第2.12节及实施计划第3.7、3.12节</w:t>
            </w:r>
          </w:p>
        </w:tc>
        <w:tc>
          <w:tcPr>
            <w:tcW w:type="dxa" w:w="2409"/>
            <w:vAlign w:val="center"/>
          </w:tcPr>
          <w:p>
            <w:pPr>
              <w:keepNext w:val="0"/>
              <w:spacing w:line="320" w:lineRule="exact" w:after="0" w:before="0"/>
              <w:ind w:firstLine="0"/>
              <w:jc w:val="left"/>
            </w:pPr>
            <w:r>
              <w:rPr>
                <w:b w:val="0"/>
                <w:sz w:val="21"/>
              </w:rPr>
              <w:t>能力建设、岗位承接和服务安排</w:t>
            </w:r>
          </w:p>
        </w:tc>
        <w:tc>
          <w:tcPr>
            <w:tcW w:type="dxa" w:w="2891"/>
            <w:vAlign w:val="center"/>
          </w:tcPr>
          <w:p>
            <w:pPr>
              <w:keepNext w:val="0"/>
              <w:spacing w:line="320" w:lineRule="exact" w:after="0" w:before="0"/>
              <w:ind w:firstLine="0"/>
              <w:jc w:val="left"/>
            </w:pPr>
            <w:r>
              <w:rPr>
                <w:b w:val="0"/>
                <w:sz w:val="21"/>
              </w:rPr>
              <w:t>实操记录、移交接收及维护档案</w:t>
            </w:r>
          </w:p>
        </w:tc>
      </w:tr>
    </w:tbl>
    <w:p>
      <w:pPr>
        <w:spacing w:after="40" w:line="240" w:lineRule="auto"/>
        <w:ind w:firstLine="0"/>
      </w:pPr>
      <w:r>
        <w:rPr>
          <w:sz w:val="4"/>
        </w:rPr>
      </w:r>
    </w:p>
    <w:p>
      <w:pPr>
        <w:pStyle w:val="Heading3"/>
      </w:pPr>
      <w:r>
        <w:t>4.2.2 证据核验与结论形成</w:t>
      </w:r>
    </w:p>
    <w:p>
      <w:pPr>
        <w:jc w:val="both"/>
      </w:pPr>
      <w:r>
        <w:t>设计评价逐项核对要求是否已转化为明确目标、任务、责任和验证方法。对同一对象在多个章节出现的数值、名称、范围、状态和期限进行交叉检查。任务可执行性检查从产出反推必要输入，再核查前置任务、人员环境及批准条件是否具备安排。</w:t>
      </w:r>
    </w:p>
    <w:p>
      <w:pPr>
        <w:jc w:val="both"/>
      </w:pPr>
      <w:r>
        <w:t>执行评价先固定评价区间和对象版本，再采集实际数据。任务进度与成果接收记录核对，数据规模与内容摘要及生产台账核对，质量结果与评测原始记录核对，业务效果与使用记录和基线核对。单一汇总报表不能独立支撑涉及多个条件的完成判断。</w:t>
      </w:r>
    </w:p>
    <w:p>
      <w:pPr>
        <w:jc w:val="both"/>
      </w:pPr>
      <w:r>
        <w:t>证据分为批准文件、系统运行、业务核验、独立检测和现场操作等类型。不同类型材料交叉支撑同一事实，评价记录标明可以证明的范围。缺失、过期、无法定位或与对象版本不符的证据形成具体补证任务；补证完成后重新判断，不以口头承诺关闭问题。</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0" name="Picture 10"/>
            <wp:cNvGraphicFramePr>
              <a:graphicFrameLocks noChangeAspect="1"/>
            </wp:cNvGraphicFramePr>
            <a:graphic>
              <a:graphicData uri="http://schemas.openxmlformats.org/drawingml/2006/picture">
                <pic:pic>
                  <pic:nvPicPr>
                    <pic:cNvPr id="0" name="图10_执行评价.png"/>
                    <pic:cNvPicPr/>
                  </pic:nvPicPr>
                  <pic:blipFill>
                    <a:blip r:embed="rId20"/>
                    <a:stretch>
                      <a:fillRect/>
                    </a:stretch>
                  </pic:blipFill>
                  <pic:spPr>
                    <a:xfrm>
                      <a:off x="0" y="0"/>
                      <a:ext cx="6048000" cy="1942338"/>
                    </a:xfrm>
                    <a:prstGeom prst="rect"/>
                  </pic:spPr>
                </pic:pic>
              </a:graphicData>
            </a:graphic>
          </wp:inline>
        </w:drawing>
      </w:r>
    </w:p>
    <w:p>
      <w:pPr>
        <w:pStyle w:val="Caption"/>
        <w:jc w:val="center"/>
      </w:pPr>
      <w:r>
        <w:t>图4-1 战略评价程序</w:t>
      </w:r>
    </w:p>
    <w:p>
      <w:pPr>
        <w:pStyle w:val="Heading2"/>
      </w:pPr>
      <w:r>
        <w:t>4.3 战略设计完整性评价</w:t>
      </w:r>
    </w:p>
    <w:p>
      <w:pPr>
        <w:pStyle w:val="Heading3"/>
      </w:pPr>
      <w:r>
        <w:t>4.3.1 治理目标与组织机制</w:t>
      </w:r>
    </w:p>
    <w:p>
      <w:pPr>
        <w:jc w:val="both"/>
      </w:pPr>
      <w:r>
        <w:t>战略规划八项目标依次覆盖治理责任、资源基础、业务一致性、质量安全、数据供给、场景验证、资产运营和能力维护，能够将项目建设要求转化为公司可管理的工作方向。目标同时配置产出和证据，避免仅以文件数量判断治理成效。</w:t>
      </w:r>
    </w:p>
    <w:p>
      <w:pPr>
        <w:jc w:val="both"/>
      </w:pPr>
      <w:r>
        <w:t>管理办法区分决策层、管理层、执行及专业审核职责，制度设计明确任务下达、资源协调、异常升级和结果批准。实施计划将职责确认列为 WP-01，将管理办法发布列为 WP-02，使后续规划、计划及生产工作具备组织前置条件。</w:t>
      </w:r>
    </w:p>
    <w:p>
      <w:pPr>
        <w:jc w:val="both"/>
      </w:pPr>
      <w:r>
        <w:t>组织设计的实施准备应完成实际部门岗位映射、代理授权、会议议事和争议升级路径。跨部门对象须确认唯一业务归口与必要协同岗位；技术维护责任与业务定义责任分别登记。上述结果经公司有权岗位确认后，作为工作包下达和审批配置的依据。</w:t>
      </w:r>
    </w:p>
    <w:p>
      <w:pPr>
        <w:pStyle w:val="Heading3"/>
      </w:pPr>
      <w:r>
        <w:t>4.3.2 业务范围与资源覆盖</w:t>
      </w:r>
    </w:p>
    <w:p>
      <w:pPr>
        <w:jc w:val="both"/>
      </w:pPr>
      <w:r>
        <w:t>战略规划对九个业务域分别明确对象、重点和预期治理成果，十七套系统列入来源与集成安排。业务需求与技术来源分别盘点，能够识别一个业务域由多系统支撑、一套系统服务多业务域以及系统外文件资料等情况。范围设计覆盖从业务定义到来源定位的必要关系。</w:t>
      </w:r>
    </w:p>
    <w:p>
      <w:pPr>
        <w:jc w:val="both"/>
      </w:pPr>
      <w:r>
        <w:t>资源覆盖在执行中按业务域、系统、对象和时间范围四个层次核查。列入盘点不等于完成授权，建立连接不等于数据完整，提取成功不等于业务可用。评价分别检查授权、实际访问、字段及历史范围、附件关系、对账结果和业务确认。</w:t>
      </w:r>
    </w:p>
    <w:p>
      <w:pPr>
        <w:jc w:val="both"/>
      </w:pPr>
      <w:r>
        <w:t>资源盘点使用统一资源标识，系统别名、历史名称及实际实例建立映射。对正式运行、历史归档、停用及替代系统分别标识状态；历史数据仍被使用时继续保留来源责任及访问条件。系统外图纸、工艺、制度和标准资料纳入文件来源清单，与所属业务对象关联。</w:t>
      </w:r>
    </w:p>
    <w:p>
      <w:pPr>
        <w:pStyle w:val="Heading3"/>
      </w:pPr>
      <w:r>
        <w:t>4.3.3 数据供给与场景联系</w:t>
      </w:r>
    </w:p>
    <w:p>
      <w:pPr>
        <w:jc w:val="both"/>
      </w:pPr>
      <w:r>
        <w:t>四大数据集分别对应供需计划、产品工艺设计、制造过程和产品质量，四类用途分别组织预训练、指令微调、偏好对齐和基准评测。十六项净量目标逐项登记，数据卡、质量检测、模型验证和正式评测与同一发布版本关联，供给设计具有明确的验收对象。</w:t>
      </w:r>
    </w:p>
    <w:p>
      <w:pPr>
        <w:jc w:val="both"/>
      </w:pPr>
      <w:r>
        <w:t>十一个场景在规划中列明输入、关键条件及验证方向。六项业务场景围绕工程对象和业务约束组织数据，五项智能助手场景围绕有效制度、标准、标书、指标和合同证据组织知识及问答。场景验证结果能够反馈到来源补充、专业标签、样本结构和规则修订。</w:t>
      </w:r>
    </w:p>
    <w:p>
      <w:pPr>
        <w:jc w:val="both"/>
      </w:pPr>
      <w:r>
        <w:t>实施阶段须把场景需求细化为输入输出协议、适用边界和判定规则。标准答案依赖业务条件时记录条件，不将省略工况的结论当作通用答案。对模型输出进行业务核验时区分事实正确、条件完整、证据可靠和实际可执行，分别形成问题归因及改进任务。</w:t>
      </w:r>
    </w:p>
    <w:p>
      <w:pPr>
        <w:pStyle w:val="Heading2"/>
      </w:pPr>
      <w:r>
        <w:t>4.4 实施可行性评价</w:t>
      </w:r>
    </w:p>
    <w:p>
      <w:pPr>
        <w:pStyle w:val="Heading3"/>
      </w:pPr>
      <w:r>
        <w:t>4.4.1 任务链与阶段依赖</w:t>
      </w:r>
    </w:p>
    <w:p>
      <w:pPr>
        <w:jc w:val="both"/>
      </w:pPr>
      <w:r>
        <w:t>实施计划二十八个工作包覆盖组织制度、现状调查、数据基础、治理执行、生产评测、资产运营、能力提升和交付接续。各工作包给出输入、实施活动、检查和产出，依赖关系与战略任务相连，能够支持逐项下达、跟踪和验收。</w:t>
      </w:r>
    </w:p>
    <w:p>
      <w:pPr>
        <w:jc w:val="both"/>
      </w:pPr>
      <w:r>
        <w:t>首批实施采用启动、调查、规划和架构设计适度交叠的安排。可并行部分以分批确认的有效输入为前提，未确认内容不作为后续正式发布依据。该安排有利于尽早发现来源与资源约束，同时需要通过统一总计划控制版本和前置条件，防止局部任务先行导致整体返工。</w:t>
      </w:r>
    </w:p>
    <w:p>
      <w:pPr>
        <w:jc w:val="both"/>
      </w:pPr>
      <w:r>
        <w:t>四条关键业务链明确图纸工艺制造检验、需求采购库存交付、设备测点故障维修、制度标准指标合同的对象关系。执行中优先验证关键关联和专业规则，再扩大到同类来源及业务范围。阶段接收检查既核验单项成果，也核验相邻环节的实际衔接。</w:t>
      </w:r>
    </w:p>
    <w:p>
      <w:pPr>
        <w:pStyle w:val="Heading3"/>
      </w:pPr>
      <w:r>
        <w:t>4.4.2 资源条件与容量约束</w:t>
      </w:r>
    </w:p>
    <w:p>
      <w:pPr>
        <w:jc w:val="both"/>
      </w:pPr>
      <w:r>
        <w:t>资源规划分别安排业务专家、治理人员、数据生产、质量安全、模型验证及运行承接能力。岗位职责与工作包相连，能够据实际任务量安排投入。资源可行性须以人员可用时间、有效环境容量、实际样本处理效率和复核负荷进一步测算。</w:t>
      </w:r>
    </w:p>
    <w:p>
      <w:pPr>
        <w:jc w:val="both"/>
      </w:pPr>
      <w:r>
        <w:t>容量测算同时考虑正常生产、异常重试、质量复核和集中复测。只按自动处理峰值估计交付时间，可能低估专家判断、人工标注和整改所需工作量；只按原始数据量估计存储，可能遗漏中间版本、测试封存及证据保留。实施计划已设置容量复核和资源调整机制，执行时将测算输入及实际结果按批次保留。</w:t>
      </w:r>
    </w:p>
    <w:p>
      <w:pPr>
        <w:jc w:val="both"/>
      </w:pPr>
      <w:r>
        <w:t>资源冲突由项目管理岗位统筹处理。多个工作包使用同一业务专家、环境窗口或设备时，依据交付依赖、风险及实际准备程度安排顺序。资源调整同时核查前后续任务、质量验证和安全条件，不通过取消必要检查压缩时间。</w:t>
      </w:r>
    </w:p>
    <w:p>
      <w:pPr>
        <w:pStyle w:val="Heading2"/>
      </w:pPr>
      <w:r>
        <w:t>4.5 质量安全与持续运行评价</w:t>
      </w:r>
    </w:p>
    <w:p>
      <w:pPr>
        <w:pStyle w:val="Heading3"/>
      </w:pPr>
      <w:r>
        <w:t>4.5.1 质量与安全控制完整性</w:t>
      </w:r>
    </w:p>
    <w:p>
      <w:pPr>
        <w:jc w:val="both"/>
      </w:pPr>
      <w:r>
        <w:t>战略文件将业务治理质量、数据生产质检和正式质量评测分别管理，保留各自对象、规则和责任。治理规则保证来源、定义及关联可用，生产质检保证加工结果符合用途，正式评测按三个维度、全部指标及模型对照形成独立结论。三类工作相互提供输入，完成条件分别核验。</w:t>
      </w:r>
    </w:p>
    <w:p>
      <w:pPr>
        <w:jc w:val="both"/>
      </w:pPr>
      <w:r>
        <w:t>规模、模态、时效、合成增强比例、质量评分、风险整改和模型效果按各自计量规则登记。硬性指标逐项判断，综合得分不能抵消任一必须满足的条件。已知问题整改关联来源家族及派生内容，避免仅修正当前样本而保留同类缺陷。</w:t>
      </w:r>
    </w:p>
    <w:p>
      <w:pPr>
        <w:jc w:val="both"/>
      </w:pPr>
      <w:r>
        <w:t>安全设计覆盖来源授权、分类分级、最小权限、使用范围、敏感处理、审计和退出清理。原始业务数据在批准的受控环境内处理，外部服务或数据提供按实际授权及技术条件审查。战略报告及其证据附件继承所含数据的管理要求，汇总结果发布前检查是否可能反推出受限业务信息。</w:t>
      </w:r>
    </w:p>
    <w:p>
      <w:pPr>
        <w:pStyle w:val="Heading3"/>
      </w:pPr>
      <w:r>
        <w:t>4.5.2 资产运营与能力维护</w:t>
      </w:r>
    </w:p>
    <w:p>
      <w:pPr>
        <w:jc w:val="both"/>
      </w:pPr>
      <w:r>
        <w:t>规划将资源目录、权利登记、授权服务、使用反馈和内部价值评价设为连续任务，能够把建设成果与实际使用连接。资源价值以可用性、质量、使用效果、复用条件和成本等证据评价，资产目录登记与具体会计处理分别履行适用程序。</w:t>
      </w:r>
    </w:p>
    <w:p>
      <w:pPr>
        <w:jc w:val="both"/>
      </w:pPr>
      <w:r>
        <w:t>能力建设通过实际制度、流程、配置、运行和检查证据持续积累。岗位培训与真实任务和异常处理结合，移交以接收岗位可以独立使用和维护为依据。仅有制度文本、培训签到或系统功能清单，不能单独证明持续运行能力。</w:t>
      </w:r>
    </w:p>
    <w:p>
      <w:pPr>
        <w:jc w:val="both"/>
      </w:pPr>
      <w:r>
        <w:t>项目终验与服务接续已有统一安排，要求2028年5月前完成终验，并按至少12个月质保及期满24个月免费技术服务提供支持。运行期将质量波动、来源变化、规则失效、权限异常和岗位变更纳入巡检及评价，使战略调整有连续证据支持。</w:t>
      </w:r>
    </w:p>
    <w:p>
      <w:pPr>
        <w:pStyle w:val="Heading2"/>
      </w:pPr>
      <w:r>
        <w:t>4.6 战略指标定义与计算</w:t>
      </w:r>
    </w:p>
    <w:p>
      <w:pPr>
        <w:pStyle w:val="Heading3"/>
      </w:pPr>
      <w:r>
        <w:t>4.6.1 指标登记和数据冻结</w:t>
      </w:r>
    </w:p>
    <w:p>
      <w:pPr>
        <w:jc w:val="both"/>
      </w:pPr>
      <w:r>
        <w:t>每个指标建立独立卡片，登记指标标识、目标关联、名称、管理目的、对象范围、计量单位、分子分母、排除条件、周期、来源、责任、目标和复核方式。原始记录、计算脚本、规则版本和结果摘要共同归档。相同名称在不同业务域采用不同定义时使用不同标识，并明确汇总限制。</w:t>
      </w:r>
    </w:p>
    <w:p>
      <w:pPr>
        <w:jc w:val="both"/>
      </w:pPr>
      <w:r>
        <w:t>评价前固定统计截止时点、对象版本和范围清单。截止后补充的记录形成更正版本，保留原结果及差异原因。未到期任务与到期任务分别计算，批准暂停事项保留原计划和调整记录，未批准延期仍按原到期状态反映。</w:t>
      </w:r>
    </w:p>
    <w:p>
      <w:pPr>
        <w:jc w:val="both"/>
      </w:pPr>
      <w:r>
        <w:t>比例指标必须同时报告分子、分母和百分比。分母为零时登记本期无适用对象，并说明其业务原因和后续核查安排；不得以满分或百分之百替代无对象状态。跨业务域、跨系统汇总时重新汇总有效分子分母，不对不同规模分组的百分比直接求平均。</w:t>
      </w:r>
    </w:p>
    <w:p>
      <w:pPr>
        <w:pStyle w:val="Caption"/>
        <w:keepNext/>
      </w:pPr>
      <w:r>
        <w:t>表4-3 指标登记和数据冻结</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指标标识</w:t>
            </w:r>
          </w:p>
        </w:tc>
        <w:tc>
          <w:tcPr>
            <w:tcW w:type="dxa" w:w="2699"/>
            <w:vAlign w:val="center"/>
            <w:shd w:fill="EDF1F3"/>
          </w:tcPr>
          <w:p>
            <w:pPr>
              <w:keepNext/>
              <w:spacing w:line="320" w:lineRule="exact" w:after="0" w:before="0"/>
              <w:ind w:firstLine="0"/>
              <w:jc w:val="center"/>
            </w:pPr>
            <w:r>
              <w:rPr>
                <w:b/>
                <w:sz w:val="21"/>
              </w:rPr>
              <w:t>指标名称</w:t>
            </w:r>
          </w:p>
        </w:tc>
        <w:tc>
          <w:tcPr>
            <w:tcW w:type="dxa" w:w="2409"/>
            <w:vAlign w:val="center"/>
            <w:shd w:fill="EDF1F3"/>
          </w:tcPr>
          <w:p>
            <w:pPr>
              <w:keepNext/>
              <w:spacing w:line="320" w:lineRule="exact" w:after="0" w:before="0"/>
              <w:ind w:firstLine="0"/>
              <w:jc w:val="center"/>
            </w:pPr>
            <w:r>
              <w:rPr>
                <w:b/>
                <w:sz w:val="21"/>
              </w:rPr>
              <w:t>定义及计算</w:t>
            </w:r>
          </w:p>
        </w:tc>
        <w:tc>
          <w:tcPr>
            <w:tcW w:type="dxa" w:w="2891"/>
            <w:vAlign w:val="center"/>
            <w:shd w:fill="EDF1F3"/>
          </w:tcPr>
          <w:p>
            <w:pPr>
              <w:keepNext/>
              <w:spacing w:line="320" w:lineRule="exact" w:after="0" w:before="0"/>
              <w:ind w:firstLine="0"/>
              <w:jc w:val="center"/>
            </w:pPr>
            <w:r>
              <w:rPr>
                <w:b/>
                <w:sz w:val="21"/>
              </w:rPr>
              <w:t>主要证据</w:t>
            </w:r>
          </w:p>
        </w:tc>
      </w:tr>
      <w:tr>
        <w:trPr>
          <w:cantSplit/>
        </w:trPr>
        <w:tc>
          <w:tcPr>
            <w:tcW w:type="dxa" w:w="1638"/>
            <w:vAlign w:val="center"/>
          </w:tcPr>
          <w:p>
            <w:pPr>
              <w:keepNext w:val="0"/>
              <w:spacing w:line="320" w:lineRule="exact" w:after="0" w:before="0"/>
              <w:ind w:firstLine="0"/>
              <w:jc w:val="left"/>
            </w:pPr>
            <w:r>
              <w:rPr>
                <w:b w:val="0"/>
                <w:sz w:val="21"/>
              </w:rPr>
              <w:t>SI-01</w:t>
            </w:r>
          </w:p>
        </w:tc>
        <w:tc>
          <w:tcPr>
            <w:tcW w:type="dxa" w:w="2699"/>
            <w:vAlign w:val="center"/>
          </w:tcPr>
          <w:p>
            <w:pPr>
              <w:keepNext w:val="0"/>
              <w:spacing w:line="320" w:lineRule="exact" w:after="0" w:before="0"/>
              <w:ind w:firstLine="0"/>
              <w:jc w:val="left"/>
            </w:pPr>
            <w:r>
              <w:rPr>
                <w:b w:val="0"/>
                <w:sz w:val="21"/>
              </w:rPr>
              <w:t>责任确认覆盖率</w:t>
            </w:r>
          </w:p>
        </w:tc>
        <w:tc>
          <w:tcPr>
            <w:tcW w:type="dxa" w:w="2409"/>
            <w:vAlign w:val="center"/>
          </w:tcPr>
          <w:p>
            <w:pPr>
              <w:keepNext w:val="0"/>
              <w:spacing w:line="320" w:lineRule="exact" w:after="0" w:before="0"/>
              <w:ind w:firstLine="0"/>
              <w:jc w:val="left"/>
            </w:pPr>
            <w:r>
              <w:rPr>
                <w:b w:val="0"/>
                <w:sz w:val="21"/>
              </w:rPr>
              <w:t>已确认业务归口、技术维护和审核责任的对象数除以本期应确认对象数</w:t>
            </w:r>
          </w:p>
        </w:tc>
        <w:tc>
          <w:tcPr>
            <w:tcW w:type="dxa" w:w="2891"/>
            <w:vAlign w:val="center"/>
          </w:tcPr>
          <w:p>
            <w:pPr>
              <w:keepNext w:val="0"/>
              <w:spacing w:line="320" w:lineRule="exact" w:after="0" w:before="0"/>
              <w:ind w:firstLine="0"/>
              <w:jc w:val="left"/>
            </w:pPr>
            <w:r>
              <w:rPr>
                <w:b w:val="0"/>
                <w:sz w:val="21"/>
              </w:rPr>
              <w:t>授权、职责映射及对象清单</w:t>
            </w:r>
          </w:p>
        </w:tc>
      </w:tr>
      <w:tr>
        <w:trPr>
          <w:cantSplit/>
        </w:trPr>
        <w:tc>
          <w:tcPr>
            <w:tcW w:type="dxa" w:w="1638"/>
            <w:vAlign w:val="center"/>
          </w:tcPr>
          <w:p>
            <w:pPr>
              <w:keepNext w:val="0"/>
              <w:spacing w:line="320" w:lineRule="exact" w:after="0" w:before="0"/>
              <w:ind w:firstLine="0"/>
              <w:jc w:val="left"/>
            </w:pPr>
            <w:r>
              <w:rPr>
                <w:b w:val="0"/>
                <w:sz w:val="21"/>
              </w:rPr>
              <w:t>SI-02</w:t>
            </w:r>
          </w:p>
        </w:tc>
        <w:tc>
          <w:tcPr>
            <w:tcW w:type="dxa" w:w="2699"/>
            <w:vAlign w:val="center"/>
          </w:tcPr>
          <w:p>
            <w:pPr>
              <w:keepNext w:val="0"/>
              <w:spacing w:line="320" w:lineRule="exact" w:after="0" w:before="0"/>
              <w:ind w:firstLine="0"/>
              <w:jc w:val="left"/>
            </w:pPr>
            <w:r>
              <w:rPr>
                <w:b w:val="0"/>
                <w:sz w:val="21"/>
              </w:rPr>
              <w:t>到期任务验收完成率</w:t>
            </w:r>
          </w:p>
        </w:tc>
        <w:tc>
          <w:tcPr>
            <w:tcW w:type="dxa" w:w="2409"/>
            <w:vAlign w:val="center"/>
          </w:tcPr>
          <w:p>
            <w:pPr>
              <w:keepNext w:val="0"/>
              <w:spacing w:line="320" w:lineRule="exact" w:after="0" w:before="0"/>
              <w:ind w:firstLine="0"/>
              <w:jc w:val="left"/>
            </w:pPr>
            <w:r>
              <w:rPr>
                <w:b w:val="0"/>
                <w:sz w:val="21"/>
              </w:rPr>
              <w:t>截止时点已验收的到期工作包数除以本期到期工作包数</w:t>
            </w:r>
          </w:p>
        </w:tc>
        <w:tc>
          <w:tcPr>
            <w:tcW w:type="dxa" w:w="2891"/>
            <w:vAlign w:val="center"/>
          </w:tcPr>
          <w:p>
            <w:pPr>
              <w:keepNext w:val="0"/>
              <w:spacing w:line="320" w:lineRule="exact" w:after="0" w:before="0"/>
              <w:ind w:firstLine="0"/>
              <w:jc w:val="left"/>
            </w:pPr>
            <w:r>
              <w:rPr>
                <w:b w:val="0"/>
                <w:sz w:val="21"/>
              </w:rPr>
              <w:t>批准计划及成果接收</w:t>
            </w:r>
          </w:p>
        </w:tc>
      </w:tr>
      <w:tr>
        <w:trPr>
          <w:cantSplit/>
        </w:trPr>
        <w:tc>
          <w:tcPr>
            <w:tcW w:type="dxa" w:w="1638"/>
            <w:vAlign w:val="center"/>
          </w:tcPr>
          <w:p>
            <w:pPr>
              <w:keepNext w:val="0"/>
              <w:spacing w:line="320" w:lineRule="exact" w:after="0" w:before="0"/>
              <w:ind w:firstLine="0"/>
              <w:jc w:val="left"/>
            </w:pPr>
            <w:r>
              <w:rPr>
                <w:b w:val="0"/>
                <w:sz w:val="21"/>
              </w:rPr>
              <w:t>SI-03</w:t>
            </w:r>
          </w:p>
        </w:tc>
        <w:tc>
          <w:tcPr>
            <w:tcW w:type="dxa" w:w="2699"/>
            <w:vAlign w:val="center"/>
          </w:tcPr>
          <w:p>
            <w:pPr>
              <w:keepNext w:val="0"/>
              <w:spacing w:line="320" w:lineRule="exact" w:after="0" w:before="0"/>
              <w:ind w:firstLine="0"/>
              <w:jc w:val="left"/>
            </w:pPr>
            <w:r>
              <w:rPr>
                <w:b w:val="0"/>
                <w:sz w:val="21"/>
              </w:rPr>
              <w:t>关键依赖满足率</w:t>
            </w:r>
          </w:p>
        </w:tc>
        <w:tc>
          <w:tcPr>
            <w:tcW w:type="dxa" w:w="2409"/>
            <w:vAlign w:val="center"/>
          </w:tcPr>
          <w:p>
            <w:pPr>
              <w:keepNext w:val="0"/>
              <w:spacing w:line="320" w:lineRule="exact" w:after="0" w:before="0"/>
              <w:ind w:firstLine="0"/>
              <w:jc w:val="left"/>
            </w:pPr>
            <w:r>
              <w:rPr>
                <w:b w:val="0"/>
                <w:sz w:val="21"/>
              </w:rPr>
              <w:t>已达到接收条件的到期关键依赖数除以到期关键依赖总数</w:t>
            </w:r>
          </w:p>
        </w:tc>
        <w:tc>
          <w:tcPr>
            <w:tcW w:type="dxa" w:w="2891"/>
            <w:vAlign w:val="center"/>
          </w:tcPr>
          <w:p>
            <w:pPr>
              <w:keepNext w:val="0"/>
              <w:spacing w:line="320" w:lineRule="exact" w:after="0" w:before="0"/>
              <w:ind w:firstLine="0"/>
              <w:jc w:val="left"/>
            </w:pPr>
            <w:r>
              <w:rPr>
                <w:b w:val="0"/>
                <w:sz w:val="21"/>
              </w:rPr>
              <w:t>输入清单及接收检查</w:t>
            </w:r>
          </w:p>
        </w:tc>
      </w:tr>
      <w:tr>
        <w:trPr>
          <w:cantSplit/>
        </w:trPr>
        <w:tc>
          <w:tcPr>
            <w:tcW w:type="dxa" w:w="1638"/>
            <w:vAlign w:val="center"/>
          </w:tcPr>
          <w:p>
            <w:pPr>
              <w:keepNext w:val="0"/>
              <w:spacing w:line="320" w:lineRule="exact" w:after="0" w:before="0"/>
              <w:ind w:firstLine="0"/>
              <w:jc w:val="left"/>
            </w:pPr>
            <w:r>
              <w:rPr>
                <w:b w:val="0"/>
                <w:sz w:val="21"/>
              </w:rPr>
              <w:t>SI-04</w:t>
            </w:r>
          </w:p>
        </w:tc>
        <w:tc>
          <w:tcPr>
            <w:tcW w:type="dxa" w:w="2699"/>
            <w:vAlign w:val="center"/>
          </w:tcPr>
          <w:p>
            <w:pPr>
              <w:keepNext w:val="0"/>
              <w:spacing w:line="320" w:lineRule="exact" w:after="0" w:before="0"/>
              <w:ind w:firstLine="0"/>
              <w:jc w:val="left"/>
            </w:pPr>
            <w:r>
              <w:rPr>
                <w:b w:val="0"/>
                <w:sz w:val="21"/>
              </w:rPr>
              <w:t>业务域调查覆盖</w:t>
            </w:r>
          </w:p>
        </w:tc>
        <w:tc>
          <w:tcPr>
            <w:tcW w:type="dxa" w:w="2409"/>
            <w:vAlign w:val="center"/>
          </w:tcPr>
          <w:p>
            <w:pPr>
              <w:keepNext w:val="0"/>
              <w:spacing w:line="320" w:lineRule="exact" w:after="0" w:before="0"/>
              <w:ind w:firstLine="0"/>
              <w:jc w:val="left"/>
            </w:pPr>
            <w:r>
              <w:rPr>
                <w:b w:val="0"/>
                <w:sz w:val="21"/>
              </w:rPr>
              <w:t>九业务域分别核查需求、对象、责任和证据完整性</w:t>
            </w:r>
          </w:p>
        </w:tc>
        <w:tc>
          <w:tcPr>
            <w:tcW w:type="dxa" w:w="2891"/>
            <w:vAlign w:val="center"/>
          </w:tcPr>
          <w:p>
            <w:pPr>
              <w:keepNext w:val="0"/>
              <w:spacing w:line="320" w:lineRule="exact" w:after="0" w:before="0"/>
              <w:ind w:firstLine="0"/>
              <w:jc w:val="left"/>
            </w:pPr>
            <w:r>
              <w:rPr>
                <w:b w:val="0"/>
                <w:sz w:val="21"/>
              </w:rPr>
              <w:t>访谈、业务材料及确认记录</w:t>
            </w:r>
          </w:p>
        </w:tc>
      </w:tr>
      <w:tr>
        <w:trPr>
          <w:cantSplit/>
        </w:trPr>
        <w:tc>
          <w:tcPr>
            <w:tcW w:type="dxa" w:w="1638"/>
            <w:vAlign w:val="center"/>
          </w:tcPr>
          <w:p>
            <w:pPr>
              <w:keepNext w:val="0"/>
              <w:spacing w:line="320" w:lineRule="exact" w:after="0" w:before="0"/>
              <w:ind w:firstLine="0"/>
              <w:jc w:val="left"/>
            </w:pPr>
            <w:r>
              <w:rPr>
                <w:b w:val="0"/>
                <w:sz w:val="21"/>
              </w:rPr>
              <w:t>SI-05</w:t>
            </w:r>
          </w:p>
        </w:tc>
        <w:tc>
          <w:tcPr>
            <w:tcW w:type="dxa" w:w="2699"/>
            <w:vAlign w:val="center"/>
          </w:tcPr>
          <w:p>
            <w:pPr>
              <w:keepNext w:val="0"/>
              <w:spacing w:line="320" w:lineRule="exact" w:after="0" w:before="0"/>
              <w:ind w:firstLine="0"/>
              <w:jc w:val="left"/>
            </w:pPr>
            <w:r>
              <w:rPr>
                <w:b w:val="0"/>
                <w:sz w:val="21"/>
              </w:rPr>
              <w:t>系统盘点覆盖</w:t>
            </w:r>
          </w:p>
        </w:tc>
        <w:tc>
          <w:tcPr>
            <w:tcW w:type="dxa" w:w="2409"/>
            <w:vAlign w:val="center"/>
          </w:tcPr>
          <w:p>
            <w:pPr>
              <w:keepNext w:val="0"/>
              <w:spacing w:line="320" w:lineRule="exact" w:after="0" w:before="0"/>
              <w:ind w:firstLine="0"/>
              <w:jc w:val="left"/>
            </w:pPr>
            <w:r>
              <w:rPr>
                <w:b w:val="0"/>
                <w:sz w:val="21"/>
              </w:rPr>
              <w:t>十七套系统分别核查实例、对象、范围、接口及责任</w:t>
            </w:r>
          </w:p>
        </w:tc>
        <w:tc>
          <w:tcPr>
            <w:tcW w:type="dxa" w:w="2891"/>
            <w:vAlign w:val="center"/>
          </w:tcPr>
          <w:p>
            <w:pPr>
              <w:keepNext w:val="0"/>
              <w:spacing w:line="320" w:lineRule="exact" w:after="0" w:before="0"/>
              <w:ind w:firstLine="0"/>
              <w:jc w:val="left"/>
            </w:pPr>
            <w:r>
              <w:rPr>
                <w:b w:val="0"/>
                <w:sz w:val="21"/>
              </w:rPr>
              <w:t>系统清单、抽查及来源定位</w:t>
            </w:r>
          </w:p>
        </w:tc>
      </w:tr>
      <w:tr>
        <w:trPr>
          <w:cantSplit/>
        </w:trPr>
        <w:tc>
          <w:tcPr>
            <w:tcW w:type="dxa" w:w="1638"/>
            <w:vAlign w:val="center"/>
          </w:tcPr>
          <w:p>
            <w:pPr>
              <w:keepNext w:val="0"/>
              <w:spacing w:line="320" w:lineRule="exact" w:after="0" w:before="0"/>
              <w:ind w:firstLine="0"/>
              <w:jc w:val="left"/>
            </w:pPr>
            <w:r>
              <w:rPr>
                <w:b w:val="0"/>
                <w:sz w:val="21"/>
              </w:rPr>
              <w:t>SI-06</w:t>
            </w:r>
          </w:p>
        </w:tc>
        <w:tc>
          <w:tcPr>
            <w:tcW w:type="dxa" w:w="2699"/>
            <w:vAlign w:val="center"/>
          </w:tcPr>
          <w:p>
            <w:pPr>
              <w:keepNext w:val="0"/>
              <w:spacing w:line="320" w:lineRule="exact" w:after="0" w:before="0"/>
              <w:ind w:firstLine="0"/>
              <w:jc w:val="left"/>
            </w:pPr>
            <w:r>
              <w:rPr>
                <w:b w:val="0"/>
                <w:sz w:val="21"/>
              </w:rPr>
              <w:t>来源授权有效率</w:t>
            </w:r>
          </w:p>
        </w:tc>
        <w:tc>
          <w:tcPr>
            <w:tcW w:type="dxa" w:w="2409"/>
            <w:vAlign w:val="center"/>
          </w:tcPr>
          <w:p>
            <w:pPr>
              <w:keepNext w:val="0"/>
              <w:spacing w:line="320" w:lineRule="exact" w:after="0" w:before="0"/>
              <w:ind w:firstLine="0"/>
              <w:jc w:val="left"/>
            </w:pPr>
            <w:r>
              <w:rPr>
                <w:b w:val="0"/>
                <w:sz w:val="21"/>
              </w:rPr>
              <w:t>具有有效用途与期限授权的拟使用来源数除以全部拟使用来源数</w:t>
            </w:r>
          </w:p>
        </w:tc>
        <w:tc>
          <w:tcPr>
            <w:tcW w:type="dxa" w:w="2891"/>
            <w:vAlign w:val="center"/>
          </w:tcPr>
          <w:p>
            <w:pPr>
              <w:keepNext w:val="0"/>
              <w:spacing w:line="320" w:lineRule="exact" w:after="0" w:before="0"/>
              <w:ind w:firstLine="0"/>
              <w:jc w:val="left"/>
            </w:pPr>
            <w:r>
              <w:rPr>
                <w:b w:val="0"/>
                <w:sz w:val="21"/>
              </w:rPr>
              <w:t>来源台账和权利凭证</w:t>
            </w:r>
          </w:p>
        </w:tc>
      </w:tr>
      <w:tr>
        <w:trPr>
          <w:cantSplit/>
        </w:trPr>
        <w:tc>
          <w:tcPr>
            <w:tcW w:type="dxa" w:w="1638"/>
            <w:vAlign w:val="center"/>
          </w:tcPr>
          <w:p>
            <w:pPr>
              <w:keepNext w:val="0"/>
              <w:spacing w:line="320" w:lineRule="exact" w:after="0" w:before="0"/>
              <w:ind w:firstLine="0"/>
              <w:jc w:val="left"/>
            </w:pPr>
            <w:r>
              <w:rPr>
                <w:b w:val="0"/>
                <w:sz w:val="21"/>
              </w:rPr>
              <w:t>SI-07</w:t>
            </w:r>
          </w:p>
        </w:tc>
        <w:tc>
          <w:tcPr>
            <w:tcW w:type="dxa" w:w="2699"/>
            <w:vAlign w:val="center"/>
          </w:tcPr>
          <w:p>
            <w:pPr>
              <w:keepNext w:val="0"/>
              <w:spacing w:line="320" w:lineRule="exact" w:after="0" w:before="0"/>
              <w:ind w:firstLine="0"/>
              <w:jc w:val="left"/>
            </w:pPr>
            <w:r>
              <w:rPr>
                <w:b w:val="0"/>
                <w:sz w:val="21"/>
              </w:rPr>
              <w:t>关键元素完整率</w:t>
            </w:r>
          </w:p>
        </w:tc>
        <w:tc>
          <w:tcPr>
            <w:tcW w:type="dxa" w:w="2409"/>
            <w:vAlign w:val="center"/>
          </w:tcPr>
          <w:p>
            <w:pPr>
              <w:keepNext w:val="0"/>
              <w:spacing w:line="320" w:lineRule="exact" w:after="0" w:before="0"/>
              <w:ind w:firstLine="0"/>
              <w:jc w:val="left"/>
            </w:pPr>
            <w:r>
              <w:rPr>
                <w:b w:val="0"/>
                <w:sz w:val="21"/>
              </w:rPr>
              <w:t>满足必需字段及有效取值规则的记录数除以适用记录数</w:t>
            </w:r>
          </w:p>
        </w:tc>
        <w:tc>
          <w:tcPr>
            <w:tcW w:type="dxa" w:w="2891"/>
            <w:vAlign w:val="center"/>
          </w:tcPr>
          <w:p>
            <w:pPr>
              <w:keepNext w:val="0"/>
              <w:spacing w:line="320" w:lineRule="exact" w:after="0" w:before="0"/>
              <w:ind w:firstLine="0"/>
              <w:jc w:val="left"/>
            </w:pPr>
            <w:r>
              <w:rPr>
                <w:b w:val="0"/>
                <w:sz w:val="21"/>
              </w:rPr>
              <w:t>字段规则、全量检测及业务复核</w:t>
            </w:r>
          </w:p>
        </w:tc>
      </w:tr>
      <w:tr>
        <w:trPr>
          <w:cantSplit/>
        </w:trPr>
        <w:tc>
          <w:tcPr>
            <w:tcW w:type="dxa" w:w="1638"/>
            <w:vAlign w:val="center"/>
          </w:tcPr>
          <w:p>
            <w:pPr>
              <w:keepNext w:val="0"/>
              <w:spacing w:line="320" w:lineRule="exact" w:after="0" w:before="0"/>
              <w:ind w:firstLine="0"/>
              <w:jc w:val="left"/>
            </w:pPr>
            <w:r>
              <w:rPr>
                <w:b w:val="0"/>
                <w:sz w:val="21"/>
              </w:rPr>
              <w:t>SI-08</w:t>
            </w:r>
          </w:p>
        </w:tc>
        <w:tc>
          <w:tcPr>
            <w:tcW w:type="dxa" w:w="2699"/>
            <w:vAlign w:val="center"/>
          </w:tcPr>
          <w:p>
            <w:pPr>
              <w:keepNext w:val="0"/>
              <w:spacing w:line="320" w:lineRule="exact" w:after="0" w:before="0"/>
              <w:ind w:firstLine="0"/>
              <w:jc w:val="left"/>
            </w:pPr>
            <w:r>
              <w:rPr>
                <w:b w:val="0"/>
                <w:sz w:val="21"/>
              </w:rPr>
              <w:t>主数据关联有效率</w:t>
            </w:r>
          </w:p>
        </w:tc>
        <w:tc>
          <w:tcPr>
            <w:tcW w:type="dxa" w:w="2409"/>
            <w:vAlign w:val="center"/>
          </w:tcPr>
          <w:p>
            <w:pPr>
              <w:keepNext w:val="0"/>
              <w:spacing w:line="320" w:lineRule="exact" w:after="0" w:before="0"/>
              <w:ind w:firstLine="0"/>
              <w:jc w:val="left"/>
            </w:pPr>
            <w:r>
              <w:rPr>
                <w:b w:val="0"/>
                <w:sz w:val="21"/>
              </w:rPr>
              <w:t>按有效规则唯一关联且通过核验的对象数除以应关联对象数</w:t>
            </w:r>
          </w:p>
        </w:tc>
        <w:tc>
          <w:tcPr>
            <w:tcW w:type="dxa" w:w="2891"/>
            <w:vAlign w:val="center"/>
          </w:tcPr>
          <w:p>
            <w:pPr>
              <w:keepNext w:val="0"/>
              <w:spacing w:line="320" w:lineRule="exact" w:after="0" w:before="0"/>
              <w:ind w:firstLine="0"/>
              <w:jc w:val="left"/>
            </w:pPr>
            <w:r>
              <w:rPr>
                <w:b w:val="0"/>
                <w:sz w:val="21"/>
              </w:rPr>
              <w:t>映射、冲突、核验及版本</w:t>
            </w:r>
          </w:p>
        </w:tc>
      </w:tr>
      <w:tr>
        <w:trPr>
          <w:cantSplit/>
        </w:trPr>
        <w:tc>
          <w:tcPr>
            <w:tcW w:type="dxa" w:w="1638"/>
            <w:vAlign w:val="center"/>
          </w:tcPr>
          <w:p>
            <w:pPr>
              <w:keepNext w:val="0"/>
              <w:spacing w:line="320" w:lineRule="exact" w:after="0" w:before="0"/>
              <w:ind w:firstLine="0"/>
              <w:jc w:val="left"/>
            </w:pPr>
            <w:r>
              <w:rPr>
                <w:b w:val="0"/>
                <w:sz w:val="21"/>
              </w:rPr>
              <w:t>SI-09</w:t>
            </w:r>
          </w:p>
        </w:tc>
        <w:tc>
          <w:tcPr>
            <w:tcW w:type="dxa" w:w="2699"/>
            <w:vAlign w:val="center"/>
          </w:tcPr>
          <w:p>
            <w:pPr>
              <w:keepNext w:val="0"/>
              <w:spacing w:line="320" w:lineRule="exact" w:after="0" w:before="0"/>
              <w:ind w:firstLine="0"/>
              <w:jc w:val="left"/>
            </w:pPr>
            <w:r>
              <w:rPr>
                <w:b w:val="0"/>
                <w:sz w:val="21"/>
              </w:rPr>
              <w:t>标准落标覆盖率</w:t>
            </w:r>
          </w:p>
        </w:tc>
        <w:tc>
          <w:tcPr>
            <w:tcW w:type="dxa" w:w="2409"/>
            <w:vAlign w:val="center"/>
          </w:tcPr>
          <w:p>
            <w:pPr>
              <w:keepNext w:val="0"/>
              <w:spacing w:line="320" w:lineRule="exact" w:after="0" w:before="0"/>
              <w:ind w:firstLine="0"/>
              <w:jc w:val="left"/>
            </w:pPr>
            <w:r>
              <w:rPr>
                <w:b w:val="0"/>
                <w:sz w:val="21"/>
              </w:rPr>
              <w:t>已配置并验证有效的适用规则数除以应实施规则数</w:t>
            </w:r>
          </w:p>
        </w:tc>
        <w:tc>
          <w:tcPr>
            <w:tcW w:type="dxa" w:w="2891"/>
            <w:vAlign w:val="center"/>
          </w:tcPr>
          <w:p>
            <w:pPr>
              <w:keepNext w:val="0"/>
              <w:spacing w:line="320" w:lineRule="exact" w:after="0" w:before="0"/>
              <w:ind w:firstLine="0"/>
              <w:jc w:val="left"/>
            </w:pPr>
            <w:r>
              <w:rPr>
                <w:b w:val="0"/>
                <w:sz w:val="21"/>
              </w:rPr>
              <w:t>标准、配置、正反例测试</w:t>
            </w:r>
          </w:p>
        </w:tc>
      </w:tr>
      <w:tr>
        <w:trPr>
          <w:cantSplit/>
        </w:trPr>
        <w:tc>
          <w:tcPr>
            <w:tcW w:type="dxa" w:w="1638"/>
            <w:vAlign w:val="center"/>
          </w:tcPr>
          <w:p>
            <w:pPr>
              <w:keepNext w:val="0"/>
              <w:spacing w:line="320" w:lineRule="exact" w:after="0" w:before="0"/>
              <w:ind w:firstLine="0"/>
              <w:jc w:val="left"/>
            </w:pPr>
            <w:r>
              <w:rPr>
                <w:b w:val="0"/>
                <w:sz w:val="21"/>
              </w:rPr>
              <w:t>SI-10</w:t>
            </w:r>
          </w:p>
        </w:tc>
        <w:tc>
          <w:tcPr>
            <w:tcW w:type="dxa" w:w="2699"/>
            <w:vAlign w:val="center"/>
          </w:tcPr>
          <w:p>
            <w:pPr>
              <w:keepNext w:val="0"/>
              <w:spacing w:line="320" w:lineRule="exact" w:after="0" w:before="0"/>
              <w:ind w:firstLine="0"/>
              <w:jc w:val="left"/>
            </w:pPr>
            <w:r>
              <w:rPr>
                <w:b w:val="0"/>
                <w:sz w:val="21"/>
              </w:rPr>
              <w:t>质量问题按期关闭率</w:t>
            </w:r>
          </w:p>
        </w:tc>
        <w:tc>
          <w:tcPr>
            <w:tcW w:type="dxa" w:w="2409"/>
            <w:vAlign w:val="center"/>
          </w:tcPr>
          <w:p>
            <w:pPr>
              <w:keepNext w:val="0"/>
              <w:spacing w:line="320" w:lineRule="exact" w:after="0" w:before="0"/>
              <w:ind w:firstLine="0"/>
              <w:jc w:val="left"/>
            </w:pPr>
            <w:r>
              <w:rPr>
                <w:b w:val="0"/>
                <w:sz w:val="21"/>
              </w:rPr>
              <w:t>在批准期限内通过复核的到期问题数除以到期问题数</w:t>
            </w:r>
          </w:p>
        </w:tc>
        <w:tc>
          <w:tcPr>
            <w:tcW w:type="dxa" w:w="2891"/>
            <w:vAlign w:val="center"/>
          </w:tcPr>
          <w:p>
            <w:pPr>
              <w:keepNext w:val="0"/>
              <w:spacing w:line="320" w:lineRule="exact" w:after="0" w:before="0"/>
              <w:ind w:firstLine="0"/>
              <w:jc w:val="left"/>
            </w:pPr>
            <w:r>
              <w:rPr>
                <w:b w:val="0"/>
                <w:sz w:val="21"/>
              </w:rPr>
              <w:t>问题、整改、复测及关闭</w:t>
            </w:r>
          </w:p>
        </w:tc>
      </w:tr>
      <w:tr>
        <w:trPr>
          <w:cantSplit/>
        </w:trPr>
        <w:tc>
          <w:tcPr>
            <w:tcW w:type="dxa" w:w="1638"/>
            <w:vAlign w:val="center"/>
          </w:tcPr>
          <w:p>
            <w:pPr>
              <w:keepNext w:val="0"/>
              <w:spacing w:line="320" w:lineRule="exact" w:after="0" w:before="0"/>
              <w:ind w:firstLine="0"/>
              <w:jc w:val="left"/>
            </w:pPr>
            <w:r>
              <w:rPr>
                <w:b w:val="0"/>
                <w:sz w:val="21"/>
              </w:rPr>
              <w:t>SI-11</w:t>
            </w:r>
          </w:p>
        </w:tc>
        <w:tc>
          <w:tcPr>
            <w:tcW w:type="dxa" w:w="2699"/>
            <w:vAlign w:val="center"/>
          </w:tcPr>
          <w:p>
            <w:pPr>
              <w:keepNext w:val="0"/>
              <w:spacing w:line="320" w:lineRule="exact" w:after="0" w:before="0"/>
              <w:ind w:firstLine="0"/>
              <w:jc w:val="left"/>
            </w:pPr>
            <w:r>
              <w:rPr>
                <w:b w:val="0"/>
                <w:sz w:val="21"/>
              </w:rPr>
              <w:t>元数据可追溯率</w:t>
            </w:r>
          </w:p>
        </w:tc>
        <w:tc>
          <w:tcPr>
            <w:tcW w:type="dxa" w:w="2409"/>
            <w:vAlign w:val="center"/>
          </w:tcPr>
          <w:p>
            <w:pPr>
              <w:keepNext w:val="0"/>
              <w:spacing w:line="320" w:lineRule="exact" w:after="0" w:before="0"/>
              <w:ind w:firstLine="0"/>
              <w:jc w:val="left"/>
            </w:pPr>
            <w:r>
              <w:rPr>
                <w:b w:val="0"/>
                <w:sz w:val="21"/>
              </w:rPr>
              <w:t>可定位来源、责任、变换和输出的检查对象数除以检查对象数</w:t>
            </w:r>
          </w:p>
        </w:tc>
        <w:tc>
          <w:tcPr>
            <w:tcW w:type="dxa" w:w="2891"/>
            <w:vAlign w:val="center"/>
          </w:tcPr>
          <w:p>
            <w:pPr>
              <w:keepNext w:val="0"/>
              <w:spacing w:line="320" w:lineRule="exact" w:after="0" w:before="0"/>
              <w:ind w:firstLine="0"/>
              <w:jc w:val="left"/>
            </w:pPr>
            <w:r>
              <w:rPr>
                <w:b w:val="0"/>
                <w:sz w:val="21"/>
              </w:rPr>
              <w:t>元数据、血缘及对象回查</w:t>
            </w:r>
          </w:p>
        </w:tc>
      </w:tr>
      <w:tr>
        <w:trPr>
          <w:cantSplit/>
        </w:trPr>
        <w:tc>
          <w:tcPr>
            <w:tcW w:type="dxa" w:w="1638"/>
            <w:vAlign w:val="center"/>
          </w:tcPr>
          <w:p>
            <w:pPr>
              <w:keepNext w:val="0"/>
              <w:spacing w:line="320" w:lineRule="exact" w:after="0" w:before="0"/>
              <w:ind w:firstLine="0"/>
              <w:jc w:val="left"/>
            </w:pPr>
            <w:r>
              <w:rPr>
                <w:b w:val="0"/>
                <w:sz w:val="21"/>
              </w:rPr>
              <w:t>SI-12</w:t>
            </w:r>
          </w:p>
        </w:tc>
        <w:tc>
          <w:tcPr>
            <w:tcW w:type="dxa" w:w="2699"/>
            <w:vAlign w:val="center"/>
          </w:tcPr>
          <w:p>
            <w:pPr>
              <w:keepNext w:val="0"/>
              <w:spacing w:line="320" w:lineRule="exact" w:after="0" w:before="0"/>
              <w:ind w:firstLine="0"/>
              <w:jc w:val="left"/>
            </w:pPr>
            <w:r>
              <w:rPr>
                <w:b w:val="0"/>
                <w:sz w:val="21"/>
              </w:rPr>
              <w:t>授权回收执行率</w:t>
            </w:r>
          </w:p>
        </w:tc>
        <w:tc>
          <w:tcPr>
            <w:tcW w:type="dxa" w:w="2409"/>
            <w:vAlign w:val="center"/>
          </w:tcPr>
          <w:p>
            <w:pPr>
              <w:keepNext w:val="0"/>
              <w:spacing w:line="320" w:lineRule="exact" w:after="0" w:before="0"/>
              <w:ind w:firstLine="0"/>
              <w:jc w:val="left"/>
            </w:pPr>
            <w:r>
              <w:rPr>
                <w:b w:val="0"/>
                <w:sz w:val="21"/>
              </w:rPr>
              <w:t>到期或撤销后已完成回收验证的授权数除以应回收授权数</w:t>
            </w:r>
          </w:p>
        </w:tc>
        <w:tc>
          <w:tcPr>
            <w:tcW w:type="dxa" w:w="2891"/>
            <w:vAlign w:val="center"/>
          </w:tcPr>
          <w:p>
            <w:pPr>
              <w:keepNext w:val="0"/>
              <w:spacing w:line="320" w:lineRule="exact" w:after="0" w:before="0"/>
              <w:ind w:firstLine="0"/>
              <w:jc w:val="left"/>
            </w:pPr>
            <w:r>
              <w:rPr>
                <w:b w:val="0"/>
                <w:sz w:val="21"/>
              </w:rPr>
              <w:t>审批、配置、审计及拒绝测试</w:t>
            </w:r>
          </w:p>
        </w:tc>
      </w:tr>
      <w:tr>
        <w:trPr>
          <w:cantSplit/>
        </w:trPr>
        <w:tc>
          <w:tcPr>
            <w:tcW w:type="dxa" w:w="1638"/>
            <w:vAlign w:val="center"/>
          </w:tcPr>
          <w:p>
            <w:pPr>
              <w:keepNext w:val="0"/>
              <w:spacing w:line="320" w:lineRule="exact" w:after="0" w:before="0"/>
              <w:ind w:firstLine="0"/>
              <w:jc w:val="left"/>
            </w:pPr>
            <w:r>
              <w:rPr>
                <w:b w:val="0"/>
                <w:sz w:val="21"/>
              </w:rPr>
              <w:t>SI-13</w:t>
            </w:r>
          </w:p>
        </w:tc>
        <w:tc>
          <w:tcPr>
            <w:tcW w:type="dxa" w:w="2699"/>
            <w:vAlign w:val="center"/>
          </w:tcPr>
          <w:p>
            <w:pPr>
              <w:keepNext w:val="0"/>
              <w:spacing w:line="320" w:lineRule="exact" w:after="0" w:before="0"/>
              <w:ind w:firstLine="0"/>
              <w:jc w:val="left"/>
            </w:pPr>
            <w:r>
              <w:rPr>
                <w:b w:val="0"/>
                <w:sz w:val="21"/>
              </w:rPr>
              <w:t>四领域数据供给达成</w:t>
            </w:r>
          </w:p>
        </w:tc>
        <w:tc>
          <w:tcPr>
            <w:tcW w:type="dxa" w:w="2409"/>
            <w:vAlign w:val="center"/>
          </w:tcPr>
          <w:p>
            <w:pPr>
              <w:keepNext w:val="0"/>
              <w:spacing w:line="320" w:lineRule="exact" w:after="0" w:before="0"/>
              <w:ind w:firstLine="0"/>
              <w:jc w:val="left"/>
            </w:pPr>
            <w:r>
              <w:rPr>
                <w:b w:val="0"/>
                <w:sz w:val="21"/>
              </w:rPr>
              <w:t>十六项用途净量分别除以对应目标，逐项报告原量及差额</w:t>
            </w:r>
          </w:p>
        </w:tc>
        <w:tc>
          <w:tcPr>
            <w:tcW w:type="dxa" w:w="2891"/>
            <w:vAlign w:val="center"/>
          </w:tcPr>
          <w:p>
            <w:pPr>
              <w:keepNext w:val="0"/>
              <w:spacing w:line="320" w:lineRule="exact" w:after="0" w:before="0"/>
              <w:ind w:firstLine="0"/>
              <w:jc w:val="left"/>
            </w:pPr>
            <w:r>
              <w:rPr>
                <w:b w:val="0"/>
                <w:sz w:val="21"/>
              </w:rPr>
              <w:t>去重净量、版本、摘要和卡片</w:t>
            </w:r>
          </w:p>
        </w:tc>
      </w:tr>
      <w:tr>
        <w:trPr>
          <w:cantSplit/>
        </w:trPr>
        <w:tc>
          <w:tcPr>
            <w:tcW w:type="dxa" w:w="1638"/>
            <w:vAlign w:val="center"/>
          </w:tcPr>
          <w:p>
            <w:pPr>
              <w:keepNext w:val="0"/>
              <w:spacing w:line="320" w:lineRule="exact" w:after="0" w:before="0"/>
              <w:ind w:firstLine="0"/>
              <w:jc w:val="left"/>
            </w:pPr>
            <w:r>
              <w:rPr>
                <w:b w:val="0"/>
                <w:sz w:val="21"/>
              </w:rPr>
              <w:t>SI-14</w:t>
            </w:r>
          </w:p>
        </w:tc>
        <w:tc>
          <w:tcPr>
            <w:tcW w:type="dxa" w:w="2699"/>
            <w:vAlign w:val="center"/>
          </w:tcPr>
          <w:p>
            <w:pPr>
              <w:keepNext w:val="0"/>
              <w:spacing w:line="320" w:lineRule="exact" w:after="0" w:before="0"/>
              <w:ind w:firstLine="0"/>
              <w:jc w:val="left"/>
            </w:pPr>
            <w:r>
              <w:rPr>
                <w:b w:val="0"/>
                <w:sz w:val="21"/>
              </w:rPr>
              <w:t>多模态与时效达成</w:t>
            </w:r>
          </w:p>
        </w:tc>
        <w:tc>
          <w:tcPr>
            <w:tcW w:type="dxa" w:w="2409"/>
            <w:vAlign w:val="center"/>
          </w:tcPr>
          <w:p>
            <w:pPr>
              <w:keepNext w:val="0"/>
              <w:spacing w:line="320" w:lineRule="exact" w:after="0" w:before="0"/>
              <w:ind w:firstLine="0"/>
              <w:jc w:val="left"/>
            </w:pPr>
            <w:r>
              <w:rPr>
                <w:b w:val="0"/>
                <w:sz w:val="21"/>
              </w:rPr>
              <w:t>各领域分别按有效计量单元计算多模态及近36个月比例</w:t>
            </w:r>
          </w:p>
        </w:tc>
        <w:tc>
          <w:tcPr>
            <w:tcW w:type="dxa" w:w="2891"/>
            <w:vAlign w:val="center"/>
          </w:tcPr>
          <w:p>
            <w:pPr>
              <w:keepNext w:val="0"/>
              <w:spacing w:line="320" w:lineRule="exact" w:after="0" w:before="0"/>
              <w:ind w:firstLine="0"/>
              <w:jc w:val="left"/>
            </w:pPr>
            <w:r>
              <w:rPr>
                <w:b w:val="0"/>
                <w:sz w:val="21"/>
              </w:rPr>
              <w:t>内容属性、实际形成时间及计数</w:t>
            </w:r>
          </w:p>
        </w:tc>
      </w:tr>
      <w:tr>
        <w:trPr>
          <w:cantSplit/>
        </w:trPr>
        <w:tc>
          <w:tcPr>
            <w:tcW w:type="dxa" w:w="1638"/>
            <w:vAlign w:val="center"/>
          </w:tcPr>
          <w:p>
            <w:pPr>
              <w:keepNext w:val="0"/>
              <w:spacing w:line="320" w:lineRule="exact" w:after="0" w:before="0"/>
              <w:ind w:firstLine="0"/>
              <w:jc w:val="left"/>
            </w:pPr>
            <w:r>
              <w:rPr>
                <w:b w:val="0"/>
                <w:sz w:val="21"/>
              </w:rPr>
              <w:t>SI-15</w:t>
            </w:r>
          </w:p>
        </w:tc>
        <w:tc>
          <w:tcPr>
            <w:tcW w:type="dxa" w:w="2699"/>
            <w:vAlign w:val="center"/>
          </w:tcPr>
          <w:p>
            <w:pPr>
              <w:keepNext w:val="0"/>
              <w:spacing w:line="320" w:lineRule="exact" w:after="0" w:before="0"/>
              <w:ind w:firstLine="0"/>
              <w:jc w:val="left"/>
            </w:pPr>
            <w:r>
              <w:rPr>
                <w:b w:val="0"/>
                <w:sz w:val="21"/>
              </w:rPr>
              <w:t>合成增强比例合规</w:t>
            </w:r>
          </w:p>
        </w:tc>
        <w:tc>
          <w:tcPr>
            <w:tcW w:type="dxa" w:w="2409"/>
            <w:vAlign w:val="center"/>
          </w:tcPr>
          <w:p>
            <w:pPr>
              <w:keepNext w:val="0"/>
              <w:spacing w:line="320" w:lineRule="exact" w:after="0" w:before="0"/>
              <w:ind w:firstLine="0"/>
              <w:jc w:val="left"/>
            </w:pPr>
            <w:r>
              <w:rPr>
                <w:b w:val="0"/>
                <w:sz w:val="21"/>
              </w:rPr>
              <w:t>按各用途指定分母分别核查合成与增强上限</w:t>
            </w:r>
          </w:p>
        </w:tc>
        <w:tc>
          <w:tcPr>
            <w:tcW w:type="dxa" w:w="2891"/>
            <w:vAlign w:val="center"/>
          </w:tcPr>
          <w:p>
            <w:pPr>
              <w:keepNext w:val="0"/>
              <w:spacing w:line="320" w:lineRule="exact" w:after="0" w:before="0"/>
              <w:ind w:firstLine="0"/>
              <w:jc w:val="left"/>
            </w:pPr>
            <w:r>
              <w:rPr>
                <w:b w:val="0"/>
                <w:sz w:val="21"/>
              </w:rPr>
              <w:t>来源家族、处理属性及用途清单</w:t>
            </w:r>
          </w:p>
        </w:tc>
      </w:tr>
      <w:tr>
        <w:trPr>
          <w:cantSplit/>
        </w:trPr>
        <w:tc>
          <w:tcPr>
            <w:tcW w:type="dxa" w:w="1638"/>
            <w:vAlign w:val="center"/>
          </w:tcPr>
          <w:p>
            <w:pPr>
              <w:keepNext w:val="0"/>
              <w:spacing w:line="320" w:lineRule="exact" w:after="0" w:before="0"/>
              <w:ind w:firstLine="0"/>
              <w:jc w:val="left"/>
            </w:pPr>
            <w:r>
              <w:rPr>
                <w:b w:val="0"/>
                <w:sz w:val="21"/>
              </w:rPr>
              <w:t>SI-16</w:t>
            </w:r>
          </w:p>
        </w:tc>
        <w:tc>
          <w:tcPr>
            <w:tcW w:type="dxa" w:w="2699"/>
            <w:vAlign w:val="center"/>
          </w:tcPr>
          <w:p>
            <w:pPr>
              <w:keepNext w:val="0"/>
              <w:spacing w:line="320" w:lineRule="exact" w:after="0" w:before="0"/>
              <w:ind w:firstLine="0"/>
              <w:jc w:val="left"/>
            </w:pPr>
            <w:r>
              <w:rPr>
                <w:b w:val="0"/>
                <w:sz w:val="21"/>
              </w:rPr>
              <w:t>正式质量评测达成</w:t>
            </w:r>
          </w:p>
        </w:tc>
        <w:tc>
          <w:tcPr>
            <w:tcW w:type="dxa" w:w="2409"/>
            <w:vAlign w:val="center"/>
          </w:tcPr>
          <w:p>
            <w:pPr>
              <w:keepNext w:val="0"/>
              <w:spacing w:line="320" w:lineRule="exact" w:after="0" w:before="0"/>
              <w:ind w:firstLine="0"/>
              <w:jc w:val="left"/>
            </w:pPr>
            <w:r>
              <w:rPr>
                <w:b w:val="0"/>
                <w:sz w:val="21"/>
              </w:rPr>
              <w:t>三维度评分、综合评分、全部指标及独立硬条件分别判定</w:t>
            </w:r>
          </w:p>
        </w:tc>
        <w:tc>
          <w:tcPr>
            <w:tcW w:type="dxa" w:w="2891"/>
            <w:vAlign w:val="center"/>
          </w:tcPr>
          <w:p>
            <w:pPr>
              <w:keepNext w:val="0"/>
              <w:spacing w:line="320" w:lineRule="exact" w:after="0" w:before="0"/>
              <w:ind w:firstLine="0"/>
              <w:jc w:val="left"/>
            </w:pPr>
            <w:r>
              <w:rPr>
                <w:b w:val="0"/>
                <w:sz w:val="21"/>
              </w:rPr>
              <w:t>评分、原始记录及正式报告</w:t>
            </w:r>
          </w:p>
        </w:tc>
      </w:tr>
      <w:tr>
        <w:trPr>
          <w:cantSplit/>
        </w:trPr>
        <w:tc>
          <w:tcPr>
            <w:tcW w:type="dxa" w:w="1638"/>
            <w:vAlign w:val="center"/>
          </w:tcPr>
          <w:p>
            <w:pPr>
              <w:keepNext w:val="0"/>
              <w:spacing w:line="320" w:lineRule="exact" w:after="0" w:before="0"/>
              <w:ind w:firstLine="0"/>
              <w:jc w:val="left"/>
            </w:pPr>
            <w:r>
              <w:rPr>
                <w:b w:val="0"/>
                <w:sz w:val="21"/>
              </w:rPr>
              <w:t>SI-17</w:t>
            </w:r>
          </w:p>
        </w:tc>
        <w:tc>
          <w:tcPr>
            <w:tcW w:type="dxa" w:w="2699"/>
            <w:vAlign w:val="center"/>
          </w:tcPr>
          <w:p>
            <w:pPr>
              <w:keepNext w:val="0"/>
              <w:spacing w:line="320" w:lineRule="exact" w:after="0" w:before="0"/>
              <w:ind w:firstLine="0"/>
              <w:jc w:val="left"/>
            </w:pPr>
            <w:r>
              <w:rPr>
                <w:b w:val="0"/>
                <w:sz w:val="21"/>
              </w:rPr>
              <w:t>集中复测执行</w:t>
            </w:r>
          </w:p>
        </w:tc>
        <w:tc>
          <w:tcPr>
            <w:tcW w:type="dxa" w:w="2409"/>
            <w:vAlign w:val="center"/>
          </w:tcPr>
          <w:p>
            <w:pPr>
              <w:keepNext w:val="0"/>
              <w:spacing w:line="320" w:lineRule="exact" w:after="0" w:before="0"/>
              <w:ind w:firstLine="0"/>
              <w:jc w:val="left"/>
            </w:pPr>
            <w:r>
              <w:rPr>
                <w:b w:val="0"/>
                <w:sz w:val="21"/>
              </w:rPr>
              <w:t>经确认的集中完整复测次数及逐次对象、范围、结果</w:t>
            </w:r>
          </w:p>
        </w:tc>
        <w:tc>
          <w:tcPr>
            <w:tcW w:type="dxa" w:w="2891"/>
            <w:vAlign w:val="center"/>
          </w:tcPr>
          <w:p>
            <w:pPr>
              <w:keepNext w:val="0"/>
              <w:spacing w:line="320" w:lineRule="exact" w:after="0" w:before="0"/>
              <w:ind w:firstLine="0"/>
              <w:jc w:val="left"/>
            </w:pPr>
            <w:r>
              <w:rPr>
                <w:b w:val="0"/>
                <w:sz w:val="21"/>
              </w:rPr>
              <w:t>复测计划、执行及报告</w:t>
            </w:r>
          </w:p>
        </w:tc>
      </w:tr>
      <w:tr>
        <w:trPr>
          <w:cantSplit/>
        </w:trPr>
        <w:tc>
          <w:tcPr>
            <w:tcW w:type="dxa" w:w="1638"/>
            <w:vAlign w:val="center"/>
          </w:tcPr>
          <w:p>
            <w:pPr>
              <w:keepNext w:val="0"/>
              <w:spacing w:line="320" w:lineRule="exact" w:after="0" w:before="0"/>
              <w:ind w:firstLine="0"/>
              <w:jc w:val="left"/>
            </w:pPr>
            <w:r>
              <w:rPr>
                <w:b w:val="0"/>
                <w:sz w:val="21"/>
              </w:rPr>
              <w:t>SI-18</w:t>
            </w:r>
          </w:p>
        </w:tc>
        <w:tc>
          <w:tcPr>
            <w:tcW w:type="dxa" w:w="2699"/>
            <w:vAlign w:val="center"/>
          </w:tcPr>
          <w:p>
            <w:pPr>
              <w:keepNext w:val="0"/>
              <w:spacing w:line="320" w:lineRule="exact" w:after="0" w:before="0"/>
              <w:ind w:firstLine="0"/>
              <w:jc w:val="left"/>
            </w:pPr>
            <w:r>
              <w:rPr>
                <w:b w:val="0"/>
                <w:sz w:val="21"/>
              </w:rPr>
              <w:t>场景验证覆盖</w:t>
            </w:r>
          </w:p>
        </w:tc>
        <w:tc>
          <w:tcPr>
            <w:tcW w:type="dxa" w:w="2409"/>
            <w:vAlign w:val="center"/>
          </w:tcPr>
          <w:p>
            <w:pPr>
              <w:keepNext w:val="0"/>
              <w:spacing w:line="320" w:lineRule="exact" w:after="0" w:before="0"/>
              <w:ind w:firstLine="0"/>
              <w:jc w:val="left"/>
            </w:pPr>
            <w:r>
              <w:rPr>
                <w:b w:val="0"/>
                <w:sz w:val="21"/>
              </w:rPr>
              <w:t>十一场景分别核查需求、协议、数据、结果和问题处理</w:t>
            </w:r>
          </w:p>
        </w:tc>
        <w:tc>
          <w:tcPr>
            <w:tcW w:type="dxa" w:w="2891"/>
            <w:vAlign w:val="center"/>
          </w:tcPr>
          <w:p>
            <w:pPr>
              <w:keepNext w:val="0"/>
              <w:spacing w:line="320" w:lineRule="exact" w:after="0" w:before="0"/>
              <w:ind w:firstLine="0"/>
              <w:jc w:val="left"/>
            </w:pPr>
            <w:r>
              <w:rPr>
                <w:b w:val="0"/>
                <w:sz w:val="21"/>
              </w:rPr>
              <w:t>场景卡、验证记录及业务确认</w:t>
            </w:r>
          </w:p>
        </w:tc>
      </w:tr>
      <w:tr>
        <w:trPr>
          <w:cantSplit/>
        </w:trPr>
        <w:tc>
          <w:tcPr>
            <w:tcW w:type="dxa" w:w="1638"/>
            <w:vAlign w:val="center"/>
          </w:tcPr>
          <w:p>
            <w:pPr>
              <w:keepNext w:val="0"/>
              <w:spacing w:line="320" w:lineRule="exact" w:after="0" w:before="0"/>
              <w:ind w:firstLine="0"/>
              <w:jc w:val="left"/>
            </w:pPr>
            <w:r>
              <w:rPr>
                <w:b w:val="0"/>
                <w:sz w:val="21"/>
              </w:rPr>
              <w:t>SI-19</w:t>
            </w:r>
          </w:p>
        </w:tc>
        <w:tc>
          <w:tcPr>
            <w:tcW w:type="dxa" w:w="2699"/>
            <w:vAlign w:val="center"/>
          </w:tcPr>
          <w:p>
            <w:pPr>
              <w:keepNext w:val="0"/>
              <w:spacing w:line="320" w:lineRule="exact" w:after="0" w:before="0"/>
              <w:ind w:firstLine="0"/>
              <w:jc w:val="left"/>
            </w:pPr>
            <w:r>
              <w:rPr>
                <w:b w:val="0"/>
                <w:sz w:val="21"/>
              </w:rPr>
              <w:t>服务有效使用</w:t>
            </w:r>
          </w:p>
        </w:tc>
        <w:tc>
          <w:tcPr>
            <w:tcW w:type="dxa" w:w="2409"/>
            <w:vAlign w:val="center"/>
          </w:tcPr>
          <w:p>
            <w:pPr>
              <w:keepNext w:val="0"/>
              <w:spacing w:line="320" w:lineRule="exact" w:after="0" w:before="0"/>
              <w:ind w:firstLine="0"/>
              <w:jc w:val="left"/>
            </w:pPr>
            <w:r>
              <w:rPr>
                <w:b w:val="0"/>
                <w:sz w:val="21"/>
              </w:rPr>
              <w:t>在授权范围内完成且满足约定用途的实际调用或任务</w:t>
            </w:r>
          </w:p>
        </w:tc>
        <w:tc>
          <w:tcPr>
            <w:tcW w:type="dxa" w:w="2891"/>
            <w:vAlign w:val="center"/>
          </w:tcPr>
          <w:p>
            <w:pPr>
              <w:keepNext w:val="0"/>
              <w:spacing w:line="320" w:lineRule="exact" w:after="0" w:before="0"/>
              <w:ind w:firstLine="0"/>
              <w:jc w:val="left"/>
            </w:pPr>
            <w:r>
              <w:rPr>
                <w:b w:val="0"/>
                <w:sz w:val="21"/>
              </w:rPr>
              <w:t>申请、授权、调用及接收记录</w:t>
            </w:r>
          </w:p>
        </w:tc>
      </w:tr>
      <w:tr>
        <w:trPr>
          <w:cantSplit/>
        </w:trPr>
        <w:tc>
          <w:tcPr>
            <w:tcW w:type="dxa" w:w="1638"/>
            <w:vAlign w:val="center"/>
          </w:tcPr>
          <w:p>
            <w:pPr>
              <w:keepNext w:val="0"/>
              <w:spacing w:line="320" w:lineRule="exact" w:after="0" w:before="0"/>
              <w:ind w:firstLine="0"/>
              <w:jc w:val="left"/>
            </w:pPr>
            <w:r>
              <w:rPr>
                <w:b w:val="0"/>
                <w:sz w:val="21"/>
              </w:rPr>
              <w:t>SI-20</w:t>
            </w:r>
          </w:p>
        </w:tc>
        <w:tc>
          <w:tcPr>
            <w:tcW w:type="dxa" w:w="2699"/>
            <w:vAlign w:val="center"/>
          </w:tcPr>
          <w:p>
            <w:pPr>
              <w:keepNext w:val="0"/>
              <w:spacing w:line="320" w:lineRule="exact" w:after="0" w:before="0"/>
              <w:ind w:firstLine="0"/>
              <w:jc w:val="left"/>
            </w:pPr>
            <w:r>
              <w:rPr>
                <w:b w:val="0"/>
                <w:sz w:val="21"/>
              </w:rPr>
              <w:t>业务效率变化</w:t>
            </w:r>
          </w:p>
        </w:tc>
        <w:tc>
          <w:tcPr>
            <w:tcW w:type="dxa" w:w="2409"/>
            <w:vAlign w:val="center"/>
          </w:tcPr>
          <w:p>
            <w:pPr>
              <w:keepNext w:val="0"/>
              <w:spacing w:line="320" w:lineRule="exact" w:after="0" w:before="0"/>
              <w:ind w:firstLine="0"/>
              <w:jc w:val="left"/>
            </w:pPr>
            <w:r>
              <w:rPr>
                <w:b w:val="0"/>
                <w:sz w:val="21"/>
              </w:rPr>
              <w:t>在可比任务及相同口径下比较基线与评价期有效耗时</w:t>
            </w:r>
          </w:p>
        </w:tc>
        <w:tc>
          <w:tcPr>
            <w:tcW w:type="dxa" w:w="2891"/>
            <w:vAlign w:val="center"/>
          </w:tcPr>
          <w:p>
            <w:pPr>
              <w:keepNext w:val="0"/>
              <w:spacing w:line="320" w:lineRule="exact" w:after="0" w:before="0"/>
              <w:ind w:firstLine="0"/>
              <w:jc w:val="left"/>
            </w:pPr>
            <w:r>
              <w:rPr>
                <w:b w:val="0"/>
                <w:sz w:val="21"/>
              </w:rPr>
              <w:t>同类任务、计时、质量及环境</w:t>
            </w:r>
          </w:p>
        </w:tc>
      </w:tr>
      <w:tr>
        <w:trPr>
          <w:cantSplit/>
        </w:trPr>
        <w:tc>
          <w:tcPr>
            <w:tcW w:type="dxa" w:w="1638"/>
            <w:vAlign w:val="center"/>
          </w:tcPr>
          <w:p>
            <w:pPr>
              <w:keepNext w:val="0"/>
              <w:spacing w:line="320" w:lineRule="exact" w:after="0" w:before="0"/>
              <w:ind w:firstLine="0"/>
              <w:jc w:val="left"/>
            </w:pPr>
            <w:r>
              <w:rPr>
                <w:b w:val="0"/>
                <w:sz w:val="21"/>
              </w:rPr>
              <w:t>SI-21</w:t>
            </w:r>
          </w:p>
        </w:tc>
        <w:tc>
          <w:tcPr>
            <w:tcW w:type="dxa" w:w="2699"/>
            <w:vAlign w:val="center"/>
          </w:tcPr>
          <w:p>
            <w:pPr>
              <w:keepNext w:val="0"/>
              <w:spacing w:line="320" w:lineRule="exact" w:after="0" w:before="0"/>
              <w:ind w:firstLine="0"/>
              <w:jc w:val="left"/>
            </w:pPr>
            <w:r>
              <w:rPr>
                <w:b w:val="0"/>
                <w:sz w:val="21"/>
              </w:rPr>
              <w:t>成果复用有效率</w:t>
            </w:r>
          </w:p>
        </w:tc>
        <w:tc>
          <w:tcPr>
            <w:tcW w:type="dxa" w:w="2409"/>
            <w:vAlign w:val="center"/>
          </w:tcPr>
          <w:p>
            <w:pPr>
              <w:keepNext w:val="0"/>
              <w:spacing w:line="320" w:lineRule="exact" w:after="0" w:before="0"/>
              <w:ind w:firstLine="0"/>
              <w:jc w:val="left"/>
            </w:pPr>
            <w:r>
              <w:rPr>
                <w:b w:val="0"/>
                <w:sz w:val="21"/>
              </w:rPr>
              <w:t>经适用性核验且完成实际使用的复用项数除以已申请复用项数</w:t>
            </w:r>
          </w:p>
        </w:tc>
        <w:tc>
          <w:tcPr>
            <w:tcW w:type="dxa" w:w="2891"/>
            <w:vAlign w:val="center"/>
          </w:tcPr>
          <w:p>
            <w:pPr>
              <w:keepNext w:val="0"/>
              <w:spacing w:line="320" w:lineRule="exact" w:after="0" w:before="0"/>
              <w:ind w:firstLine="0"/>
              <w:jc w:val="left"/>
            </w:pPr>
            <w:r>
              <w:rPr>
                <w:b w:val="0"/>
                <w:sz w:val="21"/>
              </w:rPr>
              <w:t>适用评审、调用和使用评价</w:t>
            </w:r>
          </w:p>
        </w:tc>
      </w:tr>
      <w:tr>
        <w:trPr>
          <w:cantSplit/>
        </w:trPr>
        <w:tc>
          <w:tcPr>
            <w:tcW w:type="dxa" w:w="1638"/>
            <w:vAlign w:val="center"/>
          </w:tcPr>
          <w:p>
            <w:pPr>
              <w:keepNext w:val="0"/>
              <w:spacing w:line="320" w:lineRule="exact" w:after="0" w:before="0"/>
              <w:ind w:firstLine="0"/>
              <w:jc w:val="left"/>
            </w:pPr>
            <w:r>
              <w:rPr>
                <w:b w:val="0"/>
                <w:sz w:val="21"/>
              </w:rPr>
              <w:t>SI-22</w:t>
            </w:r>
          </w:p>
        </w:tc>
        <w:tc>
          <w:tcPr>
            <w:tcW w:type="dxa" w:w="2699"/>
            <w:vAlign w:val="center"/>
          </w:tcPr>
          <w:p>
            <w:pPr>
              <w:keepNext w:val="0"/>
              <w:spacing w:line="320" w:lineRule="exact" w:after="0" w:before="0"/>
              <w:ind w:firstLine="0"/>
              <w:jc w:val="left"/>
            </w:pPr>
            <w:r>
              <w:rPr>
                <w:b w:val="0"/>
                <w:sz w:val="21"/>
              </w:rPr>
              <w:t>岗位实操通过率</w:t>
            </w:r>
          </w:p>
        </w:tc>
        <w:tc>
          <w:tcPr>
            <w:tcW w:type="dxa" w:w="2409"/>
            <w:vAlign w:val="center"/>
          </w:tcPr>
          <w:p>
            <w:pPr>
              <w:keepNext w:val="0"/>
              <w:spacing w:line="320" w:lineRule="exact" w:after="0" w:before="0"/>
              <w:ind w:firstLine="0"/>
              <w:jc w:val="left"/>
            </w:pPr>
            <w:r>
              <w:rPr>
                <w:b w:val="0"/>
                <w:sz w:val="21"/>
              </w:rPr>
              <w:t>完成规定场景并通过实际操作检查的人次数除以应考核人次数</w:t>
            </w:r>
          </w:p>
        </w:tc>
        <w:tc>
          <w:tcPr>
            <w:tcW w:type="dxa" w:w="2891"/>
            <w:vAlign w:val="center"/>
          </w:tcPr>
          <w:p>
            <w:pPr>
              <w:keepNext w:val="0"/>
              <w:spacing w:line="320" w:lineRule="exact" w:after="0" w:before="0"/>
              <w:ind w:firstLine="0"/>
              <w:jc w:val="left"/>
            </w:pPr>
            <w:r>
              <w:rPr>
                <w:b w:val="0"/>
                <w:sz w:val="21"/>
              </w:rPr>
              <w:t>岗位名单、操作和考核</w:t>
            </w:r>
          </w:p>
        </w:tc>
      </w:tr>
      <w:tr>
        <w:trPr>
          <w:cantSplit/>
        </w:trPr>
        <w:tc>
          <w:tcPr>
            <w:tcW w:type="dxa" w:w="1638"/>
            <w:vAlign w:val="center"/>
          </w:tcPr>
          <w:p>
            <w:pPr>
              <w:keepNext w:val="0"/>
              <w:spacing w:line="320" w:lineRule="exact" w:after="0" w:before="0"/>
              <w:ind w:firstLine="0"/>
              <w:jc w:val="left"/>
            </w:pPr>
            <w:r>
              <w:rPr>
                <w:b w:val="0"/>
                <w:sz w:val="21"/>
              </w:rPr>
              <w:t>SI-23</w:t>
            </w:r>
          </w:p>
        </w:tc>
        <w:tc>
          <w:tcPr>
            <w:tcW w:type="dxa" w:w="2699"/>
            <w:vAlign w:val="center"/>
          </w:tcPr>
          <w:p>
            <w:pPr>
              <w:keepNext w:val="0"/>
              <w:spacing w:line="320" w:lineRule="exact" w:after="0" w:before="0"/>
              <w:ind w:firstLine="0"/>
              <w:jc w:val="left"/>
            </w:pPr>
            <w:r>
              <w:rPr>
                <w:b w:val="0"/>
                <w:sz w:val="21"/>
              </w:rPr>
              <w:t>能力证据充分率</w:t>
            </w:r>
          </w:p>
        </w:tc>
        <w:tc>
          <w:tcPr>
            <w:tcW w:type="dxa" w:w="2409"/>
            <w:vAlign w:val="center"/>
          </w:tcPr>
          <w:p>
            <w:pPr>
              <w:keepNext w:val="0"/>
              <w:spacing w:line="320" w:lineRule="exact" w:after="0" w:before="0"/>
              <w:ind w:firstLine="0"/>
              <w:jc w:val="left"/>
            </w:pPr>
            <w:r>
              <w:rPr>
                <w:b w:val="0"/>
                <w:sz w:val="21"/>
              </w:rPr>
              <w:t>经内部核验具备适用有效证据的检查项数除以适用检查项数</w:t>
            </w:r>
          </w:p>
        </w:tc>
        <w:tc>
          <w:tcPr>
            <w:tcW w:type="dxa" w:w="2891"/>
            <w:vAlign w:val="center"/>
          </w:tcPr>
          <w:p>
            <w:pPr>
              <w:keepNext w:val="0"/>
              <w:spacing w:line="320" w:lineRule="exact" w:after="0" w:before="0"/>
              <w:ind w:firstLine="0"/>
              <w:jc w:val="left"/>
            </w:pPr>
            <w:r>
              <w:rPr>
                <w:b w:val="0"/>
                <w:sz w:val="21"/>
              </w:rPr>
              <w:t>要求清单、证据对应和核验</w:t>
            </w:r>
          </w:p>
        </w:tc>
      </w:tr>
      <w:tr>
        <w:trPr>
          <w:cantSplit/>
        </w:trPr>
        <w:tc>
          <w:tcPr>
            <w:tcW w:type="dxa" w:w="1638"/>
            <w:vAlign w:val="center"/>
          </w:tcPr>
          <w:p>
            <w:pPr>
              <w:keepNext w:val="0"/>
              <w:spacing w:line="320" w:lineRule="exact" w:after="0" w:before="0"/>
              <w:ind w:firstLine="0"/>
              <w:jc w:val="left"/>
            </w:pPr>
            <w:r>
              <w:rPr>
                <w:b w:val="0"/>
                <w:sz w:val="21"/>
              </w:rPr>
              <w:t>SI-24</w:t>
            </w:r>
          </w:p>
        </w:tc>
        <w:tc>
          <w:tcPr>
            <w:tcW w:type="dxa" w:w="2699"/>
            <w:vAlign w:val="center"/>
          </w:tcPr>
          <w:p>
            <w:pPr>
              <w:keepNext w:val="0"/>
              <w:spacing w:line="320" w:lineRule="exact" w:after="0" w:before="0"/>
              <w:ind w:firstLine="0"/>
              <w:jc w:val="left"/>
            </w:pPr>
            <w:r>
              <w:rPr>
                <w:b w:val="0"/>
                <w:sz w:val="21"/>
              </w:rPr>
              <w:t>上期措施落实率</w:t>
            </w:r>
          </w:p>
        </w:tc>
        <w:tc>
          <w:tcPr>
            <w:tcW w:type="dxa" w:w="2409"/>
            <w:vAlign w:val="center"/>
          </w:tcPr>
          <w:p>
            <w:pPr>
              <w:keepNext w:val="0"/>
              <w:spacing w:line="320" w:lineRule="exact" w:after="0" w:before="0"/>
              <w:ind w:firstLine="0"/>
              <w:jc w:val="left"/>
            </w:pPr>
            <w:r>
              <w:rPr>
                <w:b w:val="0"/>
                <w:sz w:val="21"/>
              </w:rPr>
              <w:t>本期到期且通过效果复核的上期措施数除以本期到期措施数</w:t>
            </w:r>
          </w:p>
        </w:tc>
        <w:tc>
          <w:tcPr>
            <w:tcW w:type="dxa" w:w="2891"/>
            <w:vAlign w:val="center"/>
          </w:tcPr>
          <w:p>
            <w:pPr>
              <w:keepNext w:val="0"/>
              <w:spacing w:line="320" w:lineRule="exact" w:after="0" w:before="0"/>
              <w:ind w:firstLine="0"/>
              <w:jc w:val="left"/>
            </w:pPr>
            <w:r>
              <w:rPr>
                <w:b w:val="0"/>
                <w:sz w:val="21"/>
              </w:rPr>
              <w:t>上期报告、措施执行及效果复核</w:t>
            </w:r>
          </w:p>
        </w:tc>
      </w:tr>
    </w:tbl>
    <w:p>
      <w:pPr>
        <w:spacing w:after="40" w:line="240" w:lineRule="auto"/>
        <w:ind w:firstLine="0"/>
      </w:pPr>
      <w:r>
        <w:rPr>
          <w:sz w:val="4"/>
        </w:rPr>
      </w:r>
    </w:p>
    <w:p>
      <w:pPr>
        <w:pStyle w:val="Heading3"/>
      </w:pPr>
      <w:r>
        <w:t>4.6.2 数据供给指标核查规则</w:t>
      </w:r>
    </w:p>
    <w:p>
      <w:pPr>
        <w:jc w:val="both"/>
      </w:pPr>
      <w:r>
        <w:t>SI-13 按领域和用途分别核对，不以总量抵消单项不足。供需计划、产品工艺设计、制造过程、产品质量的预训练规模分别为276亿、70亿、105亿、164亿有效 Tokens；指令微调分别为40万条、10万条、15万条、24万条；偏好对齐分别为3.2万组、0.8万组、1万组、1.6万组；基准评测分别为0.4万道、0.1万道、0.2万道、0.25万道。完成判断以符合质量和计量条件的有效净量达到对应要求为依据。</w:t>
      </w:r>
    </w:p>
    <w:p>
      <w:pPr>
        <w:jc w:val="both"/>
      </w:pPr>
      <w:r>
        <w:t>SI-14 将模态覆盖与多模态比例分别核查。项目覆盖文本、图像、时序和视频，每个领域至少覆盖三种模态，领域内多模态比例不低于40%，近36个月数据比例不低于40%。预训练采用具备完整语义的有效记录，指令微调采用完整任务，偏好对齐采用完整比较组，基准评测采用完整题目。不同用途保留各自分子分母，禁止用 Tokens 占比替代样本比例。</w:t>
      </w:r>
    </w:p>
    <w:p>
      <w:pPr>
        <w:jc w:val="both"/>
      </w:pPr>
      <w:r>
        <w:t>近36个月从实际发布时点向前按日历月计算，采用数据实际形成时间。搬迁、导入、重编码或重新包装时间不能代替业务形成时间。形成时间无法核实的对象纳入有效总体时，不计入近期数据分子；后续取得可靠时间证据后按版本更正程序调整。</w:t>
      </w:r>
    </w:p>
    <w:p>
      <w:pPr>
        <w:jc w:val="both"/>
      </w:pPr>
      <w:r>
        <w:t>SI-15 按来源家族和处理属性去重统计。预训练合成与增强数据取并集，合计不超过有效 Tokens 的20%；指令微调整体合成比例不超过45%，数据丰富场景不超过30%，长尾稀缺场景不超过60%，分场景条件同时受整体45%上限约束；偏好对齐合成组比例不超过50%；基准评测合成比例为零，且不采用合成增强数据。</w:t>
      </w:r>
    </w:p>
    <w:p>
      <w:pPr>
        <w:jc w:val="both"/>
      </w:pPr>
      <w:r>
        <w:t>SI-16 检查说明文档、数据质量和模型应用三个维度，按适用规范分别达到90分，综合得分不低于85分，全部81项指标逐项保留结论。高危风险清零，中低危问题整改完成率达到100%，高危命中100%人工复核。模型效果按批准协议达到对应最低提升要求，不能以静态评分替代模型验证。</w:t>
      </w:r>
    </w:p>
    <w:p>
      <w:pPr>
        <w:jc w:val="both"/>
      </w:pPr>
      <w:r>
        <w:t>SI-17 仅计入完成规定范围并保留完整证据的集中复测，集中复测不少于四次。首次评测、日常质检、局部规则回归和重复运行失败任务分别登记，不充抵集中复测。每次复测关联实际后继版本、缺陷范围、完整结果和正式报告，未达标继续整改及复测。</w:t>
      </w:r>
    </w:p>
    <w:p>
      <w:pPr>
        <w:pStyle w:val="Heading3"/>
      </w:pPr>
      <w:r>
        <w:t>4.6.3 管理与业务指标解释规则</w:t>
      </w:r>
    </w:p>
    <w:p>
      <w:pPr>
        <w:jc w:val="both"/>
      </w:pPr>
      <w:r>
        <w:t>SI-02 以验收完成为依据，提交草稿、完成开发或移交待查不计为已验收。工作包拆分后保留与原基准的关系，防止通过拆小已完成任务或合并未完成任务改变完成率。关键工作包同时单列状态，即使总体完成率较高，关键依赖未满足仍按实际影响报告。</w:t>
      </w:r>
    </w:p>
    <w:p>
      <w:pPr>
        <w:jc w:val="both"/>
      </w:pPr>
      <w:r>
        <w:t>SI-07 与 SI-08 分别反映字段有效性和对象关联有效性。字段非空但单位、状态或语义错误的，不计为有效；同一对象存在多个候选关联且尚未裁定的，不计为唯一有效关联。抽样估计与全量计算分别标识，抽样总体、分层和误差范围随结果保留。</w:t>
      </w:r>
    </w:p>
    <w:p>
      <w:pPr>
        <w:jc w:val="both"/>
      </w:pPr>
      <w:r>
        <w:t>SI-19 统计真实业务使用，排除测试调用、重复重试及失败请求；测试活动在技术运行统计中单独保留。SI-20 比较相同业务类型、复杂度、数据规模和质量条件下的耗时，人工复核、返工和异常等待纳入规定范围。业务量变化、流程调整及人员熟练度等影响因素同步分析，不能把全部变化归因于数据治理。</w:t>
      </w:r>
    </w:p>
    <w:p>
      <w:pPr>
        <w:jc w:val="both"/>
      </w:pPr>
      <w:r>
        <w:t>SI-21 检查复用是否真实满足新场景条件。复制一份文件、引用一个名称或重复登记同一服务，不独立构成有效复用。SI-22 以操作能力为基础，培训签到不能替代实操。SI-23 仅反映内部证据准备情况，正式能力等级以适用评估程序及其结论为准。</w:t>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11" name="Picture 11"/>
            <wp:cNvGraphicFramePr>
              <a:graphicFrameLocks noChangeAspect="1"/>
            </wp:cNvGraphicFramePr>
            <a:graphic>
              <a:graphicData uri="http://schemas.openxmlformats.org/drawingml/2006/picture">
                <pic:pic>
                  <pic:nvPicPr>
                    <pic:cNvPr id="0" name="图11_指标证据.png"/>
                    <pic:cNvPicPr/>
                  </pic:nvPicPr>
                  <pic:blipFill>
                    <a:blip r:embed="rId21"/>
                    <a:stretch>
                      <a:fillRect/>
                    </a:stretch>
                  </pic:blipFill>
                  <pic:spPr>
                    <a:xfrm>
                      <a:off x="0" y="0"/>
                      <a:ext cx="6048000" cy="3004615"/>
                    </a:xfrm>
                    <a:prstGeom prst="rect"/>
                  </pic:spPr>
                </pic:pic>
              </a:graphicData>
            </a:graphic>
          </wp:inline>
        </w:drawing>
      </w:r>
    </w:p>
    <w:p>
      <w:pPr>
        <w:pStyle w:val="Caption"/>
        <w:jc w:val="center"/>
      </w:pPr>
      <w:r>
        <w:t>图4-2 指标计算与证据关系</w:t>
      </w:r>
    </w:p>
    <w:p>
      <w:pPr>
        <w:pStyle w:val="Heading2"/>
      </w:pPr>
      <w:r>
        <w:t>4.7 目标任务对应评价</w:t>
      </w:r>
    </w:p>
    <w:p>
      <w:pPr>
        <w:pStyle w:val="Heading3"/>
      </w:pPr>
      <w:r>
        <w:t>4.7.1 八项目标的执行检查</w:t>
      </w:r>
    </w:p>
    <w:p>
      <w:pPr>
        <w:pStyle w:val="Caption"/>
        <w:keepNext/>
      </w:pPr>
      <w:r>
        <w:t>表4-4 八项目标的执行检查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战略目标</w:t>
            </w:r>
          </w:p>
        </w:tc>
        <w:tc>
          <w:tcPr>
            <w:tcW w:type="dxa" w:w="2699"/>
            <w:vAlign w:val="center"/>
            <w:shd w:fill="EDF1F3"/>
          </w:tcPr>
          <w:p>
            <w:pPr>
              <w:keepNext/>
              <w:spacing w:line="320" w:lineRule="exact" w:after="0" w:before="0"/>
              <w:ind w:firstLine="0"/>
              <w:jc w:val="center"/>
            </w:pPr>
            <w:r>
              <w:rPr>
                <w:b/>
                <w:sz w:val="21"/>
              </w:rPr>
              <w:t>主要关联工作包</w:t>
            </w:r>
          </w:p>
        </w:tc>
        <w:tc>
          <w:tcPr>
            <w:tcW w:type="dxa" w:w="2409"/>
            <w:vAlign w:val="center"/>
            <w:shd w:fill="EDF1F3"/>
          </w:tcPr>
          <w:p>
            <w:pPr>
              <w:keepNext/>
              <w:spacing w:line="320" w:lineRule="exact" w:after="0" w:before="0"/>
              <w:ind w:firstLine="0"/>
              <w:jc w:val="center"/>
            </w:pPr>
            <w:r>
              <w:rPr>
                <w:b/>
                <w:sz w:val="21"/>
              </w:rPr>
              <w:t>评价重点</w:t>
            </w:r>
          </w:p>
        </w:tc>
        <w:tc>
          <w:tcPr>
            <w:tcW w:type="dxa" w:w="2891"/>
            <w:vAlign w:val="center"/>
            <w:shd w:fill="EDF1F3"/>
          </w:tcPr>
          <w:p>
            <w:pPr>
              <w:keepNext/>
              <w:spacing w:line="320" w:lineRule="exact" w:after="0" w:before="0"/>
              <w:ind w:firstLine="0"/>
              <w:jc w:val="center"/>
            </w:pPr>
            <w:r>
              <w:rPr>
                <w:b/>
                <w:sz w:val="21"/>
              </w:rPr>
              <w:t>关键约束</w:t>
            </w:r>
          </w:p>
        </w:tc>
      </w:tr>
      <w:tr>
        <w:trPr>
          <w:cantSplit/>
        </w:trPr>
        <w:tc>
          <w:tcPr>
            <w:tcW w:type="dxa" w:w="1638"/>
            <w:vAlign w:val="center"/>
          </w:tcPr>
          <w:p>
            <w:pPr>
              <w:keepNext w:val="0"/>
              <w:spacing w:line="320" w:lineRule="exact" w:after="0" w:before="0"/>
              <w:ind w:firstLine="0"/>
              <w:jc w:val="left"/>
            </w:pPr>
            <w:r>
              <w:rPr>
                <w:b w:val="0"/>
                <w:sz w:val="21"/>
              </w:rPr>
              <w:t>SG-01 治理责任</w:t>
            </w:r>
          </w:p>
        </w:tc>
        <w:tc>
          <w:tcPr>
            <w:tcW w:type="dxa" w:w="2699"/>
            <w:vAlign w:val="center"/>
          </w:tcPr>
          <w:p>
            <w:pPr>
              <w:keepNext w:val="0"/>
              <w:spacing w:line="320" w:lineRule="exact" w:after="0" w:before="0"/>
              <w:ind w:firstLine="0"/>
              <w:jc w:val="left"/>
            </w:pPr>
            <w:r>
              <w:rPr>
                <w:b w:val="0"/>
                <w:sz w:val="21"/>
              </w:rPr>
              <w:t>WP-01 至 WP-04、WP-25</w:t>
            </w:r>
          </w:p>
        </w:tc>
        <w:tc>
          <w:tcPr>
            <w:tcW w:type="dxa" w:w="2409"/>
            <w:vAlign w:val="center"/>
          </w:tcPr>
          <w:p>
            <w:pPr>
              <w:keepNext w:val="0"/>
              <w:spacing w:line="320" w:lineRule="exact" w:after="0" w:before="0"/>
              <w:ind w:firstLine="0"/>
              <w:jc w:val="left"/>
            </w:pPr>
            <w:r>
              <w:rPr>
                <w:b w:val="0"/>
                <w:sz w:val="21"/>
              </w:rPr>
              <w:t>职责授权、议事、任务与评价是否实际运行</w:t>
            </w:r>
          </w:p>
        </w:tc>
        <w:tc>
          <w:tcPr>
            <w:tcW w:type="dxa" w:w="2891"/>
            <w:vAlign w:val="center"/>
          </w:tcPr>
          <w:p>
            <w:pPr>
              <w:keepNext w:val="0"/>
              <w:spacing w:line="320" w:lineRule="exact" w:after="0" w:before="0"/>
              <w:ind w:firstLine="0"/>
              <w:jc w:val="left"/>
            </w:pPr>
            <w:r>
              <w:rPr>
                <w:b w:val="0"/>
                <w:sz w:val="21"/>
              </w:rPr>
              <w:t>无有效授权不能替代批准</w:t>
            </w:r>
          </w:p>
        </w:tc>
      </w:tr>
      <w:tr>
        <w:trPr>
          <w:cantSplit/>
        </w:trPr>
        <w:tc>
          <w:tcPr>
            <w:tcW w:type="dxa" w:w="1638"/>
            <w:vAlign w:val="center"/>
          </w:tcPr>
          <w:p>
            <w:pPr>
              <w:keepNext w:val="0"/>
              <w:spacing w:line="320" w:lineRule="exact" w:after="0" w:before="0"/>
              <w:ind w:firstLine="0"/>
              <w:jc w:val="left"/>
            </w:pPr>
            <w:r>
              <w:rPr>
                <w:b w:val="0"/>
                <w:sz w:val="21"/>
              </w:rPr>
              <w:t>SG-02 资源基础</w:t>
            </w:r>
          </w:p>
        </w:tc>
        <w:tc>
          <w:tcPr>
            <w:tcW w:type="dxa" w:w="2699"/>
            <w:vAlign w:val="center"/>
          </w:tcPr>
          <w:p>
            <w:pPr>
              <w:keepNext w:val="0"/>
              <w:spacing w:line="320" w:lineRule="exact" w:after="0" w:before="0"/>
              <w:ind w:firstLine="0"/>
              <w:jc w:val="left"/>
            </w:pPr>
            <w:r>
              <w:rPr>
                <w:b w:val="0"/>
                <w:sz w:val="21"/>
              </w:rPr>
              <w:t>WP-05、WP-07、WP-09、WP-10、WP-14</w:t>
            </w:r>
          </w:p>
        </w:tc>
        <w:tc>
          <w:tcPr>
            <w:tcW w:type="dxa" w:w="2409"/>
            <w:vAlign w:val="center"/>
          </w:tcPr>
          <w:p>
            <w:pPr>
              <w:keepNext w:val="0"/>
              <w:spacing w:line="320" w:lineRule="exact" w:after="0" w:before="0"/>
              <w:ind w:firstLine="0"/>
              <w:jc w:val="left"/>
            </w:pPr>
            <w:r>
              <w:rPr>
                <w:b w:val="0"/>
                <w:sz w:val="21"/>
              </w:rPr>
              <w:t>九域十七系统范围及可定位资源</w:t>
            </w:r>
          </w:p>
        </w:tc>
        <w:tc>
          <w:tcPr>
            <w:tcW w:type="dxa" w:w="2891"/>
            <w:vAlign w:val="center"/>
          </w:tcPr>
          <w:p>
            <w:pPr>
              <w:keepNext w:val="0"/>
              <w:spacing w:line="320" w:lineRule="exact" w:after="0" w:before="0"/>
              <w:ind w:firstLine="0"/>
              <w:jc w:val="left"/>
            </w:pPr>
            <w:r>
              <w:rPr>
                <w:b w:val="0"/>
                <w:sz w:val="21"/>
              </w:rPr>
              <w:t>盘点、授权、接入及可用分别核验</w:t>
            </w:r>
          </w:p>
        </w:tc>
      </w:tr>
      <w:tr>
        <w:trPr>
          <w:cantSplit/>
        </w:trPr>
        <w:tc>
          <w:tcPr>
            <w:tcW w:type="dxa" w:w="1638"/>
            <w:vAlign w:val="center"/>
          </w:tcPr>
          <w:p>
            <w:pPr>
              <w:keepNext w:val="0"/>
              <w:spacing w:line="320" w:lineRule="exact" w:after="0" w:before="0"/>
              <w:ind w:firstLine="0"/>
              <w:jc w:val="left"/>
            </w:pPr>
            <w:r>
              <w:rPr>
                <w:b w:val="0"/>
                <w:sz w:val="21"/>
              </w:rPr>
              <w:t>SG-03 业务一致</w:t>
            </w:r>
          </w:p>
        </w:tc>
        <w:tc>
          <w:tcPr>
            <w:tcW w:type="dxa" w:w="2699"/>
            <w:vAlign w:val="center"/>
          </w:tcPr>
          <w:p>
            <w:pPr>
              <w:keepNext w:val="0"/>
              <w:spacing w:line="320" w:lineRule="exact" w:after="0" w:before="0"/>
              <w:ind w:firstLine="0"/>
              <w:jc w:val="left"/>
            </w:pPr>
            <w:r>
              <w:rPr>
                <w:b w:val="0"/>
                <w:sz w:val="21"/>
              </w:rPr>
              <w:t>WP-06、WP-08、WP-11、WP-15</w:t>
            </w:r>
          </w:p>
        </w:tc>
        <w:tc>
          <w:tcPr>
            <w:tcW w:type="dxa" w:w="2409"/>
            <w:vAlign w:val="center"/>
          </w:tcPr>
          <w:p>
            <w:pPr>
              <w:keepNext w:val="0"/>
              <w:spacing w:line="320" w:lineRule="exact" w:after="0" w:before="0"/>
              <w:ind w:firstLine="0"/>
              <w:jc w:val="left"/>
            </w:pPr>
            <w:r>
              <w:rPr>
                <w:b w:val="0"/>
                <w:sz w:val="21"/>
              </w:rPr>
              <w:t>定义、编码、关系和指标是否一致</w:t>
            </w:r>
          </w:p>
        </w:tc>
        <w:tc>
          <w:tcPr>
            <w:tcW w:type="dxa" w:w="2891"/>
            <w:vAlign w:val="center"/>
          </w:tcPr>
          <w:p>
            <w:pPr>
              <w:keepNext w:val="0"/>
              <w:spacing w:line="320" w:lineRule="exact" w:after="0" w:before="0"/>
              <w:ind w:firstLine="0"/>
              <w:jc w:val="left"/>
            </w:pPr>
            <w:r>
              <w:rPr>
                <w:b w:val="0"/>
                <w:sz w:val="21"/>
              </w:rPr>
              <w:t>业务归口确认，历史版本保留</w:t>
            </w:r>
          </w:p>
        </w:tc>
      </w:tr>
      <w:tr>
        <w:trPr>
          <w:cantSplit/>
        </w:trPr>
        <w:tc>
          <w:tcPr>
            <w:tcW w:type="dxa" w:w="1638"/>
            <w:vAlign w:val="center"/>
          </w:tcPr>
          <w:p>
            <w:pPr>
              <w:keepNext w:val="0"/>
              <w:spacing w:line="320" w:lineRule="exact" w:after="0" w:before="0"/>
              <w:ind w:firstLine="0"/>
              <w:jc w:val="left"/>
            </w:pPr>
            <w:r>
              <w:rPr>
                <w:b w:val="0"/>
                <w:sz w:val="21"/>
              </w:rPr>
              <w:t>SG-04 质量安全</w:t>
            </w:r>
          </w:p>
        </w:tc>
        <w:tc>
          <w:tcPr>
            <w:tcW w:type="dxa" w:w="2699"/>
            <w:vAlign w:val="center"/>
          </w:tcPr>
          <w:p>
            <w:pPr>
              <w:keepNext w:val="0"/>
              <w:spacing w:line="320" w:lineRule="exact" w:after="0" w:before="0"/>
              <w:ind w:firstLine="0"/>
              <w:jc w:val="left"/>
            </w:pPr>
            <w:r>
              <w:rPr>
                <w:b w:val="0"/>
                <w:sz w:val="21"/>
              </w:rPr>
              <w:t>WP-12、WP-13、WP-14、WP-21</w:t>
            </w:r>
          </w:p>
        </w:tc>
        <w:tc>
          <w:tcPr>
            <w:tcW w:type="dxa" w:w="2409"/>
            <w:vAlign w:val="center"/>
          </w:tcPr>
          <w:p>
            <w:pPr>
              <w:keepNext w:val="0"/>
              <w:spacing w:line="320" w:lineRule="exact" w:after="0" w:before="0"/>
              <w:ind w:firstLine="0"/>
              <w:jc w:val="left"/>
            </w:pPr>
            <w:r>
              <w:rPr>
                <w:b w:val="0"/>
                <w:sz w:val="21"/>
              </w:rPr>
              <w:t>规则、权限、风险和整改是否有效</w:t>
            </w:r>
          </w:p>
        </w:tc>
        <w:tc>
          <w:tcPr>
            <w:tcW w:type="dxa" w:w="2891"/>
            <w:vAlign w:val="center"/>
          </w:tcPr>
          <w:p>
            <w:pPr>
              <w:keepNext w:val="0"/>
              <w:spacing w:line="320" w:lineRule="exact" w:after="0" w:before="0"/>
              <w:ind w:firstLine="0"/>
              <w:jc w:val="left"/>
            </w:pPr>
            <w:r>
              <w:rPr>
                <w:b w:val="0"/>
                <w:sz w:val="21"/>
              </w:rPr>
              <w:t>必要质量安全条件独立满足</w:t>
            </w:r>
          </w:p>
        </w:tc>
      </w:tr>
      <w:tr>
        <w:trPr>
          <w:cantSplit/>
        </w:trPr>
        <w:tc>
          <w:tcPr>
            <w:tcW w:type="dxa" w:w="1638"/>
            <w:vAlign w:val="center"/>
          </w:tcPr>
          <w:p>
            <w:pPr>
              <w:keepNext w:val="0"/>
              <w:spacing w:line="320" w:lineRule="exact" w:after="0" w:before="0"/>
              <w:ind w:firstLine="0"/>
              <w:jc w:val="left"/>
            </w:pPr>
            <w:r>
              <w:rPr>
                <w:b w:val="0"/>
                <w:sz w:val="21"/>
              </w:rPr>
              <w:t>SG-05 数据供给</w:t>
            </w:r>
          </w:p>
        </w:tc>
        <w:tc>
          <w:tcPr>
            <w:tcW w:type="dxa" w:w="2699"/>
            <w:vAlign w:val="center"/>
          </w:tcPr>
          <w:p>
            <w:pPr>
              <w:keepNext w:val="0"/>
              <w:spacing w:line="320" w:lineRule="exact" w:after="0" w:before="0"/>
              <w:ind w:firstLine="0"/>
              <w:jc w:val="left"/>
            </w:pPr>
            <w:r>
              <w:rPr>
                <w:b w:val="0"/>
                <w:sz w:val="21"/>
              </w:rPr>
              <w:t>WP-16 至 WP-21</w:t>
            </w:r>
          </w:p>
        </w:tc>
        <w:tc>
          <w:tcPr>
            <w:tcW w:type="dxa" w:w="2409"/>
            <w:vAlign w:val="center"/>
          </w:tcPr>
          <w:p>
            <w:pPr>
              <w:keepNext w:val="0"/>
              <w:spacing w:line="320" w:lineRule="exact" w:after="0" w:before="0"/>
              <w:ind w:firstLine="0"/>
              <w:jc w:val="left"/>
            </w:pPr>
            <w:r>
              <w:rPr>
                <w:b w:val="0"/>
                <w:sz w:val="21"/>
              </w:rPr>
              <w:t>十六项净量、比例、卡片与正式评测</w:t>
            </w:r>
          </w:p>
        </w:tc>
        <w:tc>
          <w:tcPr>
            <w:tcW w:type="dxa" w:w="2891"/>
            <w:vAlign w:val="center"/>
          </w:tcPr>
          <w:p>
            <w:pPr>
              <w:keepNext w:val="0"/>
              <w:spacing w:line="320" w:lineRule="exact" w:after="0" w:before="0"/>
              <w:ind w:firstLine="0"/>
              <w:jc w:val="left"/>
            </w:pPr>
            <w:r>
              <w:rPr>
                <w:b w:val="0"/>
                <w:sz w:val="21"/>
              </w:rPr>
              <w:t>单项不足不能用其他项盈余抵消</w:t>
            </w:r>
          </w:p>
        </w:tc>
      </w:tr>
      <w:tr>
        <w:trPr>
          <w:cantSplit/>
        </w:trPr>
        <w:tc>
          <w:tcPr>
            <w:tcW w:type="dxa" w:w="1638"/>
            <w:vAlign w:val="center"/>
          </w:tcPr>
          <w:p>
            <w:pPr>
              <w:keepNext w:val="0"/>
              <w:spacing w:line="320" w:lineRule="exact" w:after="0" w:before="0"/>
              <w:ind w:firstLine="0"/>
              <w:jc w:val="left"/>
            </w:pPr>
            <w:r>
              <w:rPr>
                <w:b w:val="0"/>
                <w:sz w:val="21"/>
              </w:rPr>
              <w:t>SG-06 场景验证</w:t>
            </w:r>
          </w:p>
        </w:tc>
        <w:tc>
          <w:tcPr>
            <w:tcW w:type="dxa" w:w="2699"/>
            <w:vAlign w:val="center"/>
          </w:tcPr>
          <w:p>
            <w:pPr>
              <w:keepNext w:val="0"/>
              <w:spacing w:line="320" w:lineRule="exact" w:after="0" w:before="0"/>
              <w:ind w:firstLine="0"/>
              <w:jc w:val="left"/>
            </w:pPr>
            <w:r>
              <w:rPr>
                <w:b w:val="0"/>
                <w:sz w:val="21"/>
              </w:rPr>
              <w:t>WP-06、WP-15 至 WP-21、WP-24</w:t>
            </w:r>
          </w:p>
        </w:tc>
        <w:tc>
          <w:tcPr>
            <w:tcW w:type="dxa" w:w="2409"/>
            <w:vAlign w:val="center"/>
          </w:tcPr>
          <w:p>
            <w:pPr>
              <w:keepNext w:val="0"/>
              <w:spacing w:line="320" w:lineRule="exact" w:after="0" w:before="0"/>
              <w:ind w:firstLine="0"/>
              <w:jc w:val="left"/>
            </w:pPr>
            <w:r>
              <w:rPr>
                <w:b w:val="0"/>
                <w:sz w:val="21"/>
              </w:rPr>
              <w:t>场景需求、输入、结果和业务用途</w:t>
            </w:r>
          </w:p>
        </w:tc>
        <w:tc>
          <w:tcPr>
            <w:tcW w:type="dxa" w:w="2891"/>
            <w:vAlign w:val="center"/>
          </w:tcPr>
          <w:p>
            <w:pPr>
              <w:keepNext w:val="0"/>
              <w:spacing w:line="320" w:lineRule="exact" w:after="0" w:before="0"/>
              <w:ind w:firstLine="0"/>
              <w:jc w:val="left"/>
            </w:pPr>
            <w:r>
              <w:rPr>
                <w:b w:val="0"/>
                <w:sz w:val="21"/>
              </w:rPr>
              <w:t>无真实验证证据不能判断效果</w:t>
            </w:r>
          </w:p>
        </w:tc>
      </w:tr>
      <w:tr>
        <w:trPr>
          <w:cantSplit/>
        </w:trPr>
        <w:tc>
          <w:tcPr>
            <w:tcW w:type="dxa" w:w="1638"/>
            <w:vAlign w:val="center"/>
          </w:tcPr>
          <w:p>
            <w:pPr>
              <w:keepNext w:val="0"/>
              <w:spacing w:line="320" w:lineRule="exact" w:after="0" w:before="0"/>
              <w:ind w:firstLine="0"/>
              <w:jc w:val="left"/>
            </w:pPr>
            <w:r>
              <w:rPr>
                <w:b w:val="0"/>
                <w:sz w:val="21"/>
              </w:rPr>
              <w:t>SG-07 资产运营</w:t>
            </w:r>
          </w:p>
        </w:tc>
        <w:tc>
          <w:tcPr>
            <w:tcW w:type="dxa" w:w="2699"/>
            <w:vAlign w:val="center"/>
          </w:tcPr>
          <w:p>
            <w:pPr>
              <w:keepNext w:val="0"/>
              <w:spacing w:line="320" w:lineRule="exact" w:after="0" w:before="0"/>
              <w:ind w:firstLine="0"/>
              <w:jc w:val="left"/>
            </w:pPr>
            <w:r>
              <w:rPr>
                <w:b w:val="0"/>
                <w:sz w:val="21"/>
              </w:rPr>
              <w:t>WP-22 至 WP-24</w:t>
            </w:r>
          </w:p>
        </w:tc>
        <w:tc>
          <w:tcPr>
            <w:tcW w:type="dxa" w:w="2409"/>
            <w:vAlign w:val="center"/>
          </w:tcPr>
          <w:p>
            <w:pPr>
              <w:keepNext w:val="0"/>
              <w:spacing w:line="320" w:lineRule="exact" w:after="0" w:before="0"/>
              <w:ind w:firstLine="0"/>
              <w:jc w:val="left"/>
            </w:pPr>
            <w:r>
              <w:rPr>
                <w:b w:val="0"/>
                <w:sz w:val="21"/>
              </w:rPr>
              <w:t>权利、目录、授权、使用及价值</w:t>
            </w:r>
          </w:p>
        </w:tc>
        <w:tc>
          <w:tcPr>
            <w:tcW w:type="dxa" w:w="2891"/>
            <w:vAlign w:val="center"/>
          </w:tcPr>
          <w:p>
            <w:pPr>
              <w:keepNext w:val="0"/>
              <w:spacing w:line="320" w:lineRule="exact" w:after="0" w:before="0"/>
              <w:ind w:firstLine="0"/>
              <w:jc w:val="left"/>
            </w:pPr>
            <w:r>
              <w:rPr>
                <w:b w:val="0"/>
                <w:sz w:val="21"/>
              </w:rPr>
              <w:t>权利限制与使用边界有效</w:t>
            </w:r>
          </w:p>
        </w:tc>
      </w:tr>
      <w:tr>
        <w:trPr>
          <w:cantSplit/>
        </w:trPr>
        <w:tc>
          <w:tcPr>
            <w:tcW w:type="dxa" w:w="1638"/>
            <w:vAlign w:val="center"/>
          </w:tcPr>
          <w:p>
            <w:pPr>
              <w:keepNext w:val="0"/>
              <w:spacing w:line="320" w:lineRule="exact" w:after="0" w:before="0"/>
              <w:ind w:firstLine="0"/>
              <w:jc w:val="left"/>
            </w:pPr>
            <w:r>
              <w:rPr>
                <w:b w:val="0"/>
                <w:sz w:val="21"/>
              </w:rPr>
              <w:t>SG-08 持续能力</w:t>
            </w:r>
          </w:p>
        </w:tc>
        <w:tc>
          <w:tcPr>
            <w:tcW w:type="dxa" w:w="2699"/>
            <w:vAlign w:val="center"/>
          </w:tcPr>
          <w:p>
            <w:pPr>
              <w:keepNext w:val="0"/>
              <w:spacing w:line="320" w:lineRule="exact" w:after="0" w:before="0"/>
              <w:ind w:firstLine="0"/>
              <w:jc w:val="left"/>
            </w:pPr>
            <w:r>
              <w:rPr>
                <w:b w:val="0"/>
                <w:sz w:val="21"/>
              </w:rPr>
              <w:t>WP-25 至 WP-28</w:t>
            </w:r>
          </w:p>
        </w:tc>
        <w:tc>
          <w:tcPr>
            <w:tcW w:type="dxa" w:w="2409"/>
            <w:vAlign w:val="center"/>
          </w:tcPr>
          <w:p>
            <w:pPr>
              <w:keepNext w:val="0"/>
              <w:spacing w:line="320" w:lineRule="exact" w:after="0" w:before="0"/>
              <w:ind w:firstLine="0"/>
              <w:jc w:val="left"/>
            </w:pPr>
            <w:r>
              <w:rPr>
                <w:b w:val="0"/>
                <w:sz w:val="21"/>
              </w:rPr>
              <w:t>评价迭代、能力证据、培训与交接</w:t>
            </w:r>
          </w:p>
        </w:tc>
        <w:tc>
          <w:tcPr>
            <w:tcW w:type="dxa" w:w="2891"/>
            <w:vAlign w:val="center"/>
          </w:tcPr>
          <w:p>
            <w:pPr>
              <w:keepNext w:val="0"/>
              <w:spacing w:line="320" w:lineRule="exact" w:after="0" w:before="0"/>
              <w:ind w:firstLine="0"/>
              <w:jc w:val="left"/>
            </w:pPr>
            <w:r>
              <w:rPr>
                <w:b w:val="0"/>
                <w:sz w:val="21"/>
              </w:rPr>
              <w:t>设计材料与执行能力分别判定</w:t>
            </w:r>
          </w:p>
        </w:tc>
      </w:tr>
    </w:tbl>
    <w:p>
      <w:pPr>
        <w:spacing w:after="40" w:line="240" w:lineRule="auto"/>
        <w:ind w:firstLine="0"/>
      </w:pPr>
      <w:r>
        <w:rPr>
          <w:sz w:val="4"/>
        </w:rPr>
      </w:r>
    </w:p>
    <w:p>
      <w:pPr>
        <w:jc w:val="both"/>
      </w:pPr>
      <w:r>
        <w:t>各目标可由多个工作包共同支撑，同一工作包也可以关联多个目标。评价按实际证据区分不同贡献，成果数量按唯一对象及版本统计，不能因多目标引用重复增加交付数量。涉及共同原因的偏差统一形成整改任务，再分别回填受影响目标。</w:t>
      </w:r>
    </w:p>
    <w:p>
      <w:pPr>
        <w:pStyle w:val="Heading3"/>
      </w:pPr>
      <w:r>
        <w:t>4.7.2 六阶段评价重点</w:t>
      </w:r>
    </w:p>
    <w:p>
      <w:pPr>
        <w:jc w:val="both"/>
      </w:pPr>
      <w:r>
        <w:t>启动阶段检查范围、授权、组织和计划框架；诊断阶段检查业务及系统调查、真实证据和基线；规划阶段检查目标、资源、任务及批准；治理实施阶段检查标准、模型、规则和实际运行；生产验证阶段检查数据、场景、正式评测及整改；移交运行阶段检查齐套交付、岗位承接和服务接续。</w:t>
      </w:r>
    </w:p>
    <w:p>
      <w:pPr>
        <w:jc w:val="both"/>
      </w:pPr>
      <w:r>
        <w:t>每阶段报告包含阶段目标、实际对象、已接收成果、未完成事项、质量安全状态、资源约束和后续行动。进入下一阶段的条件以批准里程碑为依据。允许并行推进的部分分别记录输入确认及适用范围，跨阶段发现问题时追溯前序成果并检查后序影响。</w:t>
      </w:r>
    </w:p>
    <w:p>
      <w:pPr>
        <w:pStyle w:val="Heading2"/>
      </w:pPr>
      <w:r>
        <w:t>4.8 实施准备风险分析</w:t>
      </w:r>
    </w:p>
    <w:p>
      <w:pPr>
        <w:pStyle w:val="Heading3"/>
      </w:pPr>
      <w:r>
        <w:t>4.8.1 重点风险及控制条件</w:t>
      </w:r>
    </w:p>
    <w:p>
      <w:pPr>
        <w:pStyle w:val="Caption"/>
        <w:keepNext/>
      </w:pPr>
      <w:r>
        <w:t>表4-5 重点风险及控制条件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风险主题</w:t>
            </w:r>
          </w:p>
        </w:tc>
        <w:tc>
          <w:tcPr>
            <w:tcW w:type="dxa" w:w="2699"/>
            <w:vAlign w:val="center"/>
            <w:shd w:fill="EDF1F3"/>
          </w:tcPr>
          <w:p>
            <w:pPr>
              <w:keepNext/>
              <w:spacing w:line="320" w:lineRule="exact" w:after="0" w:before="0"/>
              <w:ind w:firstLine="0"/>
              <w:jc w:val="center"/>
            </w:pPr>
            <w:r>
              <w:rPr>
                <w:b/>
                <w:sz w:val="21"/>
              </w:rPr>
              <w:t>可能影响</w:t>
            </w:r>
          </w:p>
        </w:tc>
        <w:tc>
          <w:tcPr>
            <w:tcW w:type="dxa" w:w="2409"/>
            <w:vAlign w:val="center"/>
            <w:shd w:fill="EDF1F3"/>
          </w:tcPr>
          <w:p>
            <w:pPr>
              <w:keepNext/>
              <w:spacing w:line="320" w:lineRule="exact" w:after="0" w:before="0"/>
              <w:ind w:firstLine="0"/>
              <w:jc w:val="center"/>
            </w:pPr>
            <w:r>
              <w:rPr>
                <w:b/>
                <w:sz w:val="21"/>
              </w:rPr>
              <w:t>识别证据</w:t>
            </w:r>
          </w:p>
        </w:tc>
        <w:tc>
          <w:tcPr>
            <w:tcW w:type="dxa" w:w="2891"/>
            <w:vAlign w:val="center"/>
            <w:shd w:fill="EDF1F3"/>
          </w:tcPr>
          <w:p>
            <w:pPr>
              <w:keepNext/>
              <w:spacing w:line="320" w:lineRule="exact" w:after="0" w:before="0"/>
              <w:ind w:firstLine="0"/>
              <w:jc w:val="center"/>
            </w:pPr>
            <w:r>
              <w:rPr>
                <w:b/>
                <w:sz w:val="21"/>
              </w:rPr>
              <w:t>控制与复核</w:t>
            </w:r>
          </w:p>
        </w:tc>
      </w:tr>
      <w:tr>
        <w:trPr>
          <w:cantSplit/>
        </w:trPr>
        <w:tc>
          <w:tcPr>
            <w:tcW w:type="dxa" w:w="1638"/>
            <w:vAlign w:val="center"/>
          </w:tcPr>
          <w:p>
            <w:pPr>
              <w:keepNext w:val="0"/>
              <w:spacing w:line="320" w:lineRule="exact" w:after="0" w:before="0"/>
              <w:ind w:firstLine="0"/>
              <w:jc w:val="left"/>
            </w:pPr>
            <w:r>
              <w:rPr>
                <w:b w:val="0"/>
                <w:sz w:val="21"/>
              </w:rPr>
              <w:t>来源权限不完整</w:t>
            </w:r>
          </w:p>
        </w:tc>
        <w:tc>
          <w:tcPr>
            <w:tcW w:type="dxa" w:w="2699"/>
            <w:vAlign w:val="center"/>
          </w:tcPr>
          <w:p>
            <w:pPr>
              <w:keepNext w:val="0"/>
              <w:spacing w:line="320" w:lineRule="exact" w:after="0" w:before="0"/>
              <w:ind w:firstLine="0"/>
              <w:jc w:val="left"/>
            </w:pPr>
            <w:r>
              <w:rPr>
                <w:b w:val="0"/>
                <w:sz w:val="21"/>
              </w:rPr>
              <w:t>数据无法用于计划用途或需返工</w:t>
            </w:r>
          </w:p>
        </w:tc>
        <w:tc>
          <w:tcPr>
            <w:tcW w:type="dxa" w:w="2409"/>
            <w:vAlign w:val="center"/>
          </w:tcPr>
          <w:p>
            <w:pPr>
              <w:keepNext w:val="0"/>
              <w:spacing w:line="320" w:lineRule="exact" w:after="0" w:before="0"/>
              <w:ind w:firstLine="0"/>
              <w:jc w:val="left"/>
            </w:pPr>
            <w:r>
              <w:rPr>
                <w:b w:val="0"/>
                <w:sz w:val="21"/>
              </w:rPr>
              <w:t>合同、许可、实际授权范围</w:t>
            </w:r>
          </w:p>
        </w:tc>
        <w:tc>
          <w:tcPr>
            <w:tcW w:type="dxa" w:w="2891"/>
            <w:vAlign w:val="center"/>
          </w:tcPr>
          <w:p>
            <w:pPr>
              <w:keepNext w:val="0"/>
              <w:spacing w:line="320" w:lineRule="exact" w:after="0" w:before="0"/>
              <w:ind w:firstLine="0"/>
              <w:jc w:val="left"/>
            </w:pPr>
            <w:r>
              <w:rPr>
                <w:b w:val="0"/>
                <w:sz w:val="21"/>
              </w:rPr>
              <w:t>使用前核验，补齐授权后重新准入</w:t>
            </w:r>
          </w:p>
        </w:tc>
      </w:tr>
      <w:tr>
        <w:trPr>
          <w:cantSplit/>
        </w:trPr>
        <w:tc>
          <w:tcPr>
            <w:tcW w:type="dxa" w:w="1638"/>
            <w:vAlign w:val="center"/>
          </w:tcPr>
          <w:p>
            <w:pPr>
              <w:keepNext w:val="0"/>
              <w:spacing w:line="320" w:lineRule="exact" w:after="0" w:before="0"/>
              <w:ind w:firstLine="0"/>
              <w:jc w:val="left"/>
            </w:pPr>
            <w:r>
              <w:rPr>
                <w:b w:val="0"/>
                <w:sz w:val="21"/>
              </w:rPr>
              <w:t>历史范围不连续</w:t>
            </w:r>
          </w:p>
        </w:tc>
        <w:tc>
          <w:tcPr>
            <w:tcW w:type="dxa" w:w="2699"/>
            <w:vAlign w:val="center"/>
          </w:tcPr>
          <w:p>
            <w:pPr>
              <w:keepNext w:val="0"/>
              <w:spacing w:line="320" w:lineRule="exact" w:after="0" w:before="0"/>
              <w:ind w:firstLine="0"/>
              <w:jc w:val="left"/>
            </w:pPr>
            <w:r>
              <w:rPr>
                <w:b w:val="0"/>
                <w:sz w:val="21"/>
              </w:rPr>
              <w:t>样本代表性或时效目标受影响</w:t>
            </w:r>
          </w:p>
        </w:tc>
        <w:tc>
          <w:tcPr>
            <w:tcW w:type="dxa" w:w="2409"/>
            <w:vAlign w:val="center"/>
          </w:tcPr>
          <w:p>
            <w:pPr>
              <w:keepNext w:val="0"/>
              <w:spacing w:line="320" w:lineRule="exact" w:after="0" w:before="0"/>
              <w:ind w:firstLine="0"/>
              <w:jc w:val="left"/>
            </w:pPr>
            <w:r>
              <w:rPr>
                <w:b w:val="0"/>
                <w:sz w:val="21"/>
              </w:rPr>
              <w:t>形成时间、缺口及来源分布</w:t>
            </w:r>
          </w:p>
        </w:tc>
        <w:tc>
          <w:tcPr>
            <w:tcW w:type="dxa" w:w="2891"/>
            <w:vAlign w:val="center"/>
          </w:tcPr>
          <w:p>
            <w:pPr>
              <w:keepNext w:val="0"/>
              <w:spacing w:line="320" w:lineRule="exact" w:after="0" w:before="0"/>
              <w:ind w:firstLine="0"/>
              <w:jc w:val="left"/>
            </w:pPr>
            <w:r>
              <w:rPr>
                <w:b w:val="0"/>
                <w:sz w:val="21"/>
              </w:rPr>
              <w:t>分类测算缺口，调整采集及补充来源</w:t>
            </w:r>
          </w:p>
        </w:tc>
      </w:tr>
      <w:tr>
        <w:trPr>
          <w:cantSplit/>
        </w:trPr>
        <w:tc>
          <w:tcPr>
            <w:tcW w:type="dxa" w:w="1638"/>
            <w:vAlign w:val="center"/>
          </w:tcPr>
          <w:p>
            <w:pPr>
              <w:keepNext w:val="0"/>
              <w:spacing w:line="320" w:lineRule="exact" w:after="0" w:before="0"/>
              <w:ind w:firstLine="0"/>
              <w:jc w:val="left"/>
            </w:pPr>
            <w:r>
              <w:rPr>
                <w:b w:val="0"/>
                <w:sz w:val="21"/>
              </w:rPr>
              <w:t>核心标识不一致</w:t>
            </w:r>
          </w:p>
        </w:tc>
        <w:tc>
          <w:tcPr>
            <w:tcW w:type="dxa" w:w="2699"/>
            <w:vAlign w:val="center"/>
          </w:tcPr>
          <w:p>
            <w:pPr>
              <w:keepNext w:val="0"/>
              <w:spacing w:line="320" w:lineRule="exact" w:after="0" w:before="0"/>
              <w:ind w:firstLine="0"/>
              <w:jc w:val="left"/>
            </w:pPr>
            <w:r>
              <w:rPr>
                <w:b w:val="0"/>
                <w:sz w:val="21"/>
              </w:rPr>
              <w:t>跨系统关联错误、追溯失效</w:t>
            </w:r>
          </w:p>
        </w:tc>
        <w:tc>
          <w:tcPr>
            <w:tcW w:type="dxa" w:w="2409"/>
            <w:vAlign w:val="center"/>
          </w:tcPr>
          <w:p>
            <w:pPr>
              <w:keepNext w:val="0"/>
              <w:spacing w:line="320" w:lineRule="exact" w:after="0" w:before="0"/>
              <w:ind w:firstLine="0"/>
              <w:jc w:val="left"/>
            </w:pPr>
            <w:r>
              <w:rPr>
                <w:b w:val="0"/>
                <w:sz w:val="21"/>
              </w:rPr>
              <w:t>编码映射、冲突及抽查</w:t>
            </w:r>
          </w:p>
        </w:tc>
        <w:tc>
          <w:tcPr>
            <w:tcW w:type="dxa" w:w="2891"/>
            <w:vAlign w:val="center"/>
          </w:tcPr>
          <w:p>
            <w:pPr>
              <w:keepNext w:val="0"/>
              <w:spacing w:line="320" w:lineRule="exact" w:after="0" w:before="0"/>
              <w:ind w:firstLine="0"/>
              <w:jc w:val="left"/>
            </w:pPr>
            <w:r>
              <w:rPr>
                <w:b w:val="0"/>
                <w:sz w:val="21"/>
              </w:rPr>
              <w:t>业务裁定与规则版本化，重检派生结果</w:t>
            </w:r>
          </w:p>
        </w:tc>
      </w:tr>
      <w:tr>
        <w:trPr>
          <w:cantSplit/>
        </w:trPr>
        <w:tc>
          <w:tcPr>
            <w:tcW w:type="dxa" w:w="1638"/>
            <w:vAlign w:val="center"/>
          </w:tcPr>
          <w:p>
            <w:pPr>
              <w:keepNext w:val="0"/>
              <w:spacing w:line="320" w:lineRule="exact" w:after="0" w:before="0"/>
              <w:ind w:firstLine="0"/>
              <w:jc w:val="left"/>
            </w:pPr>
            <w:r>
              <w:rPr>
                <w:b w:val="0"/>
                <w:sz w:val="21"/>
              </w:rPr>
              <w:t>专业复核资源不足</w:t>
            </w:r>
          </w:p>
        </w:tc>
        <w:tc>
          <w:tcPr>
            <w:tcW w:type="dxa" w:w="2699"/>
            <w:vAlign w:val="center"/>
          </w:tcPr>
          <w:p>
            <w:pPr>
              <w:keepNext w:val="0"/>
              <w:spacing w:line="320" w:lineRule="exact" w:after="0" w:before="0"/>
              <w:ind w:firstLine="0"/>
              <w:jc w:val="left"/>
            </w:pPr>
            <w:r>
              <w:rPr>
                <w:b w:val="0"/>
                <w:sz w:val="21"/>
              </w:rPr>
              <w:t>标注、争议和质量任务积压</w:t>
            </w:r>
          </w:p>
        </w:tc>
        <w:tc>
          <w:tcPr>
            <w:tcW w:type="dxa" w:w="2409"/>
            <w:vAlign w:val="center"/>
          </w:tcPr>
          <w:p>
            <w:pPr>
              <w:keepNext w:val="0"/>
              <w:spacing w:line="320" w:lineRule="exact" w:after="0" w:before="0"/>
              <w:ind w:firstLine="0"/>
              <w:jc w:val="left"/>
            </w:pPr>
            <w:r>
              <w:rPr>
                <w:b w:val="0"/>
                <w:sz w:val="21"/>
              </w:rPr>
              <w:t>待审量、服务时间及实际产能</w:t>
            </w:r>
          </w:p>
        </w:tc>
        <w:tc>
          <w:tcPr>
            <w:tcW w:type="dxa" w:w="2891"/>
            <w:vAlign w:val="center"/>
          </w:tcPr>
          <w:p>
            <w:pPr>
              <w:keepNext w:val="0"/>
              <w:spacing w:line="320" w:lineRule="exact" w:after="0" w:before="0"/>
              <w:ind w:firstLine="0"/>
              <w:jc w:val="left"/>
            </w:pPr>
            <w:r>
              <w:rPr>
                <w:b w:val="0"/>
                <w:sz w:val="21"/>
              </w:rPr>
              <w:t>调整排班和优先级，落实替补能力</w:t>
            </w:r>
          </w:p>
        </w:tc>
      </w:tr>
      <w:tr>
        <w:trPr>
          <w:cantSplit/>
        </w:trPr>
        <w:tc>
          <w:tcPr>
            <w:tcW w:type="dxa" w:w="1638"/>
            <w:vAlign w:val="center"/>
          </w:tcPr>
          <w:p>
            <w:pPr>
              <w:keepNext w:val="0"/>
              <w:spacing w:line="320" w:lineRule="exact" w:after="0" w:before="0"/>
              <w:ind w:firstLine="0"/>
              <w:jc w:val="left"/>
            </w:pPr>
            <w:r>
              <w:rPr>
                <w:b w:val="0"/>
                <w:sz w:val="21"/>
              </w:rPr>
              <w:t>测试污染</w:t>
            </w:r>
          </w:p>
        </w:tc>
        <w:tc>
          <w:tcPr>
            <w:tcW w:type="dxa" w:w="2699"/>
            <w:vAlign w:val="center"/>
          </w:tcPr>
          <w:p>
            <w:pPr>
              <w:keepNext w:val="0"/>
              <w:spacing w:line="320" w:lineRule="exact" w:after="0" w:before="0"/>
              <w:ind w:firstLine="0"/>
              <w:jc w:val="left"/>
            </w:pPr>
            <w:r>
              <w:rPr>
                <w:b w:val="0"/>
                <w:sz w:val="21"/>
              </w:rPr>
              <w:t>模型效果被高估、评价失真</w:t>
            </w:r>
          </w:p>
        </w:tc>
        <w:tc>
          <w:tcPr>
            <w:tcW w:type="dxa" w:w="2409"/>
            <w:vAlign w:val="center"/>
          </w:tcPr>
          <w:p>
            <w:pPr>
              <w:keepNext w:val="0"/>
              <w:spacing w:line="320" w:lineRule="exact" w:after="0" w:before="0"/>
              <w:ind w:firstLine="0"/>
              <w:jc w:val="left"/>
            </w:pPr>
            <w:r>
              <w:rPr>
                <w:b w:val="0"/>
                <w:sz w:val="21"/>
              </w:rPr>
              <w:t>来源家族、近重及访问记录</w:t>
            </w:r>
          </w:p>
        </w:tc>
        <w:tc>
          <w:tcPr>
            <w:tcW w:type="dxa" w:w="2891"/>
            <w:vAlign w:val="center"/>
          </w:tcPr>
          <w:p>
            <w:pPr>
              <w:keepNext w:val="0"/>
              <w:spacing w:line="320" w:lineRule="exact" w:after="0" w:before="0"/>
              <w:ind w:firstLine="0"/>
              <w:jc w:val="left"/>
            </w:pPr>
            <w:r>
              <w:rPr>
                <w:b w:val="0"/>
                <w:sz w:val="21"/>
              </w:rPr>
              <w:t>先划分后加工，隔离封存并检查派生</w:t>
            </w:r>
          </w:p>
        </w:tc>
      </w:tr>
      <w:tr>
        <w:trPr>
          <w:cantSplit/>
        </w:trPr>
        <w:tc>
          <w:tcPr>
            <w:tcW w:type="dxa" w:w="1638"/>
            <w:vAlign w:val="center"/>
          </w:tcPr>
          <w:p>
            <w:pPr>
              <w:keepNext w:val="0"/>
              <w:spacing w:line="320" w:lineRule="exact" w:after="0" w:before="0"/>
              <w:ind w:firstLine="0"/>
              <w:jc w:val="left"/>
            </w:pPr>
            <w:r>
              <w:rPr>
                <w:b w:val="0"/>
                <w:sz w:val="21"/>
              </w:rPr>
              <w:t>统计口径变化</w:t>
            </w:r>
          </w:p>
        </w:tc>
        <w:tc>
          <w:tcPr>
            <w:tcW w:type="dxa" w:w="2699"/>
            <w:vAlign w:val="center"/>
          </w:tcPr>
          <w:p>
            <w:pPr>
              <w:keepNext w:val="0"/>
              <w:spacing w:line="320" w:lineRule="exact" w:after="0" w:before="0"/>
              <w:ind w:firstLine="0"/>
              <w:jc w:val="left"/>
            </w:pPr>
            <w:r>
              <w:rPr>
                <w:b w:val="0"/>
                <w:sz w:val="21"/>
              </w:rPr>
              <w:t>进度和效果不可比</w:t>
            </w:r>
          </w:p>
        </w:tc>
        <w:tc>
          <w:tcPr>
            <w:tcW w:type="dxa" w:w="2409"/>
            <w:vAlign w:val="center"/>
          </w:tcPr>
          <w:p>
            <w:pPr>
              <w:keepNext w:val="0"/>
              <w:spacing w:line="320" w:lineRule="exact" w:after="0" w:before="0"/>
              <w:ind w:firstLine="0"/>
              <w:jc w:val="left"/>
            </w:pPr>
            <w:r>
              <w:rPr>
                <w:b w:val="0"/>
                <w:sz w:val="21"/>
              </w:rPr>
              <w:t>指标版本、分子分母及差异</w:t>
            </w:r>
          </w:p>
        </w:tc>
        <w:tc>
          <w:tcPr>
            <w:tcW w:type="dxa" w:w="2891"/>
            <w:vAlign w:val="center"/>
          </w:tcPr>
          <w:p>
            <w:pPr>
              <w:keepNext w:val="0"/>
              <w:spacing w:line="320" w:lineRule="exact" w:after="0" w:before="0"/>
              <w:ind w:firstLine="0"/>
              <w:jc w:val="left"/>
            </w:pPr>
            <w:r>
              <w:rPr>
                <w:b w:val="0"/>
                <w:sz w:val="21"/>
              </w:rPr>
              <w:t>同口径重算并保留原结果</w:t>
            </w:r>
          </w:p>
        </w:tc>
      </w:tr>
      <w:tr>
        <w:trPr>
          <w:cantSplit/>
        </w:trPr>
        <w:tc>
          <w:tcPr>
            <w:tcW w:type="dxa" w:w="1638"/>
            <w:vAlign w:val="center"/>
          </w:tcPr>
          <w:p>
            <w:pPr>
              <w:keepNext w:val="0"/>
              <w:spacing w:line="320" w:lineRule="exact" w:after="0" w:before="0"/>
              <w:ind w:firstLine="0"/>
              <w:jc w:val="left"/>
            </w:pPr>
            <w:r>
              <w:rPr>
                <w:b w:val="0"/>
                <w:sz w:val="21"/>
              </w:rPr>
              <w:t>环境容量不匹配</w:t>
            </w:r>
          </w:p>
        </w:tc>
        <w:tc>
          <w:tcPr>
            <w:tcW w:type="dxa" w:w="2699"/>
            <w:vAlign w:val="center"/>
          </w:tcPr>
          <w:p>
            <w:pPr>
              <w:keepNext w:val="0"/>
              <w:spacing w:line="320" w:lineRule="exact" w:after="0" w:before="0"/>
              <w:ind w:firstLine="0"/>
              <w:jc w:val="left"/>
            </w:pPr>
            <w:r>
              <w:rPr>
                <w:b w:val="0"/>
                <w:sz w:val="21"/>
              </w:rPr>
              <w:t>处理、训练或复测延误</w:t>
            </w:r>
          </w:p>
        </w:tc>
        <w:tc>
          <w:tcPr>
            <w:tcW w:type="dxa" w:w="2409"/>
            <w:vAlign w:val="center"/>
          </w:tcPr>
          <w:p>
            <w:pPr>
              <w:keepNext w:val="0"/>
              <w:spacing w:line="320" w:lineRule="exact" w:after="0" w:before="0"/>
              <w:ind w:firstLine="0"/>
              <w:jc w:val="left"/>
            </w:pPr>
            <w:r>
              <w:rPr>
                <w:b w:val="0"/>
                <w:sz w:val="21"/>
              </w:rPr>
              <w:t>队列、资源占用及实际耗时</w:t>
            </w:r>
          </w:p>
        </w:tc>
        <w:tc>
          <w:tcPr>
            <w:tcW w:type="dxa" w:w="2891"/>
            <w:vAlign w:val="center"/>
          </w:tcPr>
          <w:p>
            <w:pPr>
              <w:keepNext w:val="0"/>
              <w:spacing w:line="320" w:lineRule="exact" w:after="0" w:before="0"/>
              <w:ind w:firstLine="0"/>
              <w:jc w:val="left"/>
            </w:pPr>
            <w:r>
              <w:rPr>
                <w:b w:val="0"/>
                <w:sz w:val="21"/>
              </w:rPr>
              <w:t>容量复核、错峰和受控调配</w:t>
            </w:r>
          </w:p>
        </w:tc>
      </w:tr>
      <w:tr>
        <w:trPr>
          <w:cantSplit/>
        </w:trPr>
        <w:tc>
          <w:tcPr>
            <w:tcW w:type="dxa" w:w="1638"/>
            <w:vAlign w:val="center"/>
          </w:tcPr>
          <w:p>
            <w:pPr>
              <w:keepNext w:val="0"/>
              <w:spacing w:line="320" w:lineRule="exact" w:after="0" w:before="0"/>
              <w:ind w:firstLine="0"/>
              <w:jc w:val="left"/>
            </w:pPr>
            <w:r>
              <w:rPr>
                <w:b w:val="0"/>
                <w:sz w:val="21"/>
              </w:rPr>
              <w:t>规则只停留于文档</w:t>
            </w:r>
          </w:p>
        </w:tc>
        <w:tc>
          <w:tcPr>
            <w:tcW w:type="dxa" w:w="2699"/>
            <w:vAlign w:val="center"/>
          </w:tcPr>
          <w:p>
            <w:pPr>
              <w:keepNext w:val="0"/>
              <w:spacing w:line="320" w:lineRule="exact" w:after="0" w:before="0"/>
              <w:ind w:firstLine="0"/>
              <w:jc w:val="left"/>
            </w:pPr>
            <w:r>
              <w:rPr>
                <w:b w:val="0"/>
                <w:sz w:val="21"/>
              </w:rPr>
              <w:t>已设计要求未实际执行</w:t>
            </w:r>
          </w:p>
        </w:tc>
        <w:tc>
          <w:tcPr>
            <w:tcW w:type="dxa" w:w="2409"/>
            <w:vAlign w:val="center"/>
          </w:tcPr>
          <w:p>
            <w:pPr>
              <w:keepNext w:val="0"/>
              <w:spacing w:line="320" w:lineRule="exact" w:after="0" w:before="0"/>
              <w:ind w:firstLine="0"/>
              <w:jc w:val="left"/>
            </w:pPr>
            <w:r>
              <w:rPr>
                <w:b w:val="0"/>
                <w:sz w:val="21"/>
              </w:rPr>
              <w:t>配置、运行和正反例测试</w:t>
            </w:r>
          </w:p>
        </w:tc>
        <w:tc>
          <w:tcPr>
            <w:tcW w:type="dxa" w:w="2891"/>
            <w:vAlign w:val="center"/>
          </w:tcPr>
          <w:p>
            <w:pPr>
              <w:keepNext w:val="0"/>
              <w:spacing w:line="320" w:lineRule="exact" w:after="0" w:before="0"/>
              <w:ind w:firstLine="0"/>
              <w:jc w:val="left"/>
            </w:pPr>
            <w:r>
              <w:rPr>
                <w:b w:val="0"/>
                <w:sz w:val="21"/>
              </w:rPr>
              <w:t>落标验证和执行巡检</w:t>
            </w:r>
          </w:p>
        </w:tc>
      </w:tr>
      <w:tr>
        <w:trPr>
          <w:cantSplit/>
        </w:trPr>
        <w:tc>
          <w:tcPr>
            <w:tcW w:type="dxa" w:w="1638"/>
            <w:vAlign w:val="center"/>
          </w:tcPr>
          <w:p>
            <w:pPr>
              <w:keepNext w:val="0"/>
              <w:spacing w:line="320" w:lineRule="exact" w:after="0" w:before="0"/>
              <w:ind w:firstLine="0"/>
              <w:jc w:val="left"/>
            </w:pPr>
            <w:r>
              <w:rPr>
                <w:b w:val="0"/>
                <w:sz w:val="21"/>
              </w:rPr>
              <w:t>岗位承接不足</w:t>
            </w:r>
          </w:p>
        </w:tc>
        <w:tc>
          <w:tcPr>
            <w:tcW w:type="dxa" w:w="2699"/>
            <w:vAlign w:val="center"/>
          </w:tcPr>
          <w:p>
            <w:pPr>
              <w:keepNext w:val="0"/>
              <w:spacing w:line="320" w:lineRule="exact" w:after="0" w:before="0"/>
              <w:ind w:firstLine="0"/>
              <w:jc w:val="left"/>
            </w:pPr>
            <w:r>
              <w:rPr>
                <w:b w:val="0"/>
                <w:sz w:val="21"/>
              </w:rPr>
              <w:t>移交后规则和服务无法维护</w:t>
            </w:r>
          </w:p>
        </w:tc>
        <w:tc>
          <w:tcPr>
            <w:tcW w:type="dxa" w:w="2409"/>
            <w:vAlign w:val="center"/>
          </w:tcPr>
          <w:p>
            <w:pPr>
              <w:keepNext w:val="0"/>
              <w:spacing w:line="320" w:lineRule="exact" w:after="0" w:before="0"/>
              <w:ind w:firstLine="0"/>
              <w:jc w:val="left"/>
            </w:pPr>
            <w:r>
              <w:rPr>
                <w:b w:val="0"/>
                <w:sz w:val="21"/>
              </w:rPr>
              <w:t>操作、异常处置及交接考核</w:t>
            </w:r>
          </w:p>
        </w:tc>
        <w:tc>
          <w:tcPr>
            <w:tcW w:type="dxa" w:w="2891"/>
            <w:vAlign w:val="center"/>
          </w:tcPr>
          <w:p>
            <w:pPr>
              <w:keepNext w:val="0"/>
              <w:spacing w:line="320" w:lineRule="exact" w:after="0" w:before="0"/>
              <w:ind w:firstLine="0"/>
              <w:jc w:val="left"/>
            </w:pPr>
            <w:r>
              <w:rPr>
                <w:b w:val="0"/>
                <w:sz w:val="21"/>
              </w:rPr>
              <w:t>补充实操、复核及明确接管责任</w:t>
            </w:r>
          </w:p>
        </w:tc>
      </w:tr>
      <w:tr>
        <w:trPr>
          <w:cantSplit/>
        </w:trPr>
        <w:tc>
          <w:tcPr>
            <w:tcW w:type="dxa" w:w="1638"/>
            <w:vAlign w:val="center"/>
          </w:tcPr>
          <w:p>
            <w:pPr>
              <w:keepNext w:val="0"/>
              <w:spacing w:line="320" w:lineRule="exact" w:after="0" w:before="0"/>
              <w:ind w:firstLine="0"/>
              <w:jc w:val="left"/>
            </w:pPr>
            <w:r>
              <w:rPr>
                <w:b w:val="0"/>
                <w:sz w:val="21"/>
              </w:rPr>
              <w:t>外部依赖延期</w:t>
            </w:r>
          </w:p>
        </w:tc>
        <w:tc>
          <w:tcPr>
            <w:tcW w:type="dxa" w:w="2699"/>
            <w:vAlign w:val="center"/>
          </w:tcPr>
          <w:p>
            <w:pPr>
              <w:keepNext w:val="0"/>
              <w:spacing w:line="320" w:lineRule="exact" w:after="0" w:before="0"/>
              <w:ind w:firstLine="0"/>
              <w:jc w:val="left"/>
            </w:pPr>
            <w:r>
              <w:rPr>
                <w:b w:val="0"/>
                <w:sz w:val="21"/>
              </w:rPr>
              <w:t>来源、评测或协同节点受影响</w:t>
            </w:r>
          </w:p>
        </w:tc>
        <w:tc>
          <w:tcPr>
            <w:tcW w:type="dxa" w:w="2409"/>
            <w:vAlign w:val="center"/>
          </w:tcPr>
          <w:p>
            <w:pPr>
              <w:keepNext w:val="0"/>
              <w:spacing w:line="320" w:lineRule="exact" w:after="0" w:before="0"/>
              <w:ind w:firstLine="0"/>
              <w:jc w:val="left"/>
            </w:pPr>
            <w:r>
              <w:rPr>
                <w:b w:val="0"/>
                <w:sz w:val="21"/>
              </w:rPr>
              <w:t>约定条件、进展及实际交付</w:t>
            </w:r>
          </w:p>
        </w:tc>
        <w:tc>
          <w:tcPr>
            <w:tcW w:type="dxa" w:w="2891"/>
            <w:vAlign w:val="center"/>
          </w:tcPr>
          <w:p>
            <w:pPr>
              <w:keepNext w:val="0"/>
              <w:spacing w:line="320" w:lineRule="exact" w:after="0" w:before="0"/>
              <w:ind w:firstLine="0"/>
              <w:jc w:val="left"/>
            </w:pPr>
            <w:r>
              <w:rPr>
                <w:b w:val="0"/>
                <w:sz w:val="21"/>
              </w:rPr>
              <w:t>提前预警、分批衔接和批准调整</w:t>
            </w:r>
          </w:p>
        </w:tc>
      </w:tr>
    </w:tbl>
    <w:p>
      <w:pPr>
        <w:spacing w:after="40" w:line="240" w:lineRule="auto"/>
        <w:ind w:firstLine="0"/>
      </w:pPr>
      <w:r>
        <w:rPr>
          <w:sz w:val="4"/>
        </w:rPr>
      </w:r>
    </w:p>
    <w:p>
      <w:pPr>
        <w:jc w:val="both"/>
      </w:pPr>
      <w:r>
        <w:t>上述风险为实施准备控制对象，是否发生及其实际程度由现场证据确认。风险登记记录触发条件、影响对象、可能性、后果、现有措施、责任和下次检查时间。已发生的问题另建问题记录，与原风险关联；风险措施实施后仍检查剩余风险。</w:t>
      </w:r>
    </w:p>
    <w:p>
      <w:pPr>
        <w:pStyle w:val="Heading3"/>
      </w:pPr>
      <w:r>
        <w:t>4.8.2 升级处置与批准条件</w:t>
      </w:r>
    </w:p>
    <w:p>
      <w:pPr>
        <w:jc w:val="both"/>
      </w:pPr>
      <w:r>
        <w:t>对可能影响硬性验收指标、最终时间、来源合法使用或重要数据安全的风险，立即提交治理管理层协调，必要时按授权提交决策层。涉及特定批次或服务的，先采取隔离、暂停使用或限制发布措施，保存现场证据，再组织分析和处置。</w:t>
      </w:r>
    </w:p>
    <w:p>
      <w:pPr>
        <w:jc w:val="both"/>
      </w:pPr>
      <w:r>
        <w:t>普通进度及资源偏差按批准计划协调处理，跨部门争议明确各方事实、约束和可选处理方案。批准决定记录影响范围、执行条件及复核要求。恢复执行前检查风险原因已得到控制、相关配置和数据已修复、受影响岗位已接收有效规则。</w:t>
      </w:r>
    </w:p>
    <w:p>
      <w:pPr>
        <w:pStyle w:val="Heading2"/>
      </w:pPr>
      <w:r>
        <w:t>4.9 改进行动与实施准备清单</w:t>
      </w:r>
    </w:p>
    <w:p>
      <w:pPr>
        <w:pStyle w:val="Heading3"/>
      </w:pPr>
      <w:r>
        <w:t>4.9.1 首批落实事项</w:t>
      </w:r>
    </w:p>
    <w:p>
      <w:pPr>
        <w:pStyle w:val="Caption"/>
        <w:keepNext/>
      </w:pPr>
      <w:r>
        <w:t>表4-6 首批落实事项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行动编号</w:t>
            </w:r>
          </w:p>
        </w:tc>
        <w:tc>
          <w:tcPr>
            <w:tcW w:type="dxa" w:w="2699"/>
            <w:vAlign w:val="center"/>
            <w:shd w:fill="EDF1F3"/>
          </w:tcPr>
          <w:p>
            <w:pPr>
              <w:keepNext/>
              <w:spacing w:line="320" w:lineRule="exact" w:after="0" w:before="0"/>
              <w:ind w:firstLine="0"/>
              <w:jc w:val="center"/>
            </w:pPr>
            <w:r>
              <w:rPr>
                <w:b/>
                <w:sz w:val="21"/>
              </w:rPr>
              <w:t>落实事项</w:t>
            </w:r>
          </w:p>
        </w:tc>
        <w:tc>
          <w:tcPr>
            <w:tcW w:type="dxa" w:w="2409"/>
            <w:vAlign w:val="center"/>
            <w:shd w:fill="EDF1F3"/>
          </w:tcPr>
          <w:p>
            <w:pPr>
              <w:keepNext/>
              <w:spacing w:line="320" w:lineRule="exact" w:after="0" w:before="0"/>
              <w:ind w:firstLine="0"/>
              <w:jc w:val="center"/>
            </w:pPr>
            <w:r>
              <w:rPr>
                <w:b/>
                <w:sz w:val="21"/>
              </w:rPr>
              <w:t>责任与关联任务</w:t>
            </w:r>
          </w:p>
        </w:tc>
        <w:tc>
          <w:tcPr>
            <w:tcW w:type="dxa" w:w="2891"/>
            <w:vAlign w:val="center"/>
            <w:shd w:fill="EDF1F3"/>
          </w:tcPr>
          <w:p>
            <w:pPr>
              <w:keepNext/>
              <w:spacing w:line="320" w:lineRule="exact" w:after="0" w:before="0"/>
              <w:ind w:firstLine="0"/>
              <w:jc w:val="center"/>
            </w:pPr>
            <w:r>
              <w:rPr>
                <w:b/>
                <w:sz w:val="21"/>
              </w:rPr>
              <w:t>完成判据</w:t>
            </w:r>
          </w:p>
        </w:tc>
      </w:tr>
      <w:tr>
        <w:trPr>
          <w:cantSplit/>
        </w:trPr>
        <w:tc>
          <w:tcPr>
            <w:tcW w:type="dxa" w:w="1638"/>
            <w:vAlign w:val="center"/>
          </w:tcPr>
          <w:p>
            <w:pPr>
              <w:keepNext w:val="0"/>
              <w:spacing w:line="320" w:lineRule="exact" w:after="0" w:before="0"/>
              <w:ind w:firstLine="0"/>
              <w:jc w:val="left"/>
            </w:pPr>
            <w:r>
              <w:rPr>
                <w:b w:val="0"/>
                <w:sz w:val="21"/>
              </w:rPr>
              <w:t>SA-01</w:t>
            </w:r>
          </w:p>
        </w:tc>
        <w:tc>
          <w:tcPr>
            <w:tcW w:type="dxa" w:w="2699"/>
            <w:vAlign w:val="center"/>
          </w:tcPr>
          <w:p>
            <w:pPr>
              <w:keepNext w:val="0"/>
              <w:spacing w:line="320" w:lineRule="exact" w:after="0" w:before="0"/>
              <w:ind w:firstLine="0"/>
              <w:jc w:val="left"/>
            </w:pPr>
            <w:r>
              <w:rPr>
                <w:b w:val="0"/>
                <w:sz w:val="21"/>
              </w:rPr>
              <w:t>完成实际部门岗位及授权映射</w:t>
            </w:r>
          </w:p>
        </w:tc>
        <w:tc>
          <w:tcPr>
            <w:tcW w:type="dxa" w:w="2409"/>
            <w:vAlign w:val="center"/>
          </w:tcPr>
          <w:p>
            <w:pPr>
              <w:keepNext w:val="0"/>
              <w:spacing w:line="320" w:lineRule="exact" w:after="0" w:before="0"/>
              <w:ind w:firstLine="0"/>
              <w:jc w:val="left"/>
            </w:pPr>
            <w:r>
              <w:rPr>
                <w:b w:val="0"/>
                <w:sz w:val="21"/>
              </w:rPr>
              <w:t>治理管理，WP-01</w:t>
            </w:r>
          </w:p>
        </w:tc>
        <w:tc>
          <w:tcPr>
            <w:tcW w:type="dxa" w:w="2891"/>
            <w:vAlign w:val="center"/>
          </w:tcPr>
          <w:p>
            <w:pPr>
              <w:keepNext w:val="0"/>
              <w:spacing w:line="320" w:lineRule="exact" w:after="0" w:before="0"/>
              <w:ind w:firstLine="0"/>
              <w:jc w:val="left"/>
            </w:pPr>
            <w:r>
              <w:rPr>
                <w:b w:val="0"/>
                <w:sz w:val="21"/>
              </w:rPr>
              <w:t>责任明确、代理有效、审批路径可执行</w:t>
            </w:r>
          </w:p>
        </w:tc>
      </w:tr>
      <w:tr>
        <w:trPr>
          <w:cantSplit/>
        </w:trPr>
        <w:tc>
          <w:tcPr>
            <w:tcW w:type="dxa" w:w="1638"/>
            <w:vAlign w:val="center"/>
          </w:tcPr>
          <w:p>
            <w:pPr>
              <w:keepNext w:val="0"/>
              <w:spacing w:line="320" w:lineRule="exact" w:after="0" w:before="0"/>
              <w:ind w:firstLine="0"/>
              <w:jc w:val="left"/>
            </w:pPr>
            <w:r>
              <w:rPr>
                <w:b w:val="0"/>
                <w:sz w:val="21"/>
              </w:rPr>
              <w:t>SA-02</w:t>
            </w:r>
          </w:p>
        </w:tc>
        <w:tc>
          <w:tcPr>
            <w:tcW w:type="dxa" w:w="2699"/>
            <w:vAlign w:val="center"/>
          </w:tcPr>
          <w:p>
            <w:pPr>
              <w:keepNext w:val="0"/>
              <w:spacing w:line="320" w:lineRule="exact" w:after="0" w:before="0"/>
              <w:ind w:firstLine="0"/>
              <w:jc w:val="left"/>
            </w:pPr>
            <w:r>
              <w:rPr>
                <w:b w:val="0"/>
                <w:sz w:val="21"/>
              </w:rPr>
              <w:t>完成九业务域及十七系统调查安排</w:t>
            </w:r>
          </w:p>
        </w:tc>
        <w:tc>
          <w:tcPr>
            <w:tcW w:type="dxa" w:w="2409"/>
            <w:vAlign w:val="center"/>
          </w:tcPr>
          <w:p>
            <w:pPr>
              <w:keepNext w:val="0"/>
              <w:spacing w:line="320" w:lineRule="exact" w:after="0" w:before="0"/>
              <w:ind w:firstLine="0"/>
              <w:jc w:val="left"/>
            </w:pPr>
            <w:r>
              <w:rPr>
                <w:b w:val="0"/>
                <w:sz w:val="21"/>
              </w:rPr>
              <w:t>业务与资源岗位，WP-05、WP-07</w:t>
            </w:r>
          </w:p>
        </w:tc>
        <w:tc>
          <w:tcPr>
            <w:tcW w:type="dxa" w:w="2891"/>
            <w:vAlign w:val="center"/>
          </w:tcPr>
          <w:p>
            <w:pPr>
              <w:keepNext w:val="0"/>
              <w:spacing w:line="320" w:lineRule="exact" w:after="0" w:before="0"/>
              <w:ind w:firstLine="0"/>
              <w:jc w:val="left"/>
            </w:pPr>
            <w:r>
              <w:rPr>
                <w:b w:val="0"/>
                <w:sz w:val="21"/>
              </w:rPr>
              <w:t>调查清单、来源及责任逐项确认</w:t>
            </w:r>
          </w:p>
        </w:tc>
      </w:tr>
      <w:tr>
        <w:trPr>
          <w:cantSplit/>
        </w:trPr>
        <w:tc>
          <w:tcPr>
            <w:tcW w:type="dxa" w:w="1638"/>
            <w:vAlign w:val="center"/>
          </w:tcPr>
          <w:p>
            <w:pPr>
              <w:keepNext w:val="0"/>
              <w:spacing w:line="320" w:lineRule="exact" w:after="0" w:before="0"/>
              <w:ind w:firstLine="0"/>
              <w:jc w:val="left"/>
            </w:pPr>
            <w:r>
              <w:rPr>
                <w:b w:val="0"/>
                <w:sz w:val="21"/>
              </w:rPr>
              <w:t>SA-03</w:t>
            </w:r>
          </w:p>
        </w:tc>
        <w:tc>
          <w:tcPr>
            <w:tcW w:type="dxa" w:w="2699"/>
            <w:vAlign w:val="center"/>
          </w:tcPr>
          <w:p>
            <w:pPr>
              <w:keepNext w:val="0"/>
              <w:spacing w:line="320" w:lineRule="exact" w:after="0" w:before="0"/>
              <w:ind w:firstLine="0"/>
              <w:jc w:val="left"/>
            </w:pPr>
            <w:r>
              <w:rPr>
                <w:b w:val="0"/>
                <w:sz w:val="21"/>
              </w:rPr>
              <w:t>核实来源授权和使用限制</w:t>
            </w:r>
          </w:p>
        </w:tc>
        <w:tc>
          <w:tcPr>
            <w:tcW w:type="dxa" w:w="2409"/>
            <w:vAlign w:val="center"/>
          </w:tcPr>
          <w:p>
            <w:pPr>
              <w:keepNext w:val="0"/>
              <w:spacing w:line="320" w:lineRule="exact" w:after="0" w:before="0"/>
              <w:ind w:firstLine="0"/>
              <w:jc w:val="left"/>
            </w:pPr>
            <w:r>
              <w:rPr>
                <w:b w:val="0"/>
                <w:sz w:val="21"/>
              </w:rPr>
              <w:t>业务、安全及权利岗位，WP-07、WP-13、WP-22</w:t>
            </w:r>
          </w:p>
        </w:tc>
        <w:tc>
          <w:tcPr>
            <w:tcW w:type="dxa" w:w="2891"/>
            <w:vAlign w:val="center"/>
          </w:tcPr>
          <w:p>
            <w:pPr>
              <w:keepNext w:val="0"/>
              <w:spacing w:line="320" w:lineRule="exact" w:after="0" w:before="0"/>
              <w:ind w:firstLine="0"/>
              <w:jc w:val="left"/>
            </w:pPr>
            <w:r>
              <w:rPr>
                <w:b w:val="0"/>
                <w:sz w:val="21"/>
              </w:rPr>
              <w:t>用途、期限、对象及证据完整</w:t>
            </w:r>
          </w:p>
        </w:tc>
      </w:tr>
      <w:tr>
        <w:trPr>
          <w:cantSplit/>
        </w:trPr>
        <w:tc>
          <w:tcPr>
            <w:tcW w:type="dxa" w:w="1638"/>
            <w:vAlign w:val="center"/>
          </w:tcPr>
          <w:p>
            <w:pPr>
              <w:keepNext w:val="0"/>
              <w:spacing w:line="320" w:lineRule="exact" w:after="0" w:before="0"/>
              <w:ind w:firstLine="0"/>
              <w:jc w:val="left"/>
            </w:pPr>
            <w:r>
              <w:rPr>
                <w:b w:val="0"/>
                <w:sz w:val="21"/>
              </w:rPr>
              <w:t>SA-04</w:t>
            </w:r>
          </w:p>
        </w:tc>
        <w:tc>
          <w:tcPr>
            <w:tcW w:type="dxa" w:w="2699"/>
            <w:vAlign w:val="center"/>
          </w:tcPr>
          <w:p>
            <w:pPr>
              <w:keepNext w:val="0"/>
              <w:spacing w:line="320" w:lineRule="exact" w:after="0" w:before="0"/>
              <w:ind w:firstLine="0"/>
              <w:jc w:val="left"/>
            </w:pPr>
            <w:r>
              <w:rPr>
                <w:b w:val="0"/>
                <w:sz w:val="21"/>
              </w:rPr>
              <w:t>固定关键对象和主数据裁定规则</w:t>
            </w:r>
          </w:p>
        </w:tc>
        <w:tc>
          <w:tcPr>
            <w:tcW w:type="dxa" w:w="2409"/>
            <w:vAlign w:val="center"/>
          </w:tcPr>
          <w:p>
            <w:pPr>
              <w:keepNext w:val="0"/>
              <w:spacing w:line="320" w:lineRule="exact" w:after="0" w:before="0"/>
              <w:ind w:firstLine="0"/>
              <w:jc w:val="left"/>
            </w:pPr>
            <w:r>
              <w:rPr>
                <w:b w:val="0"/>
                <w:sz w:val="21"/>
              </w:rPr>
              <w:t>业务归口与治理岗位，WP-08、WP-11</w:t>
            </w:r>
          </w:p>
        </w:tc>
        <w:tc>
          <w:tcPr>
            <w:tcW w:type="dxa" w:w="2891"/>
            <w:vAlign w:val="center"/>
          </w:tcPr>
          <w:p>
            <w:pPr>
              <w:keepNext w:val="0"/>
              <w:spacing w:line="320" w:lineRule="exact" w:after="0" w:before="0"/>
              <w:ind w:firstLine="0"/>
              <w:jc w:val="left"/>
            </w:pPr>
            <w:r>
              <w:rPr>
                <w:b w:val="0"/>
                <w:sz w:val="21"/>
              </w:rPr>
              <w:t>定义、映射、冲突和版本可查</w:t>
            </w:r>
          </w:p>
        </w:tc>
      </w:tr>
      <w:tr>
        <w:trPr>
          <w:cantSplit/>
        </w:trPr>
        <w:tc>
          <w:tcPr>
            <w:tcW w:type="dxa" w:w="1638"/>
            <w:vAlign w:val="center"/>
          </w:tcPr>
          <w:p>
            <w:pPr>
              <w:keepNext w:val="0"/>
              <w:spacing w:line="320" w:lineRule="exact" w:after="0" w:before="0"/>
              <w:ind w:firstLine="0"/>
              <w:jc w:val="left"/>
            </w:pPr>
            <w:r>
              <w:rPr>
                <w:b w:val="0"/>
                <w:sz w:val="21"/>
              </w:rPr>
              <w:t>SA-05</w:t>
            </w:r>
          </w:p>
        </w:tc>
        <w:tc>
          <w:tcPr>
            <w:tcW w:type="dxa" w:w="2699"/>
            <w:vAlign w:val="center"/>
          </w:tcPr>
          <w:p>
            <w:pPr>
              <w:keepNext w:val="0"/>
              <w:spacing w:line="320" w:lineRule="exact" w:after="0" w:before="0"/>
              <w:ind w:firstLine="0"/>
              <w:jc w:val="left"/>
            </w:pPr>
            <w:r>
              <w:rPr>
                <w:b w:val="0"/>
                <w:sz w:val="21"/>
              </w:rPr>
              <w:t>建立可复算的业务与质量基线</w:t>
            </w:r>
          </w:p>
        </w:tc>
        <w:tc>
          <w:tcPr>
            <w:tcW w:type="dxa" w:w="2409"/>
            <w:vAlign w:val="center"/>
          </w:tcPr>
          <w:p>
            <w:pPr>
              <w:keepNext w:val="0"/>
              <w:spacing w:line="320" w:lineRule="exact" w:after="0" w:before="0"/>
              <w:ind w:firstLine="0"/>
              <w:jc w:val="left"/>
            </w:pPr>
            <w:r>
              <w:rPr>
                <w:b w:val="0"/>
                <w:sz w:val="21"/>
              </w:rPr>
              <w:t>业务、质量与项目管理，WP-05、WP-12、WP-25</w:t>
            </w:r>
          </w:p>
        </w:tc>
        <w:tc>
          <w:tcPr>
            <w:tcW w:type="dxa" w:w="2891"/>
            <w:vAlign w:val="center"/>
          </w:tcPr>
          <w:p>
            <w:pPr>
              <w:keepNext w:val="0"/>
              <w:spacing w:line="320" w:lineRule="exact" w:after="0" w:before="0"/>
              <w:ind w:firstLine="0"/>
              <w:jc w:val="left"/>
            </w:pPr>
            <w:r>
              <w:rPr>
                <w:b w:val="0"/>
                <w:sz w:val="21"/>
              </w:rPr>
              <w:t>对象、时点、口径和原始证据完整</w:t>
            </w:r>
          </w:p>
        </w:tc>
      </w:tr>
      <w:tr>
        <w:trPr>
          <w:cantSplit/>
        </w:trPr>
        <w:tc>
          <w:tcPr>
            <w:tcW w:type="dxa" w:w="1638"/>
            <w:vAlign w:val="center"/>
          </w:tcPr>
          <w:p>
            <w:pPr>
              <w:keepNext w:val="0"/>
              <w:spacing w:line="320" w:lineRule="exact" w:after="0" w:before="0"/>
              <w:ind w:firstLine="0"/>
              <w:jc w:val="left"/>
            </w:pPr>
            <w:r>
              <w:rPr>
                <w:b w:val="0"/>
                <w:sz w:val="21"/>
              </w:rPr>
              <w:t>SA-06</w:t>
            </w:r>
          </w:p>
        </w:tc>
        <w:tc>
          <w:tcPr>
            <w:tcW w:type="dxa" w:w="2699"/>
            <w:vAlign w:val="center"/>
          </w:tcPr>
          <w:p>
            <w:pPr>
              <w:keepNext w:val="0"/>
              <w:spacing w:line="320" w:lineRule="exact" w:after="0" w:before="0"/>
              <w:ind w:firstLine="0"/>
              <w:jc w:val="left"/>
            </w:pPr>
            <w:r>
              <w:rPr>
                <w:b w:val="0"/>
                <w:sz w:val="21"/>
              </w:rPr>
              <w:t>核定人员环境与复核容量</w:t>
            </w:r>
          </w:p>
        </w:tc>
        <w:tc>
          <w:tcPr>
            <w:tcW w:type="dxa" w:w="2409"/>
            <w:vAlign w:val="center"/>
          </w:tcPr>
          <w:p>
            <w:pPr>
              <w:keepNext w:val="0"/>
              <w:spacing w:line="320" w:lineRule="exact" w:after="0" w:before="0"/>
              <w:ind w:firstLine="0"/>
              <w:jc w:val="left"/>
            </w:pPr>
            <w:r>
              <w:rPr>
                <w:b w:val="0"/>
                <w:sz w:val="21"/>
              </w:rPr>
              <w:t>项目管理及技术岗位，WP-04、WP-09</w:t>
            </w:r>
          </w:p>
        </w:tc>
        <w:tc>
          <w:tcPr>
            <w:tcW w:type="dxa" w:w="2891"/>
            <w:vAlign w:val="center"/>
          </w:tcPr>
          <w:p>
            <w:pPr>
              <w:keepNext w:val="0"/>
              <w:spacing w:line="320" w:lineRule="exact" w:after="0" w:before="0"/>
              <w:ind w:firstLine="0"/>
              <w:jc w:val="left"/>
            </w:pPr>
            <w:r>
              <w:rPr>
                <w:b w:val="0"/>
                <w:sz w:val="21"/>
              </w:rPr>
              <w:t>产能测算、资源窗口及替补安排可执行</w:t>
            </w:r>
          </w:p>
        </w:tc>
      </w:tr>
      <w:tr>
        <w:trPr>
          <w:cantSplit/>
        </w:trPr>
        <w:tc>
          <w:tcPr>
            <w:tcW w:type="dxa" w:w="1638"/>
            <w:vAlign w:val="center"/>
          </w:tcPr>
          <w:p>
            <w:pPr>
              <w:keepNext w:val="0"/>
              <w:spacing w:line="320" w:lineRule="exact" w:after="0" w:before="0"/>
              <w:ind w:firstLine="0"/>
              <w:jc w:val="left"/>
            </w:pPr>
            <w:r>
              <w:rPr>
                <w:b w:val="0"/>
                <w:sz w:val="21"/>
              </w:rPr>
              <w:t>SA-07</w:t>
            </w:r>
          </w:p>
        </w:tc>
        <w:tc>
          <w:tcPr>
            <w:tcW w:type="dxa" w:w="2699"/>
            <w:vAlign w:val="center"/>
          </w:tcPr>
          <w:p>
            <w:pPr>
              <w:keepNext w:val="0"/>
              <w:spacing w:line="320" w:lineRule="exact" w:after="0" w:before="0"/>
              <w:ind w:firstLine="0"/>
              <w:jc w:val="left"/>
            </w:pPr>
            <w:r>
              <w:rPr>
                <w:b w:val="0"/>
                <w:sz w:val="21"/>
              </w:rPr>
              <w:t>确认十一场景验证协议</w:t>
            </w:r>
          </w:p>
        </w:tc>
        <w:tc>
          <w:tcPr>
            <w:tcW w:type="dxa" w:w="2409"/>
            <w:vAlign w:val="center"/>
          </w:tcPr>
          <w:p>
            <w:pPr>
              <w:keepNext w:val="0"/>
              <w:spacing w:line="320" w:lineRule="exact" w:after="0" w:before="0"/>
              <w:ind w:firstLine="0"/>
              <w:jc w:val="left"/>
            </w:pPr>
            <w:r>
              <w:rPr>
                <w:b w:val="0"/>
                <w:sz w:val="21"/>
              </w:rPr>
              <w:t>场景业务与验证岗位，WP-06、WP-21</w:t>
            </w:r>
          </w:p>
        </w:tc>
        <w:tc>
          <w:tcPr>
            <w:tcW w:type="dxa" w:w="2891"/>
            <w:vAlign w:val="center"/>
          </w:tcPr>
          <w:p>
            <w:pPr>
              <w:keepNext w:val="0"/>
              <w:spacing w:line="320" w:lineRule="exact" w:after="0" w:before="0"/>
              <w:ind w:firstLine="0"/>
              <w:jc w:val="left"/>
            </w:pPr>
            <w:r>
              <w:rPr>
                <w:b w:val="0"/>
                <w:sz w:val="21"/>
              </w:rPr>
              <w:t>输入、输出、判定、隔离和记录明确</w:t>
            </w:r>
          </w:p>
        </w:tc>
      </w:tr>
      <w:tr>
        <w:trPr>
          <w:cantSplit/>
        </w:trPr>
        <w:tc>
          <w:tcPr>
            <w:tcW w:type="dxa" w:w="1638"/>
            <w:vAlign w:val="center"/>
          </w:tcPr>
          <w:p>
            <w:pPr>
              <w:keepNext w:val="0"/>
              <w:spacing w:line="320" w:lineRule="exact" w:after="0" w:before="0"/>
              <w:ind w:firstLine="0"/>
              <w:jc w:val="left"/>
            </w:pPr>
            <w:r>
              <w:rPr>
                <w:b w:val="0"/>
                <w:sz w:val="21"/>
              </w:rPr>
              <w:t>SA-08</w:t>
            </w:r>
          </w:p>
        </w:tc>
        <w:tc>
          <w:tcPr>
            <w:tcW w:type="dxa" w:w="2699"/>
            <w:vAlign w:val="center"/>
          </w:tcPr>
          <w:p>
            <w:pPr>
              <w:keepNext w:val="0"/>
              <w:spacing w:line="320" w:lineRule="exact" w:after="0" w:before="0"/>
              <w:ind w:firstLine="0"/>
              <w:jc w:val="left"/>
            </w:pPr>
            <w:r>
              <w:rPr>
                <w:b w:val="0"/>
                <w:sz w:val="21"/>
              </w:rPr>
              <w:t>下达版本化工作包和里程碑</w:t>
            </w:r>
          </w:p>
        </w:tc>
        <w:tc>
          <w:tcPr>
            <w:tcW w:type="dxa" w:w="2409"/>
            <w:vAlign w:val="center"/>
          </w:tcPr>
          <w:p>
            <w:pPr>
              <w:keepNext w:val="0"/>
              <w:spacing w:line="320" w:lineRule="exact" w:after="0" w:before="0"/>
              <w:ind w:firstLine="0"/>
              <w:jc w:val="left"/>
            </w:pPr>
            <w:r>
              <w:rPr>
                <w:b w:val="0"/>
                <w:sz w:val="21"/>
              </w:rPr>
              <w:t>项目管理，WP-04</w:t>
            </w:r>
          </w:p>
        </w:tc>
        <w:tc>
          <w:tcPr>
            <w:tcW w:type="dxa" w:w="2891"/>
            <w:vAlign w:val="center"/>
          </w:tcPr>
          <w:p>
            <w:pPr>
              <w:keepNext w:val="0"/>
              <w:spacing w:line="320" w:lineRule="exact" w:after="0" w:before="0"/>
              <w:ind w:firstLine="0"/>
              <w:jc w:val="left"/>
            </w:pPr>
            <w:r>
              <w:rPr>
                <w:b w:val="0"/>
                <w:sz w:val="21"/>
              </w:rPr>
              <w:t>输入输出双方接收，节点满足总计划</w:t>
            </w:r>
          </w:p>
        </w:tc>
      </w:tr>
      <w:tr>
        <w:trPr>
          <w:cantSplit/>
        </w:trPr>
        <w:tc>
          <w:tcPr>
            <w:tcW w:type="dxa" w:w="1638"/>
            <w:vAlign w:val="center"/>
          </w:tcPr>
          <w:p>
            <w:pPr>
              <w:keepNext w:val="0"/>
              <w:spacing w:line="320" w:lineRule="exact" w:after="0" w:before="0"/>
              <w:ind w:firstLine="0"/>
              <w:jc w:val="left"/>
            </w:pPr>
            <w:r>
              <w:rPr>
                <w:b w:val="0"/>
                <w:sz w:val="21"/>
              </w:rPr>
              <w:t>SA-09</w:t>
            </w:r>
          </w:p>
        </w:tc>
        <w:tc>
          <w:tcPr>
            <w:tcW w:type="dxa" w:w="2699"/>
            <w:vAlign w:val="center"/>
          </w:tcPr>
          <w:p>
            <w:pPr>
              <w:keepNext w:val="0"/>
              <w:spacing w:line="320" w:lineRule="exact" w:after="0" w:before="0"/>
              <w:ind w:firstLine="0"/>
              <w:jc w:val="left"/>
            </w:pPr>
            <w:r>
              <w:rPr>
                <w:b w:val="0"/>
                <w:sz w:val="21"/>
              </w:rPr>
              <w:t>建立统一证据及报告索引</w:t>
            </w:r>
          </w:p>
        </w:tc>
        <w:tc>
          <w:tcPr>
            <w:tcW w:type="dxa" w:w="2409"/>
            <w:vAlign w:val="center"/>
          </w:tcPr>
          <w:p>
            <w:pPr>
              <w:keepNext w:val="0"/>
              <w:spacing w:line="320" w:lineRule="exact" w:after="0" w:before="0"/>
              <w:ind w:firstLine="0"/>
              <w:jc w:val="left"/>
            </w:pPr>
            <w:r>
              <w:rPr>
                <w:b w:val="0"/>
                <w:sz w:val="21"/>
              </w:rPr>
              <w:t>治理管理与档案岗位，WP-25、WP-28</w:t>
            </w:r>
          </w:p>
        </w:tc>
        <w:tc>
          <w:tcPr>
            <w:tcW w:type="dxa" w:w="2891"/>
            <w:vAlign w:val="center"/>
          </w:tcPr>
          <w:p>
            <w:pPr>
              <w:keepNext w:val="0"/>
              <w:spacing w:line="320" w:lineRule="exact" w:after="0" w:before="0"/>
              <w:ind w:firstLine="0"/>
              <w:jc w:val="left"/>
            </w:pPr>
            <w:r>
              <w:rPr>
                <w:b w:val="0"/>
                <w:sz w:val="21"/>
              </w:rPr>
              <w:t>结论可定位至对象、版本和原始材料</w:t>
            </w:r>
          </w:p>
        </w:tc>
      </w:tr>
      <w:tr>
        <w:trPr>
          <w:cantSplit/>
        </w:trPr>
        <w:tc>
          <w:tcPr>
            <w:tcW w:type="dxa" w:w="1638"/>
            <w:vAlign w:val="center"/>
          </w:tcPr>
          <w:p>
            <w:pPr>
              <w:keepNext w:val="0"/>
              <w:spacing w:line="320" w:lineRule="exact" w:after="0" w:before="0"/>
              <w:ind w:firstLine="0"/>
              <w:jc w:val="left"/>
            </w:pPr>
            <w:r>
              <w:rPr>
                <w:b w:val="0"/>
                <w:sz w:val="21"/>
              </w:rPr>
              <w:t>SA-10</w:t>
            </w:r>
          </w:p>
        </w:tc>
        <w:tc>
          <w:tcPr>
            <w:tcW w:type="dxa" w:w="2699"/>
            <w:vAlign w:val="center"/>
          </w:tcPr>
          <w:p>
            <w:pPr>
              <w:keepNext w:val="0"/>
              <w:spacing w:line="320" w:lineRule="exact" w:after="0" w:before="0"/>
              <w:ind w:firstLine="0"/>
              <w:jc w:val="left"/>
            </w:pPr>
            <w:r>
              <w:rPr>
                <w:b w:val="0"/>
                <w:sz w:val="21"/>
              </w:rPr>
              <w:t>落实岗位培训与承接条件</w:t>
            </w:r>
          </w:p>
        </w:tc>
        <w:tc>
          <w:tcPr>
            <w:tcW w:type="dxa" w:w="2409"/>
            <w:vAlign w:val="center"/>
          </w:tcPr>
          <w:p>
            <w:pPr>
              <w:keepNext w:val="0"/>
              <w:spacing w:line="320" w:lineRule="exact" w:after="0" w:before="0"/>
              <w:ind w:firstLine="0"/>
              <w:jc w:val="left"/>
            </w:pPr>
            <w:r>
              <w:rPr>
                <w:b w:val="0"/>
                <w:sz w:val="21"/>
              </w:rPr>
              <w:t>业务运行与培训岗位，WP-27、WP-28</w:t>
            </w:r>
          </w:p>
        </w:tc>
        <w:tc>
          <w:tcPr>
            <w:tcW w:type="dxa" w:w="2891"/>
            <w:vAlign w:val="center"/>
          </w:tcPr>
          <w:p>
            <w:pPr>
              <w:keepNext w:val="0"/>
              <w:spacing w:line="320" w:lineRule="exact" w:after="0" w:before="0"/>
              <w:ind w:firstLine="0"/>
              <w:jc w:val="left"/>
            </w:pPr>
            <w:r>
              <w:rPr>
                <w:b w:val="0"/>
                <w:sz w:val="21"/>
              </w:rPr>
              <w:t>课程、实操、考核及交接责任明确</w:t>
            </w:r>
          </w:p>
        </w:tc>
      </w:tr>
    </w:tbl>
    <w:p>
      <w:pPr>
        <w:spacing w:after="40" w:line="240" w:lineRule="auto"/>
        <w:ind w:firstLine="0"/>
      </w:pPr>
      <w:r>
        <w:rPr>
          <w:sz w:val="4"/>
        </w:rPr>
      </w:r>
    </w:p>
    <w:p>
      <w:pPr>
        <w:jc w:val="both"/>
      </w:pPr>
      <w:r>
        <w:t>上述行动随关联工作包安排实施，在对应依赖进入执行前完成必要核验。SA-01 在启动阶段落实，SA-02 至 SA-07 随调查、规划和设计分批确认，SA-08 在工作包正式下达前完成，SA-09 从首批成果形成时持续执行，SA-10 按阶段培训并在运行移交前完成承接检查。</w:t>
      </w:r>
    </w:p>
    <w:p>
      <w:pPr>
        <w:pStyle w:val="Heading3"/>
      </w:pPr>
      <w:r>
        <w:t>4.9.2 行动关闭与效果确认</w:t>
      </w:r>
    </w:p>
    <w:p>
      <w:pPr>
        <w:jc w:val="both"/>
      </w:pPr>
      <w:r>
        <w:t>行动关闭同时检查成果存在、批准有效和实际使用三个方面。形成一份清单仅能证明材料已编制，仍须核对责任岗位、对象范围和使用记录。规则及系统类措施通过实际操作或正反例测试验证，资源类措施通过可用时间和任务恢复情况验证。</w:t>
      </w:r>
    </w:p>
    <w:p>
      <w:pPr>
        <w:jc w:val="both"/>
      </w:pPr>
      <w:r>
        <w:t>因条件变化需要调整行动的，记录原事项、原因、替代措施、剩余影响和批准决定。取消行动不能使对应目标或必要控制消失，替代措施须覆盖原风险及依赖。下一期评估首先复核上期到期措施，发现同类问题复发时重新分析根因和执行有效性。</w:t>
      </w:r>
    </w:p>
    <w:p>
      <w:pPr>
        <w:pStyle w:val="Heading2"/>
      </w:pPr>
      <w:r>
        <w:t>4.10 后续执行评价程序</w:t>
      </w:r>
    </w:p>
    <w:p>
      <w:pPr>
        <w:pStyle w:val="Heading3"/>
      </w:pPr>
      <w:r>
        <w:t>4.10.1 月度与阶段评价</w:t>
      </w:r>
    </w:p>
    <w:p>
      <w:pPr>
        <w:jc w:val="both"/>
      </w:pPr>
      <w:r>
        <w:t>月度评价由项目管理岗位汇总实际任务、资源和问题，业务及专业岗位核验本领域事实，治理管理层形成评价与协调决定。报告使用统一截止时点，展示本期完成、累计完成、后续预测和关键偏差，计划值与实际值分别列示。</w:t>
      </w:r>
    </w:p>
    <w:p>
      <w:pPr>
        <w:jc w:val="both"/>
      </w:pPr>
      <w:r>
        <w:t>阶段评价增加里程碑接收、跨工作包依赖和成果一致性检查。阶段负责人组织资料准备，独立于原执行的适当岗位开展复核，关键结果由业务归口及质量安全岗位确认。未完成项写明对象、原因、影响、措施和责任，不以模糊的整体完成判断掩盖具体缺口。</w:t>
      </w:r>
    </w:p>
    <w:p>
      <w:pPr>
        <w:jc w:val="both"/>
      </w:pPr>
      <w:r>
        <w:t>评价会议聚焦需要判断和协调的事项，会议材料提前提供有效版本。不同意见及其证据分别记录，决定形成可执行行动。报告批准后发布到授权范围，执行岗位确认接收，项目管理岗位跟踪决定落实。</w:t>
      </w:r>
    </w:p>
    <w:p>
      <w:pPr>
        <w:pStyle w:val="Heading3"/>
      </w:pPr>
      <w:r>
        <w:t>4.10.2 年度与专项评价</w:t>
      </w:r>
    </w:p>
    <w:p>
      <w:pPr>
        <w:jc w:val="both"/>
      </w:pPr>
      <w:r>
        <w:t>年度评价在月度和阶段记录基础上检查战略目标、业务需求、资源投入及持续运行状态，分析外部要求和公司业务变化对下一年度安排的影响。年度结论区分已实现成果、仍需持续工作及需调整目标，修订后的规划与实施计划保持对应。</w:t>
      </w:r>
    </w:p>
    <w:p>
      <w:pPr>
        <w:jc w:val="both"/>
      </w:pPr>
      <w:r>
        <w:t>专项评价由重大风险、目标偏差、范围变更、质量事件、来源变化、关键岗位调整或业务效果异常触发。专项范围按实际影响确定，必要时回溯历史版本和受影响成果。涉及数据或模型缺陷时同时检查同源数据、关联规则及已发布服务。</w:t>
      </w:r>
    </w:p>
    <w:p>
      <w:pPr>
        <w:jc w:val="both"/>
      </w:pPr>
      <w:r>
        <w:t>专项报告提出恢复条件、整改措施和规划调整建议。批准后相关工作包更新执行基准，并开展回归或效果验证；评价结论被新证据改变时发布更正报告，保留原报告、变更原因和通知记录。</w:t>
      </w:r>
    </w:p>
    <w:p>
      <w:pPr>
        <w:pStyle w:val="Heading2"/>
      </w:pPr>
      <w:r>
        <w:t>4.11 报告审查与版本管理</w:t>
      </w:r>
    </w:p>
    <w:p>
      <w:pPr>
        <w:pStyle w:val="Heading3"/>
      </w:pPr>
      <w:r>
        <w:t>4.11.1 专业复核和批准发布</w:t>
      </w:r>
    </w:p>
    <w:p>
      <w:pPr>
        <w:jc w:val="both"/>
      </w:pPr>
      <w:r>
        <w:t>报告初稿由各目标责任岗位核对事实，业务岗位检查业务含义，技术岗位检查数据和计算，质量岗位检查判定方法，安全岗位检查材料范围和访问条件。项目管理岗位检查计划、资源、行动和时限的一致性，治理管理层确认总体判断及需要提请决策的事项。</w:t>
      </w:r>
    </w:p>
    <w:p>
      <w:pPr>
        <w:jc w:val="both"/>
      </w:pPr>
      <w:r>
        <w:t>复核意见按对象和条目登记，明确采纳、补证、重算或进一步核实的处理。重要结论存在实质分歧时保留不同意见及证据，完成必要核验后提交有权岗位判断。报告批准前检查关键结论均有可定位证据，行动均有责任、节点及关闭条件。</w:t>
      </w:r>
    </w:p>
    <w:p>
      <w:pPr>
        <w:jc w:val="both"/>
      </w:pPr>
      <w:r>
        <w:t>发布文件注明报告标识、版本、评价期次、评价区间及适用对象，附件与正文版本一致。完整报告与不同权限的摘要分别形成受控文件，对外或跨范围使用按公司规定履行审核，不因提供摘要而改变原始结论。</w:t>
      </w:r>
    </w:p>
    <w:p>
      <w:pPr>
        <w:pStyle w:val="Heading3"/>
      </w:pPr>
      <w:r>
        <w:t>4.11.2 更正追踪与归档保留</w:t>
      </w:r>
    </w:p>
    <w:p>
      <w:pPr>
        <w:jc w:val="both"/>
      </w:pPr>
      <w:r>
        <w:t>发现计算、事实或版本错误时发起更正，核查错误对结论、决定及后续任务的影响。修正计算保留原输入、原脚本和原结果，新增正确版本及差异记录。更正涉及已执行决定时同步通知相关责任岗位，评估是否需要回退、补充或重新验收。</w:t>
      </w:r>
    </w:p>
    <w:p>
      <w:pPr>
        <w:jc w:val="both"/>
      </w:pPr>
      <w:r>
        <w:t>报告归档包括批准正文、依据清单、指标卡、实际对象清单、原始证据索引、计算材料、复核意见、行动台账和发布记录。档案按访问范围保管，定期验证链接、权限及可恢复性。岗位交接核查材料完整和未完行动，接收岗位能够根据报告复现关键结果并继续跟踪后续任务。</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2" name="Picture 12"/>
            <wp:cNvGraphicFramePr>
              <a:graphicFrameLocks noChangeAspect="1"/>
            </wp:cNvGraphicFramePr>
            <a:graphic>
              <a:graphicData uri="http://schemas.openxmlformats.org/drawingml/2006/picture">
                <pic:pic>
                  <pic:nvPicPr>
                    <pic:cNvPr id="0" name="图12_战略迭代.png"/>
                    <pic:cNvPicPr/>
                  </pic:nvPicPr>
                  <pic:blipFill>
                    <a:blip r:embed="rId22"/>
                    <a:stretch>
                      <a:fillRect/>
                    </a:stretch>
                  </pic:blipFill>
                  <pic:spPr>
                    <a:xfrm>
                      <a:off x="0" y="0"/>
                      <a:ext cx="6048000" cy="1942338"/>
                    </a:xfrm>
                    <a:prstGeom prst="rect"/>
                  </pic:spPr>
                </pic:pic>
              </a:graphicData>
            </a:graphic>
          </wp:inline>
        </w:drawing>
      </w:r>
    </w:p>
    <w:p>
      <w:pPr>
        <w:pStyle w:val="Caption"/>
        <w:jc w:val="center"/>
      </w:pPr>
      <w:r>
        <w:t>图4-3 评价结果与战略迭代</w:t>
      </w:r>
    </w:p>
    <w:p>
      <w:pPr>
        <w:pStyle w:val="Heading2"/>
      </w:pPr>
      <w:r>
        <w:t>4.12 战略迭代与成果一致性</w:t>
      </w:r>
    </w:p>
    <w:p>
      <w:pPr>
        <w:pStyle w:val="Heading3"/>
      </w:pPr>
      <w:r>
        <w:t>4.12.1 评价结果进入规划调整</w:t>
      </w:r>
    </w:p>
    <w:p>
      <w:pPr>
        <w:jc w:val="both"/>
      </w:pPr>
      <w:r>
        <w:t>评价提出的改进分别进入制度修订、目标调整、任务重排、资源调配、规则优化和能力提升。治理管理层依据影响范围组织论证，涉及合同范围、硬性要求或重大资源的事项按授权履行批准程序。批准前继续执行有效基准和必要风险控制。</w:t>
      </w:r>
    </w:p>
    <w:p>
      <w:pPr>
        <w:jc w:val="both"/>
      </w:pPr>
      <w:r>
        <w:t>规划修订保留原目标、变化原因、依据和新安排，实施计划同步更新相关工作包及依赖。数据生产或质量规则变化关联历史版本影响分析，资产及共享规则变化关联已授权使用对象，培训和运行资料同步调整。修订后的结果在下一期评价中检查实际效果。</w:t>
      </w:r>
    </w:p>
    <w:p>
      <w:pPr>
        <w:pStyle w:val="Heading3"/>
      </w:pPr>
      <w:r>
        <w:t>4.12.2 四份战略文件的一致性检查</w:t>
      </w:r>
    </w:p>
    <w:p>
      <w:pPr>
        <w:jc w:val="both"/>
      </w:pPr>
      <w:r>
        <w:t>管理办法规定职责、程序和控制，战略规划确定目标、任务及资源方向，实施计划落实工作包、节点及检查，战略评估报告反映设计与执行证据并形成改进。四份文件通过目标、任务、对象和版本关联，任何一份变化均检查其余三份是否需要联动修订。</w:t>
      </w:r>
    </w:p>
    <w:p>
      <w:pPr>
        <w:jc w:val="both"/>
      </w:pPr>
      <w:r>
        <w:t>最终成果核对逐项检查文件标识、适用范围、目标值、业务和系统名称、角色职责、阶段安排、数据计量、质量要求及服务期限。文件批准状态与实际执行状态分别登记，使用岗位仅按有效版本开展工作。历史版本、批准依据和修订关系完整保留，为战略持续实施、检查和后续评价提供连续依据。</w:t>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数据战略管理文件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20" w:lineRule="exact" w:after="4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2"/>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2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数据战略管理文件</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