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ind w:firstLine="0"/>
        <w:jc w:val="center"/>
      </w:pPr>
      <w:r>
        <w:t>四大数据集数据卡</w:t>
      </w:r>
    </w:p>
    <w:p>
      <w:pPr>
        <w:spacing w:line="324" w:lineRule="auto"/>
        <w:ind w:firstLine="0"/>
        <w:jc w:val="center"/>
      </w:pPr>
      <w:r>
        <w:t>矿山装备制造领域高质量数据集建设及场景应用项目配套设施</w:t>
        <w:br/>
        <w:t>数据加工生产服务</w:t>
      </w:r>
    </w:p>
    <w:p>
      <w:pPr>
        <w:spacing w:after="200"/>
      </w:pPr>
      <w:r>
        <w:t>我方按四个领域、四种用途形成四张汇总卡和十六张子集卡，逐卡记录84项字段，配套业务字典、标签定义、规范样本、判分依据及独立解析方法。数据卡与内容、指纹、质检、验证及正式评测证据按实际版本绑定。</w:t>
      </w:r>
    </w:p>
    <w:p>
      <w:pPr>
        <w:spacing w:line="264" w:lineRule="auto"/>
        <w:ind w:firstLine="0"/>
      </w:pPr>
      <w:r>
        <w:rPr>
          <w:b/>
        </w:rPr>
        <w:t>目录</w:t>
      </w:r>
    </w:p>
    <w:p>
      <w:pPr>
        <w:tabs>
          <w:tab w:pos="9411" w:val="right" w:leader="dot"/>
        </w:tabs>
        <w:spacing w:line="300" w:lineRule="exact" w:after="40"/>
        <w:ind w:firstLine="0"/>
      </w:pPr>
      <w:r>
        <w:rPr>
          <w:sz w:val="21"/>
        </w:rPr>
        <w:t>1 数据卡组织与版本管理</w:t>
        <w:tab/>
        <w:t>2</w:t>
      </w:r>
    </w:p>
    <w:p>
      <w:pPr>
        <w:tabs>
          <w:tab w:pos="9411" w:val="right" w:leader="dot"/>
        </w:tabs>
        <w:spacing w:line="300" w:lineRule="exact" w:after="40"/>
        <w:ind w:firstLine="0"/>
      </w:pPr>
      <w:r>
        <w:rPr>
          <w:sz w:val="21"/>
        </w:rPr>
        <w:t>2 四个领域汇总卡</w:t>
        <w:tab/>
        <w:t>7</w:t>
      </w:r>
    </w:p>
    <w:p>
      <w:pPr>
        <w:tabs>
          <w:tab w:pos="9411" w:val="right" w:leader="dot"/>
        </w:tabs>
        <w:spacing w:line="300" w:lineRule="exact" w:after="40"/>
        <w:ind w:firstLine="0"/>
      </w:pPr>
      <w:r>
        <w:rPr>
          <w:sz w:val="21"/>
        </w:rPr>
        <w:t>3 供需计划用途子集数据卡</w:t>
        <w:tab/>
        <w:t>39</w:t>
      </w:r>
    </w:p>
    <w:p>
      <w:pPr>
        <w:tabs>
          <w:tab w:pos="9411" w:val="right" w:leader="dot"/>
        </w:tabs>
        <w:spacing w:line="300" w:lineRule="exact" w:after="40"/>
        <w:ind w:firstLine="0"/>
      </w:pPr>
      <w:r>
        <w:rPr>
          <w:sz w:val="21"/>
        </w:rPr>
        <w:t>4 产品工艺设计用途子集数据卡</w:t>
        <w:tab/>
        <w:t>90</w:t>
      </w:r>
    </w:p>
    <w:p>
      <w:pPr>
        <w:tabs>
          <w:tab w:pos="9411" w:val="right" w:leader="dot"/>
        </w:tabs>
        <w:spacing w:line="300" w:lineRule="exact" w:after="40"/>
        <w:ind w:firstLine="0"/>
      </w:pPr>
      <w:r>
        <w:rPr>
          <w:sz w:val="21"/>
        </w:rPr>
        <w:t>5 制造过程用途子集数据卡</w:t>
        <w:tab/>
        <w:t>142</w:t>
      </w:r>
    </w:p>
    <w:p>
      <w:pPr>
        <w:tabs>
          <w:tab w:pos="9411" w:val="right" w:leader="dot"/>
        </w:tabs>
        <w:spacing w:line="300" w:lineRule="exact" w:after="40"/>
        <w:ind w:firstLine="0"/>
      </w:pPr>
      <w:r>
        <w:rPr>
          <w:sz w:val="21"/>
        </w:rPr>
        <w:t>6 产品质量用途子集数据卡</w:t>
        <w:tab/>
        <w:t>193</w:t>
      </w:r>
    </w:p>
    <w:p>
      <w:pPr>
        <w:tabs>
          <w:tab w:pos="9411" w:val="right" w:leader="dot"/>
        </w:tabs>
        <w:spacing w:line="300" w:lineRule="exact" w:after="40"/>
        <w:ind w:firstLine="0"/>
      </w:pPr>
      <w:r>
        <w:rPr>
          <w:sz w:val="21"/>
        </w:rPr>
        <w:t>7 公共记录结构与独立解析</w:t>
        <w:tab/>
        <w:t>244</w:t>
      </w:r>
    </w:p>
    <w:p>
      <w:r>
        <w:br w:type="page"/>
      </w:r>
    </w:p>
    <w:p>
      <w:pPr>
        <w:pStyle w:val="Heading1"/>
      </w:pPr>
      <w:r>
        <w:t>1 数据卡组织与版本管理</w:t>
      </w:r>
    </w:p>
    <w:p>
      <w:pPr>
        <w:pStyle w:val="Heading2"/>
      </w:pPr>
      <w:r>
        <w:t>1.1 数据卡范围</w:t>
      </w:r>
    </w:p>
    <w:p>
      <w:pPr>
        <w:jc w:val="both"/>
      </w:pPr>
      <w:r>
        <w:t>我方按供需计划、产品工艺设计、制造过程、产品质量四个领域组织数据卡。每个领域设置一张汇总卡，并分别为预训练、有监督指令微调、人类偏好对齐和基准评测设置独立子集卡，共形成四张汇总卡、十六张用途子集卡。数据卡与对应版本的数据内容、版本指纹、质检报告、验证报告共同交付，数据字典及自描述封装文件随版本提供。</w:t>
      </w:r>
    </w:p>
    <w:p>
      <w:pPr>
        <w:jc w:val="both"/>
      </w:pPr>
      <w:r>
        <w:t>汇总卡记录所属领域的业务范围、四类用途、规模分项、模态与时间分布、来源关系及发布条件。子集卡记录具体生产任务的内容、组织方式、来源、标签、处理方法、质量证据和使用条件。预训练规模以有效Tokens计量，有监督指令微调以完整任务条数计量，人类偏好对齐以完整比较组数计量，基准评测以完整题目条数计量。不同计量单位分别列示，汇总卡不将Tokens、条和组相加为一个样本总数。</w:t>
      </w:r>
    </w:p>
    <w:p>
      <w:pPr>
        <w:jc w:val="both"/>
      </w:pPr>
      <w:r>
        <w:t>卡片采用基本信息、内容特征、建设过程、应用说明、质量验证、安全合规、指纹血缘七组84个字段。字段编码及名称保持一致；大规模样本清单、统计分布、标注规范和实验记录采用同版文件引用。卡内内容能够定位到实际文件、对象和执行记录，单独取得封装的使用方可以读取数据、理解字段和复核主要统计。</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1" name="Picture 1"/>
            <wp:cNvGraphicFramePr>
              <a:graphicFrameLocks noChangeAspect="1"/>
            </wp:cNvGraphicFramePr>
            <a:graphic>
              <a:graphicData uri="http://schemas.openxmlformats.org/drawingml/2006/picture">
                <pic:pic>
                  <pic:nvPicPr>
                    <pic:cNvPr id="0" name="图1_卡片组织.png"/>
                    <pic:cNvPicPr/>
                  </pic:nvPicPr>
                  <pic:blipFill>
                    <a:blip r:embed="rId11"/>
                    <a:stretch>
                      <a:fillRect/>
                    </a:stretch>
                  </pic:blipFill>
                  <pic:spPr>
                    <a:xfrm>
                      <a:off x="0" y="0"/>
                      <a:ext cx="6048000" cy="2477354"/>
                    </a:xfrm>
                    <a:prstGeom prst="rect"/>
                  </pic:spPr>
                </pic:pic>
              </a:graphicData>
            </a:graphic>
          </wp:inline>
        </w:drawing>
      </w:r>
    </w:p>
    <w:p>
      <w:pPr>
        <w:pStyle w:val="Caption"/>
        <w:jc w:val="center"/>
      </w:pPr>
      <w:r>
        <w:t>图1-1 数据卡组织与版本关系</w:t>
      </w:r>
    </w:p>
    <w:p>
      <w:pPr>
        <w:pStyle w:val="Heading2"/>
      </w:pPr>
      <w:r>
        <w:t>1.2 编号与文件命名</w:t>
      </w:r>
    </w:p>
    <w:p>
      <w:pPr>
        <w:jc w:val="both"/>
      </w:pPr>
      <w:r>
        <w:t>数据卡编号由项目码、类别码、领域码、序号和版本组成。项目码为GHY26691，类别码为DC，领域码01、02、03、04分别对应供需计划、产品工艺设计、制造过程、产品质量。序号0000用于汇总卡，0001用于预训练，0002用于有监督指令微调，0003用于人类偏好对齐，0004用于基准评测。V1.0表示本套卡片结构及业务定义的首版；项目数据实际发布时登记对应数据版本、真实发布日期和统计结果，卡片结构版本与数据内容版本分别保存。</w:t>
      </w:r>
    </w:p>
    <w:p>
      <w:pPr>
        <w:jc w:val="both"/>
      </w:pPr>
      <w:r>
        <w:t>文件名采用完整卡号加扩展名，人可读文件采用DOCX，机器可读文件采用JSON，整合文本采用UTF-8编码的Markdown。卡片身份不随文件存放位置变化。后续修订保留原卡号的稳定部分并更新版本，原文件、变更原因、审批记录和替代关系共同归档。</w:t>
      </w:r>
    </w:p>
    <w:p>
      <w:pPr>
        <w:jc w:val="both"/>
      </w:pPr>
      <w:r>
        <w:t>数据文件采用领域码、用途码、数据版本、分片序号命名。用途码为PT、SFT、PREF、EVAL，分片序号从000001递增。文件名只承担定位，不承载可能泄露客户、人员、合同价格或设备位置的敏感内容。记录内部的业务标识与文件名分开，数据片移动或重新分片后仍可追溯原对象。</w:t>
      </w:r>
    </w:p>
    <w:p>
      <w:pPr>
        <w:pStyle w:val="Heading2"/>
      </w:pPr>
      <w:r>
        <w:t>1.3 四域规模与计量单位</w:t>
      </w:r>
    </w:p>
    <w:p>
      <w:pPr>
        <w:pStyle w:val="Caption"/>
        <w:keepNext/>
      </w:pPr>
      <w:r>
        <w:t>表1-1 四域规模与计量单位</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数据集</w:t>
            </w:r>
          </w:p>
        </w:tc>
        <w:tc>
          <w:tcPr>
            <w:tcW w:type="dxa" w:w="2120"/>
            <w:vAlign w:val="center"/>
            <w:shd w:fill="EDF1F3"/>
          </w:tcPr>
          <w:p>
            <w:pPr>
              <w:keepNext/>
              <w:spacing w:line="320" w:lineRule="exact" w:after="0" w:before="0"/>
              <w:ind w:firstLine="0"/>
              <w:jc w:val="center"/>
            </w:pPr>
            <w:r>
              <w:rPr>
                <w:b/>
                <w:sz w:val="21"/>
              </w:rPr>
              <w:t>预训练有效Tokens</w:t>
            </w:r>
          </w:p>
        </w:tc>
        <w:tc>
          <w:tcPr>
            <w:tcW w:type="dxa" w:w="1928"/>
            <w:vAlign w:val="center"/>
            <w:shd w:fill="EDF1F3"/>
          </w:tcPr>
          <w:p>
            <w:pPr>
              <w:keepNext/>
              <w:spacing w:line="320" w:lineRule="exact" w:after="0" w:before="0"/>
              <w:ind w:firstLine="0"/>
              <w:jc w:val="center"/>
            </w:pPr>
            <w:r>
              <w:rPr>
                <w:b/>
                <w:sz w:val="21"/>
              </w:rPr>
              <w:t>指令微调完整任务</w:t>
            </w:r>
          </w:p>
        </w:tc>
        <w:tc>
          <w:tcPr>
            <w:tcW w:type="dxa" w:w="1928"/>
            <w:vAlign w:val="center"/>
            <w:shd w:fill="EDF1F3"/>
          </w:tcPr>
          <w:p>
            <w:pPr>
              <w:keepNext/>
              <w:spacing w:line="320" w:lineRule="exact" w:after="0" w:before="0"/>
              <w:ind w:firstLine="0"/>
              <w:jc w:val="center"/>
            </w:pPr>
            <w:r>
              <w:rPr>
                <w:b/>
                <w:sz w:val="21"/>
              </w:rPr>
              <w:t>人类偏好完整组</w:t>
            </w:r>
          </w:p>
        </w:tc>
        <w:tc>
          <w:tcPr>
            <w:tcW w:type="dxa" w:w="1928"/>
            <w:vAlign w:val="center"/>
            <w:shd w:fill="EDF1F3"/>
          </w:tcPr>
          <w:p>
            <w:pPr>
              <w:keepNext/>
              <w:spacing w:line="320" w:lineRule="exact" w:after="0" w:before="0"/>
              <w:ind w:firstLine="0"/>
              <w:jc w:val="center"/>
            </w:pPr>
            <w:r>
              <w:rPr>
                <w:b/>
                <w:sz w:val="21"/>
              </w:rPr>
              <w:t>基准评测完整题目</w:t>
            </w:r>
          </w:p>
        </w:tc>
      </w:tr>
      <w:tr>
        <w:trPr>
          <w:cantSplit/>
        </w:trPr>
        <w:tc>
          <w:tcPr>
            <w:tcW w:type="dxa" w:w="1735"/>
            <w:vAlign w:val="center"/>
          </w:tcPr>
          <w:p>
            <w:pPr>
              <w:keepNext w:val="0"/>
              <w:spacing w:line="320" w:lineRule="exact" w:after="0" w:before="0"/>
              <w:ind w:firstLine="0"/>
              <w:jc w:val="left"/>
            </w:pPr>
            <w:r>
              <w:rPr>
                <w:b w:val="0"/>
                <w:sz w:val="21"/>
              </w:rPr>
              <w:t>供需计划</w:t>
            </w:r>
          </w:p>
        </w:tc>
        <w:tc>
          <w:tcPr>
            <w:tcW w:type="dxa" w:w="2120"/>
            <w:vAlign w:val="center"/>
          </w:tcPr>
          <w:p>
            <w:pPr>
              <w:keepNext w:val="0"/>
              <w:spacing w:line="320" w:lineRule="exact" w:after="0" w:before="0"/>
              <w:ind w:firstLine="0"/>
              <w:jc w:val="left"/>
            </w:pPr>
            <w:r>
              <w:rPr>
                <w:b w:val="0"/>
                <w:sz w:val="21"/>
              </w:rPr>
              <w:t>276亿</w:t>
            </w:r>
          </w:p>
        </w:tc>
        <w:tc>
          <w:tcPr>
            <w:tcW w:type="dxa" w:w="1928"/>
            <w:vAlign w:val="center"/>
          </w:tcPr>
          <w:p>
            <w:pPr>
              <w:keepNext w:val="0"/>
              <w:spacing w:line="320" w:lineRule="exact" w:after="0" w:before="0"/>
              <w:ind w:firstLine="0"/>
              <w:jc w:val="left"/>
            </w:pPr>
            <w:r>
              <w:rPr>
                <w:b w:val="0"/>
                <w:sz w:val="21"/>
              </w:rPr>
              <w:t>400000条</w:t>
            </w:r>
          </w:p>
        </w:tc>
        <w:tc>
          <w:tcPr>
            <w:tcW w:type="dxa" w:w="1928"/>
            <w:vAlign w:val="center"/>
          </w:tcPr>
          <w:p>
            <w:pPr>
              <w:keepNext w:val="0"/>
              <w:spacing w:line="320" w:lineRule="exact" w:after="0" w:before="0"/>
              <w:ind w:firstLine="0"/>
              <w:jc w:val="left"/>
            </w:pPr>
            <w:r>
              <w:rPr>
                <w:b w:val="0"/>
                <w:sz w:val="21"/>
              </w:rPr>
              <w:t>32000组</w:t>
            </w:r>
          </w:p>
        </w:tc>
        <w:tc>
          <w:tcPr>
            <w:tcW w:type="dxa" w:w="1928"/>
            <w:vAlign w:val="center"/>
          </w:tcPr>
          <w:p>
            <w:pPr>
              <w:keepNext w:val="0"/>
              <w:spacing w:line="320" w:lineRule="exact" w:after="0" w:before="0"/>
              <w:ind w:firstLine="0"/>
              <w:jc w:val="left"/>
            </w:pPr>
            <w:r>
              <w:rPr>
                <w:b w:val="0"/>
                <w:sz w:val="21"/>
              </w:rPr>
              <w:t>4000条</w:t>
            </w:r>
          </w:p>
        </w:tc>
      </w:tr>
      <w:tr>
        <w:trPr>
          <w:cantSplit/>
        </w:trPr>
        <w:tc>
          <w:tcPr>
            <w:tcW w:type="dxa" w:w="1735"/>
            <w:vAlign w:val="center"/>
          </w:tcPr>
          <w:p>
            <w:pPr>
              <w:keepNext w:val="0"/>
              <w:spacing w:line="320" w:lineRule="exact" w:after="0" w:before="0"/>
              <w:ind w:firstLine="0"/>
              <w:jc w:val="left"/>
            </w:pPr>
            <w:r>
              <w:rPr>
                <w:b w:val="0"/>
                <w:sz w:val="21"/>
              </w:rPr>
              <w:t>产品工艺设计</w:t>
            </w:r>
          </w:p>
        </w:tc>
        <w:tc>
          <w:tcPr>
            <w:tcW w:type="dxa" w:w="2120"/>
            <w:vAlign w:val="center"/>
          </w:tcPr>
          <w:p>
            <w:pPr>
              <w:keepNext w:val="0"/>
              <w:spacing w:line="320" w:lineRule="exact" w:after="0" w:before="0"/>
              <w:ind w:firstLine="0"/>
              <w:jc w:val="left"/>
            </w:pPr>
            <w:r>
              <w:rPr>
                <w:b w:val="0"/>
                <w:sz w:val="21"/>
              </w:rPr>
              <w:t>70亿</w:t>
            </w:r>
          </w:p>
        </w:tc>
        <w:tc>
          <w:tcPr>
            <w:tcW w:type="dxa" w:w="1928"/>
            <w:vAlign w:val="center"/>
          </w:tcPr>
          <w:p>
            <w:pPr>
              <w:keepNext w:val="0"/>
              <w:spacing w:line="320" w:lineRule="exact" w:after="0" w:before="0"/>
              <w:ind w:firstLine="0"/>
              <w:jc w:val="left"/>
            </w:pPr>
            <w:r>
              <w:rPr>
                <w:b w:val="0"/>
                <w:sz w:val="21"/>
              </w:rPr>
              <w:t>100000条</w:t>
            </w:r>
          </w:p>
        </w:tc>
        <w:tc>
          <w:tcPr>
            <w:tcW w:type="dxa" w:w="1928"/>
            <w:vAlign w:val="center"/>
          </w:tcPr>
          <w:p>
            <w:pPr>
              <w:keepNext w:val="0"/>
              <w:spacing w:line="320" w:lineRule="exact" w:after="0" w:before="0"/>
              <w:ind w:firstLine="0"/>
              <w:jc w:val="left"/>
            </w:pPr>
            <w:r>
              <w:rPr>
                <w:b w:val="0"/>
                <w:sz w:val="21"/>
              </w:rPr>
              <w:t>8000组</w:t>
            </w:r>
          </w:p>
        </w:tc>
        <w:tc>
          <w:tcPr>
            <w:tcW w:type="dxa" w:w="1928"/>
            <w:vAlign w:val="center"/>
          </w:tcPr>
          <w:p>
            <w:pPr>
              <w:keepNext w:val="0"/>
              <w:spacing w:line="320" w:lineRule="exact" w:after="0" w:before="0"/>
              <w:ind w:firstLine="0"/>
              <w:jc w:val="left"/>
            </w:pPr>
            <w:r>
              <w:rPr>
                <w:b w:val="0"/>
                <w:sz w:val="21"/>
              </w:rPr>
              <w:t>1000条</w:t>
            </w:r>
          </w:p>
        </w:tc>
      </w:tr>
      <w:tr>
        <w:trPr>
          <w:cantSplit/>
        </w:trPr>
        <w:tc>
          <w:tcPr>
            <w:tcW w:type="dxa" w:w="1735"/>
            <w:vAlign w:val="center"/>
          </w:tcPr>
          <w:p>
            <w:pPr>
              <w:keepNext w:val="0"/>
              <w:spacing w:line="320" w:lineRule="exact" w:after="0" w:before="0"/>
              <w:ind w:firstLine="0"/>
              <w:jc w:val="left"/>
            </w:pPr>
            <w:r>
              <w:rPr>
                <w:b w:val="0"/>
                <w:sz w:val="21"/>
              </w:rPr>
              <w:t>制造过程</w:t>
            </w:r>
          </w:p>
        </w:tc>
        <w:tc>
          <w:tcPr>
            <w:tcW w:type="dxa" w:w="2120"/>
            <w:vAlign w:val="center"/>
          </w:tcPr>
          <w:p>
            <w:pPr>
              <w:keepNext w:val="0"/>
              <w:spacing w:line="320" w:lineRule="exact" w:after="0" w:before="0"/>
              <w:ind w:firstLine="0"/>
              <w:jc w:val="left"/>
            </w:pPr>
            <w:r>
              <w:rPr>
                <w:b w:val="0"/>
                <w:sz w:val="21"/>
              </w:rPr>
              <w:t>105亿</w:t>
            </w:r>
          </w:p>
        </w:tc>
        <w:tc>
          <w:tcPr>
            <w:tcW w:type="dxa" w:w="1928"/>
            <w:vAlign w:val="center"/>
          </w:tcPr>
          <w:p>
            <w:pPr>
              <w:keepNext w:val="0"/>
              <w:spacing w:line="320" w:lineRule="exact" w:after="0" w:before="0"/>
              <w:ind w:firstLine="0"/>
              <w:jc w:val="left"/>
            </w:pPr>
            <w:r>
              <w:rPr>
                <w:b w:val="0"/>
                <w:sz w:val="21"/>
              </w:rPr>
              <w:t>150000条</w:t>
            </w:r>
          </w:p>
        </w:tc>
        <w:tc>
          <w:tcPr>
            <w:tcW w:type="dxa" w:w="1928"/>
            <w:vAlign w:val="center"/>
          </w:tcPr>
          <w:p>
            <w:pPr>
              <w:keepNext w:val="0"/>
              <w:spacing w:line="320" w:lineRule="exact" w:after="0" w:before="0"/>
              <w:ind w:firstLine="0"/>
              <w:jc w:val="left"/>
            </w:pPr>
            <w:r>
              <w:rPr>
                <w:b w:val="0"/>
                <w:sz w:val="21"/>
              </w:rPr>
              <w:t>10000组</w:t>
            </w:r>
          </w:p>
        </w:tc>
        <w:tc>
          <w:tcPr>
            <w:tcW w:type="dxa" w:w="1928"/>
            <w:vAlign w:val="center"/>
          </w:tcPr>
          <w:p>
            <w:pPr>
              <w:keepNext w:val="0"/>
              <w:spacing w:line="320" w:lineRule="exact" w:after="0" w:before="0"/>
              <w:ind w:firstLine="0"/>
              <w:jc w:val="left"/>
            </w:pPr>
            <w:r>
              <w:rPr>
                <w:b w:val="0"/>
                <w:sz w:val="21"/>
              </w:rPr>
              <w:t>2000条</w:t>
            </w:r>
          </w:p>
        </w:tc>
      </w:tr>
      <w:tr>
        <w:trPr>
          <w:cantSplit/>
        </w:trPr>
        <w:tc>
          <w:tcPr>
            <w:tcW w:type="dxa" w:w="1735"/>
            <w:vAlign w:val="center"/>
          </w:tcPr>
          <w:p>
            <w:pPr>
              <w:keepNext w:val="0"/>
              <w:spacing w:line="320" w:lineRule="exact" w:after="0" w:before="0"/>
              <w:ind w:firstLine="0"/>
              <w:jc w:val="left"/>
            </w:pPr>
            <w:r>
              <w:rPr>
                <w:b w:val="0"/>
                <w:sz w:val="21"/>
              </w:rPr>
              <w:t>产品质量</w:t>
            </w:r>
          </w:p>
        </w:tc>
        <w:tc>
          <w:tcPr>
            <w:tcW w:type="dxa" w:w="2120"/>
            <w:vAlign w:val="center"/>
          </w:tcPr>
          <w:p>
            <w:pPr>
              <w:keepNext w:val="0"/>
              <w:spacing w:line="320" w:lineRule="exact" w:after="0" w:before="0"/>
              <w:ind w:firstLine="0"/>
              <w:jc w:val="left"/>
            </w:pPr>
            <w:r>
              <w:rPr>
                <w:b w:val="0"/>
                <w:sz w:val="21"/>
              </w:rPr>
              <w:t>164亿</w:t>
            </w:r>
          </w:p>
        </w:tc>
        <w:tc>
          <w:tcPr>
            <w:tcW w:type="dxa" w:w="1928"/>
            <w:vAlign w:val="center"/>
          </w:tcPr>
          <w:p>
            <w:pPr>
              <w:keepNext w:val="0"/>
              <w:spacing w:line="320" w:lineRule="exact" w:after="0" w:before="0"/>
              <w:ind w:firstLine="0"/>
              <w:jc w:val="left"/>
            </w:pPr>
            <w:r>
              <w:rPr>
                <w:b w:val="0"/>
                <w:sz w:val="21"/>
              </w:rPr>
              <w:t>240000条</w:t>
            </w:r>
          </w:p>
        </w:tc>
        <w:tc>
          <w:tcPr>
            <w:tcW w:type="dxa" w:w="1928"/>
            <w:vAlign w:val="center"/>
          </w:tcPr>
          <w:p>
            <w:pPr>
              <w:keepNext w:val="0"/>
              <w:spacing w:line="320" w:lineRule="exact" w:after="0" w:before="0"/>
              <w:ind w:firstLine="0"/>
              <w:jc w:val="left"/>
            </w:pPr>
            <w:r>
              <w:rPr>
                <w:b w:val="0"/>
                <w:sz w:val="21"/>
              </w:rPr>
              <w:t>16000组</w:t>
            </w:r>
          </w:p>
        </w:tc>
        <w:tc>
          <w:tcPr>
            <w:tcW w:type="dxa" w:w="1928"/>
            <w:vAlign w:val="center"/>
          </w:tcPr>
          <w:p>
            <w:pPr>
              <w:keepNext w:val="0"/>
              <w:spacing w:line="320" w:lineRule="exact" w:after="0" w:before="0"/>
              <w:ind w:firstLine="0"/>
              <w:jc w:val="left"/>
            </w:pPr>
            <w:r>
              <w:rPr>
                <w:b w:val="0"/>
                <w:sz w:val="21"/>
              </w:rPr>
              <w:t>2500条</w:t>
            </w:r>
          </w:p>
        </w:tc>
      </w:tr>
      <w:tr>
        <w:trPr>
          <w:cantSplit/>
        </w:trPr>
        <w:tc>
          <w:tcPr>
            <w:tcW w:type="dxa" w:w="1735"/>
            <w:vAlign w:val="center"/>
          </w:tcPr>
          <w:p>
            <w:pPr>
              <w:keepNext w:val="0"/>
              <w:spacing w:line="320" w:lineRule="exact" w:after="0" w:before="0"/>
              <w:ind w:firstLine="0"/>
              <w:jc w:val="left"/>
            </w:pPr>
            <w:r>
              <w:rPr>
                <w:b w:val="0"/>
                <w:sz w:val="21"/>
              </w:rPr>
              <w:t>分用途合计</w:t>
            </w:r>
          </w:p>
        </w:tc>
        <w:tc>
          <w:tcPr>
            <w:tcW w:type="dxa" w:w="2120"/>
            <w:vAlign w:val="center"/>
          </w:tcPr>
          <w:p>
            <w:pPr>
              <w:keepNext w:val="0"/>
              <w:spacing w:line="320" w:lineRule="exact" w:after="0" w:before="0"/>
              <w:ind w:firstLine="0"/>
              <w:jc w:val="left"/>
            </w:pPr>
            <w:r>
              <w:rPr>
                <w:b w:val="0"/>
                <w:sz w:val="21"/>
              </w:rPr>
              <w:t>615亿</w:t>
            </w:r>
          </w:p>
        </w:tc>
        <w:tc>
          <w:tcPr>
            <w:tcW w:type="dxa" w:w="1928"/>
            <w:vAlign w:val="center"/>
          </w:tcPr>
          <w:p>
            <w:pPr>
              <w:keepNext w:val="0"/>
              <w:spacing w:line="320" w:lineRule="exact" w:after="0" w:before="0"/>
              <w:ind w:firstLine="0"/>
              <w:jc w:val="left"/>
            </w:pPr>
            <w:r>
              <w:rPr>
                <w:b w:val="0"/>
                <w:sz w:val="21"/>
              </w:rPr>
              <w:t>890000条</w:t>
            </w:r>
          </w:p>
        </w:tc>
        <w:tc>
          <w:tcPr>
            <w:tcW w:type="dxa" w:w="1928"/>
            <w:vAlign w:val="center"/>
          </w:tcPr>
          <w:p>
            <w:pPr>
              <w:keepNext w:val="0"/>
              <w:spacing w:line="320" w:lineRule="exact" w:after="0" w:before="0"/>
              <w:ind w:firstLine="0"/>
              <w:jc w:val="left"/>
            </w:pPr>
            <w:r>
              <w:rPr>
                <w:b w:val="0"/>
                <w:sz w:val="21"/>
              </w:rPr>
              <w:t>66000组</w:t>
            </w:r>
          </w:p>
        </w:tc>
        <w:tc>
          <w:tcPr>
            <w:tcW w:type="dxa" w:w="1928"/>
            <w:vAlign w:val="center"/>
          </w:tcPr>
          <w:p>
            <w:pPr>
              <w:keepNext w:val="0"/>
              <w:spacing w:line="320" w:lineRule="exact" w:after="0" w:before="0"/>
              <w:ind w:firstLine="0"/>
              <w:jc w:val="left"/>
            </w:pPr>
            <w:r>
              <w:rPr>
                <w:b w:val="0"/>
                <w:sz w:val="21"/>
              </w:rPr>
              <w:t>9500条</w:t>
            </w:r>
          </w:p>
        </w:tc>
      </w:tr>
    </w:tbl>
    <w:p>
      <w:pPr>
        <w:spacing w:after="40" w:line="240" w:lineRule="auto"/>
        <w:ind w:firstLine="0"/>
      </w:pPr>
      <w:r>
        <w:rPr>
          <w:sz w:val="4"/>
        </w:rPr>
      </w:r>
    </w:p>
    <w:p>
      <w:pPr>
        <w:jc w:val="both"/>
      </w:pPr>
      <w:r>
        <w:t>十六项规模均为完成质量检查、去重、必要修正和验证后的有效交付净量。采集候选、解析失败、越权内容、重复损耗、标签不合格和正式基准泄漏命中分别登记，损耗不抵减交付目标。合格内容剔除后重新统计并补足相应用途，跨领域调配保留业务主归属和合法来源关系，不能通过重复登记满足两个领域的净量。</w:t>
      </w:r>
    </w:p>
    <w:p>
      <w:pPr>
        <w:jc w:val="both"/>
      </w:pPr>
      <w:r>
        <w:t>预训练记录按完整业务语义组织，保留有效Tokens整数、实际语义记录数、分词器及其词表版本、配置和执行摘要。切分长度按资料结构及模型输入条件验证，滑窗重叠不重复计入有效净量。指令微调的一条任务包含完整输入与合格目标输出，偏好一组包含同一输入下可比较的候选及有效偏好依据，基准一题包含固定输入、判分依据和必要资源。</w:t>
      </w:r>
    </w:p>
    <w:p>
      <w:pPr>
        <w:pStyle w:val="Heading2"/>
      </w:pPr>
      <w:r>
        <w:t>1.4 模态与时间统计</w:t>
      </w:r>
    </w:p>
    <w:p>
      <w:pPr>
        <w:jc w:val="both"/>
      </w:pPr>
      <w:r>
        <w:t>项目数据包含文本、图像、时序和视频四类模态，每个领域不少于三种有效模态。图纸、表格、扫描件属于业务内容或载体类型，按实际信息形态识别其模态，不因扩展名或版面形式增加模态种类。多模态记录同时具备至少两种有效且业务关联成立的模态；缺少可读载荷、资源悬空或对应错误的记录不能计入多模态分子。</w:t>
      </w:r>
    </w:p>
    <w:p>
      <w:pPr>
        <w:jc w:val="both"/>
      </w:pPr>
      <w:r>
        <w:t>多模态条数占比和近三年数据条数占比均达到不低于40%的要求，按领域及用途保留完整分子、分母和统计结果。预训练分母为有效语义记录，指令微调分母为完整任务，偏好分母为完整比较组，基准分母为完整题目。领域汇总沿相同记录单位规则汇集，并披露用途切片；不能以Tokens占比替代条数占比，也不能以少数子集的高占比掩盖其他交付范围不足。</w:t>
      </w:r>
    </w:p>
    <w:p>
      <w:pPr>
        <w:jc w:val="both"/>
      </w:pPr>
      <w:r>
        <w:t>近三年窗口以实际发布日期为基准，向前推36个自然月，按确认的业务时区计算。下界对应日期不存在时取该月最后一个自然日；日期型记录采用包含上下界的日期判断。带时间的记录按同一时区及明确边界判断。原始业务形成时间、资料成文时间、采集时间和导入时间分别保存，复制或重新加工不更新原业务时间。仅知月份或区间时保留精度，能够确定落在窗口内的才计入近期分子；不能确定及时间未知的有效记录留在分母。</w:t>
      </w:r>
    </w:p>
    <w:p>
      <w:pPr>
        <w:jc w:val="both"/>
      </w:pPr>
      <w:r>
        <w:t>模态出现统计允许一条记录同时计入多个模态，互斥组合统计则每条只归入一种组合。两类统计分别命名，互斥组合数量之和等于有效记录总数。时间、来源、主题和标签统计均保留未知及不适用状态的数量，按适用规则处理，禁止通过删除困难对象提高占比。</w:t>
      </w:r>
    </w:p>
    <w:p>
      <w:pPr>
        <w:pStyle w:val="Heading2"/>
      </w:pPr>
      <w:r>
        <w:t>1.5 来源性质与用途隔离</w:t>
      </w:r>
    </w:p>
    <w:p>
      <w:pPr>
        <w:jc w:val="both"/>
      </w:pPr>
      <w:r>
        <w:t>真实来源与合成来源为来源性质，增强为加工方式，两者分开记录。每条记录标明真实未增强、真实增强、合成未增强、合成增强四种互斥状态之一，并继承其来源家族、授权条件和加工关系。格式转换是否构成合成按实际新增内容判断：忠实结构转换保留原事实关系；新增事实、推理或答案的生成内容按合成管理。</w:t>
      </w:r>
    </w:p>
    <w:p>
      <w:pPr>
        <w:jc w:val="both"/>
      </w:pPr>
      <w:r>
        <w:t>预训练子集合成与增强来源内容的并集不超过有效Tokens的20%，交集只计一次。指令微调总体合成来源占比不超过45%；真实数据充足任务不超过30%，推理与长尾任务不超过60%，任务分类在生产前确认且始终服从总体45%的限制。偏好组只要含合成候选或其派生内容，即计入合成来源组，占比不超过50%；纯真实内容的允许增强仍按实际加工属性登记。基准评测合成占比为零，不能使用人为增强扩充题量。</w:t>
      </w:r>
    </w:p>
    <w:p>
      <w:pPr>
        <w:jc w:val="both"/>
      </w:pPr>
      <w:r>
        <w:t>正式基准来源在加工前按文档、产品实例、设备事件、相邻时间片段及派生关系划分家族，与训练用途隔离。时间外推评测再按固定业务截止时间划分，时间切分不能替代来源家族隔离。同一事实的改写、翻译、摘要、问答和相邻视频帧保持共同家族身份。跨领域关联材料作为证据引用时登记来源与用途，按实际有效内容计量，不因多次引用重复扩大规模。</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2" name="Picture 2"/>
            <wp:cNvGraphicFramePr>
              <a:graphicFrameLocks noChangeAspect="1"/>
            </wp:cNvGraphicFramePr>
            <a:graphic>
              <a:graphicData uri="http://schemas.openxmlformats.org/drawingml/2006/picture">
                <pic:pic>
                  <pic:nvPicPr>
                    <pic:cNvPr id="0" name="图2_来源隔离.png"/>
                    <pic:cNvPicPr/>
                  </pic:nvPicPr>
                  <pic:blipFill>
                    <a:blip r:embed="rId12"/>
                    <a:stretch>
                      <a:fillRect/>
                    </a:stretch>
                  </pic:blipFill>
                  <pic:spPr>
                    <a:xfrm>
                      <a:off x="0" y="0"/>
                      <a:ext cx="6048000" cy="1942338"/>
                    </a:xfrm>
                    <a:prstGeom prst="rect"/>
                  </pic:spPr>
                </pic:pic>
              </a:graphicData>
            </a:graphic>
          </wp:inline>
        </w:drawing>
      </w:r>
    </w:p>
    <w:p>
      <w:pPr>
        <w:pStyle w:val="Caption"/>
        <w:jc w:val="center"/>
      </w:pPr>
      <w:r>
        <w:t>图1-2 来源划分与正式发布</w:t>
      </w:r>
    </w:p>
    <w:p>
      <w:pPr>
        <w:pStyle w:val="Heading2"/>
      </w:pPr>
      <w:r>
        <w:t>1.6 字段取值与证据状态</w:t>
      </w:r>
    </w:p>
    <w:p>
      <w:pPr>
        <w:jc w:val="both"/>
      </w:pPr>
      <w:r>
        <w:t>卡片将交付要求、业务定义和实际运行结果分别管理。固定要求记录数值、单位及适用范围；统计结果记录实际版本、对象集合、执行时间、方法和明细位置；审批或专业结论记录有权岗位及依据。未取得实际结果的字段建立明确生成责任和发布前检查条件，禁止用目标数值冒充实测值，禁止用结构设计完成替代生产或评测完成。</w:t>
      </w:r>
    </w:p>
    <w:p>
      <w:pPr>
        <w:jc w:val="both"/>
      </w:pPr>
      <w:r>
        <w:t>机器字段保留字段编码、值、单位、取值性质、适用性、证据引用和生成时间。过程状态可以表示未执行、执行中、失败或已完成，正式发布须满足对应完整性和质量条件。零值、空集合、不适用和未知分别解释；没有缺陷与未开展检查不是同一种状态。基准结果和签名值只能由实际评测及签名过程产生。</w:t>
      </w:r>
    </w:p>
    <w:p>
      <w:pPr>
        <w:jc w:val="both"/>
      </w:pPr>
      <w:r>
        <w:t>本套规范样本统一采用specification_example来源标识，存放于examples目录，交付计量资格为false。规范样本用于固定结构、语义和校验行为，不进入生产净量、训练划分或正式基准题库。正式数据卡的代表样本从对应已核验版本选取，沿相同记录结构保留真实来源、合法授权及有效资源引用，每个子集不少于三条，覆盖实际存在的不同模态和任务难度。</w:t>
      </w:r>
    </w:p>
    <w:p>
      <w:pPr>
        <w:pStyle w:val="Heading2"/>
      </w:pPr>
      <w:r>
        <w:t>1.7 申请访问与技术支持</w:t>
      </w:r>
    </w:p>
    <w:p>
      <w:pPr>
        <w:jc w:val="both"/>
      </w:pPr>
      <w:r>
        <w:t>数据获取通过神兽 OS中的数据集运营服务管理入口办理。申请人选择领域、用途、版本和资源范围，登记使用目的、执行环境、访问期限、是否下载及成果输出方式。业务责任岗位确认必要性，数据权限管理岗位核查授权和安全条件，按批准范围开通查询、受控下载或隔离环境访问。获取记录关联卡号、实际数据版本、权限策略和封装清单，使用方接收后核验摘要、结构及版本。</w:t>
      </w:r>
    </w:p>
    <w:p>
      <w:pPr>
        <w:jc w:val="both"/>
      </w:pPr>
      <w:r>
        <w:t>权限调整按申请补充、业务复核、权限配置、验证生效和审计归档执行。敏感资源、受限合同及正式基准答案采用单独权限；能够查看数据目录不自动获得全部内容下载权。授权到期后停止相应访问，既有下载副本按许可与合同约定管理。发布前由接收岗位实际走通申请入口、批准、获取及读取流程，确认卡内路径与系统配置一致。</w:t>
      </w:r>
    </w:p>
    <w:p>
      <w:pPr>
        <w:jc w:val="both"/>
      </w:pPr>
      <w:r>
        <w:t>技术支持通过平台服务工单入口受理，关联数据集卡号、文件清单摘要、问题对象、复现步骤、运行环境及必要日志。安全事件按应急流程处理，普通解析、字段理解及统计差异由相应技术和业务岗位办理。工单受理、分派、修复、复核和关闭保留实际时间。具体服务时段及响应要求执行项目统一售后服务安排，并同步到平台展示和接收记录；验收合格起提供不少于12个月质保，质保期满后提供24个月免费技术服务。</w:t>
      </w:r>
    </w:p>
    <w:p>
      <w:pPr>
        <w:pStyle w:val="Heading2"/>
      </w:pPr>
      <w:r>
        <w:t>1.8 质量检查与发布条件</w:t>
      </w:r>
    </w:p>
    <w:p>
      <w:pPr>
        <w:jc w:val="both"/>
      </w:pPr>
      <w:r>
        <w:t>生产质检检查保真度、完备性、规整性、均衡性、可用性、可信性六项内容；业务治理按完整性、准确性、一致性、唯一性、及时性、有效性管理；正式质量评测按说明文档、数据质量、模型应用三个维度分别判定。各体系共享对象及版本证据，分别计算指标，不能互换维度名称或以一项结论替代另一项结论。</w:t>
      </w:r>
    </w:p>
    <w:p>
      <w:pPr>
        <w:jc w:val="both"/>
      </w:pPr>
      <w:r>
        <w:t>正式质量评测覆盖81项指标，三个维度分别达到90分，综合得分不低于85分。高危命中100%人工复核，高风险缺陷清零，中低风险缺陷整改完成率100%。安排不少于4次集中完整复测，首次检查、日常回归与批次抽查不计作该次数；未达标继续整改并按正式流程复测，取得第三方正式盖章报告。</w:t>
      </w:r>
    </w:p>
    <w:p>
      <w:pPr>
        <w:jc w:val="both"/>
      </w:pPr>
      <w:r>
        <w:t>卡片发布同时核查十六项净量、模态、时效、合成增强比例、来源隔离、安全权利、质检、训练验证、正式评测和文档一致性。内部生产状态与正式交付状态分开，必要条件未满足的内容不进入正式发布包。修改数据、标签、来源或划分后重新确认受影响证据，重新生成后继版本，既有报告和旧版卡片保持可追溯。</w:t>
      </w:r>
    </w:p>
    <w:p>
      <w:pPr>
        <w:pStyle w:val="Heading1"/>
        <w:pageBreakBefore/>
      </w:pPr>
      <w:r>
        <w:t>2 四个领域汇总卡</w:t>
      </w:r>
    </w:p>
    <w:p>
      <w:pPr>
        <w:pStyle w:val="Heading2"/>
      </w:pPr>
      <w:r>
        <w:t>2.1 供需计划数据集汇总卡</w:t>
      </w:r>
    </w:p>
    <w:p>
      <w:pPr>
        <w:pStyle w:val="Heading3"/>
      </w:pPr>
      <w:r>
        <w:t>2.1.1 基本信息</w:t>
      </w:r>
    </w:p>
    <w:p>
      <w:pPr>
        <w:pStyle w:val="Caption"/>
        <w:keepNext/>
      </w:pPr>
      <w:r>
        <w:t>表2-1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GHY26691-DC-01-0000-V1.0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供需计划数据集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领域汇总，分别关联预训练、有监督指令微调、人类偏好对齐和基准评测</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01 供需计划；关联对象为项目、合同、订单行、物料、组织、库位、批次、状态与业务时点</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预训练：27600000000Tokens；有监督指令微调：400000条；人类偏好对齐：32000组；基准评测：4000条</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预训练有效净量27600000000 Tokens，即276亿Tokens；保存分词器、配置和执行摘要</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采用第7章公共记录结构及本领域扩展字典；按四类用途分别统计的完整有效对象具有稳定标识、业务对象、来源家族、时间、内容、资源、标签与证据关系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根目录按01-ALL及数据版本组织；data保存记录，resources保存模态载荷，metadata保存来源与关系，dictionary保存字段和标签，cards保存卡片，reports保存报告，tools保存解析程序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01-ALL-数据版本-六位分片序号.jsonl；资源以稳定资源标识命名；卡片使用完整卡号；路径采用相对路径并拒绝越界和重名冲突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平台服务工单按卡号、数据版本及问题对象受理；由技术与营销、计划、采购、仓储和产品选型专业岗位协同处理，服务时段和响应要求执行统一售后安排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销售需求、矿方工况、产品选型条件、订单、物料需求、采购到货、库存状态、生产计划与交付约束。以项目、合同、订单行、物料、组织、库位、批次、状态与业务时点建立对象关系，来源范围包括CRM中的项目与商机、ERP中的订单和物料需求、SCM中的采购与到货、WMS中的库存及出入库、MES中的计划与进度、PLM中的产品配置、OA中的合同及审批资料。四类用途保持独立生产任务与发布证据，规模按Tokens、条及组分别核算。数据支持产品智能选型、库存控制智能化、合同合规审查智能助手、决策数据智能问答助手；相关制度与标书内容按适用任务衔接，结论依据实际输入、专业条件和验证范围使用。涉及客户信息、联系人信息、合同价格、供应商条件、库存分布和经营计划时执行相应授权及安全处理。业务事实、推断与未知状态分别标记，数据版本与引用依据保持一致。</w:t>
      </w:r>
    </w:p>
    <w:p>
      <w:pPr>
        <w:pStyle w:val="Heading3"/>
      </w:pPr>
      <w:r>
        <w:t>2.1.2 内容特征</w:t>
      </w:r>
    </w:p>
    <w:p>
      <w:pPr>
        <w:pStyle w:val="Caption"/>
        <w:keepNext/>
      </w:pPr>
      <w:r>
        <w:t>表2-2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文本、图像、时序、视频按有效载荷统计；重点关联项目、合同、订单行、物料、组织、库位、批次、状态与业务时点；图纸、表格载体不独立增加模态数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以按四类用途分别统计的完整有效对象为分母，至少两种有效关联模态的记录为分子；分子、分母及互斥组合清单齐备，按1.4节满足40%要求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按SP01需求与合同、SP02选型约束、SP03物料与采购、SP04库存与可用量、SP05计划与协同、SP06经营决策依据统计；主主题互斥，辅助主题允许多选并另列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四个子集按各自任务难度或语料复杂性分别统计，汇总保留定义差异，不拼成一个无统一含义的难度分布</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四张子集卡分别提供规范样本及正式样本选取条件</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预训练并集20%，指令整体45%及任务30%／60%，偏好50%，基准0%；各用途独立计算分子分母，不作跨用途平均</w:t>
            </w:r>
          </w:p>
        </w:tc>
      </w:tr>
    </w:tbl>
    <w:p>
      <w:pPr>
        <w:spacing w:after="40" w:line="240" w:lineRule="auto"/>
        <w:ind w:firstLine="0"/>
      </w:pPr>
      <w:r>
        <w:rPr>
          <w:sz w:val="4"/>
        </w:rPr>
      </w:r>
    </w:p>
    <w:p>
      <w:pPr>
        <w:pStyle w:val="Heading3"/>
      </w:pPr>
      <w:r>
        <w:t>2.1.3 建设过程</w:t>
      </w:r>
    </w:p>
    <w:p>
      <w:pPr>
        <w:pStyle w:val="Caption"/>
        <w:keepNext/>
      </w:pPr>
      <w:r>
        <w:t>表2-3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CRM中的项目与商机、ERP中的订单和物料需求、SCM中的采购与到货、WMS中的库存及出入库、MES中的计划与进度、PLM中的产品配置、OA中的合同及审批资料；逐源登记组织、资料类别、业务期间、采集期间及许可依据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对齐项目及订单身份，保留需求变更时间；库存按组织、物料、库位、批次、质量状态和截止时点对账；采购到货与可用库存分别登记；选型输入保留工况、约束、候选配置和校核依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保存解析器、字典、切分、窗口、重叠、单位换算、时间校正和对齐配置；项目、合同、订单行、物料、组织、库位、批次、状态与业务时点为关联校验重点；参数经真实资料验证后冻结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各用途引用适用的专业标注规范、标签字典及生效版本，汇总检查子集引用完整</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由营销、计划、采购、仓储和产品选型专业岗位承担专业定义与争议裁决，标注人员依规范执行；自检、交叉复核、专家仲裁分别保存原始结果及修订记录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2.1.4 应用说明</w:t>
      </w:r>
    </w:p>
    <w:p>
      <w:pPr>
        <w:pStyle w:val="Caption"/>
        <w:keepNext/>
      </w:pPr>
      <w:r>
        <w:t>表2-4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产品智能选型、库存控制智能化、合同合规审查智能助手、决策数据智能问答助手；相关制度与标书内容按适用任务衔接；验证结论按实际场景、输入条件和版本形成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继续预训练、指令微调、偏好对齐及基准评测分别组织，保留各阶段模型与数据引用</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订单与物料字段抽取精确率及召回率、库存数量计算正确率、约束满足率、证据引用正确率、缺少条件时的合理澄清率；各用途采用本卡评价协议并保留定义、方向和统计单位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2.1.5 质量验证</w:t>
      </w:r>
    </w:p>
    <w:p>
      <w:pPr>
        <w:pStyle w:val="Caption"/>
        <w:keepNext/>
      </w:pPr>
      <w:r>
        <w:t>表2-5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发布时形成GHY26691-QC-01-0000及实际版本对应的质检档案，绑定受检清单与内容根摘要；汇总卡检查各子集报告引用</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分别报告保真度、完备性、规整性、均衡性、可用性、可信性的方法、结果与问题；按项目、合同、订单行、物料、组织、库位、批次、状态与业务时点检查关键业务关联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验证报告采用GHY26691-VR-01-0000及实际版本；引用数据、模型、协议、实验和原始输出，汇总与子集范围分别标明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营销、计划、采购、仓储和产品选型专业岗位结合产品智能选型、库存控制智能化、合同合规审查智能助手、决策数据智能问答助手；相关制度与标书内容按适用任务衔接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2.1.6 安全合规</w:t>
      </w:r>
    </w:p>
    <w:p>
      <w:pPr>
        <w:pStyle w:val="Caption"/>
        <w:keepNext/>
      </w:pPr>
      <w:r>
        <w:t>表2-6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生产经营数据中的供需计划相关数据；按销售需求、矿方工况、产品选型条件、订单、物料需求、采购到货、库存状态、生产计划与交付约束细分并关联资产目录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客户信息、联系人信息、合同价格、供应商条件、库存分布和经营计划；实际敏感要素由检测与人工复核确认，未知状态不按无敏感信息处理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客户、供应商及联系人采用稳定替代标识；合同价格按用途实施受控访问或经批准的转换，保留币种、含税状态和金额关系；用于库存计算的必要数量在授权环境保真处理</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营销、计划、采购、仓储和产品选型专业岗位按业务必要性申请；加工、质量与评测岗位取得任务所需权限，基准答案、原始敏感资料和替代映射分别控制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按卡号GHY26691-DC-01-0000-V1.0、实际数据版本、对象标识和工单关联查询采集、加工、访问、下载、评测及发布审计；交付留存必要受控记录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2.1.7 指纹血缘</w:t>
      </w:r>
    </w:p>
    <w:p>
      <w:pPr>
        <w:pStyle w:val="Caption"/>
        <w:keepNext/>
      </w:pPr>
      <w:r>
        <w:t>表2-7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01-ALL根目录内package.json登记身份、数据版本、结构版本、字典、卡片、资源和文件清单；脱离平台按第7章完成读取及核验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2.1.8 子集关联与汇总检查</w:t>
      </w:r>
    </w:p>
    <w:p>
      <w:pPr>
        <w:pStyle w:val="Caption"/>
        <w:keepNext/>
      </w:pPr>
      <w:r>
        <w:t>表2-8 子集关联与汇总检查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5012"/>
        <w:gridCol w:w="2891"/>
      </w:tblGrid>
      <w:tr>
        <w:trPr>
          <w:cantSplit/>
          <w:tblHeader/>
        </w:trPr>
        <w:tc>
          <w:tcPr>
            <w:tcW w:type="dxa" w:w="1735"/>
            <w:vAlign w:val="center"/>
            <w:shd w:fill="EDF1F3"/>
          </w:tcPr>
          <w:p>
            <w:pPr>
              <w:keepNext/>
              <w:spacing w:line="320" w:lineRule="exact" w:after="0" w:before="0"/>
              <w:ind w:firstLine="0"/>
              <w:jc w:val="center"/>
            </w:pPr>
            <w:r>
              <w:rPr>
                <w:b/>
                <w:sz w:val="21"/>
              </w:rPr>
              <w:t>用途</w:t>
            </w:r>
          </w:p>
        </w:tc>
        <w:tc>
          <w:tcPr>
            <w:tcW w:type="dxa" w:w="5012"/>
            <w:vAlign w:val="center"/>
            <w:shd w:fill="EDF1F3"/>
          </w:tcPr>
          <w:p>
            <w:pPr>
              <w:keepNext/>
              <w:spacing w:line="320" w:lineRule="exact" w:after="0" w:before="0"/>
              <w:ind w:firstLine="0"/>
              <w:jc w:val="center"/>
            </w:pPr>
            <w:r>
              <w:rPr>
                <w:b/>
                <w:sz w:val="21"/>
              </w:rPr>
              <w:t>卡片编号</w:t>
            </w:r>
          </w:p>
        </w:tc>
        <w:tc>
          <w:tcPr>
            <w:tcW w:type="dxa" w:w="2891"/>
            <w:vAlign w:val="center"/>
            <w:shd w:fill="EDF1F3"/>
          </w:tcPr>
          <w:p>
            <w:pPr>
              <w:keepNext/>
              <w:spacing w:line="320" w:lineRule="exact" w:after="0" w:before="0"/>
              <w:ind w:firstLine="0"/>
              <w:jc w:val="center"/>
            </w:pPr>
            <w:r>
              <w:rPr>
                <w:b/>
                <w:sz w:val="21"/>
              </w:rPr>
              <w:t>有效交付净量</w:t>
            </w:r>
          </w:p>
        </w:tc>
      </w:tr>
      <w:tr>
        <w:trPr>
          <w:cantSplit/>
        </w:trPr>
        <w:tc>
          <w:tcPr>
            <w:tcW w:type="dxa" w:w="1735"/>
            <w:vAlign w:val="center"/>
          </w:tcPr>
          <w:p>
            <w:pPr>
              <w:keepNext w:val="0"/>
              <w:spacing w:line="320" w:lineRule="exact" w:after="0" w:before="0"/>
              <w:ind w:firstLine="0"/>
              <w:jc w:val="left"/>
            </w:pPr>
            <w:r>
              <w:rPr>
                <w:b w:val="0"/>
                <w:sz w:val="21"/>
              </w:rPr>
              <w:t>预训练</w:t>
            </w:r>
          </w:p>
        </w:tc>
        <w:tc>
          <w:tcPr>
            <w:tcW w:type="dxa" w:w="5012"/>
            <w:vAlign w:val="center"/>
          </w:tcPr>
          <w:p>
            <w:pPr>
              <w:keepNext w:val="0"/>
              <w:spacing w:line="320" w:lineRule="exact" w:after="0" w:before="0"/>
              <w:ind w:firstLine="0"/>
              <w:jc w:val="left"/>
            </w:pPr>
            <w:r>
              <w:rPr>
                <w:b w:val="0"/>
                <w:sz w:val="21"/>
              </w:rPr>
              <w:t>GHY26691-DC-01-0001-V1.0</w:t>
            </w:r>
          </w:p>
        </w:tc>
        <w:tc>
          <w:tcPr>
            <w:tcW w:type="dxa" w:w="2891"/>
            <w:vAlign w:val="center"/>
          </w:tcPr>
          <w:p>
            <w:pPr>
              <w:keepNext w:val="0"/>
              <w:spacing w:line="320" w:lineRule="exact" w:after="0" w:before="0"/>
              <w:ind w:firstLine="0"/>
              <w:jc w:val="left"/>
            </w:pPr>
            <w:r>
              <w:rPr>
                <w:b w:val="0"/>
                <w:sz w:val="21"/>
              </w:rPr>
              <w:t>27600000000Tokens</w:t>
            </w:r>
          </w:p>
        </w:tc>
      </w:tr>
      <w:tr>
        <w:trPr>
          <w:cantSplit/>
        </w:trPr>
        <w:tc>
          <w:tcPr>
            <w:tcW w:type="dxa" w:w="1735"/>
            <w:vAlign w:val="center"/>
          </w:tcPr>
          <w:p>
            <w:pPr>
              <w:keepNext w:val="0"/>
              <w:spacing w:line="320" w:lineRule="exact" w:after="0" w:before="0"/>
              <w:ind w:firstLine="0"/>
              <w:jc w:val="left"/>
            </w:pPr>
            <w:r>
              <w:rPr>
                <w:b w:val="0"/>
                <w:sz w:val="21"/>
              </w:rPr>
              <w:t>有监督指令微调</w:t>
            </w:r>
          </w:p>
        </w:tc>
        <w:tc>
          <w:tcPr>
            <w:tcW w:type="dxa" w:w="5012"/>
            <w:vAlign w:val="center"/>
          </w:tcPr>
          <w:p>
            <w:pPr>
              <w:keepNext w:val="0"/>
              <w:spacing w:line="320" w:lineRule="exact" w:after="0" w:before="0"/>
              <w:ind w:firstLine="0"/>
              <w:jc w:val="left"/>
            </w:pPr>
            <w:r>
              <w:rPr>
                <w:b w:val="0"/>
                <w:sz w:val="21"/>
              </w:rPr>
              <w:t>GHY26691-DC-01-0002-V1.0</w:t>
            </w:r>
          </w:p>
        </w:tc>
        <w:tc>
          <w:tcPr>
            <w:tcW w:type="dxa" w:w="2891"/>
            <w:vAlign w:val="center"/>
          </w:tcPr>
          <w:p>
            <w:pPr>
              <w:keepNext w:val="0"/>
              <w:spacing w:line="320" w:lineRule="exact" w:after="0" w:before="0"/>
              <w:ind w:firstLine="0"/>
              <w:jc w:val="left"/>
            </w:pPr>
            <w:r>
              <w:rPr>
                <w:b w:val="0"/>
                <w:sz w:val="21"/>
              </w:rPr>
              <w:t>400000条</w:t>
            </w:r>
          </w:p>
        </w:tc>
      </w:tr>
      <w:tr>
        <w:trPr>
          <w:cantSplit/>
        </w:trPr>
        <w:tc>
          <w:tcPr>
            <w:tcW w:type="dxa" w:w="1735"/>
            <w:vAlign w:val="center"/>
          </w:tcPr>
          <w:p>
            <w:pPr>
              <w:keepNext w:val="0"/>
              <w:spacing w:line="320" w:lineRule="exact" w:after="0" w:before="0"/>
              <w:ind w:firstLine="0"/>
              <w:jc w:val="left"/>
            </w:pPr>
            <w:r>
              <w:rPr>
                <w:b w:val="0"/>
                <w:sz w:val="21"/>
              </w:rPr>
              <w:t>人类偏好对齐</w:t>
            </w:r>
          </w:p>
        </w:tc>
        <w:tc>
          <w:tcPr>
            <w:tcW w:type="dxa" w:w="5012"/>
            <w:vAlign w:val="center"/>
          </w:tcPr>
          <w:p>
            <w:pPr>
              <w:keepNext w:val="0"/>
              <w:spacing w:line="320" w:lineRule="exact" w:after="0" w:before="0"/>
              <w:ind w:firstLine="0"/>
              <w:jc w:val="left"/>
            </w:pPr>
            <w:r>
              <w:rPr>
                <w:b w:val="0"/>
                <w:sz w:val="21"/>
              </w:rPr>
              <w:t>GHY26691-DC-01-0003-V1.0</w:t>
            </w:r>
          </w:p>
        </w:tc>
        <w:tc>
          <w:tcPr>
            <w:tcW w:type="dxa" w:w="2891"/>
            <w:vAlign w:val="center"/>
          </w:tcPr>
          <w:p>
            <w:pPr>
              <w:keepNext w:val="0"/>
              <w:spacing w:line="320" w:lineRule="exact" w:after="0" w:before="0"/>
              <w:ind w:firstLine="0"/>
              <w:jc w:val="left"/>
            </w:pPr>
            <w:r>
              <w:rPr>
                <w:b w:val="0"/>
                <w:sz w:val="21"/>
              </w:rPr>
              <w:t>32000组</w:t>
            </w:r>
          </w:p>
        </w:tc>
      </w:tr>
      <w:tr>
        <w:trPr>
          <w:cantSplit/>
        </w:trPr>
        <w:tc>
          <w:tcPr>
            <w:tcW w:type="dxa" w:w="1735"/>
            <w:vAlign w:val="center"/>
          </w:tcPr>
          <w:p>
            <w:pPr>
              <w:keepNext w:val="0"/>
              <w:spacing w:line="320" w:lineRule="exact" w:after="0" w:before="0"/>
              <w:ind w:firstLine="0"/>
              <w:jc w:val="left"/>
            </w:pPr>
            <w:r>
              <w:rPr>
                <w:b w:val="0"/>
                <w:sz w:val="21"/>
              </w:rPr>
              <w:t>基准评测</w:t>
            </w:r>
          </w:p>
        </w:tc>
        <w:tc>
          <w:tcPr>
            <w:tcW w:type="dxa" w:w="5012"/>
            <w:vAlign w:val="center"/>
          </w:tcPr>
          <w:p>
            <w:pPr>
              <w:keepNext w:val="0"/>
              <w:spacing w:line="320" w:lineRule="exact" w:after="0" w:before="0"/>
              <w:ind w:firstLine="0"/>
              <w:jc w:val="left"/>
            </w:pPr>
            <w:r>
              <w:rPr>
                <w:b w:val="0"/>
                <w:sz w:val="21"/>
              </w:rPr>
              <w:t>GHY26691-DC-01-0004-V1.0</w:t>
            </w:r>
          </w:p>
        </w:tc>
        <w:tc>
          <w:tcPr>
            <w:tcW w:type="dxa" w:w="2891"/>
            <w:vAlign w:val="center"/>
          </w:tcPr>
          <w:p>
            <w:pPr>
              <w:keepNext w:val="0"/>
              <w:spacing w:line="320" w:lineRule="exact" w:after="0" w:before="0"/>
              <w:ind w:firstLine="0"/>
              <w:jc w:val="left"/>
            </w:pPr>
            <w:r>
              <w:rPr>
                <w:b w:val="0"/>
                <w:sz w:val="21"/>
              </w:rPr>
              <w:t>4000条</w:t>
            </w:r>
          </w:p>
        </w:tc>
      </w:tr>
    </w:tbl>
    <w:p>
      <w:pPr>
        <w:spacing w:after="40" w:line="240" w:lineRule="auto"/>
        <w:ind w:firstLine="0"/>
      </w:pPr>
      <w:r>
        <w:rPr>
          <w:sz w:val="4"/>
        </w:rPr>
      </w:r>
    </w:p>
    <w:p>
      <w:pPr>
        <w:jc w:val="both"/>
      </w:pPr>
      <w:r>
        <w:t>汇总检查以四张子集卡对应的实际版本为输入。逐用途核对净量和质量证据，列出来源家族、共享资源、独立内容及跨域引用。对齐项目及订单身份，保留需求变更时间；库存按组织、物料、库位、批次、质量状态和截止时点对账；采购到货与可用库存分别登记；选型输入保留工况、约束、候选配置和校核依据。共同资源在存储清单中按文件身份去重，各用途的实际任务内容按规定单位计量。</w:t>
      </w:r>
    </w:p>
    <w:p>
      <w:pPr>
        <w:jc w:val="both"/>
      </w:pPr>
      <w:r>
        <w:t>领域质量审核由营销、计划、采购、仓储和产品选型专业岗位确认业务适用性，数据质量岗位复核统计与证据。汇总卡的合格结论要求四个子集分别满足交付条件；部分子集通过时保留各自真实状态，不提前将整个领域标记为正式完成。</w:t>
      </w:r>
    </w:p>
    <w:p>
      <w:pPr>
        <w:pStyle w:val="Heading2"/>
      </w:pPr>
      <w:r>
        <w:t>2.2 产品工艺设计数据集汇总卡</w:t>
      </w:r>
    </w:p>
    <w:p>
      <w:pPr>
        <w:pStyle w:val="Heading3"/>
      </w:pPr>
      <w:r>
        <w:t>2.2.1 基本信息</w:t>
      </w:r>
    </w:p>
    <w:p>
      <w:pPr>
        <w:pStyle w:val="Caption"/>
        <w:keepNext/>
      </w:pPr>
      <w:r>
        <w:t>表2-9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GHY26691-DC-02-0000-V1.0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产品工艺设计数据集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领域汇总，分别关联预训练、有监督指令微调、人类偏好对齐和基准评测</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02 产品工艺设计；关联对象为产品配置、图号、版次、物料、材料牌号、零部件、工艺路线、工序与生效范围</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预训练：7000000000Tokens；有监督指令微调：100000条；人类偏好对齐：8000组；基准评测：1000条</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预训练有效净量7000000000 Tokens，即70亿Tokens；保存分词器、配置和执行摘要</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采用第7章公共记录结构及本领域扩展字典；按四类用途分别统计的完整有效对象具有稳定标识、业务对象、来源家族、时间、内容、资源、标签与证据关系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根目录按02-ALL及数据版本组织；data保存记录，resources保存模态载荷，metadata保存来源与关系，dictionary保存字段和标签，cards保存卡片，reports保存报告，tools保存解析程序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02-ALL-数据版本-六位分片序号.jsonl；资源以稳定资源标识命名；卡片使用完整卡号；路径采用相对路径并拒绝越界和重名冲突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平台服务工单按卡号、数据版本及问题对象受理；由技术与产品设计、工艺、材料、焊接、热处理及检验专业岗位协同处理，服务时段和响应要求执行统一售后安排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产品型谱、图纸、产品配置、材料要求、物料清单、工艺路线、备料、焊接、热处理、机加工及检验要求之间的设计关系。以产品配置、图号、版次、物料、材料牌号、零部件、工艺路线、工序与生效范围建立对象关系，来源范围包括PLM中的图纸、配置及设计变更，ERP中的物料清单与材料主数据，MES中的工艺引用及工序反馈，QMS中的检验要求，企业工艺资料及经授权的技术标准。四类用途保持独立生产任务与发布证据，规模按Tokens、条及组分别核算。数据支持产品智能选型、板材智能备料、热处理工艺优化、焊接工艺优化、标准规范智能问答助手，结论依据实际输入、专业条件和验证范围使用。涉及未公开设计图纸、结构尺寸、专有工艺、材料组合、专利资料和设计人员信息时执行相应授权及安全处理。业务事实、推断与未知状态分别标记，数据版本与引用依据保持一致。</w:t>
      </w:r>
    </w:p>
    <w:p>
      <w:pPr>
        <w:pStyle w:val="Heading3"/>
      </w:pPr>
      <w:r>
        <w:t>2.2.2 内容特征</w:t>
      </w:r>
    </w:p>
    <w:p>
      <w:pPr>
        <w:pStyle w:val="Caption"/>
        <w:keepNext/>
      </w:pPr>
      <w:r>
        <w:t>表2-10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文本、图像、时序、视频按有效载荷统计；重点关联产品配置、图号、版次、物料、材料牌号、零部件、工艺路线、工序与生效范围；图纸、表格载体不独立增加模态数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以按四类用途分别统计的完整有效对象为分母，至少两种有效关联模态的记录为分子；分子、分母及互斥组合清单齐备，按1.4节满足40%要求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按PD01产品结构与配置、PD02图纸与技术条件、PD03材料与备料、PD04工艺路线、PD05焊接与热处理、PD06设计变更与检验统计；主主题互斥，辅助主题允许多选并另列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四个子集按各自任务难度或语料复杂性分别统计，汇总保留定义差异，不拼成一个无统一含义的难度分布</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四张子集卡分别提供规范样本及正式样本选取条件</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预训练并集20%，指令整体45%及任务30%／60%，偏好50%，基准0%；各用途独立计算分子分母，不作跨用途平均</w:t>
            </w:r>
          </w:p>
        </w:tc>
      </w:tr>
    </w:tbl>
    <w:p>
      <w:pPr>
        <w:spacing w:after="40" w:line="240" w:lineRule="auto"/>
        <w:ind w:firstLine="0"/>
      </w:pPr>
      <w:r>
        <w:rPr>
          <w:sz w:val="4"/>
        </w:rPr>
      </w:r>
    </w:p>
    <w:p>
      <w:pPr>
        <w:pStyle w:val="Heading3"/>
      </w:pPr>
      <w:r>
        <w:t>2.2.3 建设过程</w:t>
      </w:r>
    </w:p>
    <w:p>
      <w:pPr>
        <w:pStyle w:val="Caption"/>
        <w:keepNext/>
      </w:pPr>
      <w:r>
        <w:t>表2-11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PLM中的图纸、配置及设计变更，ERP中的物料清单与材料主数据，MES中的工艺引用及工序反馈，QMS中的检验要求，企业工艺资料及经授权的技术标准；逐源登记组织、资料类别、业务期间、采集期间及许可依据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图纸解析保留尺寸、公差、基准及版面定位；关联产品配置与适用版次；把材料、工序、设备适用条件和检验依据连接到工艺路线；变更按生效对象及批次区分；专业参数由有效批准依据确认；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保存解析器、字典、切分、窗口、重叠、单位换算、时间校正和对齐配置；产品配置、图号、版次、物料、材料牌号、零部件、工艺路线、工序与生效范围为关联校验重点；参数经真实资料验证后冻结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各用途引用适用的专业标注规范、标签字典及生效版本，汇总检查子集引用完整</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由产品设计、工艺、材料、焊接、热处理及检验专业岗位承担专业定义与争议裁决，标注人员依规范执行；自检、交叉复核、专家仲裁分别保存原始结果及修订记录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2.2.4 应用说明</w:t>
      </w:r>
    </w:p>
    <w:p>
      <w:pPr>
        <w:pStyle w:val="Caption"/>
        <w:keepNext/>
      </w:pPr>
      <w:r>
        <w:t>表2-12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产品智能选型、板材智能备料、热处理工艺优化、焊接工艺优化、标准规范智能问答助手；验证结论按实际场景、输入条件和版本形成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继续预训练、指令微调、偏好对齐及基准评测分别组织，保留各阶段模型与数据引用</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图纸字段抽取精确率及召回率、单位与公差识别正确率、工艺次序判断正确率、适用版本判断正确率、专业证据引用正确率；各用途采用本卡评价协议并保留定义、方向和统计单位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2.2.5 质量验证</w:t>
      </w:r>
    </w:p>
    <w:p>
      <w:pPr>
        <w:pStyle w:val="Caption"/>
        <w:keepNext/>
      </w:pPr>
      <w:r>
        <w:t>表2-13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发布时形成GHY26691-QC-02-0000及实际版本对应的质检档案，绑定受检清单与内容根摘要；汇总卡检查各子集报告引用</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分别报告保真度、完备性、规整性、均衡性、可用性、可信性的方法、结果与问题；按产品配置、图号、版次、物料、材料牌号、零部件、工艺路线、工序与生效范围检查关键业务关联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验证报告采用GHY26691-VR-02-0000及实际版本；引用数据、模型、协议、实验和原始输出，汇总与子集范围分别标明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产品设计、工艺、材料、焊接、热处理及检验专业岗位结合产品智能选型、板材智能备料、热处理工艺优化、焊接工艺优化、标准规范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2.2.6 安全合规</w:t>
      </w:r>
    </w:p>
    <w:p>
      <w:pPr>
        <w:pStyle w:val="Caption"/>
        <w:keepNext/>
      </w:pPr>
      <w:r>
        <w:t>表2-14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生产经营数据中的产品工艺设计相关数据；按产品型谱、图纸、产品配置、材料要求、物料清单、工艺路线、备料、焊接、热处理、机加工及检验要求之间的设计关系细分并关联资产目录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未公开设计图纸、结构尺寸、专有工艺、材料组合、专利资料和设计人员信息；实际敏感要素由检测与人工复核确认，未知状态不按无敏感信息处理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设计人员身份与签署信息按授权范围替代或受控保留；产品及图号使用稳定映射；必要尺寸与公差保留单位和精度，涉及商业秘密的完整图纸按资源权限提供</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产品设计、工艺、材料、焊接、热处理及检验专业岗位按业务必要性申请；加工、质量与评测岗位取得任务所需权限，基准答案、原始敏感资料和替代映射分别控制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按卡号GHY26691-DC-02-0000-V1.0、实际数据版本、对象标识和工单关联查询采集、加工、访问、下载、评测及发布审计；交付留存必要受控记录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2.2.7 指纹血缘</w:t>
      </w:r>
    </w:p>
    <w:p>
      <w:pPr>
        <w:pStyle w:val="Caption"/>
        <w:keepNext/>
      </w:pPr>
      <w:r>
        <w:t>表2-15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02-ALL根目录内package.json登记身份、数据版本、结构版本、字典、卡片、资源和文件清单；脱离平台按第7章完成读取及核验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2.2.8 子集关联与汇总检查</w:t>
      </w:r>
    </w:p>
    <w:p>
      <w:pPr>
        <w:pStyle w:val="Caption"/>
        <w:keepNext/>
      </w:pPr>
      <w:r>
        <w:t>表2-16 子集关联与汇总检查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5012"/>
        <w:gridCol w:w="2891"/>
      </w:tblGrid>
      <w:tr>
        <w:trPr>
          <w:cantSplit/>
          <w:tblHeader/>
        </w:trPr>
        <w:tc>
          <w:tcPr>
            <w:tcW w:type="dxa" w:w="1735"/>
            <w:vAlign w:val="center"/>
            <w:shd w:fill="EDF1F3"/>
          </w:tcPr>
          <w:p>
            <w:pPr>
              <w:keepNext/>
              <w:spacing w:line="320" w:lineRule="exact" w:after="0" w:before="0"/>
              <w:ind w:firstLine="0"/>
              <w:jc w:val="center"/>
            </w:pPr>
            <w:r>
              <w:rPr>
                <w:b/>
                <w:sz w:val="21"/>
              </w:rPr>
              <w:t>用途</w:t>
            </w:r>
          </w:p>
        </w:tc>
        <w:tc>
          <w:tcPr>
            <w:tcW w:type="dxa" w:w="5012"/>
            <w:vAlign w:val="center"/>
            <w:shd w:fill="EDF1F3"/>
          </w:tcPr>
          <w:p>
            <w:pPr>
              <w:keepNext/>
              <w:spacing w:line="320" w:lineRule="exact" w:after="0" w:before="0"/>
              <w:ind w:firstLine="0"/>
              <w:jc w:val="center"/>
            </w:pPr>
            <w:r>
              <w:rPr>
                <w:b/>
                <w:sz w:val="21"/>
              </w:rPr>
              <w:t>卡片编号</w:t>
            </w:r>
          </w:p>
        </w:tc>
        <w:tc>
          <w:tcPr>
            <w:tcW w:type="dxa" w:w="2891"/>
            <w:vAlign w:val="center"/>
            <w:shd w:fill="EDF1F3"/>
          </w:tcPr>
          <w:p>
            <w:pPr>
              <w:keepNext/>
              <w:spacing w:line="320" w:lineRule="exact" w:after="0" w:before="0"/>
              <w:ind w:firstLine="0"/>
              <w:jc w:val="center"/>
            </w:pPr>
            <w:r>
              <w:rPr>
                <w:b/>
                <w:sz w:val="21"/>
              </w:rPr>
              <w:t>有效交付净量</w:t>
            </w:r>
          </w:p>
        </w:tc>
      </w:tr>
      <w:tr>
        <w:trPr>
          <w:cantSplit/>
        </w:trPr>
        <w:tc>
          <w:tcPr>
            <w:tcW w:type="dxa" w:w="1735"/>
            <w:vAlign w:val="center"/>
          </w:tcPr>
          <w:p>
            <w:pPr>
              <w:keepNext w:val="0"/>
              <w:spacing w:line="320" w:lineRule="exact" w:after="0" w:before="0"/>
              <w:ind w:firstLine="0"/>
              <w:jc w:val="left"/>
            </w:pPr>
            <w:r>
              <w:rPr>
                <w:b w:val="0"/>
                <w:sz w:val="21"/>
              </w:rPr>
              <w:t>预训练</w:t>
            </w:r>
          </w:p>
        </w:tc>
        <w:tc>
          <w:tcPr>
            <w:tcW w:type="dxa" w:w="5012"/>
            <w:vAlign w:val="center"/>
          </w:tcPr>
          <w:p>
            <w:pPr>
              <w:keepNext w:val="0"/>
              <w:spacing w:line="320" w:lineRule="exact" w:after="0" w:before="0"/>
              <w:ind w:firstLine="0"/>
              <w:jc w:val="left"/>
            </w:pPr>
            <w:r>
              <w:rPr>
                <w:b w:val="0"/>
                <w:sz w:val="21"/>
              </w:rPr>
              <w:t>GHY26691-DC-02-0001-V1.0</w:t>
            </w:r>
          </w:p>
        </w:tc>
        <w:tc>
          <w:tcPr>
            <w:tcW w:type="dxa" w:w="2891"/>
            <w:vAlign w:val="center"/>
          </w:tcPr>
          <w:p>
            <w:pPr>
              <w:keepNext w:val="0"/>
              <w:spacing w:line="320" w:lineRule="exact" w:after="0" w:before="0"/>
              <w:ind w:firstLine="0"/>
              <w:jc w:val="left"/>
            </w:pPr>
            <w:r>
              <w:rPr>
                <w:b w:val="0"/>
                <w:sz w:val="21"/>
              </w:rPr>
              <w:t>7000000000Tokens</w:t>
            </w:r>
          </w:p>
        </w:tc>
      </w:tr>
      <w:tr>
        <w:trPr>
          <w:cantSplit/>
        </w:trPr>
        <w:tc>
          <w:tcPr>
            <w:tcW w:type="dxa" w:w="1735"/>
            <w:vAlign w:val="center"/>
          </w:tcPr>
          <w:p>
            <w:pPr>
              <w:keepNext w:val="0"/>
              <w:spacing w:line="320" w:lineRule="exact" w:after="0" w:before="0"/>
              <w:ind w:firstLine="0"/>
              <w:jc w:val="left"/>
            </w:pPr>
            <w:r>
              <w:rPr>
                <w:b w:val="0"/>
                <w:sz w:val="21"/>
              </w:rPr>
              <w:t>有监督指令微调</w:t>
            </w:r>
          </w:p>
        </w:tc>
        <w:tc>
          <w:tcPr>
            <w:tcW w:type="dxa" w:w="5012"/>
            <w:vAlign w:val="center"/>
          </w:tcPr>
          <w:p>
            <w:pPr>
              <w:keepNext w:val="0"/>
              <w:spacing w:line="320" w:lineRule="exact" w:after="0" w:before="0"/>
              <w:ind w:firstLine="0"/>
              <w:jc w:val="left"/>
            </w:pPr>
            <w:r>
              <w:rPr>
                <w:b w:val="0"/>
                <w:sz w:val="21"/>
              </w:rPr>
              <w:t>GHY26691-DC-02-0002-V1.0</w:t>
            </w:r>
          </w:p>
        </w:tc>
        <w:tc>
          <w:tcPr>
            <w:tcW w:type="dxa" w:w="2891"/>
            <w:vAlign w:val="center"/>
          </w:tcPr>
          <w:p>
            <w:pPr>
              <w:keepNext w:val="0"/>
              <w:spacing w:line="320" w:lineRule="exact" w:after="0" w:before="0"/>
              <w:ind w:firstLine="0"/>
              <w:jc w:val="left"/>
            </w:pPr>
            <w:r>
              <w:rPr>
                <w:b w:val="0"/>
                <w:sz w:val="21"/>
              </w:rPr>
              <w:t>100000条</w:t>
            </w:r>
          </w:p>
        </w:tc>
      </w:tr>
      <w:tr>
        <w:trPr>
          <w:cantSplit/>
        </w:trPr>
        <w:tc>
          <w:tcPr>
            <w:tcW w:type="dxa" w:w="1735"/>
            <w:vAlign w:val="center"/>
          </w:tcPr>
          <w:p>
            <w:pPr>
              <w:keepNext w:val="0"/>
              <w:spacing w:line="320" w:lineRule="exact" w:after="0" w:before="0"/>
              <w:ind w:firstLine="0"/>
              <w:jc w:val="left"/>
            </w:pPr>
            <w:r>
              <w:rPr>
                <w:b w:val="0"/>
                <w:sz w:val="21"/>
              </w:rPr>
              <w:t>人类偏好对齐</w:t>
            </w:r>
          </w:p>
        </w:tc>
        <w:tc>
          <w:tcPr>
            <w:tcW w:type="dxa" w:w="5012"/>
            <w:vAlign w:val="center"/>
          </w:tcPr>
          <w:p>
            <w:pPr>
              <w:keepNext w:val="0"/>
              <w:spacing w:line="320" w:lineRule="exact" w:after="0" w:before="0"/>
              <w:ind w:firstLine="0"/>
              <w:jc w:val="left"/>
            </w:pPr>
            <w:r>
              <w:rPr>
                <w:b w:val="0"/>
                <w:sz w:val="21"/>
              </w:rPr>
              <w:t>GHY26691-DC-02-0003-V1.0</w:t>
            </w:r>
          </w:p>
        </w:tc>
        <w:tc>
          <w:tcPr>
            <w:tcW w:type="dxa" w:w="2891"/>
            <w:vAlign w:val="center"/>
          </w:tcPr>
          <w:p>
            <w:pPr>
              <w:keepNext w:val="0"/>
              <w:spacing w:line="320" w:lineRule="exact" w:after="0" w:before="0"/>
              <w:ind w:firstLine="0"/>
              <w:jc w:val="left"/>
            </w:pPr>
            <w:r>
              <w:rPr>
                <w:b w:val="0"/>
                <w:sz w:val="21"/>
              </w:rPr>
              <w:t>8000组</w:t>
            </w:r>
          </w:p>
        </w:tc>
      </w:tr>
      <w:tr>
        <w:trPr>
          <w:cantSplit/>
        </w:trPr>
        <w:tc>
          <w:tcPr>
            <w:tcW w:type="dxa" w:w="1735"/>
            <w:vAlign w:val="center"/>
          </w:tcPr>
          <w:p>
            <w:pPr>
              <w:keepNext w:val="0"/>
              <w:spacing w:line="320" w:lineRule="exact" w:after="0" w:before="0"/>
              <w:ind w:firstLine="0"/>
              <w:jc w:val="left"/>
            </w:pPr>
            <w:r>
              <w:rPr>
                <w:b w:val="0"/>
                <w:sz w:val="21"/>
              </w:rPr>
              <w:t>基准评测</w:t>
            </w:r>
          </w:p>
        </w:tc>
        <w:tc>
          <w:tcPr>
            <w:tcW w:type="dxa" w:w="5012"/>
            <w:vAlign w:val="center"/>
          </w:tcPr>
          <w:p>
            <w:pPr>
              <w:keepNext w:val="0"/>
              <w:spacing w:line="320" w:lineRule="exact" w:after="0" w:before="0"/>
              <w:ind w:firstLine="0"/>
              <w:jc w:val="left"/>
            </w:pPr>
            <w:r>
              <w:rPr>
                <w:b w:val="0"/>
                <w:sz w:val="21"/>
              </w:rPr>
              <w:t>GHY26691-DC-02-0004-V1.0</w:t>
            </w:r>
          </w:p>
        </w:tc>
        <w:tc>
          <w:tcPr>
            <w:tcW w:type="dxa" w:w="2891"/>
            <w:vAlign w:val="center"/>
          </w:tcPr>
          <w:p>
            <w:pPr>
              <w:keepNext w:val="0"/>
              <w:spacing w:line="320" w:lineRule="exact" w:after="0" w:before="0"/>
              <w:ind w:firstLine="0"/>
              <w:jc w:val="left"/>
            </w:pPr>
            <w:r>
              <w:rPr>
                <w:b w:val="0"/>
                <w:sz w:val="21"/>
              </w:rPr>
              <w:t>1000条</w:t>
            </w:r>
          </w:p>
        </w:tc>
      </w:tr>
    </w:tbl>
    <w:p>
      <w:pPr>
        <w:spacing w:after="40" w:line="240" w:lineRule="auto"/>
        <w:ind w:firstLine="0"/>
      </w:pPr>
      <w:r>
        <w:rPr>
          <w:sz w:val="4"/>
        </w:rPr>
      </w:r>
    </w:p>
    <w:p>
      <w:pPr>
        <w:jc w:val="both"/>
      </w:pPr>
      <w:r>
        <w:t>汇总检查以四张子集卡对应的实际版本为输入。逐用途核对净量和质量证据，列出来源家族、共享资源、独立内容及跨域引用。图纸解析保留尺寸、公差、基准及版面定位；关联产品配置与适用版次；把材料、工序、设备适用条件和检验依据连接到工艺路线；变更按生效对象及批次区分；专业参数由有效批准依据确认。共同资源在存储清单中按文件身份去重，各用途的实际任务内容按规定单位计量。</w:t>
      </w:r>
    </w:p>
    <w:p>
      <w:pPr>
        <w:jc w:val="both"/>
      </w:pPr>
      <w:r>
        <w:t>领域质量审核由产品设计、工艺、材料、焊接、热处理及检验专业岗位确认业务适用性，数据质量岗位复核统计与证据。汇总卡的合格结论要求四个子集分别满足交付条件；部分子集通过时保留各自真实状态，不提前将整个领域标记为正式完成。</w:t>
      </w:r>
    </w:p>
    <w:p>
      <w:pPr>
        <w:pStyle w:val="Heading2"/>
      </w:pPr>
      <w:r>
        <w:t>2.3 制造过程数据集汇总卡</w:t>
      </w:r>
    </w:p>
    <w:p>
      <w:pPr>
        <w:pStyle w:val="Heading3"/>
      </w:pPr>
      <w:r>
        <w:t>2.3.1 基本信息</w:t>
      </w:r>
    </w:p>
    <w:p>
      <w:pPr>
        <w:pStyle w:val="Caption"/>
        <w:keepNext/>
      </w:pPr>
      <w:r>
        <w:t>表2-17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GHY26691-DC-03-0000-V1.0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制造过程数据集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领域汇总，分别关联预训练、有监督指令微调、人类偏好对齐和基准评测</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03 制造过程；关联对象为工单、产品实例、材料批次、工序、炉次、焊缝、设备、测点、事件及时间窗口</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预训练：10500000000Tokens；有监督指令微调：150000条；人类偏好对齐：10000组；基准评测：2000条</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预训练有效净量10500000000 Tokens，即105亿Tokens；保存分词器、配置和执行摘要</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采用第7章公共记录结构及本领域扩展字典；按四类用途分别统计的完整有效对象具有稳定标识、业务对象、来源家族、时间、内容、资源、标签与证据关系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根目录按03-ALL及数据版本组织；data保存记录，resources保存模态载荷，metadata保存来源与关系，dictionary保存字段和标签，cards保存卡片，reports保存报告，tools保存解析程序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03-ALL-数据版本-六位分片序号.jsonl；资源以稳定资源标识命名；卡片使用完整卡号；路径采用相对路径并拒绝越界和重名冲突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平台服务工单按卡号、数据版本及问题对象受理；由技术与生产、设备、工艺、能源、质量及现场采集专业岗位协同处理，服务时段和响应要求执行统一售后安排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工单执行、工序流转、板材备料、焊接、热处理、机加工、设备运行、能源关联、过程异常与维修活动。以工单、产品实例、材料批次、工序、炉次、焊缝、设备、测点、事件及时间窗口建立对象关系，来源范围包括MES中的工单和报工，SCADA中的过程采样，热处理群控中的炉次及曲线，EMS中的能源记录，EAM中的设备和维修，QMS中的过程检验，LMS、WMS中的物流与领退料记录。四类用途保持独立生产任务与发布证据，规模按Tokens、条及组分别核算。数据支持板材智能备料、热处理工艺优化、焊接工艺优化、刮板输送机健康管理、决策数据智能问答助手，结论依据实际输入、专业条件和验证范围使用。涉及生产节拍、设备状态、现场视频、人员影像、关键过程参数和运行位置时执行相应授权及安全处理。业务事实、推断与未知状态分别标记，数据版本与引用依据保持一致。</w:t>
      </w:r>
    </w:p>
    <w:p>
      <w:pPr>
        <w:pStyle w:val="Heading3"/>
      </w:pPr>
      <w:r>
        <w:t>2.3.2 内容特征</w:t>
      </w:r>
    </w:p>
    <w:p>
      <w:pPr>
        <w:pStyle w:val="Caption"/>
        <w:keepNext/>
      </w:pPr>
      <w:r>
        <w:t>表2-18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文本、图像、时序、视频按有效载荷统计；重点关联工单、产品实例、材料批次、工序、炉次、焊缝、设备、测点、事件及时间窗口；图纸、表格载体不独立增加模态数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以按四类用途分别统计的完整有效对象为分母，至少两种有效关联模态的记录为分子；分子、分母及互斥组合清单齐备，按1.4节满足40%要求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按MP01工单与工序、MP02备料与加工、MP03焊接过程、MP04热处理过程、MP05设备与能耗、MP06异常与维修统计；主主题互斥，辅助主题允许多选并另列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四个子集按各自任务难度或语料复杂性分别统计，汇总保留定义差异，不拼成一个无统一含义的难度分布</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四张子集卡分别提供规范样本及正式样本选取条件</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预训练并集20%，指令整体45%及任务30%／60%，偏好50%，基准0%；各用途独立计算分子分母，不作跨用途平均</w:t>
            </w:r>
          </w:p>
        </w:tc>
      </w:tr>
    </w:tbl>
    <w:p>
      <w:pPr>
        <w:spacing w:after="40" w:line="240" w:lineRule="auto"/>
        <w:ind w:firstLine="0"/>
      </w:pPr>
      <w:r>
        <w:rPr>
          <w:sz w:val="4"/>
        </w:rPr>
      </w:r>
    </w:p>
    <w:p>
      <w:pPr>
        <w:pStyle w:val="Heading3"/>
      </w:pPr>
      <w:r>
        <w:t>2.3.3 建设过程</w:t>
      </w:r>
    </w:p>
    <w:p>
      <w:pPr>
        <w:pStyle w:val="Caption"/>
        <w:keepNext/>
      </w:pPr>
      <w:r>
        <w:t>表2-19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MES中的工单和报工，SCADA中的过程采样，热处理群控中的炉次及曲线，EMS中的能源记录，EAM中的设备和维修，QMS中的过程检验，LMS、WMS中的物流与领退料记录；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按设备实物身份与工单组织记录，固定原时钟和校正关系；以业务事件划定时序窗口；分开真实工艺异常、传感器异常和采集链路异常；图像视频与工序阶段、位置及批次对齐；过程结论连接实际检验或维修证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保存解析器、字典、切分、窗口、重叠、单位换算、时间校正和对齐配置；工单、产品实例、材料批次、工序、炉次、焊缝、设备、测点、事件及时间窗口为关联校验重点；参数经真实资料验证后冻结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各用途引用适用的专业标注规范、标签字典及生效版本，汇总检查子集引用完整</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由生产、设备、工艺、能源、质量及现场采集专业岗位承担专业定义与争议裁决，标注人员依规范执行；自检、交叉复核、专家仲裁分别保存原始结果及修订记录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2.3.4 应用说明</w:t>
      </w:r>
    </w:p>
    <w:p>
      <w:pPr>
        <w:pStyle w:val="Caption"/>
        <w:keepNext/>
      </w:pPr>
      <w:r>
        <w:t>表2-20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板材智能备料、热处理工艺优化、焊接工艺优化、刮板输送机健康管理、决策数据智能问答助手；验证结论按实际场景、输入条件和版本形成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继续预训练、指令微调、偏好对齐及基准评测分别组织，保留各阶段模型与数据引用</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事件与工序识别F1、时序片段定位误差、过程关联正确率、采集缺口识别召回率、异常解释证据正确率及设备切片稳定性；各用途采用本卡评价协议并保留定义、方向和统计单位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2.3.5 质量验证</w:t>
      </w:r>
    </w:p>
    <w:p>
      <w:pPr>
        <w:pStyle w:val="Caption"/>
        <w:keepNext/>
      </w:pPr>
      <w:r>
        <w:t>表2-21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发布时形成GHY26691-QC-03-0000及实际版本对应的质检档案，绑定受检清单与内容根摘要；汇总卡检查各子集报告引用</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分别报告保真度、完备性、规整性、均衡性、可用性、可信性的方法、结果与问题；按工单、产品实例、材料批次、工序、炉次、焊缝、设备、测点、事件及时间窗口检查关键业务关联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验证报告采用GHY26691-VR-03-0000及实际版本；引用数据、模型、协议、实验和原始输出，汇总与子集范围分别标明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生产、设备、工艺、能源、质量及现场采集专业岗位结合板材智能备料、热处理工艺优化、焊接工艺优化、刮板输送机健康管理、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2.3.6 安全合规</w:t>
      </w:r>
    </w:p>
    <w:p>
      <w:pPr>
        <w:pStyle w:val="Caption"/>
        <w:keepNext/>
      </w:pPr>
      <w:r>
        <w:t>表2-22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生产经营数据中的制造过程相关数据；按工单执行、工序流转、板材备料、焊接、热处理、机加工、设备运行、能源关联、过程异常与维修活动细分并关联资产目录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生产节拍、设备状态、现场视频、人员影像、关键过程参数和运行位置；实际敏感要素由检测与人工复核确认，未知状态不按无敏感信息处理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人员影像和工号按用途遮蔽或替代；设备编号保持稳定受控映射；生产时间按授权用途处理并保持事件相对顺序；涉及参数的资料采用受控访问，避免变换破坏工艺含义</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生产、设备、工艺、能源、质量及现场采集专业岗位按业务必要性申请；加工、质量与评测岗位取得任务所需权限，基准答案、原始敏感资料和替代映射分别控制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按卡号GHY26691-DC-03-0000-V1.0、实际数据版本、对象标识和工单关联查询采集、加工、访问、下载、评测及发布审计；交付留存必要受控记录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2.3.7 指纹血缘</w:t>
      </w:r>
    </w:p>
    <w:p>
      <w:pPr>
        <w:pStyle w:val="Caption"/>
        <w:keepNext/>
      </w:pPr>
      <w:r>
        <w:t>表2-23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03-ALL根目录内package.json登记身份、数据版本、结构版本、字典、卡片、资源和文件清单；脱离平台按第7章完成读取及核验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2.3.8 子集关联与汇总检查</w:t>
      </w:r>
    </w:p>
    <w:p>
      <w:pPr>
        <w:pStyle w:val="Caption"/>
        <w:keepNext/>
      </w:pPr>
      <w:r>
        <w:t>表2-24 子集关联与汇总检查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5012"/>
        <w:gridCol w:w="2891"/>
      </w:tblGrid>
      <w:tr>
        <w:trPr>
          <w:cantSplit/>
          <w:tblHeader/>
        </w:trPr>
        <w:tc>
          <w:tcPr>
            <w:tcW w:type="dxa" w:w="1735"/>
            <w:vAlign w:val="center"/>
            <w:shd w:fill="EDF1F3"/>
          </w:tcPr>
          <w:p>
            <w:pPr>
              <w:keepNext/>
              <w:spacing w:line="320" w:lineRule="exact" w:after="0" w:before="0"/>
              <w:ind w:firstLine="0"/>
              <w:jc w:val="center"/>
            </w:pPr>
            <w:r>
              <w:rPr>
                <w:b/>
                <w:sz w:val="21"/>
              </w:rPr>
              <w:t>用途</w:t>
            </w:r>
          </w:p>
        </w:tc>
        <w:tc>
          <w:tcPr>
            <w:tcW w:type="dxa" w:w="5012"/>
            <w:vAlign w:val="center"/>
            <w:shd w:fill="EDF1F3"/>
          </w:tcPr>
          <w:p>
            <w:pPr>
              <w:keepNext/>
              <w:spacing w:line="320" w:lineRule="exact" w:after="0" w:before="0"/>
              <w:ind w:firstLine="0"/>
              <w:jc w:val="center"/>
            </w:pPr>
            <w:r>
              <w:rPr>
                <w:b/>
                <w:sz w:val="21"/>
              </w:rPr>
              <w:t>卡片编号</w:t>
            </w:r>
          </w:p>
        </w:tc>
        <w:tc>
          <w:tcPr>
            <w:tcW w:type="dxa" w:w="2891"/>
            <w:vAlign w:val="center"/>
            <w:shd w:fill="EDF1F3"/>
          </w:tcPr>
          <w:p>
            <w:pPr>
              <w:keepNext/>
              <w:spacing w:line="320" w:lineRule="exact" w:after="0" w:before="0"/>
              <w:ind w:firstLine="0"/>
              <w:jc w:val="center"/>
            </w:pPr>
            <w:r>
              <w:rPr>
                <w:b/>
                <w:sz w:val="21"/>
              </w:rPr>
              <w:t>有效交付净量</w:t>
            </w:r>
          </w:p>
        </w:tc>
      </w:tr>
      <w:tr>
        <w:trPr>
          <w:cantSplit/>
        </w:trPr>
        <w:tc>
          <w:tcPr>
            <w:tcW w:type="dxa" w:w="1735"/>
            <w:vAlign w:val="center"/>
          </w:tcPr>
          <w:p>
            <w:pPr>
              <w:keepNext w:val="0"/>
              <w:spacing w:line="320" w:lineRule="exact" w:after="0" w:before="0"/>
              <w:ind w:firstLine="0"/>
              <w:jc w:val="left"/>
            </w:pPr>
            <w:r>
              <w:rPr>
                <w:b w:val="0"/>
                <w:sz w:val="21"/>
              </w:rPr>
              <w:t>预训练</w:t>
            </w:r>
          </w:p>
        </w:tc>
        <w:tc>
          <w:tcPr>
            <w:tcW w:type="dxa" w:w="5012"/>
            <w:vAlign w:val="center"/>
          </w:tcPr>
          <w:p>
            <w:pPr>
              <w:keepNext w:val="0"/>
              <w:spacing w:line="320" w:lineRule="exact" w:after="0" w:before="0"/>
              <w:ind w:firstLine="0"/>
              <w:jc w:val="left"/>
            </w:pPr>
            <w:r>
              <w:rPr>
                <w:b w:val="0"/>
                <w:sz w:val="21"/>
              </w:rPr>
              <w:t>GHY26691-DC-03-0001-V1.0</w:t>
            </w:r>
          </w:p>
        </w:tc>
        <w:tc>
          <w:tcPr>
            <w:tcW w:type="dxa" w:w="2891"/>
            <w:vAlign w:val="center"/>
          </w:tcPr>
          <w:p>
            <w:pPr>
              <w:keepNext w:val="0"/>
              <w:spacing w:line="320" w:lineRule="exact" w:after="0" w:before="0"/>
              <w:ind w:firstLine="0"/>
              <w:jc w:val="left"/>
            </w:pPr>
            <w:r>
              <w:rPr>
                <w:b w:val="0"/>
                <w:sz w:val="21"/>
              </w:rPr>
              <w:t>10500000000Tokens</w:t>
            </w:r>
          </w:p>
        </w:tc>
      </w:tr>
      <w:tr>
        <w:trPr>
          <w:cantSplit/>
        </w:trPr>
        <w:tc>
          <w:tcPr>
            <w:tcW w:type="dxa" w:w="1735"/>
            <w:vAlign w:val="center"/>
          </w:tcPr>
          <w:p>
            <w:pPr>
              <w:keepNext w:val="0"/>
              <w:spacing w:line="320" w:lineRule="exact" w:after="0" w:before="0"/>
              <w:ind w:firstLine="0"/>
              <w:jc w:val="left"/>
            </w:pPr>
            <w:r>
              <w:rPr>
                <w:b w:val="0"/>
                <w:sz w:val="21"/>
              </w:rPr>
              <w:t>有监督指令微调</w:t>
            </w:r>
          </w:p>
        </w:tc>
        <w:tc>
          <w:tcPr>
            <w:tcW w:type="dxa" w:w="5012"/>
            <w:vAlign w:val="center"/>
          </w:tcPr>
          <w:p>
            <w:pPr>
              <w:keepNext w:val="0"/>
              <w:spacing w:line="320" w:lineRule="exact" w:after="0" w:before="0"/>
              <w:ind w:firstLine="0"/>
              <w:jc w:val="left"/>
            </w:pPr>
            <w:r>
              <w:rPr>
                <w:b w:val="0"/>
                <w:sz w:val="21"/>
              </w:rPr>
              <w:t>GHY26691-DC-03-0002-V1.0</w:t>
            </w:r>
          </w:p>
        </w:tc>
        <w:tc>
          <w:tcPr>
            <w:tcW w:type="dxa" w:w="2891"/>
            <w:vAlign w:val="center"/>
          </w:tcPr>
          <w:p>
            <w:pPr>
              <w:keepNext w:val="0"/>
              <w:spacing w:line="320" w:lineRule="exact" w:after="0" w:before="0"/>
              <w:ind w:firstLine="0"/>
              <w:jc w:val="left"/>
            </w:pPr>
            <w:r>
              <w:rPr>
                <w:b w:val="0"/>
                <w:sz w:val="21"/>
              </w:rPr>
              <w:t>150000条</w:t>
            </w:r>
          </w:p>
        </w:tc>
      </w:tr>
      <w:tr>
        <w:trPr>
          <w:cantSplit/>
        </w:trPr>
        <w:tc>
          <w:tcPr>
            <w:tcW w:type="dxa" w:w="1735"/>
            <w:vAlign w:val="center"/>
          </w:tcPr>
          <w:p>
            <w:pPr>
              <w:keepNext w:val="0"/>
              <w:spacing w:line="320" w:lineRule="exact" w:after="0" w:before="0"/>
              <w:ind w:firstLine="0"/>
              <w:jc w:val="left"/>
            </w:pPr>
            <w:r>
              <w:rPr>
                <w:b w:val="0"/>
                <w:sz w:val="21"/>
              </w:rPr>
              <w:t>人类偏好对齐</w:t>
            </w:r>
          </w:p>
        </w:tc>
        <w:tc>
          <w:tcPr>
            <w:tcW w:type="dxa" w:w="5012"/>
            <w:vAlign w:val="center"/>
          </w:tcPr>
          <w:p>
            <w:pPr>
              <w:keepNext w:val="0"/>
              <w:spacing w:line="320" w:lineRule="exact" w:after="0" w:before="0"/>
              <w:ind w:firstLine="0"/>
              <w:jc w:val="left"/>
            </w:pPr>
            <w:r>
              <w:rPr>
                <w:b w:val="0"/>
                <w:sz w:val="21"/>
              </w:rPr>
              <w:t>GHY26691-DC-03-0003-V1.0</w:t>
            </w:r>
          </w:p>
        </w:tc>
        <w:tc>
          <w:tcPr>
            <w:tcW w:type="dxa" w:w="2891"/>
            <w:vAlign w:val="center"/>
          </w:tcPr>
          <w:p>
            <w:pPr>
              <w:keepNext w:val="0"/>
              <w:spacing w:line="320" w:lineRule="exact" w:after="0" w:before="0"/>
              <w:ind w:firstLine="0"/>
              <w:jc w:val="left"/>
            </w:pPr>
            <w:r>
              <w:rPr>
                <w:b w:val="0"/>
                <w:sz w:val="21"/>
              </w:rPr>
              <w:t>10000组</w:t>
            </w:r>
          </w:p>
        </w:tc>
      </w:tr>
      <w:tr>
        <w:trPr>
          <w:cantSplit/>
        </w:trPr>
        <w:tc>
          <w:tcPr>
            <w:tcW w:type="dxa" w:w="1735"/>
            <w:vAlign w:val="center"/>
          </w:tcPr>
          <w:p>
            <w:pPr>
              <w:keepNext w:val="0"/>
              <w:spacing w:line="320" w:lineRule="exact" w:after="0" w:before="0"/>
              <w:ind w:firstLine="0"/>
              <w:jc w:val="left"/>
            </w:pPr>
            <w:r>
              <w:rPr>
                <w:b w:val="0"/>
                <w:sz w:val="21"/>
              </w:rPr>
              <w:t>基准评测</w:t>
            </w:r>
          </w:p>
        </w:tc>
        <w:tc>
          <w:tcPr>
            <w:tcW w:type="dxa" w:w="5012"/>
            <w:vAlign w:val="center"/>
          </w:tcPr>
          <w:p>
            <w:pPr>
              <w:keepNext w:val="0"/>
              <w:spacing w:line="320" w:lineRule="exact" w:after="0" w:before="0"/>
              <w:ind w:firstLine="0"/>
              <w:jc w:val="left"/>
            </w:pPr>
            <w:r>
              <w:rPr>
                <w:b w:val="0"/>
                <w:sz w:val="21"/>
              </w:rPr>
              <w:t>GHY26691-DC-03-0004-V1.0</w:t>
            </w:r>
          </w:p>
        </w:tc>
        <w:tc>
          <w:tcPr>
            <w:tcW w:type="dxa" w:w="2891"/>
            <w:vAlign w:val="center"/>
          </w:tcPr>
          <w:p>
            <w:pPr>
              <w:keepNext w:val="0"/>
              <w:spacing w:line="320" w:lineRule="exact" w:after="0" w:before="0"/>
              <w:ind w:firstLine="0"/>
              <w:jc w:val="left"/>
            </w:pPr>
            <w:r>
              <w:rPr>
                <w:b w:val="0"/>
                <w:sz w:val="21"/>
              </w:rPr>
              <w:t>2000条</w:t>
            </w:r>
          </w:p>
        </w:tc>
      </w:tr>
    </w:tbl>
    <w:p>
      <w:pPr>
        <w:spacing w:after="40" w:line="240" w:lineRule="auto"/>
        <w:ind w:firstLine="0"/>
      </w:pPr>
      <w:r>
        <w:rPr>
          <w:sz w:val="4"/>
        </w:rPr>
      </w:r>
    </w:p>
    <w:p>
      <w:pPr>
        <w:jc w:val="both"/>
      </w:pPr>
      <w:r>
        <w:t>汇总检查以四张子集卡对应的实际版本为输入。逐用途核对净量和质量证据，列出来源家族、共享资源、独立内容及跨域引用。按设备实物身份与工单组织记录，固定原时钟和校正关系；以业务事件划定时序窗口；分开真实工艺异常、传感器异常和采集链路异常；图像视频与工序阶段、位置及批次对齐；过程结论连接实际检验或维修证据。共同资源在存储清单中按文件身份去重，各用途的实际任务内容按规定单位计量。</w:t>
      </w:r>
    </w:p>
    <w:p>
      <w:pPr>
        <w:jc w:val="both"/>
      </w:pPr>
      <w:r>
        <w:t>领域质量审核由生产、设备、工艺、能源、质量及现场采集专业岗位确认业务适用性，数据质量岗位复核统计与证据。汇总卡的合格结论要求四个子集分别满足交付条件；部分子集通过时保留各自真实状态，不提前将整个领域标记为正式完成。</w:t>
      </w:r>
    </w:p>
    <w:p>
      <w:pPr>
        <w:pStyle w:val="Heading2"/>
      </w:pPr>
      <w:r>
        <w:t>2.4 产品质量数据集汇总卡</w:t>
      </w:r>
    </w:p>
    <w:p>
      <w:pPr>
        <w:pStyle w:val="Heading3"/>
      </w:pPr>
      <w:r>
        <w:t>2.4.1 基本信息</w:t>
      </w:r>
    </w:p>
    <w:p>
      <w:pPr>
        <w:pStyle w:val="Caption"/>
        <w:keepNext/>
      </w:pPr>
      <w:r>
        <w:t>表2-25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GHY26691-DC-04-0000-V1.0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产品质量数据集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领域汇总，分别关联预训练、有监督指令微调、人类偏好对齐和基准评测</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04 产品质量；关联对象为产品实例、零件、材料批次、检验批、项目、测量轮次、缺陷位置、不合格单与处置状态</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预训练：16400000000Tokens；有监督指令微调：240000条；人类偏好对齐：16000组；基准评测：2500条</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预训练有效净量16400000000 Tokens，即164亿Tokens；保存分词器、配置和执行摘要</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采用第7章公共记录结构及本领域扩展字典；按四类用途分别统计的完整有效对象具有稳定标识、业务对象、来源家族、时间、内容、资源、标签与证据关系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根目录按04-ALL及数据版本组织；data保存记录，resources保存模态载荷，metadata保存来源与关系，dictionary保存字段和标签，cards保存卡片，reports保存报告，tools保存解析程序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04-ALL-数据版本-六位分片序号.jsonl；资源以稳定资源标识命名；卡片使用完整卡号；路径采用相对路径并拒绝越界和重名冲突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平台服务工单按卡号、数据版本及问题对象受理；由技术与质量、检验、工艺、材料、生产及售后专业岗位协同处理，服务时段和响应要求执行统一售后安排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来料、过程、成品和使用反馈质量，检验标准、测量记录、缺陷形态、不合格处置、复检、放行与质量追溯。以产品实例、零件、材料批次、检验批、项目、测量轮次、缺陷位置、不合格单与处置状态建立对象关系，来源范围包括QMS中的检验及不合格记录，MES中的工单和过程批次，PLM中的技术条件，ERP与WMS中的物料及质量状态，EAM中的设备和维修记录，以及经授权的客户质量反馈。四类用途保持独立生产任务与发布证据，规模按Tokens、条及组分别核算。数据支持热处理工艺优化、焊接工艺优化、刮板输送机健康管理、标准规范智能问答助手、决策数据智能问答助手，结论依据实际输入、专业条件和验证范围使用。涉及检验报告、质量事件、客户反馈、产品追溯关系、工艺秘密和检验人员信息时执行相应授权及安全处理。业务事实、推断与未知状态分别标记，数据版本与引用依据保持一致。</w:t>
      </w:r>
    </w:p>
    <w:p>
      <w:pPr>
        <w:pStyle w:val="Heading3"/>
      </w:pPr>
      <w:r>
        <w:t>2.4.2 内容特征</w:t>
      </w:r>
    </w:p>
    <w:p>
      <w:pPr>
        <w:pStyle w:val="Caption"/>
        <w:keepNext/>
      </w:pPr>
      <w:r>
        <w:t>表2-26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文本、图像、时序、视频按有效载荷统计；重点关联产品实例、零件、材料批次、检验批、项目、测量轮次、缺陷位置、不合格单与处置状态；图纸、表格载体不独立增加模态数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以按四类用途分别统计的完整有效对象为分母，至少两种有效关联模态的记录为分子；分子、分母及互斥组合清单齐备，按1.4节满足40%要求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按PQ01来料质量、PQ02过程检验、PQ03成品检验、PQ04缺陷与不合格、PQ05处置与复检、PQ06追溯与反馈统计；主主题互斥，辅助主题允许多选并另列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四个子集按各自任务难度或语料复杂性分别统计，汇总保留定义差异，不拼成一个无统一含义的难度分布</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四张子集卡分别提供规范样本及正式样本选取条件</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预训练并集20%，指令整体45%及任务30%／60%，偏好50%，基准0%；各用途独立计算分子分母，不作跨用途平均</w:t>
            </w:r>
          </w:p>
        </w:tc>
      </w:tr>
    </w:tbl>
    <w:p>
      <w:pPr>
        <w:spacing w:after="40" w:line="240" w:lineRule="auto"/>
        <w:ind w:firstLine="0"/>
      </w:pPr>
      <w:r>
        <w:rPr>
          <w:sz w:val="4"/>
        </w:rPr>
      </w:r>
    </w:p>
    <w:p>
      <w:pPr>
        <w:pStyle w:val="Heading3"/>
      </w:pPr>
      <w:r>
        <w:t>2.4.3 建设过程</w:t>
      </w:r>
    </w:p>
    <w:p>
      <w:pPr>
        <w:pStyle w:val="Caption"/>
        <w:keepNext/>
      </w:pPr>
      <w:r>
        <w:t>表2-27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QMS中的检验及不合格记录，MES中的工单和过程批次，PLM中的技术条件，ERP与WMS中的物料及质量状态，EAM中的设备和维修记录，以及经授权的客户质量反馈；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检验结果绑定有效标准与测量条件；数值、单位、精度、上下限及边界条件共同解析；缺陷标签绑定位置和证据；处置、复检与放行按时序串联；质量结论沿材料、工序和产品关系追溯；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保存解析器、字典、切分、窗口、重叠、单位换算、时间校正和对齐配置；产品实例、零件、材料批次、检验批、项目、测量轮次、缺陷位置、不合格单与处置状态为关联校验重点；参数经真实资料验证后冻结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各用途引用适用的专业标注规范、标签字典及生效版本，汇总检查子集引用完整</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由质量、检验、工艺、材料、生产及售后专业岗位承担专业定义与争议裁决，标注人员依规范执行；自检、交叉复核、专家仲裁分别保存原始结果及修订记录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2.4.4 应用说明</w:t>
      </w:r>
    </w:p>
    <w:p>
      <w:pPr>
        <w:pStyle w:val="Caption"/>
        <w:keepNext/>
      </w:pPr>
      <w:r>
        <w:t>表2-28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热处理工艺优化、焊接工艺优化、刮板输送机健康管理、标准规范智能问答助手、决策数据智能问答助手；验证结论按实际场景、输入条件和版本形成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继续预训练、指令微调、偏好对齐及基准评测分别组织，保留各阶段模型与数据引用</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检验字段抽取正确率、数值与单位判定正确率、缺陷分类宏平均F1、缺陷定位指标、质量追溯证据召回率及处置建议依据正确率；各用途采用本卡评价协议并保留定义、方向和统计单位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2.4.5 质量验证</w:t>
      </w:r>
    </w:p>
    <w:p>
      <w:pPr>
        <w:pStyle w:val="Caption"/>
        <w:keepNext/>
      </w:pPr>
      <w:r>
        <w:t>表2-29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发布时形成GHY26691-QC-04-0000及实际版本对应的质检档案，绑定受检清单与内容根摘要；汇总卡检查各子集报告引用</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分别报告保真度、完备性、规整性、均衡性、可用性、可信性的方法、结果与问题；按产品实例、零件、材料批次、检验批、项目、测量轮次、缺陷位置、不合格单与处置状态检查关键业务关联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验证报告采用GHY26691-VR-04-0000及实际版本；引用数据、模型、协议、实验和原始输出，汇总与子集范围分别标明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质量、检验、工艺、材料、生产及售后专业岗位结合热处理工艺优化、焊接工艺优化、刮板输送机健康管理、标准规范智能问答助手、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2.4.6 安全合规</w:t>
      </w:r>
    </w:p>
    <w:p>
      <w:pPr>
        <w:pStyle w:val="Caption"/>
        <w:keepNext/>
      </w:pPr>
      <w:r>
        <w:t>表2-30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生产经营数据中的产品质量相关数据；按来料、过程、成品和使用反馈质量，检验标准、测量记录、缺陷形态、不合格处置、复检、放行与质量追溯细分并关联资产目录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检验报告、质量事件、客户反馈、产品追溯关系、工艺秘密和检验人员信息；实际敏感要素由检测与人工复核确认，未知状态不按无敏感信息处理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客户与人员采用稳定替代标识，报告中的签署和联系方式按授权处理；测量值、单位和判定依据在授权环境保真保留；图像遮蔽无关身份信息并复核缺陷区域完整性</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质量、检验、工艺、材料、生产及售后专业岗位按业务必要性申请；加工、质量与评测岗位取得任务所需权限，基准答案、原始敏感资料和替代映射分别控制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按卡号GHY26691-DC-04-0000-V1.0、实际数据版本、对象标识和工单关联查询采集、加工、访问、下载、评测及发布审计；交付留存必要受控记录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2.4.7 指纹血缘</w:t>
      </w:r>
    </w:p>
    <w:p>
      <w:pPr>
        <w:pStyle w:val="Caption"/>
        <w:keepNext/>
      </w:pPr>
      <w:r>
        <w:t>表2-31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04-ALL根目录内package.json登记身份、数据版本、结构版本、字典、卡片、资源和文件清单；脱离平台按第7章完成读取及核验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2.4.8 子集关联与汇总检查</w:t>
      </w:r>
    </w:p>
    <w:p>
      <w:pPr>
        <w:pStyle w:val="Caption"/>
        <w:keepNext/>
      </w:pPr>
      <w:r>
        <w:t>表2-32 子集关联与汇总检查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5012"/>
        <w:gridCol w:w="2891"/>
      </w:tblGrid>
      <w:tr>
        <w:trPr>
          <w:cantSplit/>
          <w:tblHeader/>
        </w:trPr>
        <w:tc>
          <w:tcPr>
            <w:tcW w:type="dxa" w:w="1735"/>
            <w:vAlign w:val="center"/>
            <w:shd w:fill="EDF1F3"/>
          </w:tcPr>
          <w:p>
            <w:pPr>
              <w:keepNext/>
              <w:spacing w:line="320" w:lineRule="exact" w:after="0" w:before="0"/>
              <w:ind w:firstLine="0"/>
              <w:jc w:val="center"/>
            </w:pPr>
            <w:r>
              <w:rPr>
                <w:b/>
                <w:sz w:val="21"/>
              </w:rPr>
              <w:t>用途</w:t>
            </w:r>
          </w:p>
        </w:tc>
        <w:tc>
          <w:tcPr>
            <w:tcW w:type="dxa" w:w="5012"/>
            <w:vAlign w:val="center"/>
            <w:shd w:fill="EDF1F3"/>
          </w:tcPr>
          <w:p>
            <w:pPr>
              <w:keepNext/>
              <w:spacing w:line="320" w:lineRule="exact" w:after="0" w:before="0"/>
              <w:ind w:firstLine="0"/>
              <w:jc w:val="center"/>
            </w:pPr>
            <w:r>
              <w:rPr>
                <w:b/>
                <w:sz w:val="21"/>
              </w:rPr>
              <w:t>卡片编号</w:t>
            </w:r>
          </w:p>
        </w:tc>
        <w:tc>
          <w:tcPr>
            <w:tcW w:type="dxa" w:w="2891"/>
            <w:vAlign w:val="center"/>
            <w:shd w:fill="EDF1F3"/>
          </w:tcPr>
          <w:p>
            <w:pPr>
              <w:keepNext/>
              <w:spacing w:line="320" w:lineRule="exact" w:after="0" w:before="0"/>
              <w:ind w:firstLine="0"/>
              <w:jc w:val="center"/>
            </w:pPr>
            <w:r>
              <w:rPr>
                <w:b/>
                <w:sz w:val="21"/>
              </w:rPr>
              <w:t>有效交付净量</w:t>
            </w:r>
          </w:p>
        </w:tc>
      </w:tr>
      <w:tr>
        <w:trPr>
          <w:cantSplit/>
        </w:trPr>
        <w:tc>
          <w:tcPr>
            <w:tcW w:type="dxa" w:w="1735"/>
            <w:vAlign w:val="center"/>
          </w:tcPr>
          <w:p>
            <w:pPr>
              <w:keepNext w:val="0"/>
              <w:spacing w:line="320" w:lineRule="exact" w:after="0" w:before="0"/>
              <w:ind w:firstLine="0"/>
              <w:jc w:val="left"/>
            </w:pPr>
            <w:r>
              <w:rPr>
                <w:b w:val="0"/>
                <w:sz w:val="21"/>
              </w:rPr>
              <w:t>预训练</w:t>
            </w:r>
          </w:p>
        </w:tc>
        <w:tc>
          <w:tcPr>
            <w:tcW w:type="dxa" w:w="5012"/>
            <w:vAlign w:val="center"/>
          </w:tcPr>
          <w:p>
            <w:pPr>
              <w:keepNext w:val="0"/>
              <w:spacing w:line="320" w:lineRule="exact" w:after="0" w:before="0"/>
              <w:ind w:firstLine="0"/>
              <w:jc w:val="left"/>
            </w:pPr>
            <w:r>
              <w:rPr>
                <w:b w:val="0"/>
                <w:sz w:val="21"/>
              </w:rPr>
              <w:t>GHY26691-DC-04-0001-V1.0</w:t>
            </w:r>
          </w:p>
        </w:tc>
        <w:tc>
          <w:tcPr>
            <w:tcW w:type="dxa" w:w="2891"/>
            <w:vAlign w:val="center"/>
          </w:tcPr>
          <w:p>
            <w:pPr>
              <w:keepNext w:val="0"/>
              <w:spacing w:line="320" w:lineRule="exact" w:after="0" w:before="0"/>
              <w:ind w:firstLine="0"/>
              <w:jc w:val="left"/>
            </w:pPr>
            <w:r>
              <w:rPr>
                <w:b w:val="0"/>
                <w:sz w:val="21"/>
              </w:rPr>
              <w:t>16400000000Tokens</w:t>
            </w:r>
          </w:p>
        </w:tc>
      </w:tr>
      <w:tr>
        <w:trPr>
          <w:cantSplit/>
        </w:trPr>
        <w:tc>
          <w:tcPr>
            <w:tcW w:type="dxa" w:w="1735"/>
            <w:vAlign w:val="center"/>
          </w:tcPr>
          <w:p>
            <w:pPr>
              <w:keepNext w:val="0"/>
              <w:spacing w:line="320" w:lineRule="exact" w:after="0" w:before="0"/>
              <w:ind w:firstLine="0"/>
              <w:jc w:val="left"/>
            </w:pPr>
            <w:r>
              <w:rPr>
                <w:b w:val="0"/>
                <w:sz w:val="21"/>
              </w:rPr>
              <w:t>有监督指令微调</w:t>
            </w:r>
          </w:p>
        </w:tc>
        <w:tc>
          <w:tcPr>
            <w:tcW w:type="dxa" w:w="5012"/>
            <w:vAlign w:val="center"/>
          </w:tcPr>
          <w:p>
            <w:pPr>
              <w:keepNext w:val="0"/>
              <w:spacing w:line="320" w:lineRule="exact" w:after="0" w:before="0"/>
              <w:ind w:firstLine="0"/>
              <w:jc w:val="left"/>
            </w:pPr>
            <w:r>
              <w:rPr>
                <w:b w:val="0"/>
                <w:sz w:val="21"/>
              </w:rPr>
              <w:t>GHY26691-DC-04-0002-V1.0</w:t>
            </w:r>
          </w:p>
        </w:tc>
        <w:tc>
          <w:tcPr>
            <w:tcW w:type="dxa" w:w="2891"/>
            <w:vAlign w:val="center"/>
          </w:tcPr>
          <w:p>
            <w:pPr>
              <w:keepNext w:val="0"/>
              <w:spacing w:line="320" w:lineRule="exact" w:after="0" w:before="0"/>
              <w:ind w:firstLine="0"/>
              <w:jc w:val="left"/>
            </w:pPr>
            <w:r>
              <w:rPr>
                <w:b w:val="0"/>
                <w:sz w:val="21"/>
              </w:rPr>
              <w:t>240000条</w:t>
            </w:r>
          </w:p>
        </w:tc>
      </w:tr>
      <w:tr>
        <w:trPr>
          <w:cantSplit/>
        </w:trPr>
        <w:tc>
          <w:tcPr>
            <w:tcW w:type="dxa" w:w="1735"/>
            <w:vAlign w:val="center"/>
          </w:tcPr>
          <w:p>
            <w:pPr>
              <w:keepNext w:val="0"/>
              <w:spacing w:line="320" w:lineRule="exact" w:after="0" w:before="0"/>
              <w:ind w:firstLine="0"/>
              <w:jc w:val="left"/>
            </w:pPr>
            <w:r>
              <w:rPr>
                <w:b w:val="0"/>
                <w:sz w:val="21"/>
              </w:rPr>
              <w:t>人类偏好对齐</w:t>
            </w:r>
          </w:p>
        </w:tc>
        <w:tc>
          <w:tcPr>
            <w:tcW w:type="dxa" w:w="5012"/>
            <w:vAlign w:val="center"/>
          </w:tcPr>
          <w:p>
            <w:pPr>
              <w:keepNext w:val="0"/>
              <w:spacing w:line="320" w:lineRule="exact" w:after="0" w:before="0"/>
              <w:ind w:firstLine="0"/>
              <w:jc w:val="left"/>
            </w:pPr>
            <w:r>
              <w:rPr>
                <w:b w:val="0"/>
                <w:sz w:val="21"/>
              </w:rPr>
              <w:t>GHY26691-DC-04-0003-V1.0</w:t>
            </w:r>
          </w:p>
        </w:tc>
        <w:tc>
          <w:tcPr>
            <w:tcW w:type="dxa" w:w="2891"/>
            <w:vAlign w:val="center"/>
          </w:tcPr>
          <w:p>
            <w:pPr>
              <w:keepNext w:val="0"/>
              <w:spacing w:line="320" w:lineRule="exact" w:after="0" w:before="0"/>
              <w:ind w:firstLine="0"/>
              <w:jc w:val="left"/>
            </w:pPr>
            <w:r>
              <w:rPr>
                <w:b w:val="0"/>
                <w:sz w:val="21"/>
              </w:rPr>
              <w:t>16000组</w:t>
            </w:r>
          </w:p>
        </w:tc>
      </w:tr>
      <w:tr>
        <w:trPr>
          <w:cantSplit/>
        </w:trPr>
        <w:tc>
          <w:tcPr>
            <w:tcW w:type="dxa" w:w="1735"/>
            <w:vAlign w:val="center"/>
          </w:tcPr>
          <w:p>
            <w:pPr>
              <w:keepNext w:val="0"/>
              <w:spacing w:line="320" w:lineRule="exact" w:after="0" w:before="0"/>
              <w:ind w:firstLine="0"/>
              <w:jc w:val="left"/>
            </w:pPr>
            <w:r>
              <w:rPr>
                <w:b w:val="0"/>
                <w:sz w:val="21"/>
              </w:rPr>
              <w:t>基准评测</w:t>
            </w:r>
          </w:p>
        </w:tc>
        <w:tc>
          <w:tcPr>
            <w:tcW w:type="dxa" w:w="5012"/>
            <w:vAlign w:val="center"/>
          </w:tcPr>
          <w:p>
            <w:pPr>
              <w:keepNext w:val="0"/>
              <w:spacing w:line="320" w:lineRule="exact" w:after="0" w:before="0"/>
              <w:ind w:firstLine="0"/>
              <w:jc w:val="left"/>
            </w:pPr>
            <w:r>
              <w:rPr>
                <w:b w:val="0"/>
                <w:sz w:val="21"/>
              </w:rPr>
              <w:t>GHY26691-DC-04-0004-V1.0</w:t>
            </w:r>
          </w:p>
        </w:tc>
        <w:tc>
          <w:tcPr>
            <w:tcW w:type="dxa" w:w="2891"/>
            <w:vAlign w:val="center"/>
          </w:tcPr>
          <w:p>
            <w:pPr>
              <w:keepNext w:val="0"/>
              <w:spacing w:line="320" w:lineRule="exact" w:after="0" w:before="0"/>
              <w:ind w:firstLine="0"/>
              <w:jc w:val="left"/>
            </w:pPr>
            <w:r>
              <w:rPr>
                <w:b w:val="0"/>
                <w:sz w:val="21"/>
              </w:rPr>
              <w:t>2500条</w:t>
            </w:r>
          </w:p>
        </w:tc>
      </w:tr>
    </w:tbl>
    <w:p>
      <w:pPr>
        <w:spacing w:after="40" w:line="240" w:lineRule="auto"/>
        <w:ind w:firstLine="0"/>
      </w:pPr>
      <w:r>
        <w:rPr>
          <w:sz w:val="4"/>
        </w:rPr>
      </w:r>
    </w:p>
    <w:p>
      <w:pPr>
        <w:jc w:val="both"/>
      </w:pPr>
      <w:r>
        <w:t>汇总检查以四张子集卡对应的实际版本为输入。逐用途核对净量和质量证据，列出来源家族、共享资源、独立内容及跨域引用。检验结果绑定有效标准与测量条件；数值、单位、精度、上下限及边界条件共同解析；缺陷标签绑定位置和证据；处置、复检与放行按时序串联；质量结论沿材料、工序和产品关系追溯。共同资源在存储清单中按文件身份去重，各用途的实际任务内容按规定单位计量。</w:t>
      </w:r>
    </w:p>
    <w:p>
      <w:pPr>
        <w:jc w:val="both"/>
      </w:pPr>
      <w:r>
        <w:t>领域质量审核由质量、检验、工艺、材料、生产及售后专业岗位确认业务适用性，数据质量岗位复核统计与证据。汇总卡的合格结论要求四个子集分别满足交付条件；部分子集通过时保留各自真实状态，不提前将整个领域标记为正式完成。</w:t>
      </w:r>
    </w:p>
    <w:p>
      <w:pPr>
        <w:pStyle w:val="Heading1"/>
        <w:pageBreakBefore/>
      </w:pPr>
      <w:r>
        <w:t>3 供需计划用途子集数据卡</w:t>
      </w:r>
    </w:p>
    <w:p>
      <w:pPr>
        <w:jc w:val="both"/>
      </w:pPr>
      <w:r>
        <w:t>本领域以项目、合同、订单行、物料、组织、库位、批次、状态与业务时点组织记录，覆盖销售需求、矿方工况、产品选型条件、订单、物料需求、采购到货、库存状态、生产计划与交付约束。四个用途分别建立任务、清单、卡片和质量证据，并按实际版本管理。</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3" name="Picture 3"/>
            <wp:cNvGraphicFramePr>
              <a:graphicFrameLocks noChangeAspect="1"/>
            </wp:cNvGraphicFramePr>
            <a:graphic>
              <a:graphicData uri="http://schemas.openxmlformats.org/drawingml/2006/picture">
                <pic:pic>
                  <pic:nvPicPr>
                    <pic:cNvPr id="0" name="图3_供需关系.png"/>
                    <pic:cNvPicPr/>
                  </pic:nvPicPr>
                  <pic:blipFill>
                    <a:blip r:embed="rId13"/>
                    <a:stretch>
                      <a:fillRect/>
                    </a:stretch>
                  </pic:blipFill>
                  <pic:spPr>
                    <a:xfrm>
                      <a:off x="0" y="0"/>
                      <a:ext cx="6048000" cy="2477354"/>
                    </a:xfrm>
                    <a:prstGeom prst="rect"/>
                  </pic:spPr>
                </pic:pic>
              </a:graphicData>
            </a:graphic>
          </wp:inline>
        </w:drawing>
      </w:r>
    </w:p>
    <w:p>
      <w:pPr>
        <w:pStyle w:val="Caption"/>
        <w:jc w:val="center"/>
      </w:pPr>
      <w:r>
        <w:t>图3-1 供需计划对象关系</w:t>
      </w:r>
    </w:p>
    <w:p>
      <w:pPr>
        <w:pStyle w:val="Heading2"/>
      </w:pPr>
      <w:r>
        <w:t>3.1 预训练数据卡</w:t>
      </w:r>
    </w:p>
    <w:p>
      <w:pPr>
        <w:pStyle w:val="Heading3"/>
      </w:pPr>
      <w:r>
        <w:t>3.1.1 基本信息</w:t>
      </w:r>
    </w:p>
    <w:p>
      <w:pPr>
        <w:pStyle w:val="Caption"/>
        <w:keepNext/>
      </w:pPr>
      <w:r>
        <w:t>表3-1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GHY26691-DC-01-0001-V1.0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供需计划数据集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预训练</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01 供需计划；关联对象为项目、合同、订单行、物料、组织、库位、批次、状态与业务时点</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预训练有效净量27600000000 Tokens；实际语义记录数由有效清单逐条统计</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预训练有效净量27600000000 Tokens，即276亿Tokens；保存分词器、配置和执行摘要</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采用第7章公共记录结构及本领域扩展字典；完整业务语义记录具有稳定标识、业务对象、来源家族、时间、内容、资源、标签与证据关系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根目录按01-PT及数据版本组织；data保存记录，resources保存模态载荷，metadata保存来源与关系，dictionary保存字段和标签，cards保存卡片，reports保存报告，tools保存解析程序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01-PT-数据版本-六位分片序号.jsonl；资源以稳定资源标识命名；卡片使用完整卡号；路径采用相对路径并拒绝越界和重名冲突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平台服务工单按卡号、数据版本及问题对象受理；由技术与营销、计划、采购、仓储和产品选型专业岗位协同处理，服务时段和响应要求执行统一售后安排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销售需求、矿方工况、产品选型条件、订单、物料需求、采购到货、库存状态、生产计划与交付约束。以项目、合同、订单行、物料、组织、库位、批次、状态与业务时点建立对象关系，来源范围包括CRM中的项目与商机、ERP中的订单和物料需求、SCM中的采购与到货、WMS中的库存及出入库、MES中的计划与进度、PLM中的产品配置、OA中的合同及审批资料。面向预训练形成忠实保留原始事实、关系和适用条件的领域语料，重点检查原文保真、语义完整、有效Tokens及重复损耗。数据支持产品智能选型、库存控制智能化、合同合规审查智能助手、决策数据智能问答助手；相关制度与标书内容按适用任务衔接，结论依据实际输入、专业条件和验证范围使用。涉及客户信息、联系人信息、合同价格、供应商条件、库存分布和经营计划时执行相应授权及安全处理。业务事实、推断与未知状态分别标记，数据版本与引用依据保持一致。</w:t>
      </w:r>
    </w:p>
    <w:p>
      <w:pPr>
        <w:pStyle w:val="Heading3"/>
      </w:pPr>
      <w:r>
        <w:t>3.1.2 内容特征</w:t>
      </w:r>
    </w:p>
    <w:p>
      <w:pPr>
        <w:pStyle w:val="Caption"/>
        <w:keepNext/>
      </w:pPr>
      <w:r>
        <w:t>表3-2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文本、图像、时序、视频按有效载荷统计；重点关联项目、合同、订单行、物料、组织、库位、批次、状态与业务时点；图纸、表格载体不独立增加模态数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以完整业务语义记录为分母，至少两种有效关联模态的记录为分子；分子、分母及互斥组合清单齐备，按1.4节满足40%要求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按SP01需求与合同、SP02选型约束、SP03物料与采购、SP04库存与可用量、SP05计划与协同、SP06经营决策依据统计；主主题互斥，辅助主题允许多选并另列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按事实识读、跨段关系和条件组合区分语料复杂性，不把长度直接当作推理难度</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合成与增强来源内容的并集不超过有效Tokens的20%；交集去重计算</w:t>
            </w:r>
          </w:p>
        </w:tc>
      </w:tr>
    </w:tbl>
    <w:p>
      <w:pPr>
        <w:spacing w:after="40" w:line="240" w:lineRule="auto"/>
        <w:ind w:firstLine="0"/>
      </w:pPr>
      <w:r>
        <w:rPr>
          <w:sz w:val="4"/>
        </w:rPr>
      </w:r>
    </w:p>
    <w:p>
      <w:pPr>
        <w:pStyle w:val="Heading3"/>
      </w:pPr>
      <w:r>
        <w:t>3.1.3 建设过程</w:t>
      </w:r>
    </w:p>
    <w:p>
      <w:pPr>
        <w:pStyle w:val="Caption"/>
        <w:keepNext/>
      </w:pPr>
      <w:r>
        <w:t>表3-3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CRM中的项目与商机、ERP中的订单和物料需求、SCM中的采购与到货、WMS中的库存及出入库、MES中的计划与进度、PLM中的产品配置、OA中的合同及审批资料；逐源登记组织、资料类别、业务期间、采集期间及许可依据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对齐项目及订单身份，保留需求变更时间；库存按组织、物料、库位、批次、质量状态和截止时点对账；采购到货与可用库存分别登记；选型输入保留工况、约束、候选配置和校核依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保存解析器、字典、切分、窗口、重叠、单位换算、时间校正和对齐配置；项目、合同、订单行、物料、组织、库位、批次、状态与业务时点为关联校验重点；参数经真实资料验证后冻结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主题、实体、术语、版面、时间和模态关联元数据；发生专业语义标记时纳入对应标注规范；规范编号与实际生产记录绑定，不因预训练用途自动省略专业标记管理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由营销、计划、采购、仓储和产品选型专业岗位承担专业定义与争议裁决，标注人员依规范执行；自检、交叉复核、专家仲裁分别保存原始结果及修订记录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3.1.4 应用说明</w:t>
      </w:r>
    </w:p>
    <w:p>
      <w:pPr>
        <w:pStyle w:val="Caption"/>
        <w:keepNext/>
      </w:pPr>
      <w:r>
        <w:t>表3-4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产品智能选型、库存控制智能化、合同合规审查智能助手、决策数据智能问答助手；相关制度与标书内容按适用任务衔接；验证结论按实际场景、输入条件和版本形成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继续预训练；输入接口须支持实际文本、图像、时序或视频载荷及对应关系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订单与物料字段抽取精确率及召回率、库存数量计算正确率、约束满足率、证据引用正确率、缺少条件时的合理澄清率；各用途采用本卡评价协议并保留定义、方向和统计单位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3.1.5 质量验证</w:t>
      </w:r>
    </w:p>
    <w:p>
      <w:pPr>
        <w:pStyle w:val="Caption"/>
        <w:keepNext/>
      </w:pPr>
      <w:r>
        <w:t>表3-5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质检报告采用GHY26691-QC-01-0001并绑定实际版本、受检清单和内容根摘要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分别报告保真度、完备性、规整性、均衡性、可用性、可信性的方法、结果与问题；按项目、合同、订单行、物料、组织、库位、批次、状态与业务时点检查关键业务关联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验证报告采用GHY26691-VR-01-0001及实际版本；引用数据、模型、协议、实验和原始输出，汇总与子集范围分别标明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营销、计划、采购、仓储和产品选型专业岗位结合产品智能选型、库存控制智能化、合同合规审查智能助手、决策数据智能问答助手；相关制度与标书内容按适用任务衔接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3.1.6 安全合规</w:t>
      </w:r>
    </w:p>
    <w:p>
      <w:pPr>
        <w:pStyle w:val="Caption"/>
        <w:keepNext/>
      </w:pPr>
      <w:r>
        <w:t>表3-6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生产经营数据中的供需计划相关数据；按销售需求、矿方工况、产品选型条件、订单、物料需求、采购到货、库存状态、生产计划与交付约束细分并关联资产目录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客户信息、联系人信息、合同价格、供应商条件、库存分布和经营计划；实际敏感要素由检测与人工复核确认，未知状态不按无敏感信息处理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客户、供应商及联系人采用稳定替代标识；合同价格按用途实施受控访问或经批准的转换，保留币种、含税状态和金额关系；用于库存计算的必要数量在授权环境保真处理</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营销、计划、采购、仓储和产品选型专业岗位按业务必要性申请；加工、质量与评测岗位取得任务所需权限，基准答案、原始敏感资料和替代映射分别控制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按卡号GHY26691-DC-01-0001-V1.0、实际数据版本、对象标识和工单关联查询采集、加工、访问、下载、评测及发布审计；交付留存必要受控记录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3.1.7 指纹血缘</w:t>
      </w:r>
    </w:p>
    <w:p>
      <w:pPr>
        <w:pStyle w:val="Caption"/>
        <w:keepNext/>
      </w:pPr>
      <w:r>
        <w:t>表3-7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01-PT根目录内package.json登记身份、数据版本、结构版本、字典、卡片、资源和文件清单；脱离平台按第7章完成读取及核验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3.1.8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表3-8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order_line_id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订单与行项目的稳定联合身份</w:t>
            </w:r>
          </w:p>
        </w:tc>
        <w:tc>
          <w:tcPr>
            <w:tcW w:type="dxa" w:w="3084"/>
            <w:vAlign w:val="center"/>
          </w:tcPr>
          <w:p>
            <w:pPr>
              <w:keepNext w:val="0"/>
              <w:spacing w:line="320" w:lineRule="exact" w:after="0" w:before="0"/>
              <w:ind w:firstLine="0"/>
              <w:jc w:val="left"/>
            </w:pPr>
            <w:r>
              <w:rPr>
                <w:b w:val="0"/>
                <w:sz w:val="21"/>
              </w:rPr>
              <w:t>不得仅用合同号代表多个交付行</w:t>
            </w:r>
          </w:p>
        </w:tc>
      </w:tr>
      <w:tr>
        <w:trPr>
          <w:cantSplit/>
        </w:trPr>
        <w:tc>
          <w:tcPr>
            <w:tcW w:type="dxa" w:w="2313"/>
            <w:vAlign w:val="center"/>
          </w:tcPr>
          <w:p>
            <w:pPr>
              <w:keepNext w:val="0"/>
              <w:spacing w:line="320" w:lineRule="exact" w:after="0" w:before="0"/>
              <w:ind w:firstLine="0"/>
              <w:jc w:val="left"/>
            </w:pPr>
            <w:r>
              <w:rPr>
                <w:b w:val="0"/>
                <w:sz w:val="21"/>
              </w:rPr>
              <w:t>material_id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物料主记录标识</w:t>
            </w:r>
          </w:p>
        </w:tc>
        <w:tc>
          <w:tcPr>
            <w:tcW w:type="dxa" w:w="3084"/>
            <w:vAlign w:val="center"/>
          </w:tcPr>
          <w:p>
            <w:pPr>
              <w:keepNext w:val="0"/>
              <w:spacing w:line="320" w:lineRule="exact" w:after="0" w:before="0"/>
              <w:ind w:firstLine="0"/>
              <w:jc w:val="left"/>
            </w:pPr>
            <w:r>
              <w:rPr>
                <w:b w:val="0"/>
                <w:sz w:val="21"/>
              </w:rPr>
              <w:t>替代物料另列关系与生效条件</w:t>
            </w:r>
          </w:p>
        </w:tc>
      </w:tr>
      <w:tr>
        <w:trPr>
          <w:cantSplit/>
        </w:trPr>
        <w:tc>
          <w:tcPr>
            <w:tcW w:type="dxa" w:w="2313"/>
            <w:vAlign w:val="center"/>
          </w:tcPr>
          <w:p>
            <w:pPr>
              <w:keepNext w:val="0"/>
              <w:spacing w:line="320" w:lineRule="exact" w:after="0" w:before="0"/>
              <w:ind w:firstLine="0"/>
              <w:jc w:val="left"/>
            </w:pPr>
            <w:r>
              <w:rPr>
                <w:b w:val="0"/>
                <w:sz w:val="21"/>
              </w:rPr>
              <w:t>inventory_state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available、pending_inspection、frozen、reserved、in_transit</w:t>
            </w:r>
          </w:p>
        </w:tc>
        <w:tc>
          <w:tcPr>
            <w:tcW w:type="dxa" w:w="3084"/>
            <w:vAlign w:val="center"/>
          </w:tcPr>
          <w:p>
            <w:pPr>
              <w:keepNext w:val="0"/>
              <w:spacing w:line="320" w:lineRule="exact" w:after="0" w:before="0"/>
              <w:ind w:firstLine="0"/>
              <w:jc w:val="left"/>
            </w:pPr>
            <w:r>
              <w:rPr>
                <w:b w:val="0"/>
                <w:sz w:val="21"/>
              </w:rPr>
              <w:t>状态与统计时点共同确定可用性</w:t>
            </w:r>
          </w:p>
        </w:tc>
      </w:tr>
      <w:tr>
        <w:trPr>
          <w:cantSplit/>
        </w:trPr>
        <w:tc>
          <w:tcPr>
            <w:tcW w:type="dxa" w:w="2313"/>
            <w:vAlign w:val="center"/>
          </w:tcPr>
          <w:p>
            <w:pPr>
              <w:keepNext w:val="0"/>
              <w:spacing w:line="320" w:lineRule="exact" w:after="0" w:before="0"/>
              <w:ind w:firstLine="0"/>
              <w:jc w:val="left"/>
            </w:pPr>
            <w:r>
              <w:rPr>
                <w:b w:val="0"/>
                <w:sz w:val="21"/>
              </w:rPr>
              <w:t>quantity</w:t>
            </w:r>
          </w:p>
        </w:tc>
        <w:tc>
          <w:tcPr>
            <w:tcW w:type="dxa" w:w="1157"/>
            <w:vAlign w:val="center"/>
          </w:tcPr>
          <w:p>
            <w:pPr>
              <w:keepNext w:val="0"/>
              <w:spacing w:line="320" w:lineRule="exact" w:after="0" w:before="0"/>
              <w:ind w:firstLine="0"/>
              <w:jc w:val="left"/>
            </w:pPr>
            <w:r>
              <w:rPr>
                <w:b w:val="0"/>
                <w:sz w:val="21"/>
              </w:rPr>
              <w:t>十进制数</w:t>
            </w:r>
          </w:p>
        </w:tc>
        <w:tc>
          <w:tcPr>
            <w:tcW w:type="dxa" w:w="3084"/>
            <w:vAlign w:val="center"/>
          </w:tcPr>
          <w:p>
            <w:pPr>
              <w:keepNext w:val="0"/>
              <w:spacing w:line="320" w:lineRule="exact" w:after="0" w:before="0"/>
              <w:ind w:firstLine="0"/>
              <w:jc w:val="left"/>
            </w:pPr>
            <w:r>
              <w:rPr>
                <w:b w:val="0"/>
                <w:sz w:val="21"/>
              </w:rPr>
              <w:t>带单位的业务数量</w:t>
            </w:r>
          </w:p>
        </w:tc>
        <w:tc>
          <w:tcPr>
            <w:tcW w:type="dxa" w:w="3084"/>
            <w:vAlign w:val="center"/>
          </w:tcPr>
          <w:p>
            <w:pPr>
              <w:keepNext w:val="0"/>
              <w:spacing w:line="320" w:lineRule="exact" w:after="0" w:before="0"/>
              <w:ind w:firstLine="0"/>
              <w:jc w:val="left"/>
            </w:pPr>
            <w:r>
              <w:rPr>
                <w:b w:val="0"/>
                <w:sz w:val="21"/>
              </w:rPr>
              <w:t>数量、单位、状态和来源同时存在</w:t>
            </w:r>
          </w:p>
        </w:tc>
      </w:tr>
      <w:tr>
        <w:trPr>
          <w:cantSplit/>
        </w:trPr>
        <w:tc>
          <w:tcPr>
            <w:tcW w:type="dxa" w:w="2313"/>
            <w:vAlign w:val="center"/>
          </w:tcPr>
          <w:p>
            <w:pPr>
              <w:keepNext w:val="0"/>
              <w:spacing w:line="320" w:lineRule="exact" w:after="0" w:before="0"/>
              <w:ind w:firstLine="0"/>
              <w:jc w:val="left"/>
            </w:pPr>
            <w:r>
              <w:rPr>
                <w:b w:val="0"/>
                <w:sz w:val="21"/>
              </w:rPr>
              <w:t>cutoff_time</w:t>
            </w:r>
          </w:p>
        </w:tc>
        <w:tc>
          <w:tcPr>
            <w:tcW w:type="dxa" w:w="1157"/>
            <w:vAlign w:val="center"/>
          </w:tcPr>
          <w:p>
            <w:pPr>
              <w:keepNext w:val="0"/>
              <w:spacing w:line="320" w:lineRule="exact" w:after="0" w:before="0"/>
              <w:ind w:firstLine="0"/>
              <w:jc w:val="left"/>
            </w:pPr>
            <w:r>
              <w:rPr>
                <w:b w:val="0"/>
                <w:sz w:val="21"/>
              </w:rPr>
              <w:t>时间</w:t>
            </w:r>
          </w:p>
        </w:tc>
        <w:tc>
          <w:tcPr>
            <w:tcW w:type="dxa" w:w="3084"/>
            <w:vAlign w:val="center"/>
          </w:tcPr>
          <w:p>
            <w:pPr>
              <w:keepNext w:val="0"/>
              <w:spacing w:line="320" w:lineRule="exact" w:after="0" w:before="0"/>
              <w:ind w:firstLine="0"/>
              <w:jc w:val="left"/>
            </w:pPr>
            <w:r>
              <w:rPr>
                <w:b w:val="0"/>
                <w:sz w:val="21"/>
              </w:rPr>
              <w:t>统一业务时区的截止时点</w:t>
            </w:r>
          </w:p>
        </w:tc>
        <w:tc>
          <w:tcPr>
            <w:tcW w:type="dxa" w:w="3084"/>
            <w:vAlign w:val="center"/>
          </w:tcPr>
          <w:p>
            <w:pPr>
              <w:keepNext w:val="0"/>
              <w:spacing w:line="320" w:lineRule="exact" w:after="0" w:before="0"/>
              <w:ind w:firstLine="0"/>
              <w:jc w:val="left"/>
            </w:pPr>
            <w:r>
              <w:rPr>
                <w:b w:val="0"/>
                <w:sz w:val="21"/>
              </w:rPr>
              <w:t>跨系统比较采用同一时点或可核验调整</w:t>
            </w:r>
          </w:p>
        </w:tc>
      </w:tr>
      <w:tr>
        <w:trPr>
          <w:cantSplit/>
        </w:trPr>
        <w:tc>
          <w:tcPr>
            <w:tcW w:type="dxa" w:w="2313"/>
            <w:vAlign w:val="center"/>
          </w:tcPr>
          <w:p>
            <w:pPr>
              <w:keepNext w:val="0"/>
              <w:spacing w:line="320" w:lineRule="exact" w:after="0" w:before="0"/>
              <w:ind w:firstLine="0"/>
              <w:jc w:val="left"/>
            </w:pPr>
            <w:r>
              <w:rPr>
                <w:b w:val="0"/>
                <w:sz w:val="21"/>
              </w:rPr>
              <w:t>constraint_refs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交期、工况、接口及审批的证据标识</w:t>
            </w:r>
          </w:p>
        </w:tc>
        <w:tc>
          <w:tcPr>
            <w:tcW w:type="dxa" w:w="3084"/>
            <w:vAlign w:val="center"/>
          </w:tcPr>
          <w:p>
            <w:pPr>
              <w:keepNext w:val="0"/>
              <w:spacing w:line="320" w:lineRule="exact" w:after="0" w:before="0"/>
              <w:ind w:firstLine="0"/>
              <w:jc w:val="left"/>
            </w:pPr>
            <w:r>
              <w:rPr>
                <w:b w:val="0"/>
                <w:sz w:val="21"/>
              </w:rPr>
              <w:t>每项约束可回到原资料与有效版本</w:t>
            </w:r>
          </w:p>
        </w:tc>
      </w:tr>
    </w:tbl>
    <w:p>
      <w:pPr>
        <w:spacing w:after="40" w:line="240" w:lineRule="auto"/>
        <w:ind w:firstLine="0"/>
      </w:pPr>
      <w:r>
        <w:rPr>
          <w:sz w:val="4"/>
        </w:rPr>
      </w:r>
    </w:p>
    <w:p>
      <w:pPr>
        <w:pStyle w:val="Caption"/>
        <w:keepNext/>
      </w:pPr>
      <w:r>
        <w:t>表3-9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SP01</w:t>
            </w:r>
          </w:p>
        </w:tc>
        <w:tc>
          <w:tcPr>
            <w:tcW w:type="dxa" w:w="2891"/>
            <w:vAlign w:val="center"/>
          </w:tcPr>
          <w:p>
            <w:pPr>
              <w:keepNext w:val="0"/>
              <w:spacing w:line="320" w:lineRule="exact" w:after="0" w:before="0"/>
              <w:ind w:firstLine="0"/>
              <w:jc w:val="left"/>
            </w:pPr>
            <w:r>
              <w:rPr>
                <w:b w:val="0"/>
                <w:sz w:val="21"/>
              </w:rPr>
              <w:t>需求与合同</w:t>
            </w:r>
          </w:p>
        </w:tc>
        <w:tc>
          <w:tcPr>
            <w:tcW w:type="dxa" w:w="4433"/>
            <w:vAlign w:val="center"/>
          </w:tcPr>
          <w:p>
            <w:pPr>
              <w:keepNext w:val="0"/>
              <w:spacing w:line="320" w:lineRule="exact" w:after="0" w:before="0"/>
              <w:ind w:firstLine="0"/>
              <w:jc w:val="left"/>
            </w:pPr>
            <w:r>
              <w:rPr>
                <w:b w:val="0"/>
                <w:sz w:val="21"/>
              </w:rPr>
              <w:t>合同义务、数量、时间和变更依据</w:t>
            </w:r>
          </w:p>
        </w:tc>
      </w:tr>
      <w:tr>
        <w:trPr>
          <w:cantSplit/>
        </w:trPr>
        <w:tc>
          <w:tcPr>
            <w:tcW w:type="dxa" w:w="2313"/>
            <w:vAlign w:val="center"/>
          </w:tcPr>
          <w:p>
            <w:pPr>
              <w:keepNext w:val="0"/>
              <w:spacing w:line="320" w:lineRule="exact" w:after="0" w:before="0"/>
              <w:ind w:firstLine="0"/>
              <w:jc w:val="left"/>
            </w:pPr>
            <w:r>
              <w:rPr>
                <w:b w:val="0"/>
                <w:sz w:val="21"/>
              </w:rPr>
              <w:t>SP02</w:t>
            </w:r>
          </w:p>
        </w:tc>
        <w:tc>
          <w:tcPr>
            <w:tcW w:type="dxa" w:w="2891"/>
            <w:vAlign w:val="center"/>
          </w:tcPr>
          <w:p>
            <w:pPr>
              <w:keepNext w:val="0"/>
              <w:spacing w:line="320" w:lineRule="exact" w:after="0" w:before="0"/>
              <w:ind w:firstLine="0"/>
              <w:jc w:val="left"/>
            </w:pPr>
            <w:r>
              <w:rPr>
                <w:b w:val="0"/>
                <w:sz w:val="21"/>
              </w:rPr>
              <w:t>选型约束</w:t>
            </w:r>
          </w:p>
        </w:tc>
        <w:tc>
          <w:tcPr>
            <w:tcW w:type="dxa" w:w="4433"/>
            <w:vAlign w:val="center"/>
          </w:tcPr>
          <w:p>
            <w:pPr>
              <w:keepNext w:val="0"/>
              <w:spacing w:line="320" w:lineRule="exact" w:after="0" w:before="0"/>
              <w:ind w:firstLine="0"/>
              <w:jc w:val="left"/>
            </w:pPr>
            <w:r>
              <w:rPr>
                <w:b w:val="0"/>
                <w:sz w:val="21"/>
              </w:rPr>
              <w:t>工况、候选产品和接口条件</w:t>
            </w:r>
          </w:p>
        </w:tc>
      </w:tr>
      <w:tr>
        <w:trPr>
          <w:cantSplit/>
        </w:trPr>
        <w:tc>
          <w:tcPr>
            <w:tcW w:type="dxa" w:w="2313"/>
            <w:vAlign w:val="center"/>
          </w:tcPr>
          <w:p>
            <w:pPr>
              <w:keepNext w:val="0"/>
              <w:spacing w:line="320" w:lineRule="exact" w:after="0" w:before="0"/>
              <w:ind w:firstLine="0"/>
              <w:jc w:val="left"/>
            </w:pPr>
            <w:r>
              <w:rPr>
                <w:b w:val="0"/>
                <w:sz w:val="21"/>
              </w:rPr>
              <w:t>SP03</w:t>
            </w:r>
          </w:p>
        </w:tc>
        <w:tc>
          <w:tcPr>
            <w:tcW w:type="dxa" w:w="2891"/>
            <w:vAlign w:val="center"/>
          </w:tcPr>
          <w:p>
            <w:pPr>
              <w:keepNext w:val="0"/>
              <w:spacing w:line="320" w:lineRule="exact" w:after="0" w:before="0"/>
              <w:ind w:firstLine="0"/>
              <w:jc w:val="left"/>
            </w:pPr>
            <w:r>
              <w:rPr>
                <w:b w:val="0"/>
                <w:sz w:val="21"/>
              </w:rPr>
              <w:t>物料与采购</w:t>
            </w:r>
          </w:p>
        </w:tc>
        <w:tc>
          <w:tcPr>
            <w:tcW w:type="dxa" w:w="4433"/>
            <w:vAlign w:val="center"/>
          </w:tcPr>
          <w:p>
            <w:pPr>
              <w:keepNext w:val="0"/>
              <w:spacing w:line="320" w:lineRule="exact" w:after="0" w:before="0"/>
              <w:ind w:firstLine="0"/>
              <w:jc w:val="left"/>
            </w:pPr>
            <w:r>
              <w:rPr>
                <w:b w:val="0"/>
                <w:sz w:val="21"/>
              </w:rPr>
              <w:t>需求、替代料、采购与预计到货</w:t>
            </w:r>
          </w:p>
        </w:tc>
      </w:tr>
      <w:tr>
        <w:trPr>
          <w:cantSplit/>
        </w:trPr>
        <w:tc>
          <w:tcPr>
            <w:tcW w:type="dxa" w:w="2313"/>
            <w:vAlign w:val="center"/>
          </w:tcPr>
          <w:p>
            <w:pPr>
              <w:keepNext w:val="0"/>
              <w:spacing w:line="320" w:lineRule="exact" w:after="0" w:before="0"/>
              <w:ind w:firstLine="0"/>
              <w:jc w:val="left"/>
            </w:pPr>
            <w:r>
              <w:rPr>
                <w:b w:val="0"/>
                <w:sz w:val="21"/>
              </w:rPr>
              <w:t>SP04</w:t>
            </w:r>
          </w:p>
        </w:tc>
        <w:tc>
          <w:tcPr>
            <w:tcW w:type="dxa" w:w="2891"/>
            <w:vAlign w:val="center"/>
          </w:tcPr>
          <w:p>
            <w:pPr>
              <w:keepNext w:val="0"/>
              <w:spacing w:line="320" w:lineRule="exact" w:after="0" w:before="0"/>
              <w:ind w:firstLine="0"/>
              <w:jc w:val="left"/>
            </w:pPr>
            <w:r>
              <w:rPr>
                <w:b w:val="0"/>
                <w:sz w:val="21"/>
              </w:rPr>
              <w:t>库存与可用量</w:t>
            </w:r>
          </w:p>
        </w:tc>
        <w:tc>
          <w:tcPr>
            <w:tcW w:type="dxa" w:w="4433"/>
            <w:vAlign w:val="center"/>
          </w:tcPr>
          <w:p>
            <w:pPr>
              <w:keepNext w:val="0"/>
              <w:spacing w:line="320" w:lineRule="exact" w:after="0" w:before="0"/>
              <w:ind w:firstLine="0"/>
              <w:jc w:val="left"/>
            </w:pPr>
            <w:r>
              <w:rPr>
                <w:b w:val="0"/>
                <w:sz w:val="21"/>
              </w:rPr>
              <w:t>账面、待检、冻结、占用和可用状态</w:t>
            </w:r>
          </w:p>
        </w:tc>
      </w:tr>
      <w:tr>
        <w:trPr>
          <w:cantSplit/>
        </w:trPr>
        <w:tc>
          <w:tcPr>
            <w:tcW w:type="dxa" w:w="2313"/>
            <w:vAlign w:val="center"/>
          </w:tcPr>
          <w:p>
            <w:pPr>
              <w:keepNext w:val="0"/>
              <w:spacing w:line="320" w:lineRule="exact" w:after="0" w:before="0"/>
              <w:ind w:firstLine="0"/>
              <w:jc w:val="left"/>
            </w:pPr>
            <w:r>
              <w:rPr>
                <w:b w:val="0"/>
                <w:sz w:val="21"/>
              </w:rPr>
              <w:t>SP05</w:t>
            </w:r>
          </w:p>
        </w:tc>
        <w:tc>
          <w:tcPr>
            <w:tcW w:type="dxa" w:w="2891"/>
            <w:vAlign w:val="center"/>
          </w:tcPr>
          <w:p>
            <w:pPr>
              <w:keepNext w:val="0"/>
              <w:spacing w:line="320" w:lineRule="exact" w:after="0" w:before="0"/>
              <w:ind w:firstLine="0"/>
              <w:jc w:val="left"/>
            </w:pPr>
            <w:r>
              <w:rPr>
                <w:b w:val="0"/>
                <w:sz w:val="21"/>
              </w:rPr>
              <w:t>计划与协同</w:t>
            </w:r>
          </w:p>
        </w:tc>
        <w:tc>
          <w:tcPr>
            <w:tcW w:type="dxa" w:w="4433"/>
            <w:vAlign w:val="center"/>
          </w:tcPr>
          <w:p>
            <w:pPr>
              <w:keepNext w:val="0"/>
              <w:spacing w:line="320" w:lineRule="exact" w:after="0" w:before="0"/>
              <w:ind w:firstLine="0"/>
              <w:jc w:val="left"/>
            </w:pPr>
            <w:r>
              <w:rPr>
                <w:b w:val="0"/>
                <w:sz w:val="21"/>
              </w:rPr>
              <w:t>工序约束、交付窗口和调整原因</w:t>
            </w:r>
          </w:p>
        </w:tc>
      </w:tr>
      <w:tr>
        <w:trPr>
          <w:cantSplit/>
        </w:trPr>
        <w:tc>
          <w:tcPr>
            <w:tcW w:type="dxa" w:w="2313"/>
            <w:vAlign w:val="center"/>
          </w:tcPr>
          <w:p>
            <w:pPr>
              <w:keepNext w:val="0"/>
              <w:spacing w:line="320" w:lineRule="exact" w:after="0" w:before="0"/>
              <w:ind w:firstLine="0"/>
              <w:jc w:val="left"/>
            </w:pPr>
            <w:r>
              <w:rPr>
                <w:b w:val="0"/>
                <w:sz w:val="21"/>
              </w:rPr>
              <w:t>SP06</w:t>
            </w:r>
          </w:p>
        </w:tc>
        <w:tc>
          <w:tcPr>
            <w:tcW w:type="dxa" w:w="2891"/>
            <w:vAlign w:val="center"/>
          </w:tcPr>
          <w:p>
            <w:pPr>
              <w:keepNext w:val="0"/>
              <w:spacing w:line="320" w:lineRule="exact" w:after="0" w:before="0"/>
              <w:ind w:firstLine="0"/>
              <w:jc w:val="left"/>
            </w:pPr>
            <w:r>
              <w:rPr>
                <w:b w:val="0"/>
                <w:sz w:val="21"/>
              </w:rPr>
              <w:t>经营决策依据</w:t>
            </w:r>
          </w:p>
        </w:tc>
        <w:tc>
          <w:tcPr>
            <w:tcW w:type="dxa" w:w="4433"/>
            <w:vAlign w:val="center"/>
          </w:tcPr>
          <w:p>
            <w:pPr>
              <w:keepNext w:val="0"/>
              <w:spacing w:line="320" w:lineRule="exact" w:after="0" w:before="0"/>
              <w:ind w:firstLine="0"/>
              <w:jc w:val="left"/>
            </w:pPr>
            <w:r>
              <w:rPr>
                <w:b w:val="0"/>
                <w:sz w:val="21"/>
              </w:rPr>
              <w:t>多来源事实、统计时点与依据引用</w:t>
            </w:r>
          </w:p>
        </w:tc>
      </w:tr>
    </w:tbl>
    <w:p>
      <w:pPr>
        <w:spacing w:after="40" w:line="240" w:lineRule="auto"/>
        <w:ind w:firstLine="0"/>
      </w:pPr>
      <w:r>
        <w:rPr>
          <w:sz w:val="4"/>
        </w:rPr>
      </w:r>
    </w:p>
    <w:p>
      <w:pPr>
        <w:pStyle w:val="Caption"/>
        <w:keepNext/>
      </w:pPr>
      <w:r>
        <w:t>表3-10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表3-11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constraint_review</w:t>
            </w:r>
          </w:p>
        </w:tc>
        <w:tc>
          <w:tcPr>
            <w:tcW w:type="dxa" w:w="7228"/>
            <w:vAlign w:val="center"/>
          </w:tcPr>
          <w:p>
            <w:pPr>
              <w:keepNext w:val="0"/>
              <w:spacing w:line="320" w:lineRule="exact" w:after="0" w:before="0"/>
              <w:ind w:firstLine="0"/>
              <w:jc w:val="left"/>
            </w:pPr>
            <w:r>
              <w:rPr>
                <w:b w:val="0"/>
                <w:sz w:val="21"/>
              </w:rPr>
              <w:t>逐项核验题定约束；缺少必要依据的条件保持未确认</w:t>
            </w:r>
          </w:p>
        </w:tc>
      </w:tr>
      <w:tr>
        <w:trPr>
          <w:cantSplit/>
        </w:trPr>
        <w:tc>
          <w:tcPr>
            <w:tcW w:type="dxa" w:w="2409"/>
            <w:vAlign w:val="center"/>
          </w:tcPr>
          <w:p>
            <w:pPr>
              <w:keepNext w:val="0"/>
              <w:spacing w:line="320" w:lineRule="exact" w:after="0" w:before="0"/>
              <w:ind w:firstLine="0"/>
              <w:jc w:val="left"/>
            </w:pPr>
            <w:r>
              <w:rPr>
                <w:b w:val="0"/>
                <w:sz w:val="21"/>
              </w:rPr>
              <w:t>evidence_insufficient</w:t>
            </w:r>
          </w:p>
        </w:tc>
        <w:tc>
          <w:tcPr>
            <w:tcW w:type="dxa" w:w="7228"/>
            <w:vAlign w:val="center"/>
          </w:tcPr>
          <w:p>
            <w:pPr>
              <w:keepNext w:val="0"/>
              <w:spacing w:line="320" w:lineRule="exact" w:after="0" w:before="0"/>
              <w:ind w:firstLine="0"/>
              <w:jc w:val="left"/>
            </w:pPr>
            <w:r>
              <w:rPr>
                <w:b w:val="0"/>
                <w:sz w:val="21"/>
              </w:rPr>
              <w:t>已有内容不足以支持所问结论，明确缺少的证据及仍可判定的范围</w:t>
            </w:r>
          </w:p>
        </w:tc>
      </w:tr>
      <w:tr>
        <w:trPr>
          <w:cantSplit/>
        </w:trPr>
        <w:tc>
          <w:tcPr>
            <w:tcW w:type="dxa" w:w="2409"/>
            <w:vAlign w:val="center"/>
          </w:tcPr>
          <w:p>
            <w:pPr>
              <w:keepNext w:val="0"/>
              <w:spacing w:line="320" w:lineRule="exact" w:after="0" w:before="0"/>
              <w:ind w:firstLine="0"/>
              <w:jc w:val="left"/>
            </w:pPr>
            <w:r>
              <w:rPr>
                <w:b w:val="0"/>
                <w:sz w:val="21"/>
              </w:rPr>
              <w:t>quantity_calculation</w:t>
            </w:r>
          </w:p>
        </w:tc>
        <w:tc>
          <w:tcPr>
            <w:tcW w:type="dxa" w:w="7228"/>
            <w:vAlign w:val="center"/>
          </w:tcPr>
          <w:p>
            <w:pPr>
              <w:keepNext w:val="0"/>
              <w:spacing w:line="320" w:lineRule="exact" w:after="0" w:before="0"/>
              <w:ind w:firstLine="0"/>
              <w:jc w:val="left"/>
            </w:pPr>
            <w:r>
              <w:rPr>
                <w:b w:val="0"/>
                <w:sz w:val="21"/>
              </w:rPr>
              <w:t>按题定数量、单位、状态及公式计算，保留中间结果和适用范围</w:t>
            </w:r>
          </w:p>
        </w:tc>
      </w:tr>
      <w:tr>
        <w:trPr>
          <w:cantSplit/>
        </w:trPr>
        <w:tc>
          <w:tcPr>
            <w:tcW w:type="dxa" w:w="2409"/>
            <w:vAlign w:val="center"/>
          </w:tcPr>
          <w:p>
            <w:pPr>
              <w:keepNext w:val="0"/>
              <w:spacing w:line="320" w:lineRule="exact" w:after="0" w:before="0"/>
              <w:ind w:firstLine="0"/>
              <w:jc w:val="left"/>
            </w:pPr>
            <w:r>
              <w:rPr>
                <w:b w:val="0"/>
                <w:sz w:val="21"/>
              </w:rPr>
              <w:t>schedule_review</w:t>
            </w:r>
          </w:p>
        </w:tc>
        <w:tc>
          <w:tcPr>
            <w:tcW w:type="dxa" w:w="7228"/>
            <w:vAlign w:val="center"/>
          </w:tcPr>
          <w:p>
            <w:pPr>
              <w:keepNext w:val="0"/>
              <w:spacing w:line="320" w:lineRule="exact" w:after="0" w:before="0"/>
              <w:ind w:firstLine="0"/>
              <w:jc w:val="left"/>
            </w:pPr>
            <w:r>
              <w:rPr>
                <w:b w:val="0"/>
                <w:sz w:val="21"/>
              </w:rPr>
              <w:t>按对应订单行的有效交期判断计划，变更仅对批准范围生效</w:t>
            </w:r>
          </w:p>
        </w:tc>
      </w:tr>
      <w:tr>
        <w:trPr>
          <w:cantSplit/>
        </w:trPr>
        <w:tc>
          <w:tcPr>
            <w:tcW w:type="dxa" w:w="2409"/>
            <w:vAlign w:val="center"/>
          </w:tcPr>
          <w:p>
            <w:pPr>
              <w:keepNext w:val="0"/>
              <w:spacing w:line="320" w:lineRule="exact" w:after="0" w:before="0"/>
              <w:ind w:firstLine="0"/>
              <w:jc w:val="left"/>
            </w:pPr>
            <w:r>
              <w:rPr>
                <w:b w:val="0"/>
                <w:sz w:val="21"/>
              </w:rPr>
              <w:t>state_alignment</w:t>
            </w:r>
          </w:p>
        </w:tc>
        <w:tc>
          <w:tcPr>
            <w:tcW w:type="dxa" w:w="7228"/>
            <w:vAlign w:val="center"/>
          </w:tcPr>
          <w:p>
            <w:pPr>
              <w:keepNext w:val="0"/>
              <w:spacing w:line="320" w:lineRule="exact" w:after="0" w:before="0"/>
              <w:ind w:firstLine="0"/>
              <w:jc w:val="left"/>
            </w:pPr>
            <w:r>
              <w:rPr>
                <w:b w:val="0"/>
                <w:sz w:val="21"/>
              </w:rPr>
              <w:t>比较对象处于相同业务时点和可比状态，区分在途、待检、冻结、占用与可用</w:t>
            </w:r>
          </w:p>
        </w:tc>
      </w:tr>
      <w:tr>
        <w:trPr>
          <w:cantSplit/>
        </w:trPr>
        <w:tc>
          <w:tcPr>
            <w:tcW w:type="dxa" w:w="2409"/>
            <w:vAlign w:val="center"/>
          </w:tcPr>
          <w:p>
            <w:pPr>
              <w:keepNext w:val="0"/>
              <w:spacing w:line="320" w:lineRule="exact" w:after="0" w:before="0"/>
              <w:ind w:firstLine="0"/>
              <w:jc w:val="left"/>
            </w:pPr>
            <w:r>
              <w:rPr>
                <w:b w:val="0"/>
                <w:sz w:val="21"/>
              </w:rPr>
              <w:t>version_scope</w:t>
            </w:r>
          </w:p>
        </w:tc>
        <w:tc>
          <w:tcPr>
            <w:tcW w:type="dxa" w:w="7228"/>
            <w:vAlign w:val="center"/>
          </w:tcPr>
          <w:p>
            <w:pPr>
              <w:keepNext w:val="0"/>
              <w:spacing w:line="320" w:lineRule="exact" w:after="0" w:before="0"/>
              <w:ind w:firstLine="0"/>
              <w:jc w:val="left"/>
            </w:pPr>
            <w:r>
              <w:rPr>
                <w:b w:val="0"/>
                <w:sz w:val="21"/>
              </w:rPr>
              <w:t>按批准版次的生效对象、期间及批次判断适用性</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3.1.9 规范样本</w:t>
      </w:r>
    </w:p>
    <w:p>
      <w:pPr>
        <w:keepNext/>
        <w:jc w:val="both"/>
      </w:pPr>
      <w:r>
        <w:t>规范样本1 库存状态与可用量核算</w:t>
      </w:r>
    </w:p>
    <w:p>
      <w:pPr>
        <w:pStyle w:val="Caption"/>
        <w:keepNext/>
      </w:pPr>
      <w:r>
        <w:t>表3-12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EX-01-PT-001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SP04、quantity_calculation、state_alignment</w:t>
            </w:r>
          </w:p>
        </w:tc>
      </w:tr>
    </w:tbl>
    <w:p>
      <w:pPr>
        <w:spacing w:after="40" w:line="240" w:lineRule="auto"/>
        <w:ind w:firstLine="0"/>
      </w:pPr>
      <w:r>
        <w:rPr>
          <w:sz w:val="4"/>
        </w:rPr>
      </w:r>
    </w:p>
    <w:p>
      <w:pPr>
        <w:jc w:val="both"/>
      </w:pPr>
      <w:r>
        <w:t>输入内容：物料甲在同一仓库、同一计量单位下，期初账面数量80件，本期入库20件、出库35件，无调整。期末账面中待检10件、冻结5件、已占用8件，三个状态互不重叠。在途采购12件尚未入库。</w:t>
      </w:r>
    </w:p>
    <w:p>
      <w:pPr>
        <w:pStyle w:val="Caption"/>
        <w:keepNext/>
      </w:pPr>
      <w:r>
        <w:t>表3-13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left"/>
            </w:pPr>
            <w:r>
              <w:rPr>
                <w:b w:val="0"/>
                <w:sz w:val="21"/>
              </w:rPr>
              <w:t>t0</w:t>
            </w:r>
          </w:p>
        </w:tc>
        <w:tc>
          <w:tcPr>
            <w:tcW w:type="dxa" w:w="7228"/>
            <w:vAlign w:val="center"/>
          </w:tcPr>
          <w:p>
            <w:pPr>
              <w:keepNext/>
              <w:spacing w:line="320" w:lineRule="exact" w:after="0" w:before="0"/>
              <w:ind w:firstLine="0"/>
              <w:jc w:val="center"/>
            </w:pPr>
            <w:r>
              <w:rPr>
                <w:b w:val="0"/>
                <w:sz w:val="21"/>
              </w:rPr>
              <w:t>80</w:t>
            </w:r>
          </w:p>
        </w:tc>
      </w:tr>
      <w:tr>
        <w:trPr>
          <w:cantSplit/>
        </w:trPr>
        <w:tc>
          <w:tcPr>
            <w:tcW w:type="dxa" w:w="2409"/>
            <w:vAlign w:val="center"/>
          </w:tcPr>
          <w:p>
            <w:pPr>
              <w:keepNext/>
              <w:spacing w:line="320" w:lineRule="exact" w:after="0" w:before="0"/>
              <w:ind w:firstLine="0"/>
              <w:jc w:val="left"/>
            </w:pPr>
            <w:r>
              <w:rPr>
                <w:b w:val="0"/>
                <w:sz w:val="21"/>
              </w:rPr>
              <w:t>t1</w:t>
            </w:r>
          </w:p>
        </w:tc>
        <w:tc>
          <w:tcPr>
            <w:tcW w:type="dxa" w:w="7228"/>
            <w:vAlign w:val="center"/>
          </w:tcPr>
          <w:p>
            <w:pPr>
              <w:keepNext/>
              <w:spacing w:line="320" w:lineRule="exact" w:after="0" w:before="0"/>
              <w:ind w:firstLine="0"/>
              <w:jc w:val="center"/>
            </w:pPr>
            <w:r>
              <w:rPr>
                <w:b w:val="0"/>
                <w:sz w:val="21"/>
              </w:rPr>
              <w:t>100</w:t>
            </w:r>
          </w:p>
        </w:tc>
      </w:tr>
      <w:tr>
        <w:trPr>
          <w:cantSplit/>
        </w:trPr>
        <w:tc>
          <w:tcPr>
            <w:tcW w:type="dxa" w:w="2409"/>
            <w:vAlign w:val="center"/>
          </w:tcPr>
          <w:p>
            <w:pPr>
              <w:keepNext w:val="0"/>
              <w:spacing w:line="320" w:lineRule="exact" w:after="0" w:before="0"/>
              <w:ind w:firstLine="0"/>
              <w:jc w:val="left"/>
            </w:pPr>
            <w:r>
              <w:rPr>
                <w:b w:val="0"/>
                <w:sz w:val="21"/>
              </w:rPr>
              <w:t>t2</w:t>
            </w:r>
          </w:p>
        </w:tc>
        <w:tc>
          <w:tcPr>
            <w:tcW w:type="dxa" w:w="7228"/>
            <w:vAlign w:val="center"/>
          </w:tcPr>
          <w:p>
            <w:pPr>
              <w:keepNext w:val="0"/>
              <w:spacing w:line="320" w:lineRule="exact" w:after="0" w:before="0"/>
              <w:ind w:firstLine="0"/>
              <w:jc w:val="center"/>
            </w:pPr>
            <w:r>
              <w:rPr>
                <w:b w:val="0"/>
                <w:sz w:val="21"/>
              </w:rPr>
              <w:t>65</w:t>
            </w:r>
          </w:p>
        </w:tc>
      </w:tr>
    </w:tbl>
    <w:p>
      <w:pPr>
        <w:spacing w:after="40" w:line="240" w:lineRule="auto"/>
        <w:ind w:firstLine="0"/>
      </w:pPr>
      <w:r>
        <w:rPr>
          <w:sz w:val="4"/>
        </w:rPr>
      </w:r>
    </w:p>
    <w:p>
      <w:pPr>
        <w:jc w:val="both"/>
      </w:pPr>
      <w:r>
        <w:t>语料正文：期末账面数量为80＋20－35＝65件。可供新需求使用的数量为65－10－5－8＝42件。在途12件仅作为预计到货单独列示，当前不计入账面和可用数量。计算适用于题定仓库、时点、单位及互斥状态。</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keepNext/>
        <w:jc w:val="both"/>
      </w:pPr>
      <w:r>
        <w:t>规范样本2 候选产品的接口条件核查</w:t>
      </w:r>
    </w:p>
    <w:p>
      <w:pPr>
        <w:pStyle w:val="Caption"/>
        <w:keepNext/>
      </w:pPr>
      <w:r>
        <w:t>表3-14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EX-01-PT-002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SP02、constraint_review、evidence_insufficient</w:t>
            </w:r>
          </w:p>
        </w:tc>
      </w:tr>
    </w:tbl>
    <w:p>
      <w:pPr>
        <w:spacing w:after="40" w:line="240" w:lineRule="auto"/>
        <w:ind w:firstLine="0"/>
      </w:pPr>
      <w:r>
        <w:rPr>
          <w:sz w:val="4"/>
        </w:rPr>
      </w:r>
    </w:p>
    <w:p>
      <w:pPr>
        <w:jc w:val="both"/>
      </w:pPr>
      <w:r>
        <w:t>输入内容：选型资料对候选产品甲给出的接口编号为J1，配套设备的批准接口编号为J2。资料未提供J1与J2的适配或转换批准记录。能力参数分别满足题定需求，但接口一致性尚无依据。</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4" name="Picture 4"/>
            <wp:cNvGraphicFramePr>
              <a:graphicFrameLocks noChangeAspect="1"/>
            </wp:cNvGraphicFramePr>
            <a:graphic>
              <a:graphicData uri="http://schemas.openxmlformats.org/drawingml/2006/picture">
                <pic:pic>
                  <pic:nvPicPr>
                    <pic:cNvPr id="0" name="例图01_2.png"/>
                    <pic:cNvPicPr/>
                  </pic:nvPicPr>
                  <pic:blipFill>
                    <a:blip r:embed="rId14"/>
                    <a:stretch>
                      <a:fillRect/>
                    </a:stretch>
                  </pic:blipFill>
                  <pic:spPr>
                    <a:xfrm>
                      <a:off x="0" y="0"/>
                      <a:ext cx="6048000" cy="1422831"/>
                    </a:xfrm>
                    <a:prstGeom prst="rect"/>
                  </pic:spPr>
                </pic:pic>
              </a:graphicData>
            </a:graphic>
          </wp:inline>
        </w:drawing>
      </w:r>
    </w:p>
    <w:p>
      <w:pPr>
        <w:pStyle w:val="Caption"/>
        <w:jc w:val="center"/>
      </w:pPr>
      <w:r>
        <w:t>图3-2 候选产品的接口条件核查</w:t>
      </w:r>
    </w:p>
    <w:p>
      <w:pPr>
        <w:jc w:val="both"/>
      </w:pPr>
      <w:r>
        <w:t>语料正文：现有材料不足以确认可直接配套。能力参数满足仅覆盖相应能力条件，接口J1与J2仍需逐项比对尺寸、连接、电气或控制等实际适用条件，并取得有效适配或转换批准记录。补证前保留接口条件未确认的判断。</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keepNext/>
        <w:jc w:val="both"/>
      </w:pPr>
      <w:r>
        <w:t>规范样本3 合同变更与计划交期引用</w:t>
      </w:r>
    </w:p>
    <w:p>
      <w:pPr>
        <w:pStyle w:val="Caption"/>
        <w:keepNext/>
      </w:pPr>
      <w:r>
        <w:t>表3-15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EX-01-PT-003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SP01、version_scope、schedule_review</w:t>
            </w:r>
          </w:p>
        </w:tc>
      </w:tr>
    </w:tbl>
    <w:p>
      <w:pPr>
        <w:spacing w:after="40" w:line="240" w:lineRule="auto"/>
        <w:ind w:firstLine="0"/>
      </w:pPr>
      <w:r>
        <w:rPr>
          <w:sz w:val="4"/>
        </w:rPr>
      </w:r>
    </w:p>
    <w:p>
      <w:pPr>
        <w:jc w:val="both"/>
      </w:pPr>
      <w:r>
        <w:t>输入内容：合同原约定交期为业务日D30，双方有效变更文件将订单行甲调整为D40。订单行乙不在变更范围内。原计划记录保留D30，调整后计划将行甲安排在D38，行乙安排在D35。</w:t>
      </w:r>
    </w:p>
    <w:p>
      <w:pPr>
        <w:jc w:val="both"/>
      </w:pPr>
      <w:r>
        <w:t>语料正文：行甲按有效变更后的D40判断，D38满足该交期条件；行乙仍按原D30判断，D35晚于约定交期。行甲引用变更文件及其适用订单行，行乙引用原合同。其他未给出的交付条件不能据此推定已满足。</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pStyle w:val="Heading3"/>
      </w:pPr>
      <w:r>
        <w:t>3.1.10 生产与使用核验</w:t>
      </w:r>
    </w:p>
    <w:p>
      <w:pPr>
        <w:jc w:val="both"/>
      </w:pPr>
      <w:r>
        <w:t>在固定保留语料上统计有效损失与困惑度，在独立业务探针上检查知识、关系和条件理解；不同分词器的困惑度不直接横比。本领域同时检查订单与物料字段抽取精确率及召回率、库存数量计算正确率、约束满足率、证据引用正确率、缺少条件时的合理澄清率。统计按任务类型、来源、模态、难度及关键业务对象分层，保留题目或记录级结果和失败对象。</w:t>
      </w:r>
    </w:p>
    <w:p>
      <w:pPr>
        <w:jc w:val="both"/>
      </w:pPr>
      <w:r>
        <w:t>生产检查从来源记录开始核对项目、合同、订单行、物料、组织、库位、批次、状态与业务时点，确认对齐项目及订单身份，保留需求变更时间；库存按组织、物料、库位、批次、质量状态和截止时点对账；采购到货与可用库存分别登记；选型输入保留工况、约束、候选配置和校核依据。专业分歧由营销、计划、采购、仓储和产品选型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3.2 有监督指令微调数据卡</w:t>
      </w:r>
    </w:p>
    <w:p>
      <w:pPr>
        <w:pStyle w:val="Heading3"/>
      </w:pPr>
      <w:r>
        <w:t>3.2.1 基本信息</w:t>
      </w:r>
    </w:p>
    <w:p>
      <w:pPr>
        <w:pStyle w:val="Caption"/>
        <w:keepNext/>
      </w:pPr>
      <w:r>
        <w:t>表3-16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GHY26691-DC-01-0002-V1.0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供需计划数据集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有监督指令微调</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01 供需计划；关联对象为项目、合同、订单行、物料、组织、库位、批次、状态与业务时点</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有效交付净量400000条；以完整输入与合格目标输出构成的任务为计数单位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本用途规模按条验收；如统计输入输出Tokens，分开保存且不替代任务或比较组数量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采用第7章公共记录结构及本领域扩展字典；完整输入与合格目标输出构成的任务具有稳定标识、业务对象、来源家族、时间、内容、资源、标签与证据关系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根目录按01-SFT及数据版本组织；data保存记录，resources保存模态载荷，metadata保存来源与关系，dictionary保存字段和标签，cards保存卡片，reports保存报告，tools保存解析程序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01-SFT-数据版本-六位分片序号.jsonl；资源以稳定资源标识命名；卡片使用完整卡号；路径采用相对路径并拒绝越界和重名冲突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平台服务工单按卡号、数据版本及问题对象受理；由技术与营销、计划、采购、仓储和产品选型专业岗位协同处理，服务时段和响应要求执行统一售后安排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销售需求、矿方工况、产品选型条件、订单、物料需求、采购到货、库存状态、生产计划与交付约束。以项目、合同、订单行、物料、组织、库位、批次、状态与业务时点建立对象关系，来源范围包括CRM中的项目与商机、ERP中的订单和物料需求、SCM中的采购与到货、WMS中的库存及出入库、MES中的计划与进度、PLM中的产品配置、OA中的合同及审批资料。面向有监督指令微调形成具有明确任务、证据、目标输出和边界条件的指令样本，重点检查指令明确、答案正确、证据充分、资源可读和任务完整。数据支持产品智能选型、库存控制智能化、合同合规审查智能助手、决策数据智能问答助手；相关制度与标书内容按适用任务衔接，结论依据实际输入、专业条件和验证范围使用。涉及客户信息、联系人信息、合同价格、供应商条件、库存分布和经营计划时执行相应授权及安全处理。业务事实、推断与未知状态分别标记，数据版本与引用依据保持一致。</w:t>
      </w:r>
    </w:p>
    <w:p>
      <w:pPr>
        <w:pStyle w:val="Heading3"/>
      </w:pPr>
      <w:r>
        <w:t>3.2.2 内容特征</w:t>
      </w:r>
    </w:p>
    <w:p>
      <w:pPr>
        <w:pStyle w:val="Caption"/>
        <w:keepNext/>
      </w:pPr>
      <w:r>
        <w:t>表3-17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文本、图像、时序、视频按有效载荷统计；重点关联项目、合同、订单行、物料、组织、库位、批次、状态与业务时点；图纸、表格载体不独立增加模态数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以完整输入与合格目标输出构成的任务为分母，至少两种有效关联模态的记录为分子；分子、分母及互斥组合清单齐备，按1.4节满足40%要求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按SP01需求与合同、SP02选型约束、SP03物料与采购、SP04库存与可用量、SP05计划与协同、SP06经营决策依据统计；主主题互斥，辅助主题允许多选并另列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单一证据直接识读为基础，跨对象关联或有限计算为组合，多条件判断及证据冲突为复杂；分类依据任务认知要求</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整体合成来源不超过45%；真实数据充足任务不超过30%，推理及长尾任务不超过60%，并服从整体45%上限</w:t>
            </w:r>
          </w:p>
        </w:tc>
      </w:tr>
    </w:tbl>
    <w:p>
      <w:pPr>
        <w:spacing w:after="40" w:line="240" w:lineRule="auto"/>
        <w:ind w:firstLine="0"/>
      </w:pPr>
      <w:r>
        <w:rPr>
          <w:sz w:val="4"/>
        </w:rPr>
      </w:r>
    </w:p>
    <w:p>
      <w:pPr>
        <w:pStyle w:val="Heading3"/>
      </w:pPr>
      <w:r>
        <w:t>3.2.3 建设过程</w:t>
      </w:r>
    </w:p>
    <w:p>
      <w:pPr>
        <w:pStyle w:val="Caption"/>
        <w:keepNext/>
      </w:pPr>
      <w:r>
        <w:t>表3-18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CRM中的项目与商机、ERP中的订单和物料需求、SCM中的采购与到货、WMS中的库存及出入库、MES中的计划与进度、PLM中的产品配置、OA中的合同及审批资料；逐源登记组织、资料类别、业务期间、采集期间及许可依据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对齐项目及订单身份，保留需求变更时间；库存按组织、物料、库位、批次、质量状态和截止时点对账；采购到货与可用库存分别登记；选型输入保留工况、约束、候选配置和校核依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保存解析器、字典、切分、窗口、重叠、单位换算、时间校正和对齐配置；项目、合同、订单行、物料、组织、库位、批次、状态与业务时点为关联校验重点；参数经真实资料验证后冻结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任务类型、输入条件、目标答案、证据定位、适用边界、难度及必要的多模态标签；规范编号与实际生产记录绑定，不因预训练用途自动省略专业标记管理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由营销、计划、采购、仓储和产品选型专业岗位承担专业定义与争议裁决，标注人员依规范执行；自检、交叉复核、专家仲裁分别保存原始结果及修订记录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3.2.4 应用说明</w:t>
      </w:r>
    </w:p>
    <w:p>
      <w:pPr>
        <w:pStyle w:val="Caption"/>
        <w:keepNext/>
      </w:pPr>
      <w:r>
        <w:t>表3-19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产品智能选型、库存控制智能化、合同合规审查智能助手、决策数据智能问答助手；相关制度与标书内容按适用任务衔接；验证结论按实际场景、输入条件和版本形成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指令微调；输入接口须支持实际文本、图像、时序或视频载荷及对应关系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订单与物料字段抽取精确率及召回率、库存数量计算正确率、约束满足率、证据引用正确率、缺少条件时的合理澄清率；各用途采用本卡评价协议并保留定义、方向和统计单位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3.2.5 质量验证</w:t>
      </w:r>
    </w:p>
    <w:p>
      <w:pPr>
        <w:pStyle w:val="Caption"/>
        <w:keepNext/>
      </w:pPr>
      <w:r>
        <w:t>表3-20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质检报告采用GHY26691-QC-01-0002并绑定实际版本、受检清单和内容根摘要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分别报告保真度、完备性、规整性、均衡性、可用性、可信性的方法、结果与问题；按项目、合同、订单行、物料、组织、库位、批次、状态与业务时点检查关键业务关联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验证报告采用GHY26691-VR-01-0002及实际版本；引用数据、模型、协议、实验和原始输出，汇总与子集范围分别标明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营销、计划、采购、仓储和产品选型专业岗位结合产品智能选型、库存控制智能化、合同合规审查智能助手、决策数据智能问答助手；相关制度与标书内容按适用任务衔接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3.2.6 安全合规</w:t>
      </w:r>
    </w:p>
    <w:p>
      <w:pPr>
        <w:pStyle w:val="Caption"/>
        <w:keepNext/>
      </w:pPr>
      <w:r>
        <w:t>表3-21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生产经营数据中的供需计划相关数据；按销售需求、矿方工况、产品选型条件、订单、物料需求、采购到货、库存状态、生产计划与交付约束细分并关联资产目录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客户信息、联系人信息、合同价格、供应商条件、库存分布和经营计划；实际敏感要素由检测与人工复核确认，未知状态不按无敏感信息处理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客户、供应商及联系人采用稳定替代标识；合同价格按用途实施受控访问或经批准的转换，保留币种、含税状态和金额关系；用于库存计算的必要数量在授权环境保真处理</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营销、计划、采购、仓储和产品选型专业岗位按业务必要性申请；加工、质量与评测岗位取得任务所需权限，基准答案、原始敏感资料和替代映射分别控制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按卡号GHY26691-DC-01-0002-V1.0、实际数据版本、对象标识和工单关联查询采集、加工、访问、下载、评测及发布审计；交付留存必要受控记录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3.2.7 指纹血缘</w:t>
      </w:r>
    </w:p>
    <w:p>
      <w:pPr>
        <w:pStyle w:val="Caption"/>
        <w:keepNext/>
      </w:pPr>
      <w:r>
        <w:t>表3-22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01-SFT根目录内package.json登记身份、数据版本、结构版本、字典、卡片、资源和文件清单；脱离平台按第7章完成读取及核验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3.2.8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表3-23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order_line_id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订单与行项目的稳定联合身份</w:t>
            </w:r>
          </w:p>
        </w:tc>
        <w:tc>
          <w:tcPr>
            <w:tcW w:type="dxa" w:w="3084"/>
            <w:vAlign w:val="center"/>
          </w:tcPr>
          <w:p>
            <w:pPr>
              <w:keepNext w:val="0"/>
              <w:spacing w:line="320" w:lineRule="exact" w:after="0" w:before="0"/>
              <w:ind w:firstLine="0"/>
              <w:jc w:val="left"/>
            </w:pPr>
            <w:r>
              <w:rPr>
                <w:b w:val="0"/>
                <w:sz w:val="21"/>
              </w:rPr>
              <w:t>不得仅用合同号代表多个交付行</w:t>
            </w:r>
          </w:p>
        </w:tc>
      </w:tr>
      <w:tr>
        <w:trPr>
          <w:cantSplit/>
        </w:trPr>
        <w:tc>
          <w:tcPr>
            <w:tcW w:type="dxa" w:w="2313"/>
            <w:vAlign w:val="center"/>
          </w:tcPr>
          <w:p>
            <w:pPr>
              <w:keepNext w:val="0"/>
              <w:spacing w:line="320" w:lineRule="exact" w:after="0" w:before="0"/>
              <w:ind w:firstLine="0"/>
              <w:jc w:val="left"/>
            </w:pPr>
            <w:r>
              <w:rPr>
                <w:b w:val="0"/>
                <w:sz w:val="21"/>
              </w:rPr>
              <w:t>material_id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物料主记录标识</w:t>
            </w:r>
          </w:p>
        </w:tc>
        <w:tc>
          <w:tcPr>
            <w:tcW w:type="dxa" w:w="3084"/>
            <w:vAlign w:val="center"/>
          </w:tcPr>
          <w:p>
            <w:pPr>
              <w:keepNext w:val="0"/>
              <w:spacing w:line="320" w:lineRule="exact" w:after="0" w:before="0"/>
              <w:ind w:firstLine="0"/>
              <w:jc w:val="left"/>
            </w:pPr>
            <w:r>
              <w:rPr>
                <w:b w:val="0"/>
                <w:sz w:val="21"/>
              </w:rPr>
              <w:t>替代物料另列关系与生效条件</w:t>
            </w:r>
          </w:p>
        </w:tc>
      </w:tr>
      <w:tr>
        <w:trPr>
          <w:cantSplit/>
        </w:trPr>
        <w:tc>
          <w:tcPr>
            <w:tcW w:type="dxa" w:w="2313"/>
            <w:vAlign w:val="center"/>
          </w:tcPr>
          <w:p>
            <w:pPr>
              <w:keepNext w:val="0"/>
              <w:spacing w:line="320" w:lineRule="exact" w:after="0" w:before="0"/>
              <w:ind w:firstLine="0"/>
              <w:jc w:val="left"/>
            </w:pPr>
            <w:r>
              <w:rPr>
                <w:b w:val="0"/>
                <w:sz w:val="21"/>
              </w:rPr>
              <w:t>inventory_state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available、pending_inspection、frozen、reserved、in_transit</w:t>
            </w:r>
          </w:p>
        </w:tc>
        <w:tc>
          <w:tcPr>
            <w:tcW w:type="dxa" w:w="3084"/>
            <w:vAlign w:val="center"/>
          </w:tcPr>
          <w:p>
            <w:pPr>
              <w:keepNext w:val="0"/>
              <w:spacing w:line="320" w:lineRule="exact" w:after="0" w:before="0"/>
              <w:ind w:firstLine="0"/>
              <w:jc w:val="left"/>
            </w:pPr>
            <w:r>
              <w:rPr>
                <w:b w:val="0"/>
                <w:sz w:val="21"/>
              </w:rPr>
              <w:t>状态与统计时点共同确定可用性</w:t>
            </w:r>
          </w:p>
        </w:tc>
      </w:tr>
      <w:tr>
        <w:trPr>
          <w:cantSplit/>
        </w:trPr>
        <w:tc>
          <w:tcPr>
            <w:tcW w:type="dxa" w:w="2313"/>
            <w:vAlign w:val="center"/>
          </w:tcPr>
          <w:p>
            <w:pPr>
              <w:keepNext w:val="0"/>
              <w:spacing w:line="320" w:lineRule="exact" w:after="0" w:before="0"/>
              <w:ind w:firstLine="0"/>
              <w:jc w:val="left"/>
            </w:pPr>
            <w:r>
              <w:rPr>
                <w:b w:val="0"/>
                <w:sz w:val="21"/>
              </w:rPr>
              <w:t>quantity</w:t>
            </w:r>
          </w:p>
        </w:tc>
        <w:tc>
          <w:tcPr>
            <w:tcW w:type="dxa" w:w="1157"/>
            <w:vAlign w:val="center"/>
          </w:tcPr>
          <w:p>
            <w:pPr>
              <w:keepNext w:val="0"/>
              <w:spacing w:line="320" w:lineRule="exact" w:after="0" w:before="0"/>
              <w:ind w:firstLine="0"/>
              <w:jc w:val="left"/>
            </w:pPr>
            <w:r>
              <w:rPr>
                <w:b w:val="0"/>
                <w:sz w:val="21"/>
              </w:rPr>
              <w:t>十进制数</w:t>
            </w:r>
          </w:p>
        </w:tc>
        <w:tc>
          <w:tcPr>
            <w:tcW w:type="dxa" w:w="3084"/>
            <w:vAlign w:val="center"/>
          </w:tcPr>
          <w:p>
            <w:pPr>
              <w:keepNext w:val="0"/>
              <w:spacing w:line="320" w:lineRule="exact" w:after="0" w:before="0"/>
              <w:ind w:firstLine="0"/>
              <w:jc w:val="left"/>
            </w:pPr>
            <w:r>
              <w:rPr>
                <w:b w:val="0"/>
                <w:sz w:val="21"/>
              </w:rPr>
              <w:t>带单位的业务数量</w:t>
            </w:r>
          </w:p>
        </w:tc>
        <w:tc>
          <w:tcPr>
            <w:tcW w:type="dxa" w:w="3084"/>
            <w:vAlign w:val="center"/>
          </w:tcPr>
          <w:p>
            <w:pPr>
              <w:keepNext w:val="0"/>
              <w:spacing w:line="320" w:lineRule="exact" w:after="0" w:before="0"/>
              <w:ind w:firstLine="0"/>
              <w:jc w:val="left"/>
            </w:pPr>
            <w:r>
              <w:rPr>
                <w:b w:val="0"/>
                <w:sz w:val="21"/>
              </w:rPr>
              <w:t>数量、单位、状态和来源同时存在</w:t>
            </w:r>
          </w:p>
        </w:tc>
      </w:tr>
      <w:tr>
        <w:trPr>
          <w:cantSplit/>
        </w:trPr>
        <w:tc>
          <w:tcPr>
            <w:tcW w:type="dxa" w:w="2313"/>
            <w:vAlign w:val="center"/>
          </w:tcPr>
          <w:p>
            <w:pPr>
              <w:keepNext w:val="0"/>
              <w:spacing w:line="320" w:lineRule="exact" w:after="0" w:before="0"/>
              <w:ind w:firstLine="0"/>
              <w:jc w:val="left"/>
            </w:pPr>
            <w:r>
              <w:rPr>
                <w:b w:val="0"/>
                <w:sz w:val="21"/>
              </w:rPr>
              <w:t>cutoff_time</w:t>
            </w:r>
          </w:p>
        </w:tc>
        <w:tc>
          <w:tcPr>
            <w:tcW w:type="dxa" w:w="1157"/>
            <w:vAlign w:val="center"/>
          </w:tcPr>
          <w:p>
            <w:pPr>
              <w:keepNext w:val="0"/>
              <w:spacing w:line="320" w:lineRule="exact" w:after="0" w:before="0"/>
              <w:ind w:firstLine="0"/>
              <w:jc w:val="left"/>
            </w:pPr>
            <w:r>
              <w:rPr>
                <w:b w:val="0"/>
                <w:sz w:val="21"/>
              </w:rPr>
              <w:t>时间</w:t>
            </w:r>
          </w:p>
        </w:tc>
        <w:tc>
          <w:tcPr>
            <w:tcW w:type="dxa" w:w="3084"/>
            <w:vAlign w:val="center"/>
          </w:tcPr>
          <w:p>
            <w:pPr>
              <w:keepNext w:val="0"/>
              <w:spacing w:line="320" w:lineRule="exact" w:after="0" w:before="0"/>
              <w:ind w:firstLine="0"/>
              <w:jc w:val="left"/>
            </w:pPr>
            <w:r>
              <w:rPr>
                <w:b w:val="0"/>
                <w:sz w:val="21"/>
              </w:rPr>
              <w:t>统一业务时区的截止时点</w:t>
            </w:r>
          </w:p>
        </w:tc>
        <w:tc>
          <w:tcPr>
            <w:tcW w:type="dxa" w:w="3084"/>
            <w:vAlign w:val="center"/>
          </w:tcPr>
          <w:p>
            <w:pPr>
              <w:keepNext w:val="0"/>
              <w:spacing w:line="320" w:lineRule="exact" w:after="0" w:before="0"/>
              <w:ind w:firstLine="0"/>
              <w:jc w:val="left"/>
            </w:pPr>
            <w:r>
              <w:rPr>
                <w:b w:val="0"/>
                <w:sz w:val="21"/>
              </w:rPr>
              <w:t>跨系统比较采用同一时点或可核验调整</w:t>
            </w:r>
          </w:p>
        </w:tc>
      </w:tr>
      <w:tr>
        <w:trPr>
          <w:cantSplit/>
        </w:trPr>
        <w:tc>
          <w:tcPr>
            <w:tcW w:type="dxa" w:w="2313"/>
            <w:vAlign w:val="center"/>
          </w:tcPr>
          <w:p>
            <w:pPr>
              <w:keepNext w:val="0"/>
              <w:spacing w:line="320" w:lineRule="exact" w:after="0" w:before="0"/>
              <w:ind w:firstLine="0"/>
              <w:jc w:val="left"/>
            </w:pPr>
            <w:r>
              <w:rPr>
                <w:b w:val="0"/>
                <w:sz w:val="21"/>
              </w:rPr>
              <w:t>constraint_refs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交期、工况、接口及审批的证据标识</w:t>
            </w:r>
          </w:p>
        </w:tc>
        <w:tc>
          <w:tcPr>
            <w:tcW w:type="dxa" w:w="3084"/>
            <w:vAlign w:val="center"/>
          </w:tcPr>
          <w:p>
            <w:pPr>
              <w:keepNext w:val="0"/>
              <w:spacing w:line="320" w:lineRule="exact" w:after="0" w:before="0"/>
              <w:ind w:firstLine="0"/>
              <w:jc w:val="left"/>
            </w:pPr>
            <w:r>
              <w:rPr>
                <w:b w:val="0"/>
                <w:sz w:val="21"/>
              </w:rPr>
              <w:t>每项约束可回到原资料与有效版本</w:t>
            </w:r>
          </w:p>
        </w:tc>
      </w:tr>
    </w:tbl>
    <w:p>
      <w:pPr>
        <w:spacing w:after="40" w:line="240" w:lineRule="auto"/>
        <w:ind w:firstLine="0"/>
      </w:pPr>
      <w:r>
        <w:rPr>
          <w:sz w:val="4"/>
        </w:rPr>
      </w:r>
    </w:p>
    <w:p>
      <w:pPr>
        <w:pStyle w:val="Caption"/>
        <w:keepNext/>
      </w:pPr>
      <w:r>
        <w:t>表3-24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SP01</w:t>
            </w:r>
          </w:p>
        </w:tc>
        <w:tc>
          <w:tcPr>
            <w:tcW w:type="dxa" w:w="2891"/>
            <w:vAlign w:val="center"/>
          </w:tcPr>
          <w:p>
            <w:pPr>
              <w:keepNext w:val="0"/>
              <w:spacing w:line="320" w:lineRule="exact" w:after="0" w:before="0"/>
              <w:ind w:firstLine="0"/>
              <w:jc w:val="left"/>
            </w:pPr>
            <w:r>
              <w:rPr>
                <w:b w:val="0"/>
                <w:sz w:val="21"/>
              </w:rPr>
              <w:t>需求与合同</w:t>
            </w:r>
          </w:p>
        </w:tc>
        <w:tc>
          <w:tcPr>
            <w:tcW w:type="dxa" w:w="4433"/>
            <w:vAlign w:val="center"/>
          </w:tcPr>
          <w:p>
            <w:pPr>
              <w:keepNext w:val="0"/>
              <w:spacing w:line="320" w:lineRule="exact" w:after="0" w:before="0"/>
              <w:ind w:firstLine="0"/>
              <w:jc w:val="left"/>
            </w:pPr>
            <w:r>
              <w:rPr>
                <w:b w:val="0"/>
                <w:sz w:val="21"/>
              </w:rPr>
              <w:t>合同义务、数量、时间和变更依据</w:t>
            </w:r>
          </w:p>
        </w:tc>
      </w:tr>
      <w:tr>
        <w:trPr>
          <w:cantSplit/>
        </w:trPr>
        <w:tc>
          <w:tcPr>
            <w:tcW w:type="dxa" w:w="2313"/>
            <w:vAlign w:val="center"/>
          </w:tcPr>
          <w:p>
            <w:pPr>
              <w:keepNext w:val="0"/>
              <w:spacing w:line="320" w:lineRule="exact" w:after="0" w:before="0"/>
              <w:ind w:firstLine="0"/>
              <w:jc w:val="left"/>
            </w:pPr>
            <w:r>
              <w:rPr>
                <w:b w:val="0"/>
                <w:sz w:val="21"/>
              </w:rPr>
              <w:t>SP02</w:t>
            </w:r>
          </w:p>
        </w:tc>
        <w:tc>
          <w:tcPr>
            <w:tcW w:type="dxa" w:w="2891"/>
            <w:vAlign w:val="center"/>
          </w:tcPr>
          <w:p>
            <w:pPr>
              <w:keepNext w:val="0"/>
              <w:spacing w:line="320" w:lineRule="exact" w:after="0" w:before="0"/>
              <w:ind w:firstLine="0"/>
              <w:jc w:val="left"/>
            </w:pPr>
            <w:r>
              <w:rPr>
                <w:b w:val="0"/>
                <w:sz w:val="21"/>
              </w:rPr>
              <w:t>选型约束</w:t>
            </w:r>
          </w:p>
        </w:tc>
        <w:tc>
          <w:tcPr>
            <w:tcW w:type="dxa" w:w="4433"/>
            <w:vAlign w:val="center"/>
          </w:tcPr>
          <w:p>
            <w:pPr>
              <w:keepNext w:val="0"/>
              <w:spacing w:line="320" w:lineRule="exact" w:after="0" w:before="0"/>
              <w:ind w:firstLine="0"/>
              <w:jc w:val="left"/>
            </w:pPr>
            <w:r>
              <w:rPr>
                <w:b w:val="0"/>
                <w:sz w:val="21"/>
              </w:rPr>
              <w:t>工况、候选产品和接口条件</w:t>
            </w:r>
          </w:p>
        </w:tc>
      </w:tr>
      <w:tr>
        <w:trPr>
          <w:cantSplit/>
        </w:trPr>
        <w:tc>
          <w:tcPr>
            <w:tcW w:type="dxa" w:w="2313"/>
            <w:vAlign w:val="center"/>
          </w:tcPr>
          <w:p>
            <w:pPr>
              <w:keepNext w:val="0"/>
              <w:spacing w:line="320" w:lineRule="exact" w:after="0" w:before="0"/>
              <w:ind w:firstLine="0"/>
              <w:jc w:val="left"/>
            </w:pPr>
            <w:r>
              <w:rPr>
                <w:b w:val="0"/>
                <w:sz w:val="21"/>
              </w:rPr>
              <w:t>SP03</w:t>
            </w:r>
          </w:p>
        </w:tc>
        <w:tc>
          <w:tcPr>
            <w:tcW w:type="dxa" w:w="2891"/>
            <w:vAlign w:val="center"/>
          </w:tcPr>
          <w:p>
            <w:pPr>
              <w:keepNext w:val="0"/>
              <w:spacing w:line="320" w:lineRule="exact" w:after="0" w:before="0"/>
              <w:ind w:firstLine="0"/>
              <w:jc w:val="left"/>
            </w:pPr>
            <w:r>
              <w:rPr>
                <w:b w:val="0"/>
                <w:sz w:val="21"/>
              </w:rPr>
              <w:t>物料与采购</w:t>
            </w:r>
          </w:p>
        </w:tc>
        <w:tc>
          <w:tcPr>
            <w:tcW w:type="dxa" w:w="4433"/>
            <w:vAlign w:val="center"/>
          </w:tcPr>
          <w:p>
            <w:pPr>
              <w:keepNext w:val="0"/>
              <w:spacing w:line="320" w:lineRule="exact" w:after="0" w:before="0"/>
              <w:ind w:firstLine="0"/>
              <w:jc w:val="left"/>
            </w:pPr>
            <w:r>
              <w:rPr>
                <w:b w:val="0"/>
                <w:sz w:val="21"/>
              </w:rPr>
              <w:t>需求、替代料、采购与预计到货</w:t>
            </w:r>
          </w:p>
        </w:tc>
      </w:tr>
      <w:tr>
        <w:trPr>
          <w:cantSplit/>
        </w:trPr>
        <w:tc>
          <w:tcPr>
            <w:tcW w:type="dxa" w:w="2313"/>
            <w:vAlign w:val="center"/>
          </w:tcPr>
          <w:p>
            <w:pPr>
              <w:keepNext w:val="0"/>
              <w:spacing w:line="320" w:lineRule="exact" w:after="0" w:before="0"/>
              <w:ind w:firstLine="0"/>
              <w:jc w:val="left"/>
            </w:pPr>
            <w:r>
              <w:rPr>
                <w:b w:val="0"/>
                <w:sz w:val="21"/>
              </w:rPr>
              <w:t>SP04</w:t>
            </w:r>
          </w:p>
        </w:tc>
        <w:tc>
          <w:tcPr>
            <w:tcW w:type="dxa" w:w="2891"/>
            <w:vAlign w:val="center"/>
          </w:tcPr>
          <w:p>
            <w:pPr>
              <w:keepNext w:val="0"/>
              <w:spacing w:line="320" w:lineRule="exact" w:after="0" w:before="0"/>
              <w:ind w:firstLine="0"/>
              <w:jc w:val="left"/>
            </w:pPr>
            <w:r>
              <w:rPr>
                <w:b w:val="0"/>
                <w:sz w:val="21"/>
              </w:rPr>
              <w:t>库存与可用量</w:t>
            </w:r>
          </w:p>
        </w:tc>
        <w:tc>
          <w:tcPr>
            <w:tcW w:type="dxa" w:w="4433"/>
            <w:vAlign w:val="center"/>
          </w:tcPr>
          <w:p>
            <w:pPr>
              <w:keepNext w:val="0"/>
              <w:spacing w:line="320" w:lineRule="exact" w:after="0" w:before="0"/>
              <w:ind w:firstLine="0"/>
              <w:jc w:val="left"/>
            </w:pPr>
            <w:r>
              <w:rPr>
                <w:b w:val="0"/>
                <w:sz w:val="21"/>
              </w:rPr>
              <w:t>账面、待检、冻结、占用和可用状态</w:t>
            </w:r>
          </w:p>
        </w:tc>
      </w:tr>
      <w:tr>
        <w:trPr>
          <w:cantSplit/>
        </w:trPr>
        <w:tc>
          <w:tcPr>
            <w:tcW w:type="dxa" w:w="2313"/>
            <w:vAlign w:val="center"/>
          </w:tcPr>
          <w:p>
            <w:pPr>
              <w:keepNext w:val="0"/>
              <w:spacing w:line="320" w:lineRule="exact" w:after="0" w:before="0"/>
              <w:ind w:firstLine="0"/>
              <w:jc w:val="left"/>
            </w:pPr>
            <w:r>
              <w:rPr>
                <w:b w:val="0"/>
                <w:sz w:val="21"/>
              </w:rPr>
              <w:t>SP05</w:t>
            </w:r>
          </w:p>
        </w:tc>
        <w:tc>
          <w:tcPr>
            <w:tcW w:type="dxa" w:w="2891"/>
            <w:vAlign w:val="center"/>
          </w:tcPr>
          <w:p>
            <w:pPr>
              <w:keepNext w:val="0"/>
              <w:spacing w:line="320" w:lineRule="exact" w:after="0" w:before="0"/>
              <w:ind w:firstLine="0"/>
              <w:jc w:val="left"/>
            </w:pPr>
            <w:r>
              <w:rPr>
                <w:b w:val="0"/>
                <w:sz w:val="21"/>
              </w:rPr>
              <w:t>计划与协同</w:t>
            </w:r>
          </w:p>
        </w:tc>
        <w:tc>
          <w:tcPr>
            <w:tcW w:type="dxa" w:w="4433"/>
            <w:vAlign w:val="center"/>
          </w:tcPr>
          <w:p>
            <w:pPr>
              <w:keepNext w:val="0"/>
              <w:spacing w:line="320" w:lineRule="exact" w:after="0" w:before="0"/>
              <w:ind w:firstLine="0"/>
              <w:jc w:val="left"/>
            </w:pPr>
            <w:r>
              <w:rPr>
                <w:b w:val="0"/>
                <w:sz w:val="21"/>
              </w:rPr>
              <w:t>工序约束、交付窗口和调整原因</w:t>
            </w:r>
          </w:p>
        </w:tc>
      </w:tr>
      <w:tr>
        <w:trPr>
          <w:cantSplit/>
        </w:trPr>
        <w:tc>
          <w:tcPr>
            <w:tcW w:type="dxa" w:w="2313"/>
            <w:vAlign w:val="center"/>
          </w:tcPr>
          <w:p>
            <w:pPr>
              <w:keepNext w:val="0"/>
              <w:spacing w:line="320" w:lineRule="exact" w:after="0" w:before="0"/>
              <w:ind w:firstLine="0"/>
              <w:jc w:val="left"/>
            </w:pPr>
            <w:r>
              <w:rPr>
                <w:b w:val="0"/>
                <w:sz w:val="21"/>
              </w:rPr>
              <w:t>SP06</w:t>
            </w:r>
          </w:p>
        </w:tc>
        <w:tc>
          <w:tcPr>
            <w:tcW w:type="dxa" w:w="2891"/>
            <w:vAlign w:val="center"/>
          </w:tcPr>
          <w:p>
            <w:pPr>
              <w:keepNext w:val="0"/>
              <w:spacing w:line="320" w:lineRule="exact" w:after="0" w:before="0"/>
              <w:ind w:firstLine="0"/>
              <w:jc w:val="left"/>
            </w:pPr>
            <w:r>
              <w:rPr>
                <w:b w:val="0"/>
                <w:sz w:val="21"/>
              </w:rPr>
              <w:t>经营决策依据</w:t>
            </w:r>
          </w:p>
        </w:tc>
        <w:tc>
          <w:tcPr>
            <w:tcW w:type="dxa" w:w="4433"/>
            <w:vAlign w:val="center"/>
          </w:tcPr>
          <w:p>
            <w:pPr>
              <w:keepNext w:val="0"/>
              <w:spacing w:line="320" w:lineRule="exact" w:after="0" w:before="0"/>
              <w:ind w:firstLine="0"/>
              <w:jc w:val="left"/>
            </w:pPr>
            <w:r>
              <w:rPr>
                <w:b w:val="0"/>
                <w:sz w:val="21"/>
              </w:rPr>
              <w:t>多来源事实、统计时点与依据引用</w:t>
            </w:r>
          </w:p>
        </w:tc>
      </w:tr>
    </w:tbl>
    <w:p>
      <w:pPr>
        <w:spacing w:after="40" w:line="240" w:lineRule="auto"/>
        <w:ind w:firstLine="0"/>
      </w:pPr>
      <w:r>
        <w:rPr>
          <w:sz w:val="4"/>
        </w:rPr>
      </w:r>
    </w:p>
    <w:p>
      <w:pPr>
        <w:pStyle w:val="Caption"/>
        <w:keepNext/>
      </w:pPr>
      <w:r>
        <w:t>表3-25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表3-26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constraint_review</w:t>
            </w:r>
          </w:p>
        </w:tc>
        <w:tc>
          <w:tcPr>
            <w:tcW w:type="dxa" w:w="7228"/>
            <w:vAlign w:val="center"/>
          </w:tcPr>
          <w:p>
            <w:pPr>
              <w:keepNext w:val="0"/>
              <w:spacing w:line="320" w:lineRule="exact" w:after="0" w:before="0"/>
              <w:ind w:firstLine="0"/>
              <w:jc w:val="left"/>
            </w:pPr>
            <w:r>
              <w:rPr>
                <w:b w:val="0"/>
                <w:sz w:val="21"/>
              </w:rPr>
              <w:t>逐项核验题定约束；缺少必要依据的条件保持未确认</w:t>
            </w:r>
          </w:p>
        </w:tc>
      </w:tr>
      <w:tr>
        <w:trPr>
          <w:cantSplit/>
        </w:trPr>
        <w:tc>
          <w:tcPr>
            <w:tcW w:type="dxa" w:w="2409"/>
            <w:vAlign w:val="center"/>
          </w:tcPr>
          <w:p>
            <w:pPr>
              <w:keepNext w:val="0"/>
              <w:spacing w:line="320" w:lineRule="exact" w:after="0" w:before="0"/>
              <w:ind w:firstLine="0"/>
              <w:jc w:val="left"/>
            </w:pPr>
            <w:r>
              <w:rPr>
                <w:b w:val="0"/>
                <w:sz w:val="21"/>
              </w:rPr>
              <w:t>evidence_insufficient</w:t>
            </w:r>
          </w:p>
        </w:tc>
        <w:tc>
          <w:tcPr>
            <w:tcW w:type="dxa" w:w="7228"/>
            <w:vAlign w:val="center"/>
          </w:tcPr>
          <w:p>
            <w:pPr>
              <w:keepNext w:val="0"/>
              <w:spacing w:line="320" w:lineRule="exact" w:after="0" w:before="0"/>
              <w:ind w:firstLine="0"/>
              <w:jc w:val="left"/>
            </w:pPr>
            <w:r>
              <w:rPr>
                <w:b w:val="0"/>
                <w:sz w:val="21"/>
              </w:rPr>
              <w:t>已有内容不足以支持所问结论，明确缺少的证据及仍可判定的范围</w:t>
            </w:r>
          </w:p>
        </w:tc>
      </w:tr>
      <w:tr>
        <w:trPr>
          <w:cantSplit/>
        </w:trPr>
        <w:tc>
          <w:tcPr>
            <w:tcW w:type="dxa" w:w="2409"/>
            <w:vAlign w:val="center"/>
          </w:tcPr>
          <w:p>
            <w:pPr>
              <w:keepNext w:val="0"/>
              <w:spacing w:line="320" w:lineRule="exact" w:after="0" w:before="0"/>
              <w:ind w:firstLine="0"/>
              <w:jc w:val="left"/>
            </w:pPr>
            <w:r>
              <w:rPr>
                <w:b w:val="0"/>
                <w:sz w:val="21"/>
              </w:rPr>
              <w:t>quantity_calculation</w:t>
            </w:r>
          </w:p>
        </w:tc>
        <w:tc>
          <w:tcPr>
            <w:tcW w:type="dxa" w:w="7228"/>
            <w:vAlign w:val="center"/>
          </w:tcPr>
          <w:p>
            <w:pPr>
              <w:keepNext w:val="0"/>
              <w:spacing w:line="320" w:lineRule="exact" w:after="0" w:before="0"/>
              <w:ind w:firstLine="0"/>
              <w:jc w:val="left"/>
            </w:pPr>
            <w:r>
              <w:rPr>
                <w:b w:val="0"/>
                <w:sz w:val="21"/>
              </w:rPr>
              <w:t>按题定数量、单位、状态及公式计算，保留中间结果和适用范围</w:t>
            </w:r>
          </w:p>
        </w:tc>
      </w:tr>
      <w:tr>
        <w:trPr>
          <w:cantSplit/>
        </w:trPr>
        <w:tc>
          <w:tcPr>
            <w:tcW w:type="dxa" w:w="2409"/>
            <w:vAlign w:val="center"/>
          </w:tcPr>
          <w:p>
            <w:pPr>
              <w:keepNext w:val="0"/>
              <w:spacing w:line="320" w:lineRule="exact" w:after="0" w:before="0"/>
              <w:ind w:firstLine="0"/>
              <w:jc w:val="left"/>
            </w:pPr>
            <w:r>
              <w:rPr>
                <w:b w:val="0"/>
                <w:sz w:val="21"/>
              </w:rPr>
              <w:t>schedule_review</w:t>
            </w:r>
          </w:p>
        </w:tc>
        <w:tc>
          <w:tcPr>
            <w:tcW w:type="dxa" w:w="7228"/>
            <w:vAlign w:val="center"/>
          </w:tcPr>
          <w:p>
            <w:pPr>
              <w:keepNext w:val="0"/>
              <w:spacing w:line="320" w:lineRule="exact" w:after="0" w:before="0"/>
              <w:ind w:firstLine="0"/>
              <w:jc w:val="left"/>
            </w:pPr>
            <w:r>
              <w:rPr>
                <w:b w:val="0"/>
                <w:sz w:val="21"/>
              </w:rPr>
              <w:t>按对应订单行的有效交期判断计划，变更仅对批准范围生效</w:t>
            </w:r>
          </w:p>
        </w:tc>
      </w:tr>
      <w:tr>
        <w:trPr>
          <w:cantSplit/>
        </w:trPr>
        <w:tc>
          <w:tcPr>
            <w:tcW w:type="dxa" w:w="2409"/>
            <w:vAlign w:val="center"/>
          </w:tcPr>
          <w:p>
            <w:pPr>
              <w:keepNext w:val="0"/>
              <w:spacing w:line="320" w:lineRule="exact" w:after="0" w:before="0"/>
              <w:ind w:firstLine="0"/>
              <w:jc w:val="left"/>
            </w:pPr>
            <w:r>
              <w:rPr>
                <w:b w:val="0"/>
                <w:sz w:val="21"/>
              </w:rPr>
              <w:t>state_alignment</w:t>
            </w:r>
          </w:p>
        </w:tc>
        <w:tc>
          <w:tcPr>
            <w:tcW w:type="dxa" w:w="7228"/>
            <w:vAlign w:val="center"/>
          </w:tcPr>
          <w:p>
            <w:pPr>
              <w:keepNext w:val="0"/>
              <w:spacing w:line="320" w:lineRule="exact" w:after="0" w:before="0"/>
              <w:ind w:firstLine="0"/>
              <w:jc w:val="left"/>
            </w:pPr>
            <w:r>
              <w:rPr>
                <w:b w:val="0"/>
                <w:sz w:val="21"/>
              </w:rPr>
              <w:t>比较对象处于相同业务时点和可比状态，区分在途、待检、冻结、占用与可用</w:t>
            </w:r>
          </w:p>
        </w:tc>
      </w:tr>
      <w:tr>
        <w:trPr>
          <w:cantSplit/>
        </w:trPr>
        <w:tc>
          <w:tcPr>
            <w:tcW w:type="dxa" w:w="2409"/>
            <w:vAlign w:val="center"/>
          </w:tcPr>
          <w:p>
            <w:pPr>
              <w:keepNext w:val="0"/>
              <w:spacing w:line="320" w:lineRule="exact" w:after="0" w:before="0"/>
              <w:ind w:firstLine="0"/>
              <w:jc w:val="left"/>
            </w:pPr>
            <w:r>
              <w:rPr>
                <w:b w:val="0"/>
                <w:sz w:val="21"/>
              </w:rPr>
              <w:t>version_scope</w:t>
            </w:r>
          </w:p>
        </w:tc>
        <w:tc>
          <w:tcPr>
            <w:tcW w:type="dxa" w:w="7228"/>
            <w:vAlign w:val="center"/>
          </w:tcPr>
          <w:p>
            <w:pPr>
              <w:keepNext w:val="0"/>
              <w:spacing w:line="320" w:lineRule="exact" w:after="0" w:before="0"/>
              <w:ind w:firstLine="0"/>
              <w:jc w:val="left"/>
            </w:pPr>
            <w:r>
              <w:rPr>
                <w:b w:val="0"/>
                <w:sz w:val="21"/>
              </w:rPr>
              <w:t>按批准版次的生效对象、期间及批次判断适用性</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3.2.9 规范样本</w:t>
      </w:r>
    </w:p>
    <w:p>
      <w:pPr>
        <w:keepNext/>
        <w:jc w:val="both"/>
      </w:pPr>
      <w:r>
        <w:t>规范样本1 库存状态与可用量核算</w:t>
      </w:r>
    </w:p>
    <w:p>
      <w:pPr>
        <w:pStyle w:val="Caption"/>
        <w:keepNext/>
      </w:pPr>
      <w:r>
        <w:t>表3-27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EX-01-SFT-001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SP04、quantity_calculation、state_alignment</w:t>
            </w:r>
          </w:p>
        </w:tc>
      </w:tr>
    </w:tbl>
    <w:p>
      <w:pPr>
        <w:spacing w:after="40" w:line="240" w:lineRule="auto"/>
        <w:ind w:firstLine="0"/>
      </w:pPr>
      <w:r>
        <w:rPr>
          <w:sz w:val="4"/>
        </w:rPr>
      </w:r>
    </w:p>
    <w:p>
      <w:pPr>
        <w:jc w:val="both"/>
      </w:pPr>
      <w:r>
        <w:t>输入内容：物料甲在同一仓库、同一计量单位下，期初账面数量80件，本期入库20件、出库35件，无调整。期末账面中待检10件、冻结5件、已占用8件，三个状态互不重叠。在途采购12件尚未入库。</w:t>
      </w:r>
    </w:p>
    <w:p>
      <w:pPr>
        <w:pStyle w:val="Caption"/>
        <w:keepNext/>
      </w:pPr>
      <w:r>
        <w:t>表3-28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left"/>
            </w:pPr>
            <w:r>
              <w:rPr>
                <w:b w:val="0"/>
                <w:sz w:val="21"/>
              </w:rPr>
              <w:t>t0</w:t>
            </w:r>
          </w:p>
        </w:tc>
        <w:tc>
          <w:tcPr>
            <w:tcW w:type="dxa" w:w="7228"/>
            <w:vAlign w:val="center"/>
          </w:tcPr>
          <w:p>
            <w:pPr>
              <w:keepNext/>
              <w:spacing w:line="320" w:lineRule="exact" w:after="0" w:before="0"/>
              <w:ind w:firstLine="0"/>
              <w:jc w:val="center"/>
            </w:pPr>
            <w:r>
              <w:rPr>
                <w:b w:val="0"/>
                <w:sz w:val="21"/>
              </w:rPr>
              <w:t>80</w:t>
            </w:r>
          </w:p>
        </w:tc>
      </w:tr>
      <w:tr>
        <w:trPr>
          <w:cantSplit/>
        </w:trPr>
        <w:tc>
          <w:tcPr>
            <w:tcW w:type="dxa" w:w="2409"/>
            <w:vAlign w:val="center"/>
          </w:tcPr>
          <w:p>
            <w:pPr>
              <w:keepNext/>
              <w:spacing w:line="320" w:lineRule="exact" w:after="0" w:before="0"/>
              <w:ind w:firstLine="0"/>
              <w:jc w:val="left"/>
            </w:pPr>
            <w:r>
              <w:rPr>
                <w:b w:val="0"/>
                <w:sz w:val="21"/>
              </w:rPr>
              <w:t>t1</w:t>
            </w:r>
          </w:p>
        </w:tc>
        <w:tc>
          <w:tcPr>
            <w:tcW w:type="dxa" w:w="7228"/>
            <w:vAlign w:val="center"/>
          </w:tcPr>
          <w:p>
            <w:pPr>
              <w:keepNext/>
              <w:spacing w:line="320" w:lineRule="exact" w:after="0" w:before="0"/>
              <w:ind w:firstLine="0"/>
              <w:jc w:val="center"/>
            </w:pPr>
            <w:r>
              <w:rPr>
                <w:b w:val="0"/>
                <w:sz w:val="21"/>
              </w:rPr>
              <w:t>100</w:t>
            </w:r>
          </w:p>
        </w:tc>
      </w:tr>
      <w:tr>
        <w:trPr>
          <w:cantSplit/>
        </w:trPr>
        <w:tc>
          <w:tcPr>
            <w:tcW w:type="dxa" w:w="2409"/>
            <w:vAlign w:val="center"/>
          </w:tcPr>
          <w:p>
            <w:pPr>
              <w:keepNext w:val="0"/>
              <w:spacing w:line="320" w:lineRule="exact" w:after="0" w:before="0"/>
              <w:ind w:firstLine="0"/>
              <w:jc w:val="left"/>
            </w:pPr>
            <w:r>
              <w:rPr>
                <w:b w:val="0"/>
                <w:sz w:val="21"/>
              </w:rPr>
              <w:t>t2</w:t>
            </w:r>
          </w:p>
        </w:tc>
        <w:tc>
          <w:tcPr>
            <w:tcW w:type="dxa" w:w="7228"/>
            <w:vAlign w:val="center"/>
          </w:tcPr>
          <w:p>
            <w:pPr>
              <w:keepNext w:val="0"/>
              <w:spacing w:line="320" w:lineRule="exact" w:after="0" w:before="0"/>
              <w:ind w:firstLine="0"/>
              <w:jc w:val="center"/>
            </w:pPr>
            <w:r>
              <w:rPr>
                <w:b w:val="0"/>
                <w:sz w:val="21"/>
              </w:rPr>
              <w:t>65</w:t>
            </w:r>
          </w:p>
        </w:tc>
      </w:tr>
    </w:tbl>
    <w:p>
      <w:pPr>
        <w:spacing w:after="40" w:line="240" w:lineRule="auto"/>
        <w:ind w:firstLine="0"/>
      </w:pPr>
      <w:r>
        <w:rPr>
          <w:sz w:val="4"/>
        </w:rPr>
      </w:r>
    </w:p>
    <w:p>
      <w:pPr>
        <w:jc w:val="both"/>
      </w:pPr>
      <w:r>
        <w:t>任务指令：计算期末账面数量与可供新需求使用的数量，并说明在途采购的处理。</w:t>
      </w:r>
    </w:p>
    <w:p>
      <w:pPr>
        <w:jc w:val="both"/>
      </w:pPr>
      <w:r>
        <w:t>目标输出：期末账面数量为80＋20－35＝65件。可供新需求使用的数量为65－10－5－8＝42件。在途12件仅作为预计到货单独列示，当前不计入账面和可用数量。计算适用于题定仓库、时点、单位及互斥状态。</w:t>
      </w:r>
    </w:p>
    <w:p>
      <w:pPr>
        <w:jc w:val="both"/>
      </w:pPr>
      <w:r>
        <w:t>标注核验：账面65件；可用42件；在途单列；时点与单位一致。答案应包含结论及必要依据，不能用泛化建议代替题定判断。语义等价的表达可以接受，擅自添加未给出的事实应判为内容错误。</w:t>
      </w:r>
    </w:p>
    <w:p>
      <w:pPr>
        <w:keepNext/>
        <w:jc w:val="both"/>
      </w:pPr>
      <w:r>
        <w:t>规范样本2 候选产品的接口条件核查</w:t>
      </w:r>
    </w:p>
    <w:p>
      <w:pPr>
        <w:pStyle w:val="Caption"/>
        <w:keepNext/>
      </w:pPr>
      <w:r>
        <w:t>表3-29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EX-01-SFT-002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SP02、constraint_review、evidence_insufficient</w:t>
            </w:r>
          </w:p>
        </w:tc>
      </w:tr>
    </w:tbl>
    <w:p>
      <w:pPr>
        <w:spacing w:after="40" w:line="240" w:lineRule="auto"/>
        <w:ind w:firstLine="0"/>
      </w:pPr>
      <w:r>
        <w:rPr>
          <w:sz w:val="4"/>
        </w:rPr>
      </w:r>
    </w:p>
    <w:p>
      <w:pPr>
        <w:jc w:val="both"/>
      </w:pPr>
      <w:r>
        <w:t>输入内容：选型资料对候选产品甲给出的接口编号为J1，配套设备的批准接口编号为J2。资料未提供J1与J2的适配或转换批准记录。能力参数分别满足题定需求，但接口一致性尚无依据。</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5" name="Picture 5"/>
            <wp:cNvGraphicFramePr>
              <a:graphicFrameLocks noChangeAspect="1"/>
            </wp:cNvGraphicFramePr>
            <a:graphic>
              <a:graphicData uri="http://schemas.openxmlformats.org/drawingml/2006/picture">
                <pic:pic>
                  <pic:nvPicPr>
                    <pic:cNvPr id="0" name="例图01_2.png"/>
                    <pic:cNvPicPr/>
                  </pic:nvPicPr>
                  <pic:blipFill>
                    <a:blip r:embed="rId14"/>
                    <a:stretch>
                      <a:fillRect/>
                    </a:stretch>
                  </pic:blipFill>
                  <pic:spPr>
                    <a:xfrm>
                      <a:off x="0" y="0"/>
                      <a:ext cx="6048000" cy="1422831"/>
                    </a:xfrm>
                    <a:prstGeom prst="rect"/>
                  </pic:spPr>
                </pic:pic>
              </a:graphicData>
            </a:graphic>
          </wp:inline>
        </w:drawing>
      </w:r>
    </w:p>
    <w:p>
      <w:pPr>
        <w:pStyle w:val="Caption"/>
        <w:jc w:val="center"/>
      </w:pPr>
      <w:r>
        <w:t>图3-3 候选产品的接口条件核查</w:t>
      </w:r>
    </w:p>
    <w:p>
      <w:pPr>
        <w:jc w:val="both"/>
      </w:pPr>
      <w:r>
        <w:t>任务指令：能否据此确认候选产品甲可直接配套？应补充什么证据？</w:t>
      </w:r>
    </w:p>
    <w:p>
      <w:pPr>
        <w:jc w:val="both"/>
      </w:pPr>
      <w:r>
        <w:t>目标输出：现有材料不足以确认可直接配套。能力参数满足仅覆盖相应能力条件，接口J1与J2仍需逐项比对尺寸、连接、电气或控制等实际适用条件，并取得有效适配或转换批准记录。补证前保留接口条件未确认的判断。</w:t>
      </w:r>
    </w:p>
    <w:p>
      <w:pPr>
        <w:jc w:val="both"/>
      </w:pPr>
      <w:r>
        <w:t>标注核验：不能直接确认；区分能力与接口；要求有效适配证据；不编造批准。答案应包含结论及必要依据，不能用泛化建议代替题定判断。语义等价的表达可以接受，擅自添加未给出的事实应判为内容错误。</w:t>
      </w:r>
    </w:p>
    <w:p>
      <w:pPr>
        <w:keepNext/>
        <w:jc w:val="both"/>
      </w:pPr>
      <w:r>
        <w:t>规范样本3 合同变更与计划交期引用</w:t>
      </w:r>
    </w:p>
    <w:p>
      <w:pPr>
        <w:pStyle w:val="Caption"/>
        <w:keepNext/>
      </w:pPr>
      <w:r>
        <w:t>表3-30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EX-01-SFT-003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SP01、version_scope、schedule_review</w:t>
            </w:r>
          </w:p>
        </w:tc>
      </w:tr>
    </w:tbl>
    <w:p>
      <w:pPr>
        <w:spacing w:after="40" w:line="240" w:lineRule="auto"/>
        <w:ind w:firstLine="0"/>
      </w:pPr>
      <w:r>
        <w:rPr>
          <w:sz w:val="4"/>
        </w:rPr>
      </w:r>
    </w:p>
    <w:p>
      <w:pPr>
        <w:jc w:val="both"/>
      </w:pPr>
      <w:r>
        <w:t>输入内容：合同原约定交期为业务日D30，双方有效变更文件将订单行甲调整为D40。订单行乙不在变更范围内。原计划记录保留D30，调整后计划将行甲安排在D38，行乙安排在D35。</w:t>
      </w:r>
    </w:p>
    <w:p>
      <w:pPr>
        <w:jc w:val="both"/>
      </w:pPr>
      <w:r>
        <w:t>任务指令：按现有证据判断两行计划是否满足交期，并指出应引用的文件。</w:t>
      </w:r>
    </w:p>
    <w:p>
      <w:pPr>
        <w:jc w:val="both"/>
      </w:pPr>
      <w:r>
        <w:t>目标输出：行甲按有效变更后的D40判断，D38满足该交期条件；行乙仍按原D30判断，D35晚于约定交期。行甲引用变更文件及其适用订单行，行乙引用原合同。其他未给出的交付条件不能据此推定已满足。</w:t>
      </w:r>
    </w:p>
    <w:p>
      <w:pPr>
        <w:jc w:val="both"/>
      </w:pPr>
      <w:r>
        <w:t>标注核验：行甲满足题定交期；行乙晚于D30；变更范围限行甲；保留其他条件边界。答案应包含结论及必要依据，不能用泛化建议代替题定判断。语义等价的表达可以接受，擅自添加未给出的事实应判为内容错误。</w:t>
      </w:r>
    </w:p>
    <w:p>
      <w:pPr>
        <w:pStyle w:val="Heading3"/>
      </w:pPr>
      <w:r>
        <w:t>3.2.10 生产与使用核验</w:t>
      </w:r>
    </w:p>
    <w:p>
      <w:pPr>
        <w:jc w:val="both"/>
      </w:pPr>
      <w:r>
        <w:t>逐任务核查答案正确性、事实一致性、约束满足和证据引用，开放回答结合固定要点评分及Rouge-L等辅助指标；文字相似度不代替业务正确性。本领域同时检查订单与物料字段抽取精确率及召回率、库存数量计算正确率、约束满足率、证据引用正确率、缺少条件时的合理澄清率。统计按任务类型、来源、模态、难度及关键业务对象分层，保留题目或记录级结果和失败对象。</w:t>
      </w:r>
    </w:p>
    <w:p>
      <w:pPr>
        <w:jc w:val="both"/>
      </w:pPr>
      <w:r>
        <w:t>生产检查从来源记录开始核对项目、合同、订单行、物料、组织、库位、批次、状态与业务时点，确认对齐项目及订单身份，保留需求变更时间；库存按组织、物料、库位、批次、质量状态和截止时点对账；采购到货与可用库存分别登记；选型输入保留工况、约束、候选配置和校核依据。专业分歧由营销、计划、采购、仓储和产品选型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3.3 人类偏好对齐数据卡</w:t>
      </w:r>
    </w:p>
    <w:p>
      <w:pPr>
        <w:pStyle w:val="Heading3"/>
      </w:pPr>
      <w:r>
        <w:t>3.3.1 基本信息</w:t>
      </w:r>
    </w:p>
    <w:p>
      <w:pPr>
        <w:pStyle w:val="Caption"/>
        <w:keepNext/>
      </w:pPr>
      <w:r>
        <w:t>表3-31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GHY26691-DC-01-0003-V1.0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供需计划数据集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人类偏好对齐</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01 供需计划；关联对象为项目、合同、订单行、物料、组织、库位、批次、状态与业务时点</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有效交付净量32000组；以同一输入下完整候选回答及偏好依据构成的比较组为计数单位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本用途规模按组验收；如统计输入输出Tokens，分开保存且不替代任务或比较组数量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采用第7章公共记录结构及本领域扩展字典；同一输入下完整候选回答及偏好依据构成的比较组具有稳定标识、业务对象、来源家族、时间、内容、资源、标签与证据关系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根目录按01-PREF及数据版本组织；data保存记录，resources保存模态载荷，metadata保存来源与关系，dictionary保存字段和标签，cards保存卡片，reports保存报告，tools保存解析程序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01-PREF-数据版本-六位分片序号.jsonl；资源以稳定资源标识命名；卡片使用完整卡号；路径采用相对路径并拒绝越界和重名冲突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平台服务工单按卡号、数据版本及问题对象受理；由技术与营销、计划、采购、仓储和产品选型专业岗位协同处理，服务时段和响应要求执行统一售后安排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销售需求、矿方工况、产品选型条件、订单、物料需求、采购到货、库存状态、生产计划与交付约束。以项目、合同、订单行、物料、组织、库位、批次、状态与业务时点建立对象关系，来源范围包括CRM中的项目与商机、ERP中的订单和物料需求、SCM中的采购与到货、WMS中的库存及出入库、MES中的计划与进度、PLM中的产品配置、OA中的合同及审批资料。面向人类偏好对齐形成可比较的候选、独立判断结果、理由及仲裁记录，重点检查输入一致、候选可比、偏好依据有效、匿名展示和组完整性。数据支持产品智能选型、库存控制智能化、合同合规审查智能助手、决策数据智能问答助手；相关制度与标书内容按适用任务衔接，结论依据实际输入、专业条件和验证范围使用。涉及客户信息、联系人信息、合同价格、供应商条件、库存分布和经营计划时执行相应授权及安全处理。业务事实、推断与未知状态分别标记，数据版本与引用依据保持一致。</w:t>
      </w:r>
    </w:p>
    <w:p>
      <w:pPr>
        <w:pStyle w:val="Heading3"/>
      </w:pPr>
      <w:r>
        <w:t>3.3.2 内容特征</w:t>
      </w:r>
    </w:p>
    <w:p>
      <w:pPr>
        <w:pStyle w:val="Caption"/>
        <w:keepNext/>
      </w:pPr>
      <w:r>
        <w:t>表3-32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文本、图像、时序、视频按有效载荷统计；重点关联项目、合同、订单行、物料、组织、库位、批次、状态与业务时点；图纸、表格载体不独立增加模态数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以同一输入下完整候选回答及偏好依据构成的比较组为分母，至少两种有效关联模态的记录为分子；分子、分母及互斥组合清单齐备，按1.4节满足40%要求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按SP01需求与合同、SP02选型约束、SP03物料与采购、SP04库存与可用量、SP05计划与协同、SP06经营决策依据统计；主主题互斥，辅助主题允许多选并另列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按候选差异涉及的事实、约束、证据与风险判断复杂性分层，不能仅按回答长短或文风判优</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组内包含合成候选或其派生内容即计入合成来源组，比例不超过50%；纯真实增强另记加工属性</w:t>
            </w:r>
          </w:p>
        </w:tc>
      </w:tr>
    </w:tbl>
    <w:p>
      <w:pPr>
        <w:spacing w:after="40" w:line="240" w:lineRule="auto"/>
        <w:ind w:firstLine="0"/>
      </w:pPr>
      <w:r>
        <w:rPr>
          <w:sz w:val="4"/>
        </w:rPr>
      </w:r>
    </w:p>
    <w:p>
      <w:pPr>
        <w:pStyle w:val="Heading3"/>
      </w:pPr>
      <w:r>
        <w:t>3.3.3 建设过程</w:t>
      </w:r>
    </w:p>
    <w:p>
      <w:pPr>
        <w:pStyle w:val="Caption"/>
        <w:keepNext/>
      </w:pPr>
      <w:r>
        <w:t>表3-33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CRM中的项目与商机、ERP中的订单和物料需求、SCM中的采购与到货、WMS中的库存及出入库、MES中的计划与进度、PLM中的产品配置、OA中的合同及审批资料；逐源登记组织、资料类别、业务期间、采集期间及许可依据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对齐项目及订单身份，保留需求变更时间；库存按组织、物料、库位、批次、质量状态和截止时点对账；采购到货与可用库存分别登记；选型输入保留工况、约束、候选配置和校核依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保存解析器、字典、切分、窗口、重叠、单位换算、时间校正和对齐配置；项目、合同、订单行、物料、组织、库位、批次、状态与业务时点为关联校验重点；参数经真实资料验证后冻结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候选标识、展示顺序、优选结果、可并列状态、事实与约束判断、偏好理由和仲裁结果；规范编号与实际生产记录绑定，不因预训练用途自动省略专业标记管理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由营销、计划、采购、仓储和产品选型专业岗位承担专业定义与争议裁决，标注人员依规范执行；自检、交叉复核、专家仲裁分别保存原始结果及修订记录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3.3.4 应用说明</w:t>
      </w:r>
    </w:p>
    <w:p>
      <w:pPr>
        <w:pStyle w:val="Caption"/>
        <w:keepNext/>
      </w:pPr>
      <w:r>
        <w:t>表3-34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产品智能选型、库存控制智能化、合同合规审查智能助手、决策数据智能问答助手；相关制度与标书内容按适用任务衔接；验证结论按实际场景、输入条件和版本形成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偏好对齐；输入接口须支持实际文本、图像、时序或视频载荷及对应关系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订单与物料字段抽取精确率及召回率、库存数量计算正确率、约束满足率、证据引用正确率、缺少条件时的合理澄清率；各用途采用本卡评价协议并保留定义、方向和统计单位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3.3.5 质量验证</w:t>
      </w:r>
    </w:p>
    <w:p>
      <w:pPr>
        <w:pStyle w:val="Caption"/>
        <w:keepNext/>
      </w:pPr>
      <w:r>
        <w:t>表3-35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质检报告采用GHY26691-QC-01-0003并绑定实际版本、受检清单和内容根摘要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分别报告保真度、完备性、规整性、均衡性、可用性、可信性的方法、结果与问题；按项目、合同、订单行、物料、组织、库位、批次、状态与业务时点检查关键业务关联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验证报告采用GHY26691-VR-01-0003及实际版本；引用数据、模型、协议、实验和原始输出，汇总与子集范围分别标明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营销、计划、采购、仓储和产品选型专业岗位结合产品智能选型、库存控制智能化、合同合规审查智能助手、决策数据智能问答助手；相关制度与标书内容按适用任务衔接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3.3.6 安全合规</w:t>
      </w:r>
    </w:p>
    <w:p>
      <w:pPr>
        <w:pStyle w:val="Caption"/>
        <w:keepNext/>
      </w:pPr>
      <w:r>
        <w:t>表3-36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生产经营数据中的供需计划相关数据；按销售需求、矿方工况、产品选型条件、订单、物料需求、采购到货、库存状态、生产计划与交付约束细分并关联资产目录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客户信息、联系人信息、合同价格、供应商条件、库存分布和经营计划；实际敏感要素由检测与人工复核确认，未知状态不按无敏感信息处理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客户、供应商及联系人采用稳定替代标识；合同价格按用途实施受控访问或经批准的转换，保留币种、含税状态和金额关系；用于库存计算的必要数量在授权环境保真处理</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营销、计划、采购、仓储和产品选型专业岗位按业务必要性申请；加工、质量与评测岗位取得任务所需权限，基准答案、原始敏感资料和替代映射分别控制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按卡号GHY26691-DC-01-0003-V1.0、实际数据版本、对象标识和工单关联查询采集、加工、访问、下载、评测及发布审计；交付留存必要受控记录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3.3.7 指纹血缘</w:t>
      </w:r>
    </w:p>
    <w:p>
      <w:pPr>
        <w:pStyle w:val="Caption"/>
        <w:keepNext/>
      </w:pPr>
      <w:r>
        <w:t>表3-37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01-PREF根目录内package.json登记身份、数据版本、结构版本、字典、卡片、资源和文件清单；脱离平台按第7章完成读取及核验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3.3.8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表3-38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order_line_id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订单与行项目的稳定联合身份</w:t>
            </w:r>
          </w:p>
        </w:tc>
        <w:tc>
          <w:tcPr>
            <w:tcW w:type="dxa" w:w="3084"/>
            <w:vAlign w:val="center"/>
          </w:tcPr>
          <w:p>
            <w:pPr>
              <w:keepNext w:val="0"/>
              <w:spacing w:line="320" w:lineRule="exact" w:after="0" w:before="0"/>
              <w:ind w:firstLine="0"/>
              <w:jc w:val="left"/>
            </w:pPr>
            <w:r>
              <w:rPr>
                <w:b w:val="0"/>
                <w:sz w:val="21"/>
              </w:rPr>
              <w:t>不得仅用合同号代表多个交付行</w:t>
            </w:r>
          </w:p>
        </w:tc>
      </w:tr>
      <w:tr>
        <w:trPr>
          <w:cantSplit/>
        </w:trPr>
        <w:tc>
          <w:tcPr>
            <w:tcW w:type="dxa" w:w="2313"/>
            <w:vAlign w:val="center"/>
          </w:tcPr>
          <w:p>
            <w:pPr>
              <w:keepNext w:val="0"/>
              <w:spacing w:line="320" w:lineRule="exact" w:after="0" w:before="0"/>
              <w:ind w:firstLine="0"/>
              <w:jc w:val="left"/>
            </w:pPr>
            <w:r>
              <w:rPr>
                <w:b w:val="0"/>
                <w:sz w:val="21"/>
              </w:rPr>
              <w:t>material_id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物料主记录标识</w:t>
            </w:r>
          </w:p>
        </w:tc>
        <w:tc>
          <w:tcPr>
            <w:tcW w:type="dxa" w:w="3084"/>
            <w:vAlign w:val="center"/>
          </w:tcPr>
          <w:p>
            <w:pPr>
              <w:keepNext w:val="0"/>
              <w:spacing w:line="320" w:lineRule="exact" w:after="0" w:before="0"/>
              <w:ind w:firstLine="0"/>
              <w:jc w:val="left"/>
            </w:pPr>
            <w:r>
              <w:rPr>
                <w:b w:val="0"/>
                <w:sz w:val="21"/>
              </w:rPr>
              <w:t>替代物料另列关系与生效条件</w:t>
            </w:r>
          </w:p>
        </w:tc>
      </w:tr>
      <w:tr>
        <w:trPr>
          <w:cantSplit/>
        </w:trPr>
        <w:tc>
          <w:tcPr>
            <w:tcW w:type="dxa" w:w="2313"/>
            <w:vAlign w:val="center"/>
          </w:tcPr>
          <w:p>
            <w:pPr>
              <w:keepNext w:val="0"/>
              <w:spacing w:line="320" w:lineRule="exact" w:after="0" w:before="0"/>
              <w:ind w:firstLine="0"/>
              <w:jc w:val="left"/>
            </w:pPr>
            <w:r>
              <w:rPr>
                <w:b w:val="0"/>
                <w:sz w:val="21"/>
              </w:rPr>
              <w:t>inventory_state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available、pending_inspection、frozen、reserved、in_transit</w:t>
            </w:r>
          </w:p>
        </w:tc>
        <w:tc>
          <w:tcPr>
            <w:tcW w:type="dxa" w:w="3084"/>
            <w:vAlign w:val="center"/>
          </w:tcPr>
          <w:p>
            <w:pPr>
              <w:keepNext w:val="0"/>
              <w:spacing w:line="320" w:lineRule="exact" w:after="0" w:before="0"/>
              <w:ind w:firstLine="0"/>
              <w:jc w:val="left"/>
            </w:pPr>
            <w:r>
              <w:rPr>
                <w:b w:val="0"/>
                <w:sz w:val="21"/>
              </w:rPr>
              <w:t>状态与统计时点共同确定可用性</w:t>
            </w:r>
          </w:p>
        </w:tc>
      </w:tr>
      <w:tr>
        <w:trPr>
          <w:cantSplit/>
        </w:trPr>
        <w:tc>
          <w:tcPr>
            <w:tcW w:type="dxa" w:w="2313"/>
            <w:vAlign w:val="center"/>
          </w:tcPr>
          <w:p>
            <w:pPr>
              <w:keepNext w:val="0"/>
              <w:spacing w:line="320" w:lineRule="exact" w:after="0" w:before="0"/>
              <w:ind w:firstLine="0"/>
              <w:jc w:val="left"/>
            </w:pPr>
            <w:r>
              <w:rPr>
                <w:b w:val="0"/>
                <w:sz w:val="21"/>
              </w:rPr>
              <w:t>quantity</w:t>
            </w:r>
          </w:p>
        </w:tc>
        <w:tc>
          <w:tcPr>
            <w:tcW w:type="dxa" w:w="1157"/>
            <w:vAlign w:val="center"/>
          </w:tcPr>
          <w:p>
            <w:pPr>
              <w:keepNext w:val="0"/>
              <w:spacing w:line="320" w:lineRule="exact" w:after="0" w:before="0"/>
              <w:ind w:firstLine="0"/>
              <w:jc w:val="left"/>
            </w:pPr>
            <w:r>
              <w:rPr>
                <w:b w:val="0"/>
                <w:sz w:val="21"/>
              </w:rPr>
              <w:t>十进制数</w:t>
            </w:r>
          </w:p>
        </w:tc>
        <w:tc>
          <w:tcPr>
            <w:tcW w:type="dxa" w:w="3084"/>
            <w:vAlign w:val="center"/>
          </w:tcPr>
          <w:p>
            <w:pPr>
              <w:keepNext w:val="0"/>
              <w:spacing w:line="320" w:lineRule="exact" w:after="0" w:before="0"/>
              <w:ind w:firstLine="0"/>
              <w:jc w:val="left"/>
            </w:pPr>
            <w:r>
              <w:rPr>
                <w:b w:val="0"/>
                <w:sz w:val="21"/>
              </w:rPr>
              <w:t>带单位的业务数量</w:t>
            </w:r>
          </w:p>
        </w:tc>
        <w:tc>
          <w:tcPr>
            <w:tcW w:type="dxa" w:w="3084"/>
            <w:vAlign w:val="center"/>
          </w:tcPr>
          <w:p>
            <w:pPr>
              <w:keepNext w:val="0"/>
              <w:spacing w:line="320" w:lineRule="exact" w:after="0" w:before="0"/>
              <w:ind w:firstLine="0"/>
              <w:jc w:val="left"/>
            </w:pPr>
            <w:r>
              <w:rPr>
                <w:b w:val="0"/>
                <w:sz w:val="21"/>
              </w:rPr>
              <w:t>数量、单位、状态和来源同时存在</w:t>
            </w:r>
          </w:p>
        </w:tc>
      </w:tr>
      <w:tr>
        <w:trPr>
          <w:cantSplit/>
        </w:trPr>
        <w:tc>
          <w:tcPr>
            <w:tcW w:type="dxa" w:w="2313"/>
            <w:vAlign w:val="center"/>
          </w:tcPr>
          <w:p>
            <w:pPr>
              <w:keepNext w:val="0"/>
              <w:spacing w:line="320" w:lineRule="exact" w:after="0" w:before="0"/>
              <w:ind w:firstLine="0"/>
              <w:jc w:val="left"/>
            </w:pPr>
            <w:r>
              <w:rPr>
                <w:b w:val="0"/>
                <w:sz w:val="21"/>
              </w:rPr>
              <w:t>cutoff_time</w:t>
            </w:r>
          </w:p>
        </w:tc>
        <w:tc>
          <w:tcPr>
            <w:tcW w:type="dxa" w:w="1157"/>
            <w:vAlign w:val="center"/>
          </w:tcPr>
          <w:p>
            <w:pPr>
              <w:keepNext w:val="0"/>
              <w:spacing w:line="320" w:lineRule="exact" w:after="0" w:before="0"/>
              <w:ind w:firstLine="0"/>
              <w:jc w:val="left"/>
            </w:pPr>
            <w:r>
              <w:rPr>
                <w:b w:val="0"/>
                <w:sz w:val="21"/>
              </w:rPr>
              <w:t>时间</w:t>
            </w:r>
          </w:p>
        </w:tc>
        <w:tc>
          <w:tcPr>
            <w:tcW w:type="dxa" w:w="3084"/>
            <w:vAlign w:val="center"/>
          </w:tcPr>
          <w:p>
            <w:pPr>
              <w:keepNext w:val="0"/>
              <w:spacing w:line="320" w:lineRule="exact" w:after="0" w:before="0"/>
              <w:ind w:firstLine="0"/>
              <w:jc w:val="left"/>
            </w:pPr>
            <w:r>
              <w:rPr>
                <w:b w:val="0"/>
                <w:sz w:val="21"/>
              </w:rPr>
              <w:t>统一业务时区的截止时点</w:t>
            </w:r>
          </w:p>
        </w:tc>
        <w:tc>
          <w:tcPr>
            <w:tcW w:type="dxa" w:w="3084"/>
            <w:vAlign w:val="center"/>
          </w:tcPr>
          <w:p>
            <w:pPr>
              <w:keepNext w:val="0"/>
              <w:spacing w:line="320" w:lineRule="exact" w:after="0" w:before="0"/>
              <w:ind w:firstLine="0"/>
              <w:jc w:val="left"/>
            </w:pPr>
            <w:r>
              <w:rPr>
                <w:b w:val="0"/>
                <w:sz w:val="21"/>
              </w:rPr>
              <w:t>跨系统比较采用同一时点或可核验调整</w:t>
            </w:r>
          </w:p>
        </w:tc>
      </w:tr>
      <w:tr>
        <w:trPr>
          <w:cantSplit/>
        </w:trPr>
        <w:tc>
          <w:tcPr>
            <w:tcW w:type="dxa" w:w="2313"/>
            <w:vAlign w:val="center"/>
          </w:tcPr>
          <w:p>
            <w:pPr>
              <w:keepNext w:val="0"/>
              <w:spacing w:line="320" w:lineRule="exact" w:after="0" w:before="0"/>
              <w:ind w:firstLine="0"/>
              <w:jc w:val="left"/>
            </w:pPr>
            <w:r>
              <w:rPr>
                <w:b w:val="0"/>
                <w:sz w:val="21"/>
              </w:rPr>
              <w:t>constraint_refs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交期、工况、接口及审批的证据标识</w:t>
            </w:r>
          </w:p>
        </w:tc>
        <w:tc>
          <w:tcPr>
            <w:tcW w:type="dxa" w:w="3084"/>
            <w:vAlign w:val="center"/>
          </w:tcPr>
          <w:p>
            <w:pPr>
              <w:keepNext w:val="0"/>
              <w:spacing w:line="320" w:lineRule="exact" w:after="0" w:before="0"/>
              <w:ind w:firstLine="0"/>
              <w:jc w:val="left"/>
            </w:pPr>
            <w:r>
              <w:rPr>
                <w:b w:val="0"/>
                <w:sz w:val="21"/>
              </w:rPr>
              <w:t>每项约束可回到原资料与有效版本</w:t>
            </w:r>
          </w:p>
        </w:tc>
      </w:tr>
    </w:tbl>
    <w:p>
      <w:pPr>
        <w:spacing w:after="40" w:line="240" w:lineRule="auto"/>
        <w:ind w:firstLine="0"/>
      </w:pPr>
      <w:r>
        <w:rPr>
          <w:sz w:val="4"/>
        </w:rPr>
      </w:r>
    </w:p>
    <w:p>
      <w:pPr>
        <w:pStyle w:val="Caption"/>
        <w:keepNext/>
      </w:pPr>
      <w:r>
        <w:t>表3-39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SP01</w:t>
            </w:r>
          </w:p>
        </w:tc>
        <w:tc>
          <w:tcPr>
            <w:tcW w:type="dxa" w:w="2891"/>
            <w:vAlign w:val="center"/>
          </w:tcPr>
          <w:p>
            <w:pPr>
              <w:keepNext w:val="0"/>
              <w:spacing w:line="320" w:lineRule="exact" w:after="0" w:before="0"/>
              <w:ind w:firstLine="0"/>
              <w:jc w:val="left"/>
            </w:pPr>
            <w:r>
              <w:rPr>
                <w:b w:val="0"/>
                <w:sz w:val="21"/>
              </w:rPr>
              <w:t>需求与合同</w:t>
            </w:r>
          </w:p>
        </w:tc>
        <w:tc>
          <w:tcPr>
            <w:tcW w:type="dxa" w:w="4433"/>
            <w:vAlign w:val="center"/>
          </w:tcPr>
          <w:p>
            <w:pPr>
              <w:keepNext w:val="0"/>
              <w:spacing w:line="320" w:lineRule="exact" w:after="0" w:before="0"/>
              <w:ind w:firstLine="0"/>
              <w:jc w:val="left"/>
            </w:pPr>
            <w:r>
              <w:rPr>
                <w:b w:val="0"/>
                <w:sz w:val="21"/>
              </w:rPr>
              <w:t>合同义务、数量、时间和变更依据</w:t>
            </w:r>
          </w:p>
        </w:tc>
      </w:tr>
      <w:tr>
        <w:trPr>
          <w:cantSplit/>
        </w:trPr>
        <w:tc>
          <w:tcPr>
            <w:tcW w:type="dxa" w:w="2313"/>
            <w:vAlign w:val="center"/>
          </w:tcPr>
          <w:p>
            <w:pPr>
              <w:keepNext w:val="0"/>
              <w:spacing w:line="320" w:lineRule="exact" w:after="0" w:before="0"/>
              <w:ind w:firstLine="0"/>
              <w:jc w:val="left"/>
            </w:pPr>
            <w:r>
              <w:rPr>
                <w:b w:val="0"/>
                <w:sz w:val="21"/>
              </w:rPr>
              <w:t>SP02</w:t>
            </w:r>
          </w:p>
        </w:tc>
        <w:tc>
          <w:tcPr>
            <w:tcW w:type="dxa" w:w="2891"/>
            <w:vAlign w:val="center"/>
          </w:tcPr>
          <w:p>
            <w:pPr>
              <w:keepNext w:val="0"/>
              <w:spacing w:line="320" w:lineRule="exact" w:after="0" w:before="0"/>
              <w:ind w:firstLine="0"/>
              <w:jc w:val="left"/>
            </w:pPr>
            <w:r>
              <w:rPr>
                <w:b w:val="0"/>
                <w:sz w:val="21"/>
              </w:rPr>
              <w:t>选型约束</w:t>
            </w:r>
          </w:p>
        </w:tc>
        <w:tc>
          <w:tcPr>
            <w:tcW w:type="dxa" w:w="4433"/>
            <w:vAlign w:val="center"/>
          </w:tcPr>
          <w:p>
            <w:pPr>
              <w:keepNext w:val="0"/>
              <w:spacing w:line="320" w:lineRule="exact" w:after="0" w:before="0"/>
              <w:ind w:firstLine="0"/>
              <w:jc w:val="left"/>
            </w:pPr>
            <w:r>
              <w:rPr>
                <w:b w:val="0"/>
                <w:sz w:val="21"/>
              </w:rPr>
              <w:t>工况、候选产品和接口条件</w:t>
            </w:r>
          </w:p>
        </w:tc>
      </w:tr>
      <w:tr>
        <w:trPr>
          <w:cantSplit/>
        </w:trPr>
        <w:tc>
          <w:tcPr>
            <w:tcW w:type="dxa" w:w="2313"/>
            <w:vAlign w:val="center"/>
          </w:tcPr>
          <w:p>
            <w:pPr>
              <w:keepNext w:val="0"/>
              <w:spacing w:line="320" w:lineRule="exact" w:after="0" w:before="0"/>
              <w:ind w:firstLine="0"/>
              <w:jc w:val="left"/>
            </w:pPr>
            <w:r>
              <w:rPr>
                <w:b w:val="0"/>
                <w:sz w:val="21"/>
              </w:rPr>
              <w:t>SP03</w:t>
            </w:r>
          </w:p>
        </w:tc>
        <w:tc>
          <w:tcPr>
            <w:tcW w:type="dxa" w:w="2891"/>
            <w:vAlign w:val="center"/>
          </w:tcPr>
          <w:p>
            <w:pPr>
              <w:keepNext w:val="0"/>
              <w:spacing w:line="320" w:lineRule="exact" w:after="0" w:before="0"/>
              <w:ind w:firstLine="0"/>
              <w:jc w:val="left"/>
            </w:pPr>
            <w:r>
              <w:rPr>
                <w:b w:val="0"/>
                <w:sz w:val="21"/>
              </w:rPr>
              <w:t>物料与采购</w:t>
            </w:r>
          </w:p>
        </w:tc>
        <w:tc>
          <w:tcPr>
            <w:tcW w:type="dxa" w:w="4433"/>
            <w:vAlign w:val="center"/>
          </w:tcPr>
          <w:p>
            <w:pPr>
              <w:keepNext w:val="0"/>
              <w:spacing w:line="320" w:lineRule="exact" w:after="0" w:before="0"/>
              <w:ind w:firstLine="0"/>
              <w:jc w:val="left"/>
            </w:pPr>
            <w:r>
              <w:rPr>
                <w:b w:val="0"/>
                <w:sz w:val="21"/>
              </w:rPr>
              <w:t>需求、替代料、采购与预计到货</w:t>
            </w:r>
          </w:p>
        </w:tc>
      </w:tr>
      <w:tr>
        <w:trPr>
          <w:cantSplit/>
        </w:trPr>
        <w:tc>
          <w:tcPr>
            <w:tcW w:type="dxa" w:w="2313"/>
            <w:vAlign w:val="center"/>
          </w:tcPr>
          <w:p>
            <w:pPr>
              <w:keepNext w:val="0"/>
              <w:spacing w:line="320" w:lineRule="exact" w:after="0" w:before="0"/>
              <w:ind w:firstLine="0"/>
              <w:jc w:val="left"/>
            </w:pPr>
            <w:r>
              <w:rPr>
                <w:b w:val="0"/>
                <w:sz w:val="21"/>
              </w:rPr>
              <w:t>SP04</w:t>
            </w:r>
          </w:p>
        </w:tc>
        <w:tc>
          <w:tcPr>
            <w:tcW w:type="dxa" w:w="2891"/>
            <w:vAlign w:val="center"/>
          </w:tcPr>
          <w:p>
            <w:pPr>
              <w:keepNext w:val="0"/>
              <w:spacing w:line="320" w:lineRule="exact" w:after="0" w:before="0"/>
              <w:ind w:firstLine="0"/>
              <w:jc w:val="left"/>
            </w:pPr>
            <w:r>
              <w:rPr>
                <w:b w:val="0"/>
                <w:sz w:val="21"/>
              </w:rPr>
              <w:t>库存与可用量</w:t>
            </w:r>
          </w:p>
        </w:tc>
        <w:tc>
          <w:tcPr>
            <w:tcW w:type="dxa" w:w="4433"/>
            <w:vAlign w:val="center"/>
          </w:tcPr>
          <w:p>
            <w:pPr>
              <w:keepNext w:val="0"/>
              <w:spacing w:line="320" w:lineRule="exact" w:after="0" w:before="0"/>
              <w:ind w:firstLine="0"/>
              <w:jc w:val="left"/>
            </w:pPr>
            <w:r>
              <w:rPr>
                <w:b w:val="0"/>
                <w:sz w:val="21"/>
              </w:rPr>
              <w:t>账面、待检、冻结、占用和可用状态</w:t>
            </w:r>
          </w:p>
        </w:tc>
      </w:tr>
      <w:tr>
        <w:trPr>
          <w:cantSplit/>
        </w:trPr>
        <w:tc>
          <w:tcPr>
            <w:tcW w:type="dxa" w:w="2313"/>
            <w:vAlign w:val="center"/>
          </w:tcPr>
          <w:p>
            <w:pPr>
              <w:keepNext w:val="0"/>
              <w:spacing w:line="320" w:lineRule="exact" w:after="0" w:before="0"/>
              <w:ind w:firstLine="0"/>
              <w:jc w:val="left"/>
            </w:pPr>
            <w:r>
              <w:rPr>
                <w:b w:val="0"/>
                <w:sz w:val="21"/>
              </w:rPr>
              <w:t>SP05</w:t>
            </w:r>
          </w:p>
        </w:tc>
        <w:tc>
          <w:tcPr>
            <w:tcW w:type="dxa" w:w="2891"/>
            <w:vAlign w:val="center"/>
          </w:tcPr>
          <w:p>
            <w:pPr>
              <w:keepNext w:val="0"/>
              <w:spacing w:line="320" w:lineRule="exact" w:after="0" w:before="0"/>
              <w:ind w:firstLine="0"/>
              <w:jc w:val="left"/>
            </w:pPr>
            <w:r>
              <w:rPr>
                <w:b w:val="0"/>
                <w:sz w:val="21"/>
              </w:rPr>
              <w:t>计划与协同</w:t>
            </w:r>
          </w:p>
        </w:tc>
        <w:tc>
          <w:tcPr>
            <w:tcW w:type="dxa" w:w="4433"/>
            <w:vAlign w:val="center"/>
          </w:tcPr>
          <w:p>
            <w:pPr>
              <w:keepNext w:val="0"/>
              <w:spacing w:line="320" w:lineRule="exact" w:after="0" w:before="0"/>
              <w:ind w:firstLine="0"/>
              <w:jc w:val="left"/>
            </w:pPr>
            <w:r>
              <w:rPr>
                <w:b w:val="0"/>
                <w:sz w:val="21"/>
              </w:rPr>
              <w:t>工序约束、交付窗口和调整原因</w:t>
            </w:r>
          </w:p>
        </w:tc>
      </w:tr>
      <w:tr>
        <w:trPr>
          <w:cantSplit/>
        </w:trPr>
        <w:tc>
          <w:tcPr>
            <w:tcW w:type="dxa" w:w="2313"/>
            <w:vAlign w:val="center"/>
          </w:tcPr>
          <w:p>
            <w:pPr>
              <w:keepNext w:val="0"/>
              <w:spacing w:line="320" w:lineRule="exact" w:after="0" w:before="0"/>
              <w:ind w:firstLine="0"/>
              <w:jc w:val="left"/>
            </w:pPr>
            <w:r>
              <w:rPr>
                <w:b w:val="0"/>
                <w:sz w:val="21"/>
              </w:rPr>
              <w:t>SP06</w:t>
            </w:r>
          </w:p>
        </w:tc>
        <w:tc>
          <w:tcPr>
            <w:tcW w:type="dxa" w:w="2891"/>
            <w:vAlign w:val="center"/>
          </w:tcPr>
          <w:p>
            <w:pPr>
              <w:keepNext w:val="0"/>
              <w:spacing w:line="320" w:lineRule="exact" w:after="0" w:before="0"/>
              <w:ind w:firstLine="0"/>
              <w:jc w:val="left"/>
            </w:pPr>
            <w:r>
              <w:rPr>
                <w:b w:val="0"/>
                <w:sz w:val="21"/>
              </w:rPr>
              <w:t>经营决策依据</w:t>
            </w:r>
          </w:p>
        </w:tc>
        <w:tc>
          <w:tcPr>
            <w:tcW w:type="dxa" w:w="4433"/>
            <w:vAlign w:val="center"/>
          </w:tcPr>
          <w:p>
            <w:pPr>
              <w:keepNext w:val="0"/>
              <w:spacing w:line="320" w:lineRule="exact" w:after="0" w:before="0"/>
              <w:ind w:firstLine="0"/>
              <w:jc w:val="left"/>
            </w:pPr>
            <w:r>
              <w:rPr>
                <w:b w:val="0"/>
                <w:sz w:val="21"/>
              </w:rPr>
              <w:t>多来源事实、统计时点与依据引用</w:t>
            </w:r>
          </w:p>
        </w:tc>
      </w:tr>
    </w:tbl>
    <w:p>
      <w:pPr>
        <w:spacing w:after="40" w:line="240" w:lineRule="auto"/>
        <w:ind w:firstLine="0"/>
      </w:pPr>
      <w:r>
        <w:rPr>
          <w:sz w:val="4"/>
        </w:rPr>
      </w:r>
    </w:p>
    <w:p>
      <w:pPr>
        <w:pStyle w:val="Caption"/>
        <w:keepNext/>
      </w:pPr>
      <w:r>
        <w:t>表3-40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表3-41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constraint_review</w:t>
            </w:r>
          </w:p>
        </w:tc>
        <w:tc>
          <w:tcPr>
            <w:tcW w:type="dxa" w:w="7228"/>
            <w:vAlign w:val="center"/>
          </w:tcPr>
          <w:p>
            <w:pPr>
              <w:keepNext w:val="0"/>
              <w:spacing w:line="320" w:lineRule="exact" w:after="0" w:before="0"/>
              <w:ind w:firstLine="0"/>
              <w:jc w:val="left"/>
            </w:pPr>
            <w:r>
              <w:rPr>
                <w:b w:val="0"/>
                <w:sz w:val="21"/>
              </w:rPr>
              <w:t>逐项核验题定约束；缺少必要依据的条件保持未确认</w:t>
            </w:r>
          </w:p>
        </w:tc>
      </w:tr>
      <w:tr>
        <w:trPr>
          <w:cantSplit/>
        </w:trPr>
        <w:tc>
          <w:tcPr>
            <w:tcW w:type="dxa" w:w="2409"/>
            <w:vAlign w:val="center"/>
          </w:tcPr>
          <w:p>
            <w:pPr>
              <w:keepNext w:val="0"/>
              <w:spacing w:line="320" w:lineRule="exact" w:after="0" w:before="0"/>
              <w:ind w:firstLine="0"/>
              <w:jc w:val="left"/>
            </w:pPr>
            <w:r>
              <w:rPr>
                <w:b w:val="0"/>
                <w:sz w:val="21"/>
              </w:rPr>
              <w:t>evidence_insufficient</w:t>
            </w:r>
          </w:p>
        </w:tc>
        <w:tc>
          <w:tcPr>
            <w:tcW w:type="dxa" w:w="7228"/>
            <w:vAlign w:val="center"/>
          </w:tcPr>
          <w:p>
            <w:pPr>
              <w:keepNext w:val="0"/>
              <w:spacing w:line="320" w:lineRule="exact" w:after="0" w:before="0"/>
              <w:ind w:firstLine="0"/>
              <w:jc w:val="left"/>
            </w:pPr>
            <w:r>
              <w:rPr>
                <w:b w:val="0"/>
                <w:sz w:val="21"/>
              </w:rPr>
              <w:t>已有内容不足以支持所问结论，明确缺少的证据及仍可判定的范围</w:t>
            </w:r>
          </w:p>
        </w:tc>
      </w:tr>
      <w:tr>
        <w:trPr>
          <w:cantSplit/>
        </w:trPr>
        <w:tc>
          <w:tcPr>
            <w:tcW w:type="dxa" w:w="2409"/>
            <w:vAlign w:val="center"/>
          </w:tcPr>
          <w:p>
            <w:pPr>
              <w:keepNext w:val="0"/>
              <w:spacing w:line="320" w:lineRule="exact" w:after="0" w:before="0"/>
              <w:ind w:firstLine="0"/>
              <w:jc w:val="left"/>
            </w:pPr>
            <w:r>
              <w:rPr>
                <w:b w:val="0"/>
                <w:sz w:val="21"/>
              </w:rPr>
              <w:t>quantity_calculation</w:t>
            </w:r>
          </w:p>
        </w:tc>
        <w:tc>
          <w:tcPr>
            <w:tcW w:type="dxa" w:w="7228"/>
            <w:vAlign w:val="center"/>
          </w:tcPr>
          <w:p>
            <w:pPr>
              <w:keepNext w:val="0"/>
              <w:spacing w:line="320" w:lineRule="exact" w:after="0" w:before="0"/>
              <w:ind w:firstLine="0"/>
              <w:jc w:val="left"/>
            </w:pPr>
            <w:r>
              <w:rPr>
                <w:b w:val="0"/>
                <w:sz w:val="21"/>
              </w:rPr>
              <w:t>按题定数量、单位、状态及公式计算，保留中间结果和适用范围</w:t>
            </w:r>
          </w:p>
        </w:tc>
      </w:tr>
      <w:tr>
        <w:trPr>
          <w:cantSplit/>
        </w:trPr>
        <w:tc>
          <w:tcPr>
            <w:tcW w:type="dxa" w:w="2409"/>
            <w:vAlign w:val="center"/>
          </w:tcPr>
          <w:p>
            <w:pPr>
              <w:keepNext w:val="0"/>
              <w:spacing w:line="320" w:lineRule="exact" w:after="0" w:before="0"/>
              <w:ind w:firstLine="0"/>
              <w:jc w:val="left"/>
            </w:pPr>
            <w:r>
              <w:rPr>
                <w:b w:val="0"/>
                <w:sz w:val="21"/>
              </w:rPr>
              <w:t>schedule_review</w:t>
            </w:r>
          </w:p>
        </w:tc>
        <w:tc>
          <w:tcPr>
            <w:tcW w:type="dxa" w:w="7228"/>
            <w:vAlign w:val="center"/>
          </w:tcPr>
          <w:p>
            <w:pPr>
              <w:keepNext w:val="0"/>
              <w:spacing w:line="320" w:lineRule="exact" w:after="0" w:before="0"/>
              <w:ind w:firstLine="0"/>
              <w:jc w:val="left"/>
            </w:pPr>
            <w:r>
              <w:rPr>
                <w:b w:val="0"/>
                <w:sz w:val="21"/>
              </w:rPr>
              <w:t>按对应订单行的有效交期判断计划，变更仅对批准范围生效</w:t>
            </w:r>
          </w:p>
        </w:tc>
      </w:tr>
      <w:tr>
        <w:trPr>
          <w:cantSplit/>
        </w:trPr>
        <w:tc>
          <w:tcPr>
            <w:tcW w:type="dxa" w:w="2409"/>
            <w:vAlign w:val="center"/>
          </w:tcPr>
          <w:p>
            <w:pPr>
              <w:keepNext w:val="0"/>
              <w:spacing w:line="320" w:lineRule="exact" w:after="0" w:before="0"/>
              <w:ind w:firstLine="0"/>
              <w:jc w:val="left"/>
            </w:pPr>
            <w:r>
              <w:rPr>
                <w:b w:val="0"/>
                <w:sz w:val="21"/>
              </w:rPr>
              <w:t>state_alignment</w:t>
            </w:r>
          </w:p>
        </w:tc>
        <w:tc>
          <w:tcPr>
            <w:tcW w:type="dxa" w:w="7228"/>
            <w:vAlign w:val="center"/>
          </w:tcPr>
          <w:p>
            <w:pPr>
              <w:keepNext w:val="0"/>
              <w:spacing w:line="320" w:lineRule="exact" w:after="0" w:before="0"/>
              <w:ind w:firstLine="0"/>
              <w:jc w:val="left"/>
            </w:pPr>
            <w:r>
              <w:rPr>
                <w:b w:val="0"/>
                <w:sz w:val="21"/>
              </w:rPr>
              <w:t>比较对象处于相同业务时点和可比状态，区分在途、待检、冻结、占用与可用</w:t>
            </w:r>
          </w:p>
        </w:tc>
      </w:tr>
      <w:tr>
        <w:trPr>
          <w:cantSplit/>
        </w:trPr>
        <w:tc>
          <w:tcPr>
            <w:tcW w:type="dxa" w:w="2409"/>
            <w:vAlign w:val="center"/>
          </w:tcPr>
          <w:p>
            <w:pPr>
              <w:keepNext w:val="0"/>
              <w:spacing w:line="320" w:lineRule="exact" w:after="0" w:before="0"/>
              <w:ind w:firstLine="0"/>
              <w:jc w:val="left"/>
            </w:pPr>
            <w:r>
              <w:rPr>
                <w:b w:val="0"/>
                <w:sz w:val="21"/>
              </w:rPr>
              <w:t>version_scope</w:t>
            </w:r>
          </w:p>
        </w:tc>
        <w:tc>
          <w:tcPr>
            <w:tcW w:type="dxa" w:w="7228"/>
            <w:vAlign w:val="center"/>
          </w:tcPr>
          <w:p>
            <w:pPr>
              <w:keepNext w:val="0"/>
              <w:spacing w:line="320" w:lineRule="exact" w:after="0" w:before="0"/>
              <w:ind w:firstLine="0"/>
              <w:jc w:val="left"/>
            </w:pPr>
            <w:r>
              <w:rPr>
                <w:b w:val="0"/>
                <w:sz w:val="21"/>
              </w:rPr>
              <w:t>按批准版次的生效对象、期间及批次判断适用性</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3.3.9 规范样本</w:t>
      </w:r>
    </w:p>
    <w:p>
      <w:pPr>
        <w:keepNext/>
        <w:jc w:val="both"/>
      </w:pPr>
      <w:r>
        <w:t>规范样本1 库存状态与可用量核算</w:t>
      </w:r>
    </w:p>
    <w:p>
      <w:pPr>
        <w:pStyle w:val="Caption"/>
        <w:keepNext/>
      </w:pPr>
      <w:r>
        <w:t>表3-42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EX-01-PREF-001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SP04、quantity_calculation、state_alignment</w:t>
            </w:r>
          </w:p>
        </w:tc>
      </w:tr>
    </w:tbl>
    <w:p>
      <w:pPr>
        <w:spacing w:after="40" w:line="240" w:lineRule="auto"/>
        <w:ind w:firstLine="0"/>
      </w:pPr>
      <w:r>
        <w:rPr>
          <w:sz w:val="4"/>
        </w:rPr>
      </w:r>
    </w:p>
    <w:p>
      <w:pPr>
        <w:jc w:val="both"/>
      </w:pPr>
      <w:r>
        <w:t>输入内容：物料甲在同一仓库、同一计量单位下，期初账面数量80件，本期入库20件、出库35件，无调整。期末账面中待检10件、冻结5件、已占用8件，三个状态互不重叠。在途采购12件尚未入库。</w:t>
      </w:r>
    </w:p>
    <w:p>
      <w:pPr>
        <w:pStyle w:val="Caption"/>
        <w:keepNext/>
      </w:pPr>
      <w:r>
        <w:t>表3-43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left"/>
            </w:pPr>
            <w:r>
              <w:rPr>
                <w:b w:val="0"/>
                <w:sz w:val="21"/>
              </w:rPr>
              <w:t>t0</w:t>
            </w:r>
          </w:p>
        </w:tc>
        <w:tc>
          <w:tcPr>
            <w:tcW w:type="dxa" w:w="7228"/>
            <w:vAlign w:val="center"/>
          </w:tcPr>
          <w:p>
            <w:pPr>
              <w:keepNext/>
              <w:spacing w:line="320" w:lineRule="exact" w:after="0" w:before="0"/>
              <w:ind w:firstLine="0"/>
              <w:jc w:val="center"/>
            </w:pPr>
            <w:r>
              <w:rPr>
                <w:b w:val="0"/>
                <w:sz w:val="21"/>
              </w:rPr>
              <w:t>80</w:t>
            </w:r>
          </w:p>
        </w:tc>
      </w:tr>
      <w:tr>
        <w:trPr>
          <w:cantSplit/>
        </w:trPr>
        <w:tc>
          <w:tcPr>
            <w:tcW w:type="dxa" w:w="2409"/>
            <w:vAlign w:val="center"/>
          </w:tcPr>
          <w:p>
            <w:pPr>
              <w:keepNext/>
              <w:spacing w:line="320" w:lineRule="exact" w:after="0" w:before="0"/>
              <w:ind w:firstLine="0"/>
              <w:jc w:val="left"/>
            </w:pPr>
            <w:r>
              <w:rPr>
                <w:b w:val="0"/>
                <w:sz w:val="21"/>
              </w:rPr>
              <w:t>t1</w:t>
            </w:r>
          </w:p>
        </w:tc>
        <w:tc>
          <w:tcPr>
            <w:tcW w:type="dxa" w:w="7228"/>
            <w:vAlign w:val="center"/>
          </w:tcPr>
          <w:p>
            <w:pPr>
              <w:keepNext/>
              <w:spacing w:line="320" w:lineRule="exact" w:after="0" w:before="0"/>
              <w:ind w:firstLine="0"/>
              <w:jc w:val="center"/>
            </w:pPr>
            <w:r>
              <w:rPr>
                <w:b w:val="0"/>
                <w:sz w:val="21"/>
              </w:rPr>
              <w:t>100</w:t>
            </w:r>
          </w:p>
        </w:tc>
      </w:tr>
      <w:tr>
        <w:trPr>
          <w:cantSplit/>
        </w:trPr>
        <w:tc>
          <w:tcPr>
            <w:tcW w:type="dxa" w:w="2409"/>
            <w:vAlign w:val="center"/>
          </w:tcPr>
          <w:p>
            <w:pPr>
              <w:keepNext w:val="0"/>
              <w:spacing w:line="320" w:lineRule="exact" w:after="0" w:before="0"/>
              <w:ind w:firstLine="0"/>
              <w:jc w:val="left"/>
            </w:pPr>
            <w:r>
              <w:rPr>
                <w:b w:val="0"/>
                <w:sz w:val="21"/>
              </w:rPr>
              <w:t>t2</w:t>
            </w:r>
          </w:p>
        </w:tc>
        <w:tc>
          <w:tcPr>
            <w:tcW w:type="dxa" w:w="7228"/>
            <w:vAlign w:val="center"/>
          </w:tcPr>
          <w:p>
            <w:pPr>
              <w:keepNext w:val="0"/>
              <w:spacing w:line="320" w:lineRule="exact" w:after="0" w:before="0"/>
              <w:ind w:firstLine="0"/>
              <w:jc w:val="center"/>
            </w:pPr>
            <w:r>
              <w:rPr>
                <w:b w:val="0"/>
                <w:sz w:val="21"/>
              </w:rPr>
              <w:t>65</w:t>
            </w:r>
          </w:p>
        </w:tc>
      </w:tr>
    </w:tbl>
    <w:p>
      <w:pPr>
        <w:spacing w:after="40" w:line="240" w:lineRule="auto"/>
        <w:ind w:firstLine="0"/>
      </w:pPr>
      <w:r>
        <w:rPr>
          <w:sz w:val="4"/>
        </w:rPr>
      </w:r>
    </w:p>
    <w:p>
      <w:pPr>
        <w:jc w:val="both"/>
      </w:pPr>
      <w:r>
        <w:t>共同任务：计算期末账面数量与可供新需求使用的数量，并说明在途采购的处理。</w:t>
      </w:r>
    </w:p>
    <w:p>
      <w:pPr>
        <w:jc w:val="both"/>
      </w:pPr>
      <w:r>
        <w:t>候选甲：期末账面数量为80＋20－35＝65件。可供新需求使用的数量为65－10－5－8＝42件。在途12件仅作为预计到货单独列示，当前不计入账面和可用数量。计算适用于题定仓库、时点、单位及互斥状态。</w:t>
      </w:r>
    </w:p>
    <w:p>
      <w:pPr>
        <w:jc w:val="both"/>
      </w:pPr>
      <w:r>
        <w:t>候选乙：期末可用数量为65＋12＝77件，采购在途也能立即供给。</w:t>
      </w:r>
    </w:p>
    <w:p>
      <w:pPr>
        <w:jc w:val="both"/>
      </w:pPr>
      <w:r>
        <w:t>偏好结论：候选甲优于候选乙。判断依据为账面65件、可用42件、在途单列、时点与单位一致。候选乙的错误涉及事实或约束，不以字数、语气或展示位置决定偏好。实际比较时随机交换展示顺序，保留原候选标识及独立判断。</w:t>
      </w:r>
    </w:p>
    <w:p>
      <w:pPr>
        <w:keepNext/>
        <w:jc w:val="both"/>
      </w:pPr>
      <w:r>
        <w:t>规范样本2 候选产品的接口条件核查</w:t>
      </w:r>
    </w:p>
    <w:p>
      <w:pPr>
        <w:pStyle w:val="Caption"/>
        <w:keepNext/>
      </w:pPr>
      <w:r>
        <w:t>表3-44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EX-01-PREF-002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SP02、constraint_review、evidence_insufficient</w:t>
            </w:r>
          </w:p>
        </w:tc>
      </w:tr>
    </w:tbl>
    <w:p>
      <w:pPr>
        <w:spacing w:after="40" w:line="240" w:lineRule="auto"/>
        <w:ind w:firstLine="0"/>
      </w:pPr>
      <w:r>
        <w:rPr>
          <w:sz w:val="4"/>
        </w:rPr>
      </w:r>
    </w:p>
    <w:p>
      <w:pPr>
        <w:jc w:val="both"/>
      </w:pPr>
      <w:r>
        <w:t>输入内容：选型资料对候选产品甲给出的接口编号为J1，配套设备的批准接口编号为J2。资料未提供J1与J2的适配或转换批准记录。能力参数分别满足题定需求，但接口一致性尚无依据。</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6" name="Picture 6"/>
            <wp:cNvGraphicFramePr>
              <a:graphicFrameLocks noChangeAspect="1"/>
            </wp:cNvGraphicFramePr>
            <a:graphic>
              <a:graphicData uri="http://schemas.openxmlformats.org/drawingml/2006/picture">
                <pic:pic>
                  <pic:nvPicPr>
                    <pic:cNvPr id="0" name="例图01_2.png"/>
                    <pic:cNvPicPr/>
                  </pic:nvPicPr>
                  <pic:blipFill>
                    <a:blip r:embed="rId14"/>
                    <a:stretch>
                      <a:fillRect/>
                    </a:stretch>
                  </pic:blipFill>
                  <pic:spPr>
                    <a:xfrm>
                      <a:off x="0" y="0"/>
                      <a:ext cx="6048000" cy="1422831"/>
                    </a:xfrm>
                    <a:prstGeom prst="rect"/>
                  </pic:spPr>
                </pic:pic>
              </a:graphicData>
            </a:graphic>
          </wp:inline>
        </w:drawing>
      </w:r>
    </w:p>
    <w:p>
      <w:pPr>
        <w:pStyle w:val="Caption"/>
        <w:jc w:val="center"/>
      </w:pPr>
      <w:r>
        <w:t>图3-4 候选产品的接口条件核查</w:t>
      </w:r>
    </w:p>
    <w:p>
      <w:pPr>
        <w:jc w:val="both"/>
      </w:pPr>
      <w:r>
        <w:t>共同任务：能否据此确认候选产品甲可直接配套？应补充什么证据？</w:t>
      </w:r>
    </w:p>
    <w:p>
      <w:pPr>
        <w:jc w:val="both"/>
      </w:pPr>
      <w:r>
        <w:t>候选甲：现有材料不足以确认可直接配套。能力参数满足仅覆盖相应能力条件，接口J1与J2仍需逐项比对尺寸、连接、电气或控制等实际适用条件，并取得有效适配或转换批准记录。补证前保留接口条件未确认的判断。</w:t>
      </w:r>
    </w:p>
    <w:p>
      <w:pPr>
        <w:jc w:val="both"/>
      </w:pPr>
      <w:r>
        <w:t>候选乙：能力参数均满足要求，因此接口编号不同不影响直接配套。</w:t>
      </w:r>
    </w:p>
    <w:p>
      <w:pPr>
        <w:jc w:val="both"/>
      </w:pPr>
      <w:r>
        <w:t>偏好结论：候选甲优于候选乙。判断依据为不能直接确认、区分能力与接口、要求有效适配证据、不编造批准。候选乙的错误涉及事实或约束，不以字数、语气或展示位置决定偏好。实际比较时随机交换展示顺序，保留原候选标识及独立判断。</w:t>
      </w:r>
    </w:p>
    <w:p>
      <w:pPr>
        <w:keepNext/>
        <w:jc w:val="both"/>
      </w:pPr>
      <w:r>
        <w:t>规范样本3 合同变更与计划交期引用</w:t>
      </w:r>
    </w:p>
    <w:p>
      <w:pPr>
        <w:pStyle w:val="Caption"/>
        <w:keepNext/>
      </w:pPr>
      <w:r>
        <w:t>表3-45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EX-01-PREF-003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SP01、version_scope、schedule_review</w:t>
            </w:r>
          </w:p>
        </w:tc>
      </w:tr>
    </w:tbl>
    <w:p>
      <w:pPr>
        <w:spacing w:after="40" w:line="240" w:lineRule="auto"/>
        <w:ind w:firstLine="0"/>
      </w:pPr>
      <w:r>
        <w:rPr>
          <w:sz w:val="4"/>
        </w:rPr>
      </w:r>
    </w:p>
    <w:p>
      <w:pPr>
        <w:jc w:val="both"/>
      </w:pPr>
      <w:r>
        <w:t>输入内容：合同原约定交期为业务日D30，双方有效变更文件将订单行甲调整为D40。订单行乙不在变更范围内。原计划记录保留D30，调整后计划将行甲安排在D38，行乙安排在D35。</w:t>
      </w:r>
    </w:p>
    <w:p>
      <w:pPr>
        <w:jc w:val="both"/>
      </w:pPr>
      <w:r>
        <w:t>共同任务：按现有证据判断两行计划是否满足交期，并指出应引用的文件。</w:t>
      </w:r>
    </w:p>
    <w:p>
      <w:pPr>
        <w:jc w:val="both"/>
      </w:pPr>
      <w:r>
        <w:t>候选甲：行甲按有效变更后的D40判断，D38满足该交期条件；行乙仍按原D30判断，D35晚于约定交期。行甲引用变更文件及其适用订单行，行乙引用原合同。其他未给出的交付条件不能据此推定已满足。</w:t>
      </w:r>
    </w:p>
    <w:p>
      <w:pPr>
        <w:jc w:val="both"/>
      </w:pPr>
      <w:r>
        <w:t>候选乙：合同已变更为D40，所以行甲和行乙都满足交期。</w:t>
      </w:r>
    </w:p>
    <w:p>
      <w:pPr>
        <w:jc w:val="both"/>
      </w:pPr>
      <w:r>
        <w:t>偏好结论：候选甲优于候选乙。判断依据为行甲满足题定交期、行乙晚于D30、变更范围限行甲、保留其他条件边界。候选乙的错误涉及事实或约束，不以字数、语气或展示位置决定偏好。实际比较时随机交换展示顺序，保留原候选标识及独立判断。</w:t>
      </w:r>
    </w:p>
    <w:p>
      <w:pPr>
        <w:pStyle w:val="Heading3"/>
      </w:pPr>
      <w:r>
        <w:t>3.3.10 生产与使用核验</w:t>
      </w:r>
    </w:p>
    <w:p>
      <w:pPr>
        <w:jc w:val="both"/>
      </w:pPr>
      <w:r>
        <w:t>统计专业偏好一致率、固定协议下的胜率及平局率、事实约束违反率；展示次序随机化，盲化候选来源并保留交换顺序复核。本领域同时检查订单与物料字段抽取精确率及召回率、库存数量计算正确率、约束满足率、证据引用正确率、缺少条件时的合理澄清率。统计按任务类型、来源、模态、难度及关键业务对象分层，保留题目或记录级结果和失败对象。</w:t>
      </w:r>
    </w:p>
    <w:p>
      <w:pPr>
        <w:jc w:val="both"/>
      </w:pPr>
      <w:r>
        <w:t>生产检查从来源记录开始核对项目、合同、订单行、物料、组织、库位、批次、状态与业务时点，确认对齐项目及订单身份，保留需求变更时间；库存按组织、物料、库位、批次、质量状态和截止时点对账；采购到货与可用库存分别登记；选型输入保留工况、约束、候选配置和校核依据。专业分歧由营销、计划、采购、仓储和产品选型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3.4 基准评测数据卡</w:t>
      </w:r>
    </w:p>
    <w:p>
      <w:pPr>
        <w:pStyle w:val="Heading3"/>
      </w:pPr>
      <w:r>
        <w:t>3.4.1 基本信息</w:t>
      </w:r>
    </w:p>
    <w:p>
      <w:pPr>
        <w:pStyle w:val="Caption"/>
        <w:keepNext/>
      </w:pPr>
      <w:r>
        <w:t>表3-46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GHY26691-DC-01-0004-V1.0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供需计划数据集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基准评测</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01 供需计划；关联对象为项目、合同、订单行、物料、组织、库位、批次、状态与业务时点</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有效交付净量4000条；以固定输入、必要资源、参考依据与判分规则构成的完整题目为计数单位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本用途规模按条验收；如统计输入输出Tokens，分开保存且不替代任务或比较组数量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采用第7章公共记录结构及本领域扩展字典；固定输入、必要资源、参考依据与判分规则构成的完整题目具有稳定标识、业务对象、来源家族、时间、内容、资源、标签与证据关系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根目录按01-EVAL及数据版本组织；data保存记录，resources保存模态载荷，metadata保存来源与关系，dictionary保存字段和标签，cards保存卡片，reports保存报告，tools保存解析程序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01-EVAL-数据版本-六位分片序号.jsonl；资源以稳定资源标识命名；卡片使用完整卡号；路径采用相对路径并拒绝越界和重名冲突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平台服务工单按卡号、数据版本及问题对象受理；由技术与营销、计划、采购、仓储和产品选型专业岗位协同处理，服务时段和响应要求执行统一售后安排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销售需求、矿方工况、产品选型条件、订单、物料需求、采购到货、库存状态、生产计划与交付约束。以项目、合同、订单行、物料、组织、库位、批次、状态与业务时点建立对象关系，来源范围包括CRM中的项目与商机、ERP中的订单和物料需求、SCM中的采购与到货、WMS中的库存及出入库、MES中的计划与进度、PLM中的产品配置、OA中的合同及审批资料。面向基准评测形成真实来源独立题目、固定判分依据和可复现实验结果，重点检查来源真实、家族隔离、答案正确、题目完整、判分稳定和答案保密。数据支持产品智能选型、库存控制智能化、合同合规审查智能助手、决策数据智能问答助手；相关制度与标书内容按适用任务衔接，结论依据实际输入、专业条件和验证范围使用。涉及客户信息、联系人信息、合同价格、供应商条件、库存分布和经营计划时执行相应授权及安全处理。业务事实、推断与未知状态分别标记，数据版本与引用依据保持一致。</w:t>
      </w:r>
    </w:p>
    <w:p>
      <w:pPr>
        <w:pStyle w:val="Heading3"/>
      </w:pPr>
      <w:r>
        <w:t>3.4.2 内容特征</w:t>
      </w:r>
    </w:p>
    <w:p>
      <w:pPr>
        <w:pStyle w:val="Caption"/>
        <w:keepNext/>
      </w:pPr>
      <w:r>
        <w:t>表3-47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文本、图像、时序、视频按有效载荷统计；重点关联项目、合同、订单行、物料、组织、库位、批次、状态与业务时点；图纸、表格载体不独立增加模态数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以固定输入、必要资源、参考依据与判分规则构成的完整题目为分母，至少两种有效关联模态的记录为分子；分子、分母及互斥组合清单齐备，按1.4节满足40%要求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按SP01需求与合同、SP02选型约束、SP03物料与采购、SP04库存与可用量、SP05计划与协同、SP06经营决策依据统计；主主题互斥，辅助主题允许多选并另列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基础识读、关联计算、复杂条件与证据不足判断分别成层；稀缺题型独立报告，避免总体分数掩盖薄弱项</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合成占比为0%；不使用人为增强扩充题目数量</w:t>
            </w:r>
          </w:p>
        </w:tc>
      </w:tr>
    </w:tbl>
    <w:p>
      <w:pPr>
        <w:spacing w:after="40" w:line="240" w:lineRule="auto"/>
        <w:ind w:firstLine="0"/>
      </w:pPr>
      <w:r>
        <w:rPr>
          <w:sz w:val="4"/>
        </w:rPr>
      </w:r>
    </w:p>
    <w:p>
      <w:pPr>
        <w:pStyle w:val="Heading3"/>
      </w:pPr>
      <w:r>
        <w:t>3.4.3 建设过程</w:t>
      </w:r>
    </w:p>
    <w:p>
      <w:pPr>
        <w:pStyle w:val="Caption"/>
        <w:keepNext/>
      </w:pPr>
      <w:r>
        <w:t>表3-48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CRM中的项目与商机、ERP中的订单和物料需求、SCM中的采购与到货、WMS中的库存及出入库、MES中的计划与进度、PLM中的产品配置、OA中的合同及审批资料；逐源登记组织、资料类别、业务期间、采集期间及许可依据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对齐项目及订单身份，保留需求变更时间；库存按组织、物料、库位、批次、质量状态和截止时点对账；采购到货与可用库存分别登记；选型输入保留工况、约束、候选配置和校核依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保存解析器、字典、切分、窗口、重叠、单位换算、时间校正和对齐配置；项目、合同、订单行、物料、组织、库位、批次、状态与业务时点为关联校验重点；参数经真实资料验证后冻结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题型、考核能力、参考答案、评分点、扣分条件、适用范围、难度及裁决依据；规范编号与实际生产记录绑定，不因预训练用途自动省略专业标记管理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由营销、计划、采购、仓储和产品选型专业岗位承担专业定义与争议裁决，标注人员依规范执行；自检、交叉复核、专家仲裁分别保存原始结果及修订记录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正式基准不进行任何形式的合成；核查来源家族和派生记录，发现生成内容即退出有效基准并补足真实合格题目</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正式基准答案由真实证据和专业审核确定；辅助工具使用单独留痕，不把教师生成内容计作真实基准来源</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不以改写、扰动、裁剪派生或其他人为增强扩充正式题量；必要格式标准化保持原始题目身份与证据，不重复计数</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3.4.4 应用说明</w:t>
      </w:r>
    </w:p>
    <w:p>
      <w:pPr>
        <w:pStyle w:val="Caption"/>
        <w:keepNext/>
      </w:pPr>
      <w:r>
        <w:t>表3-49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产品智能选型、库存控制智能化、合同合规审查智能助手、决策数据智能问答助手；相关制度与标书内容按适用任务衔接；验证结论按实际场景、输入条件和版本形成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基准评测；输入接口须支持实际文本、图像、时序或视频载荷及对应关系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订单与物料字段抽取精确率及召回率、库存数量计算正确率、约束满足率、证据引用正确率、缺少条件时的合理澄清率；各用途采用本卡评价协议并保留定义、方向和统计单位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3.4.5 质量验证</w:t>
      </w:r>
    </w:p>
    <w:p>
      <w:pPr>
        <w:pStyle w:val="Caption"/>
        <w:keepNext/>
      </w:pPr>
      <w:r>
        <w:t>表3-50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质检报告采用GHY26691-QC-01-0004并绑定实际版本、受检清单和内容根摘要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分别报告保真度、完备性、规整性、均衡性、可用性、可信性的方法、结果与问题；按项目、合同、订单行、物料、组织、库位、批次、状态与业务时点检查关键业务关联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验证报告采用GHY26691-VR-01-0004及实际版本；引用数据、模型、协议、实验和原始输出，汇总与子集范围分别标明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营销、计划、采购、仓储和产品选型专业岗位结合产品智能选型、库存控制智能化、合同合规审查智能助手、决策数据智能问答助手；相关制度与标书内容按适用任务衔接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3.4.6 安全合规</w:t>
      </w:r>
    </w:p>
    <w:p>
      <w:pPr>
        <w:pStyle w:val="Caption"/>
        <w:keepNext/>
      </w:pPr>
      <w:r>
        <w:t>表3-51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生产经营数据中的供需计划相关数据；按销售需求、矿方工况、产品选型条件、订单、物料需求、采购到货、库存状态、生产计划与交付约束细分并关联资产目录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客户信息、联系人信息、合同价格、供应商条件、库存分布和经营计划；实际敏感要素由检测与人工复核确认，未知状态不按无敏感信息处理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客户、供应商及联系人采用稳定替代标识；合同价格按用途实施受控访问或经批准的转换，保留币种、含税状态和金额关系；用于库存计算的必要数量在授权环境保真处理</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营销、计划、采购、仓储和产品选型专业岗位按业务必要性申请；加工、质量与评测岗位取得任务所需权限，基准答案、原始敏感资料和替代映射分别控制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按卡号GHY26691-DC-01-0004-V1.0、实际数据版本、对象标识和工单关联查询采集、加工、访问、下载、评测及发布审计；交付留存必要受控记录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3.4.7 指纹血缘</w:t>
      </w:r>
    </w:p>
    <w:p>
      <w:pPr>
        <w:pStyle w:val="Caption"/>
        <w:keepNext/>
      </w:pPr>
      <w:r>
        <w:t>表3-52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01-EVAL根目录内package.json登记身份、数据版本、结构版本、字典、卡片、资源和文件清单；脱离平台按第7章完成读取及核验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3.4.8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表3-53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order_line_id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订单与行项目的稳定联合身份</w:t>
            </w:r>
          </w:p>
        </w:tc>
        <w:tc>
          <w:tcPr>
            <w:tcW w:type="dxa" w:w="3084"/>
            <w:vAlign w:val="center"/>
          </w:tcPr>
          <w:p>
            <w:pPr>
              <w:keepNext w:val="0"/>
              <w:spacing w:line="320" w:lineRule="exact" w:after="0" w:before="0"/>
              <w:ind w:firstLine="0"/>
              <w:jc w:val="left"/>
            </w:pPr>
            <w:r>
              <w:rPr>
                <w:b w:val="0"/>
                <w:sz w:val="21"/>
              </w:rPr>
              <w:t>不得仅用合同号代表多个交付行</w:t>
            </w:r>
          </w:p>
        </w:tc>
      </w:tr>
      <w:tr>
        <w:trPr>
          <w:cantSplit/>
        </w:trPr>
        <w:tc>
          <w:tcPr>
            <w:tcW w:type="dxa" w:w="2313"/>
            <w:vAlign w:val="center"/>
          </w:tcPr>
          <w:p>
            <w:pPr>
              <w:keepNext w:val="0"/>
              <w:spacing w:line="320" w:lineRule="exact" w:after="0" w:before="0"/>
              <w:ind w:firstLine="0"/>
              <w:jc w:val="left"/>
            </w:pPr>
            <w:r>
              <w:rPr>
                <w:b w:val="0"/>
                <w:sz w:val="21"/>
              </w:rPr>
              <w:t>material_id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物料主记录标识</w:t>
            </w:r>
          </w:p>
        </w:tc>
        <w:tc>
          <w:tcPr>
            <w:tcW w:type="dxa" w:w="3084"/>
            <w:vAlign w:val="center"/>
          </w:tcPr>
          <w:p>
            <w:pPr>
              <w:keepNext w:val="0"/>
              <w:spacing w:line="320" w:lineRule="exact" w:after="0" w:before="0"/>
              <w:ind w:firstLine="0"/>
              <w:jc w:val="left"/>
            </w:pPr>
            <w:r>
              <w:rPr>
                <w:b w:val="0"/>
                <w:sz w:val="21"/>
              </w:rPr>
              <w:t>替代物料另列关系与生效条件</w:t>
            </w:r>
          </w:p>
        </w:tc>
      </w:tr>
      <w:tr>
        <w:trPr>
          <w:cantSplit/>
        </w:trPr>
        <w:tc>
          <w:tcPr>
            <w:tcW w:type="dxa" w:w="2313"/>
            <w:vAlign w:val="center"/>
          </w:tcPr>
          <w:p>
            <w:pPr>
              <w:keepNext w:val="0"/>
              <w:spacing w:line="320" w:lineRule="exact" w:after="0" w:before="0"/>
              <w:ind w:firstLine="0"/>
              <w:jc w:val="left"/>
            </w:pPr>
            <w:r>
              <w:rPr>
                <w:b w:val="0"/>
                <w:sz w:val="21"/>
              </w:rPr>
              <w:t>inventory_state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available、pending_inspection、frozen、reserved、in_transit</w:t>
            </w:r>
          </w:p>
        </w:tc>
        <w:tc>
          <w:tcPr>
            <w:tcW w:type="dxa" w:w="3084"/>
            <w:vAlign w:val="center"/>
          </w:tcPr>
          <w:p>
            <w:pPr>
              <w:keepNext w:val="0"/>
              <w:spacing w:line="320" w:lineRule="exact" w:after="0" w:before="0"/>
              <w:ind w:firstLine="0"/>
              <w:jc w:val="left"/>
            </w:pPr>
            <w:r>
              <w:rPr>
                <w:b w:val="0"/>
                <w:sz w:val="21"/>
              </w:rPr>
              <w:t>状态与统计时点共同确定可用性</w:t>
            </w:r>
          </w:p>
        </w:tc>
      </w:tr>
      <w:tr>
        <w:trPr>
          <w:cantSplit/>
        </w:trPr>
        <w:tc>
          <w:tcPr>
            <w:tcW w:type="dxa" w:w="2313"/>
            <w:vAlign w:val="center"/>
          </w:tcPr>
          <w:p>
            <w:pPr>
              <w:keepNext w:val="0"/>
              <w:spacing w:line="320" w:lineRule="exact" w:after="0" w:before="0"/>
              <w:ind w:firstLine="0"/>
              <w:jc w:val="left"/>
            </w:pPr>
            <w:r>
              <w:rPr>
                <w:b w:val="0"/>
                <w:sz w:val="21"/>
              </w:rPr>
              <w:t>quantity</w:t>
            </w:r>
          </w:p>
        </w:tc>
        <w:tc>
          <w:tcPr>
            <w:tcW w:type="dxa" w:w="1157"/>
            <w:vAlign w:val="center"/>
          </w:tcPr>
          <w:p>
            <w:pPr>
              <w:keepNext w:val="0"/>
              <w:spacing w:line="320" w:lineRule="exact" w:after="0" w:before="0"/>
              <w:ind w:firstLine="0"/>
              <w:jc w:val="left"/>
            </w:pPr>
            <w:r>
              <w:rPr>
                <w:b w:val="0"/>
                <w:sz w:val="21"/>
              </w:rPr>
              <w:t>十进制数</w:t>
            </w:r>
          </w:p>
        </w:tc>
        <w:tc>
          <w:tcPr>
            <w:tcW w:type="dxa" w:w="3084"/>
            <w:vAlign w:val="center"/>
          </w:tcPr>
          <w:p>
            <w:pPr>
              <w:keepNext w:val="0"/>
              <w:spacing w:line="320" w:lineRule="exact" w:after="0" w:before="0"/>
              <w:ind w:firstLine="0"/>
              <w:jc w:val="left"/>
            </w:pPr>
            <w:r>
              <w:rPr>
                <w:b w:val="0"/>
                <w:sz w:val="21"/>
              </w:rPr>
              <w:t>带单位的业务数量</w:t>
            </w:r>
          </w:p>
        </w:tc>
        <w:tc>
          <w:tcPr>
            <w:tcW w:type="dxa" w:w="3084"/>
            <w:vAlign w:val="center"/>
          </w:tcPr>
          <w:p>
            <w:pPr>
              <w:keepNext w:val="0"/>
              <w:spacing w:line="320" w:lineRule="exact" w:after="0" w:before="0"/>
              <w:ind w:firstLine="0"/>
              <w:jc w:val="left"/>
            </w:pPr>
            <w:r>
              <w:rPr>
                <w:b w:val="0"/>
                <w:sz w:val="21"/>
              </w:rPr>
              <w:t>数量、单位、状态和来源同时存在</w:t>
            </w:r>
          </w:p>
        </w:tc>
      </w:tr>
      <w:tr>
        <w:trPr>
          <w:cantSplit/>
        </w:trPr>
        <w:tc>
          <w:tcPr>
            <w:tcW w:type="dxa" w:w="2313"/>
            <w:vAlign w:val="center"/>
          </w:tcPr>
          <w:p>
            <w:pPr>
              <w:keepNext w:val="0"/>
              <w:spacing w:line="320" w:lineRule="exact" w:after="0" w:before="0"/>
              <w:ind w:firstLine="0"/>
              <w:jc w:val="left"/>
            </w:pPr>
            <w:r>
              <w:rPr>
                <w:b w:val="0"/>
                <w:sz w:val="21"/>
              </w:rPr>
              <w:t>cutoff_time</w:t>
            </w:r>
          </w:p>
        </w:tc>
        <w:tc>
          <w:tcPr>
            <w:tcW w:type="dxa" w:w="1157"/>
            <w:vAlign w:val="center"/>
          </w:tcPr>
          <w:p>
            <w:pPr>
              <w:keepNext w:val="0"/>
              <w:spacing w:line="320" w:lineRule="exact" w:after="0" w:before="0"/>
              <w:ind w:firstLine="0"/>
              <w:jc w:val="left"/>
            </w:pPr>
            <w:r>
              <w:rPr>
                <w:b w:val="0"/>
                <w:sz w:val="21"/>
              </w:rPr>
              <w:t>时间</w:t>
            </w:r>
          </w:p>
        </w:tc>
        <w:tc>
          <w:tcPr>
            <w:tcW w:type="dxa" w:w="3084"/>
            <w:vAlign w:val="center"/>
          </w:tcPr>
          <w:p>
            <w:pPr>
              <w:keepNext w:val="0"/>
              <w:spacing w:line="320" w:lineRule="exact" w:after="0" w:before="0"/>
              <w:ind w:firstLine="0"/>
              <w:jc w:val="left"/>
            </w:pPr>
            <w:r>
              <w:rPr>
                <w:b w:val="0"/>
                <w:sz w:val="21"/>
              </w:rPr>
              <w:t>统一业务时区的截止时点</w:t>
            </w:r>
          </w:p>
        </w:tc>
        <w:tc>
          <w:tcPr>
            <w:tcW w:type="dxa" w:w="3084"/>
            <w:vAlign w:val="center"/>
          </w:tcPr>
          <w:p>
            <w:pPr>
              <w:keepNext w:val="0"/>
              <w:spacing w:line="320" w:lineRule="exact" w:after="0" w:before="0"/>
              <w:ind w:firstLine="0"/>
              <w:jc w:val="left"/>
            </w:pPr>
            <w:r>
              <w:rPr>
                <w:b w:val="0"/>
                <w:sz w:val="21"/>
              </w:rPr>
              <w:t>跨系统比较采用同一时点或可核验调整</w:t>
            </w:r>
          </w:p>
        </w:tc>
      </w:tr>
      <w:tr>
        <w:trPr>
          <w:cantSplit/>
        </w:trPr>
        <w:tc>
          <w:tcPr>
            <w:tcW w:type="dxa" w:w="2313"/>
            <w:vAlign w:val="center"/>
          </w:tcPr>
          <w:p>
            <w:pPr>
              <w:keepNext w:val="0"/>
              <w:spacing w:line="320" w:lineRule="exact" w:after="0" w:before="0"/>
              <w:ind w:firstLine="0"/>
              <w:jc w:val="left"/>
            </w:pPr>
            <w:r>
              <w:rPr>
                <w:b w:val="0"/>
                <w:sz w:val="21"/>
              </w:rPr>
              <w:t>constraint_refs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交期、工况、接口及审批的证据标识</w:t>
            </w:r>
          </w:p>
        </w:tc>
        <w:tc>
          <w:tcPr>
            <w:tcW w:type="dxa" w:w="3084"/>
            <w:vAlign w:val="center"/>
          </w:tcPr>
          <w:p>
            <w:pPr>
              <w:keepNext w:val="0"/>
              <w:spacing w:line="320" w:lineRule="exact" w:after="0" w:before="0"/>
              <w:ind w:firstLine="0"/>
              <w:jc w:val="left"/>
            </w:pPr>
            <w:r>
              <w:rPr>
                <w:b w:val="0"/>
                <w:sz w:val="21"/>
              </w:rPr>
              <w:t>每项约束可回到原资料与有效版本</w:t>
            </w:r>
          </w:p>
        </w:tc>
      </w:tr>
    </w:tbl>
    <w:p>
      <w:pPr>
        <w:spacing w:after="40" w:line="240" w:lineRule="auto"/>
        <w:ind w:firstLine="0"/>
      </w:pPr>
      <w:r>
        <w:rPr>
          <w:sz w:val="4"/>
        </w:rPr>
      </w:r>
    </w:p>
    <w:p>
      <w:pPr>
        <w:pStyle w:val="Caption"/>
        <w:keepNext/>
      </w:pPr>
      <w:r>
        <w:t>表3-54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SP01</w:t>
            </w:r>
          </w:p>
        </w:tc>
        <w:tc>
          <w:tcPr>
            <w:tcW w:type="dxa" w:w="2891"/>
            <w:vAlign w:val="center"/>
          </w:tcPr>
          <w:p>
            <w:pPr>
              <w:keepNext w:val="0"/>
              <w:spacing w:line="320" w:lineRule="exact" w:after="0" w:before="0"/>
              <w:ind w:firstLine="0"/>
              <w:jc w:val="left"/>
            </w:pPr>
            <w:r>
              <w:rPr>
                <w:b w:val="0"/>
                <w:sz w:val="21"/>
              </w:rPr>
              <w:t>需求与合同</w:t>
            </w:r>
          </w:p>
        </w:tc>
        <w:tc>
          <w:tcPr>
            <w:tcW w:type="dxa" w:w="4433"/>
            <w:vAlign w:val="center"/>
          </w:tcPr>
          <w:p>
            <w:pPr>
              <w:keepNext w:val="0"/>
              <w:spacing w:line="320" w:lineRule="exact" w:after="0" w:before="0"/>
              <w:ind w:firstLine="0"/>
              <w:jc w:val="left"/>
            </w:pPr>
            <w:r>
              <w:rPr>
                <w:b w:val="0"/>
                <w:sz w:val="21"/>
              </w:rPr>
              <w:t>合同义务、数量、时间和变更依据</w:t>
            </w:r>
          </w:p>
        </w:tc>
      </w:tr>
      <w:tr>
        <w:trPr>
          <w:cantSplit/>
        </w:trPr>
        <w:tc>
          <w:tcPr>
            <w:tcW w:type="dxa" w:w="2313"/>
            <w:vAlign w:val="center"/>
          </w:tcPr>
          <w:p>
            <w:pPr>
              <w:keepNext w:val="0"/>
              <w:spacing w:line="320" w:lineRule="exact" w:after="0" w:before="0"/>
              <w:ind w:firstLine="0"/>
              <w:jc w:val="left"/>
            </w:pPr>
            <w:r>
              <w:rPr>
                <w:b w:val="0"/>
                <w:sz w:val="21"/>
              </w:rPr>
              <w:t>SP02</w:t>
            </w:r>
          </w:p>
        </w:tc>
        <w:tc>
          <w:tcPr>
            <w:tcW w:type="dxa" w:w="2891"/>
            <w:vAlign w:val="center"/>
          </w:tcPr>
          <w:p>
            <w:pPr>
              <w:keepNext w:val="0"/>
              <w:spacing w:line="320" w:lineRule="exact" w:after="0" w:before="0"/>
              <w:ind w:firstLine="0"/>
              <w:jc w:val="left"/>
            </w:pPr>
            <w:r>
              <w:rPr>
                <w:b w:val="0"/>
                <w:sz w:val="21"/>
              </w:rPr>
              <w:t>选型约束</w:t>
            </w:r>
          </w:p>
        </w:tc>
        <w:tc>
          <w:tcPr>
            <w:tcW w:type="dxa" w:w="4433"/>
            <w:vAlign w:val="center"/>
          </w:tcPr>
          <w:p>
            <w:pPr>
              <w:keepNext w:val="0"/>
              <w:spacing w:line="320" w:lineRule="exact" w:after="0" w:before="0"/>
              <w:ind w:firstLine="0"/>
              <w:jc w:val="left"/>
            </w:pPr>
            <w:r>
              <w:rPr>
                <w:b w:val="0"/>
                <w:sz w:val="21"/>
              </w:rPr>
              <w:t>工况、候选产品和接口条件</w:t>
            </w:r>
          </w:p>
        </w:tc>
      </w:tr>
      <w:tr>
        <w:trPr>
          <w:cantSplit/>
        </w:trPr>
        <w:tc>
          <w:tcPr>
            <w:tcW w:type="dxa" w:w="2313"/>
            <w:vAlign w:val="center"/>
          </w:tcPr>
          <w:p>
            <w:pPr>
              <w:keepNext w:val="0"/>
              <w:spacing w:line="320" w:lineRule="exact" w:after="0" w:before="0"/>
              <w:ind w:firstLine="0"/>
              <w:jc w:val="left"/>
            </w:pPr>
            <w:r>
              <w:rPr>
                <w:b w:val="0"/>
                <w:sz w:val="21"/>
              </w:rPr>
              <w:t>SP03</w:t>
            </w:r>
          </w:p>
        </w:tc>
        <w:tc>
          <w:tcPr>
            <w:tcW w:type="dxa" w:w="2891"/>
            <w:vAlign w:val="center"/>
          </w:tcPr>
          <w:p>
            <w:pPr>
              <w:keepNext w:val="0"/>
              <w:spacing w:line="320" w:lineRule="exact" w:after="0" w:before="0"/>
              <w:ind w:firstLine="0"/>
              <w:jc w:val="left"/>
            </w:pPr>
            <w:r>
              <w:rPr>
                <w:b w:val="0"/>
                <w:sz w:val="21"/>
              </w:rPr>
              <w:t>物料与采购</w:t>
            </w:r>
          </w:p>
        </w:tc>
        <w:tc>
          <w:tcPr>
            <w:tcW w:type="dxa" w:w="4433"/>
            <w:vAlign w:val="center"/>
          </w:tcPr>
          <w:p>
            <w:pPr>
              <w:keepNext w:val="0"/>
              <w:spacing w:line="320" w:lineRule="exact" w:after="0" w:before="0"/>
              <w:ind w:firstLine="0"/>
              <w:jc w:val="left"/>
            </w:pPr>
            <w:r>
              <w:rPr>
                <w:b w:val="0"/>
                <w:sz w:val="21"/>
              </w:rPr>
              <w:t>需求、替代料、采购与预计到货</w:t>
            </w:r>
          </w:p>
        </w:tc>
      </w:tr>
      <w:tr>
        <w:trPr>
          <w:cantSplit/>
        </w:trPr>
        <w:tc>
          <w:tcPr>
            <w:tcW w:type="dxa" w:w="2313"/>
            <w:vAlign w:val="center"/>
          </w:tcPr>
          <w:p>
            <w:pPr>
              <w:keepNext w:val="0"/>
              <w:spacing w:line="320" w:lineRule="exact" w:after="0" w:before="0"/>
              <w:ind w:firstLine="0"/>
              <w:jc w:val="left"/>
            </w:pPr>
            <w:r>
              <w:rPr>
                <w:b w:val="0"/>
                <w:sz w:val="21"/>
              </w:rPr>
              <w:t>SP04</w:t>
            </w:r>
          </w:p>
        </w:tc>
        <w:tc>
          <w:tcPr>
            <w:tcW w:type="dxa" w:w="2891"/>
            <w:vAlign w:val="center"/>
          </w:tcPr>
          <w:p>
            <w:pPr>
              <w:keepNext w:val="0"/>
              <w:spacing w:line="320" w:lineRule="exact" w:after="0" w:before="0"/>
              <w:ind w:firstLine="0"/>
              <w:jc w:val="left"/>
            </w:pPr>
            <w:r>
              <w:rPr>
                <w:b w:val="0"/>
                <w:sz w:val="21"/>
              </w:rPr>
              <w:t>库存与可用量</w:t>
            </w:r>
          </w:p>
        </w:tc>
        <w:tc>
          <w:tcPr>
            <w:tcW w:type="dxa" w:w="4433"/>
            <w:vAlign w:val="center"/>
          </w:tcPr>
          <w:p>
            <w:pPr>
              <w:keepNext w:val="0"/>
              <w:spacing w:line="320" w:lineRule="exact" w:after="0" w:before="0"/>
              <w:ind w:firstLine="0"/>
              <w:jc w:val="left"/>
            </w:pPr>
            <w:r>
              <w:rPr>
                <w:b w:val="0"/>
                <w:sz w:val="21"/>
              </w:rPr>
              <w:t>账面、待检、冻结、占用和可用状态</w:t>
            </w:r>
          </w:p>
        </w:tc>
      </w:tr>
      <w:tr>
        <w:trPr>
          <w:cantSplit/>
        </w:trPr>
        <w:tc>
          <w:tcPr>
            <w:tcW w:type="dxa" w:w="2313"/>
            <w:vAlign w:val="center"/>
          </w:tcPr>
          <w:p>
            <w:pPr>
              <w:keepNext w:val="0"/>
              <w:spacing w:line="320" w:lineRule="exact" w:after="0" w:before="0"/>
              <w:ind w:firstLine="0"/>
              <w:jc w:val="left"/>
            </w:pPr>
            <w:r>
              <w:rPr>
                <w:b w:val="0"/>
                <w:sz w:val="21"/>
              </w:rPr>
              <w:t>SP05</w:t>
            </w:r>
          </w:p>
        </w:tc>
        <w:tc>
          <w:tcPr>
            <w:tcW w:type="dxa" w:w="2891"/>
            <w:vAlign w:val="center"/>
          </w:tcPr>
          <w:p>
            <w:pPr>
              <w:keepNext w:val="0"/>
              <w:spacing w:line="320" w:lineRule="exact" w:after="0" w:before="0"/>
              <w:ind w:firstLine="0"/>
              <w:jc w:val="left"/>
            </w:pPr>
            <w:r>
              <w:rPr>
                <w:b w:val="0"/>
                <w:sz w:val="21"/>
              </w:rPr>
              <w:t>计划与协同</w:t>
            </w:r>
          </w:p>
        </w:tc>
        <w:tc>
          <w:tcPr>
            <w:tcW w:type="dxa" w:w="4433"/>
            <w:vAlign w:val="center"/>
          </w:tcPr>
          <w:p>
            <w:pPr>
              <w:keepNext w:val="0"/>
              <w:spacing w:line="320" w:lineRule="exact" w:after="0" w:before="0"/>
              <w:ind w:firstLine="0"/>
              <w:jc w:val="left"/>
            </w:pPr>
            <w:r>
              <w:rPr>
                <w:b w:val="0"/>
                <w:sz w:val="21"/>
              </w:rPr>
              <w:t>工序约束、交付窗口和调整原因</w:t>
            </w:r>
          </w:p>
        </w:tc>
      </w:tr>
      <w:tr>
        <w:trPr>
          <w:cantSplit/>
        </w:trPr>
        <w:tc>
          <w:tcPr>
            <w:tcW w:type="dxa" w:w="2313"/>
            <w:vAlign w:val="center"/>
          </w:tcPr>
          <w:p>
            <w:pPr>
              <w:keepNext w:val="0"/>
              <w:spacing w:line="320" w:lineRule="exact" w:after="0" w:before="0"/>
              <w:ind w:firstLine="0"/>
              <w:jc w:val="left"/>
            </w:pPr>
            <w:r>
              <w:rPr>
                <w:b w:val="0"/>
                <w:sz w:val="21"/>
              </w:rPr>
              <w:t>SP06</w:t>
            </w:r>
          </w:p>
        </w:tc>
        <w:tc>
          <w:tcPr>
            <w:tcW w:type="dxa" w:w="2891"/>
            <w:vAlign w:val="center"/>
          </w:tcPr>
          <w:p>
            <w:pPr>
              <w:keepNext w:val="0"/>
              <w:spacing w:line="320" w:lineRule="exact" w:after="0" w:before="0"/>
              <w:ind w:firstLine="0"/>
              <w:jc w:val="left"/>
            </w:pPr>
            <w:r>
              <w:rPr>
                <w:b w:val="0"/>
                <w:sz w:val="21"/>
              </w:rPr>
              <w:t>经营决策依据</w:t>
            </w:r>
          </w:p>
        </w:tc>
        <w:tc>
          <w:tcPr>
            <w:tcW w:type="dxa" w:w="4433"/>
            <w:vAlign w:val="center"/>
          </w:tcPr>
          <w:p>
            <w:pPr>
              <w:keepNext w:val="0"/>
              <w:spacing w:line="320" w:lineRule="exact" w:after="0" w:before="0"/>
              <w:ind w:firstLine="0"/>
              <w:jc w:val="left"/>
            </w:pPr>
            <w:r>
              <w:rPr>
                <w:b w:val="0"/>
                <w:sz w:val="21"/>
              </w:rPr>
              <w:t>多来源事实、统计时点与依据引用</w:t>
            </w:r>
          </w:p>
        </w:tc>
      </w:tr>
    </w:tbl>
    <w:p>
      <w:pPr>
        <w:spacing w:after="40" w:line="240" w:lineRule="auto"/>
        <w:ind w:firstLine="0"/>
      </w:pPr>
      <w:r>
        <w:rPr>
          <w:sz w:val="4"/>
        </w:rPr>
      </w:r>
    </w:p>
    <w:p>
      <w:pPr>
        <w:pStyle w:val="Caption"/>
        <w:keepNext/>
      </w:pPr>
      <w:r>
        <w:t>表3-55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表3-56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constraint_review</w:t>
            </w:r>
          </w:p>
        </w:tc>
        <w:tc>
          <w:tcPr>
            <w:tcW w:type="dxa" w:w="7228"/>
            <w:vAlign w:val="center"/>
          </w:tcPr>
          <w:p>
            <w:pPr>
              <w:keepNext w:val="0"/>
              <w:spacing w:line="320" w:lineRule="exact" w:after="0" w:before="0"/>
              <w:ind w:firstLine="0"/>
              <w:jc w:val="left"/>
            </w:pPr>
            <w:r>
              <w:rPr>
                <w:b w:val="0"/>
                <w:sz w:val="21"/>
              </w:rPr>
              <w:t>逐项核验题定约束；缺少必要依据的条件保持未确认</w:t>
            </w:r>
          </w:p>
        </w:tc>
      </w:tr>
      <w:tr>
        <w:trPr>
          <w:cantSplit/>
        </w:trPr>
        <w:tc>
          <w:tcPr>
            <w:tcW w:type="dxa" w:w="2409"/>
            <w:vAlign w:val="center"/>
          </w:tcPr>
          <w:p>
            <w:pPr>
              <w:keepNext w:val="0"/>
              <w:spacing w:line="320" w:lineRule="exact" w:after="0" w:before="0"/>
              <w:ind w:firstLine="0"/>
              <w:jc w:val="left"/>
            </w:pPr>
            <w:r>
              <w:rPr>
                <w:b w:val="0"/>
                <w:sz w:val="21"/>
              </w:rPr>
              <w:t>evidence_insufficient</w:t>
            </w:r>
          </w:p>
        </w:tc>
        <w:tc>
          <w:tcPr>
            <w:tcW w:type="dxa" w:w="7228"/>
            <w:vAlign w:val="center"/>
          </w:tcPr>
          <w:p>
            <w:pPr>
              <w:keepNext w:val="0"/>
              <w:spacing w:line="320" w:lineRule="exact" w:after="0" w:before="0"/>
              <w:ind w:firstLine="0"/>
              <w:jc w:val="left"/>
            </w:pPr>
            <w:r>
              <w:rPr>
                <w:b w:val="0"/>
                <w:sz w:val="21"/>
              </w:rPr>
              <w:t>已有内容不足以支持所问结论，明确缺少的证据及仍可判定的范围</w:t>
            </w:r>
          </w:p>
        </w:tc>
      </w:tr>
      <w:tr>
        <w:trPr>
          <w:cantSplit/>
        </w:trPr>
        <w:tc>
          <w:tcPr>
            <w:tcW w:type="dxa" w:w="2409"/>
            <w:vAlign w:val="center"/>
          </w:tcPr>
          <w:p>
            <w:pPr>
              <w:keepNext w:val="0"/>
              <w:spacing w:line="320" w:lineRule="exact" w:after="0" w:before="0"/>
              <w:ind w:firstLine="0"/>
              <w:jc w:val="left"/>
            </w:pPr>
            <w:r>
              <w:rPr>
                <w:b w:val="0"/>
                <w:sz w:val="21"/>
              </w:rPr>
              <w:t>quantity_calculation</w:t>
            </w:r>
          </w:p>
        </w:tc>
        <w:tc>
          <w:tcPr>
            <w:tcW w:type="dxa" w:w="7228"/>
            <w:vAlign w:val="center"/>
          </w:tcPr>
          <w:p>
            <w:pPr>
              <w:keepNext w:val="0"/>
              <w:spacing w:line="320" w:lineRule="exact" w:after="0" w:before="0"/>
              <w:ind w:firstLine="0"/>
              <w:jc w:val="left"/>
            </w:pPr>
            <w:r>
              <w:rPr>
                <w:b w:val="0"/>
                <w:sz w:val="21"/>
              </w:rPr>
              <w:t>按题定数量、单位、状态及公式计算，保留中间结果和适用范围</w:t>
            </w:r>
          </w:p>
        </w:tc>
      </w:tr>
      <w:tr>
        <w:trPr>
          <w:cantSplit/>
        </w:trPr>
        <w:tc>
          <w:tcPr>
            <w:tcW w:type="dxa" w:w="2409"/>
            <w:vAlign w:val="center"/>
          </w:tcPr>
          <w:p>
            <w:pPr>
              <w:keepNext w:val="0"/>
              <w:spacing w:line="320" w:lineRule="exact" w:after="0" w:before="0"/>
              <w:ind w:firstLine="0"/>
              <w:jc w:val="left"/>
            </w:pPr>
            <w:r>
              <w:rPr>
                <w:b w:val="0"/>
                <w:sz w:val="21"/>
              </w:rPr>
              <w:t>schedule_review</w:t>
            </w:r>
          </w:p>
        </w:tc>
        <w:tc>
          <w:tcPr>
            <w:tcW w:type="dxa" w:w="7228"/>
            <w:vAlign w:val="center"/>
          </w:tcPr>
          <w:p>
            <w:pPr>
              <w:keepNext w:val="0"/>
              <w:spacing w:line="320" w:lineRule="exact" w:after="0" w:before="0"/>
              <w:ind w:firstLine="0"/>
              <w:jc w:val="left"/>
            </w:pPr>
            <w:r>
              <w:rPr>
                <w:b w:val="0"/>
                <w:sz w:val="21"/>
              </w:rPr>
              <w:t>按对应订单行的有效交期判断计划，变更仅对批准范围生效</w:t>
            </w:r>
          </w:p>
        </w:tc>
      </w:tr>
      <w:tr>
        <w:trPr>
          <w:cantSplit/>
        </w:trPr>
        <w:tc>
          <w:tcPr>
            <w:tcW w:type="dxa" w:w="2409"/>
            <w:vAlign w:val="center"/>
          </w:tcPr>
          <w:p>
            <w:pPr>
              <w:keepNext w:val="0"/>
              <w:spacing w:line="320" w:lineRule="exact" w:after="0" w:before="0"/>
              <w:ind w:firstLine="0"/>
              <w:jc w:val="left"/>
            </w:pPr>
            <w:r>
              <w:rPr>
                <w:b w:val="0"/>
                <w:sz w:val="21"/>
              </w:rPr>
              <w:t>state_alignment</w:t>
            </w:r>
          </w:p>
        </w:tc>
        <w:tc>
          <w:tcPr>
            <w:tcW w:type="dxa" w:w="7228"/>
            <w:vAlign w:val="center"/>
          </w:tcPr>
          <w:p>
            <w:pPr>
              <w:keepNext w:val="0"/>
              <w:spacing w:line="320" w:lineRule="exact" w:after="0" w:before="0"/>
              <w:ind w:firstLine="0"/>
              <w:jc w:val="left"/>
            </w:pPr>
            <w:r>
              <w:rPr>
                <w:b w:val="0"/>
                <w:sz w:val="21"/>
              </w:rPr>
              <w:t>比较对象处于相同业务时点和可比状态，区分在途、待检、冻结、占用与可用</w:t>
            </w:r>
          </w:p>
        </w:tc>
      </w:tr>
      <w:tr>
        <w:trPr>
          <w:cantSplit/>
        </w:trPr>
        <w:tc>
          <w:tcPr>
            <w:tcW w:type="dxa" w:w="2409"/>
            <w:vAlign w:val="center"/>
          </w:tcPr>
          <w:p>
            <w:pPr>
              <w:keepNext w:val="0"/>
              <w:spacing w:line="320" w:lineRule="exact" w:after="0" w:before="0"/>
              <w:ind w:firstLine="0"/>
              <w:jc w:val="left"/>
            </w:pPr>
            <w:r>
              <w:rPr>
                <w:b w:val="0"/>
                <w:sz w:val="21"/>
              </w:rPr>
              <w:t>version_scope</w:t>
            </w:r>
          </w:p>
        </w:tc>
        <w:tc>
          <w:tcPr>
            <w:tcW w:type="dxa" w:w="7228"/>
            <w:vAlign w:val="center"/>
          </w:tcPr>
          <w:p>
            <w:pPr>
              <w:keepNext w:val="0"/>
              <w:spacing w:line="320" w:lineRule="exact" w:after="0" w:before="0"/>
              <w:ind w:firstLine="0"/>
              <w:jc w:val="left"/>
            </w:pPr>
            <w:r>
              <w:rPr>
                <w:b w:val="0"/>
                <w:sz w:val="21"/>
              </w:rPr>
              <w:t>按批准版次的生效对象、期间及批次判断适用性</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3.4.9 规范样本</w:t>
      </w:r>
    </w:p>
    <w:p>
      <w:pPr>
        <w:keepNext/>
        <w:jc w:val="both"/>
      </w:pPr>
      <w:r>
        <w:t>规范样本1 库存状态与可用量核算</w:t>
      </w:r>
    </w:p>
    <w:p>
      <w:pPr>
        <w:pStyle w:val="Caption"/>
        <w:keepNext/>
      </w:pPr>
      <w:r>
        <w:t>表3-57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EX-01-EVAL-001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SP04、quantity_calculation、state_alignment</w:t>
            </w:r>
          </w:p>
        </w:tc>
      </w:tr>
    </w:tbl>
    <w:p>
      <w:pPr>
        <w:spacing w:after="40" w:line="240" w:lineRule="auto"/>
        <w:ind w:firstLine="0"/>
      </w:pPr>
      <w:r>
        <w:rPr>
          <w:sz w:val="4"/>
        </w:rPr>
      </w:r>
    </w:p>
    <w:p>
      <w:pPr>
        <w:jc w:val="both"/>
      </w:pPr>
      <w:r>
        <w:t>输入内容：物料甲在同一仓库、同一计量单位下，期初账面数量80件，本期入库20件、出库35件，无调整。期末账面中待检10件、冻结5件、已占用8件，三个状态互不重叠。在途采购12件尚未入库。</w:t>
      </w:r>
    </w:p>
    <w:p>
      <w:pPr>
        <w:pStyle w:val="Caption"/>
        <w:keepNext/>
      </w:pPr>
      <w:r>
        <w:t>表3-58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left"/>
            </w:pPr>
            <w:r>
              <w:rPr>
                <w:b w:val="0"/>
                <w:sz w:val="21"/>
              </w:rPr>
              <w:t>t0</w:t>
            </w:r>
          </w:p>
        </w:tc>
        <w:tc>
          <w:tcPr>
            <w:tcW w:type="dxa" w:w="7228"/>
            <w:vAlign w:val="center"/>
          </w:tcPr>
          <w:p>
            <w:pPr>
              <w:keepNext/>
              <w:spacing w:line="320" w:lineRule="exact" w:after="0" w:before="0"/>
              <w:ind w:firstLine="0"/>
              <w:jc w:val="center"/>
            </w:pPr>
            <w:r>
              <w:rPr>
                <w:b w:val="0"/>
                <w:sz w:val="21"/>
              </w:rPr>
              <w:t>80</w:t>
            </w:r>
          </w:p>
        </w:tc>
      </w:tr>
      <w:tr>
        <w:trPr>
          <w:cantSplit/>
        </w:trPr>
        <w:tc>
          <w:tcPr>
            <w:tcW w:type="dxa" w:w="2409"/>
            <w:vAlign w:val="center"/>
          </w:tcPr>
          <w:p>
            <w:pPr>
              <w:keepNext/>
              <w:spacing w:line="320" w:lineRule="exact" w:after="0" w:before="0"/>
              <w:ind w:firstLine="0"/>
              <w:jc w:val="left"/>
            </w:pPr>
            <w:r>
              <w:rPr>
                <w:b w:val="0"/>
                <w:sz w:val="21"/>
              </w:rPr>
              <w:t>t1</w:t>
            </w:r>
          </w:p>
        </w:tc>
        <w:tc>
          <w:tcPr>
            <w:tcW w:type="dxa" w:w="7228"/>
            <w:vAlign w:val="center"/>
          </w:tcPr>
          <w:p>
            <w:pPr>
              <w:keepNext/>
              <w:spacing w:line="320" w:lineRule="exact" w:after="0" w:before="0"/>
              <w:ind w:firstLine="0"/>
              <w:jc w:val="center"/>
            </w:pPr>
            <w:r>
              <w:rPr>
                <w:b w:val="0"/>
                <w:sz w:val="21"/>
              </w:rPr>
              <w:t>100</w:t>
            </w:r>
          </w:p>
        </w:tc>
      </w:tr>
      <w:tr>
        <w:trPr>
          <w:cantSplit/>
        </w:trPr>
        <w:tc>
          <w:tcPr>
            <w:tcW w:type="dxa" w:w="2409"/>
            <w:vAlign w:val="center"/>
          </w:tcPr>
          <w:p>
            <w:pPr>
              <w:keepNext w:val="0"/>
              <w:spacing w:line="320" w:lineRule="exact" w:after="0" w:before="0"/>
              <w:ind w:firstLine="0"/>
              <w:jc w:val="left"/>
            </w:pPr>
            <w:r>
              <w:rPr>
                <w:b w:val="0"/>
                <w:sz w:val="21"/>
              </w:rPr>
              <w:t>t2</w:t>
            </w:r>
          </w:p>
        </w:tc>
        <w:tc>
          <w:tcPr>
            <w:tcW w:type="dxa" w:w="7228"/>
            <w:vAlign w:val="center"/>
          </w:tcPr>
          <w:p>
            <w:pPr>
              <w:keepNext w:val="0"/>
              <w:spacing w:line="320" w:lineRule="exact" w:after="0" w:before="0"/>
              <w:ind w:firstLine="0"/>
              <w:jc w:val="center"/>
            </w:pPr>
            <w:r>
              <w:rPr>
                <w:b w:val="0"/>
                <w:sz w:val="21"/>
              </w:rPr>
              <w:t>65</w:t>
            </w:r>
          </w:p>
        </w:tc>
      </w:tr>
    </w:tbl>
    <w:p>
      <w:pPr>
        <w:spacing w:after="40" w:line="240" w:lineRule="auto"/>
        <w:ind w:firstLine="0"/>
      </w:pPr>
      <w:r>
        <w:rPr>
          <w:sz w:val="4"/>
        </w:rPr>
      </w:r>
    </w:p>
    <w:p>
      <w:pPr>
        <w:jc w:val="both"/>
      </w:pPr>
      <w:r>
        <w:t>评测问题：计算期末账面数量与可供新需求使用的数量，并说明在途采购的处理。</w:t>
      </w:r>
    </w:p>
    <w:p>
      <w:pPr>
        <w:jc w:val="both"/>
      </w:pPr>
      <w:r>
        <w:t>参考依据：期末账面数量为80＋20－35＝65件。可供新需求使用的数量为65－10－5－8＝42件。在途12件仅作为预计到货单独列示，当前不计入账面和可用数量。计算适用于题定仓库、时点、单位及互斥状态。</w:t>
      </w:r>
    </w:p>
    <w:p>
      <w:pPr>
        <w:pStyle w:val="Caption"/>
        <w:keepNext/>
      </w:pPr>
      <w:r>
        <w:t>表3-59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账面65件</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可用42件</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在途单列</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时点与单位一致</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keepNext/>
        <w:jc w:val="both"/>
      </w:pPr>
      <w:r>
        <w:t>规范样本2 候选产品的接口条件核查</w:t>
      </w:r>
    </w:p>
    <w:p>
      <w:pPr>
        <w:pStyle w:val="Caption"/>
        <w:keepNext/>
      </w:pPr>
      <w:r>
        <w:t>表3-60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EX-01-EVAL-002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SP02、constraint_review、evidence_insufficient</w:t>
            </w:r>
          </w:p>
        </w:tc>
      </w:tr>
    </w:tbl>
    <w:p>
      <w:pPr>
        <w:spacing w:after="40" w:line="240" w:lineRule="auto"/>
        <w:ind w:firstLine="0"/>
      </w:pPr>
      <w:r>
        <w:rPr>
          <w:sz w:val="4"/>
        </w:rPr>
      </w:r>
    </w:p>
    <w:p>
      <w:pPr>
        <w:jc w:val="both"/>
      </w:pPr>
      <w:r>
        <w:t>输入内容：选型资料对候选产品甲给出的接口编号为J1，配套设备的批准接口编号为J2。资料未提供J1与J2的适配或转换批准记录。能力参数分别满足题定需求，但接口一致性尚无依据。</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7" name="Picture 7"/>
            <wp:cNvGraphicFramePr>
              <a:graphicFrameLocks noChangeAspect="1"/>
            </wp:cNvGraphicFramePr>
            <a:graphic>
              <a:graphicData uri="http://schemas.openxmlformats.org/drawingml/2006/picture">
                <pic:pic>
                  <pic:nvPicPr>
                    <pic:cNvPr id="0" name="例图01_2.png"/>
                    <pic:cNvPicPr/>
                  </pic:nvPicPr>
                  <pic:blipFill>
                    <a:blip r:embed="rId14"/>
                    <a:stretch>
                      <a:fillRect/>
                    </a:stretch>
                  </pic:blipFill>
                  <pic:spPr>
                    <a:xfrm>
                      <a:off x="0" y="0"/>
                      <a:ext cx="6048000" cy="1422831"/>
                    </a:xfrm>
                    <a:prstGeom prst="rect"/>
                  </pic:spPr>
                </pic:pic>
              </a:graphicData>
            </a:graphic>
          </wp:inline>
        </w:drawing>
      </w:r>
    </w:p>
    <w:p>
      <w:pPr>
        <w:pStyle w:val="Caption"/>
        <w:jc w:val="center"/>
      </w:pPr>
      <w:r>
        <w:t>图3-5 候选产品的接口条件核查</w:t>
      </w:r>
    </w:p>
    <w:p>
      <w:pPr>
        <w:jc w:val="both"/>
      </w:pPr>
      <w:r>
        <w:t>评测问题：能否据此确认候选产品甲可直接配套？应补充什么证据？</w:t>
      </w:r>
    </w:p>
    <w:p>
      <w:pPr>
        <w:jc w:val="both"/>
      </w:pPr>
      <w:r>
        <w:t>参考依据：现有材料不足以确认可直接配套。能力参数满足仅覆盖相应能力条件，接口J1与J2仍需逐项比对尺寸、连接、电气或控制等实际适用条件，并取得有效适配或转换批准记录。补证前保留接口条件未确认的判断。</w:t>
      </w:r>
    </w:p>
    <w:p>
      <w:pPr>
        <w:pStyle w:val="Caption"/>
        <w:keepNext/>
      </w:pPr>
      <w:r>
        <w:t>表3-61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不能直接确认</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区分能力与接口</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要求有效适配证据</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不编造批准</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keepNext/>
        <w:jc w:val="both"/>
      </w:pPr>
      <w:r>
        <w:t>规范样本3 合同变更与计划交期引用</w:t>
      </w:r>
    </w:p>
    <w:p>
      <w:pPr>
        <w:pStyle w:val="Caption"/>
        <w:keepNext/>
      </w:pPr>
      <w:r>
        <w:t>表3-62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EX-01-EVAL-003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SP01、version_scope、schedule_review</w:t>
            </w:r>
          </w:p>
        </w:tc>
      </w:tr>
    </w:tbl>
    <w:p>
      <w:pPr>
        <w:spacing w:after="40" w:line="240" w:lineRule="auto"/>
        <w:ind w:firstLine="0"/>
      </w:pPr>
      <w:r>
        <w:rPr>
          <w:sz w:val="4"/>
        </w:rPr>
      </w:r>
    </w:p>
    <w:p>
      <w:pPr>
        <w:jc w:val="both"/>
      </w:pPr>
      <w:r>
        <w:t>输入内容：合同原约定交期为业务日D30，双方有效变更文件将订单行甲调整为D40。订单行乙不在变更范围内。原计划记录保留D30，调整后计划将行甲安排在D38，行乙安排在D35。</w:t>
      </w:r>
    </w:p>
    <w:p>
      <w:pPr>
        <w:jc w:val="both"/>
      </w:pPr>
      <w:r>
        <w:t>评测问题：按现有证据判断两行计划是否满足交期，并指出应引用的文件。</w:t>
      </w:r>
    </w:p>
    <w:p>
      <w:pPr>
        <w:jc w:val="both"/>
      </w:pPr>
      <w:r>
        <w:t>参考依据：行甲按有效变更后的D40判断，D38满足该交期条件；行乙仍按原D30判断，D35晚于约定交期。行甲引用变更文件及其适用订单行，行乙引用原合同。其他未给出的交付条件不能据此推定已满足。</w:t>
      </w:r>
    </w:p>
    <w:p>
      <w:pPr>
        <w:pStyle w:val="Caption"/>
        <w:keepNext/>
      </w:pPr>
      <w:r>
        <w:t>表3-63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行甲满足题定交期</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行乙晚于D30</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变更范围限行甲</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保留其他条件边界</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pStyle w:val="Heading3"/>
      </w:pPr>
      <w:r>
        <w:t>3.4.10 生产与使用核验</w:t>
      </w:r>
    </w:p>
    <w:p>
      <w:pPr>
        <w:jc w:val="both"/>
      </w:pPr>
      <w:r>
        <w:t>对相同题目和协议比较招标指定基础模型、继续预训练模型、指令微调模型及偏好对齐模型；逐题保存输出、评分和切片统计，未完成题目及失败调用单独报告。本领域同时检查订单与物料字段抽取精确率及召回率、库存数量计算正确率、约束满足率、证据引用正确率、缺少条件时的合理澄清率。统计按任务类型、来源、模态、难度及关键业务对象分层，保留题目或记录级结果和失败对象。</w:t>
      </w:r>
    </w:p>
    <w:p>
      <w:pPr>
        <w:jc w:val="both"/>
      </w:pPr>
      <w:r>
        <w:t>生产检查从来源记录开始核对项目、合同、订单行、物料、组织、库位、批次、状态与业务时点，确认对齐项目及订单身份，保留需求变更时间；库存按组织、物料、库位、批次、质量状态和截止时点对账；采购到货与可用库存分别登记；选型输入保留工况、约束、候选配置和校核依据。专业分歧由营销、计划、采购、仓储和产品选型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1"/>
        <w:pageBreakBefore/>
      </w:pPr>
      <w:r>
        <w:t>4 产品工艺设计用途子集数据卡</w:t>
      </w:r>
    </w:p>
    <w:p>
      <w:pPr>
        <w:jc w:val="both"/>
      </w:pPr>
      <w:r>
        <w:t>本领域以产品配置、图号、版次、物料、材料牌号、零部件、工艺路线、工序与生效范围组织记录，覆盖产品型谱、图纸、产品配置、材料要求、物料清单、工艺路线、备料、焊接、热处理、机加工及检验要求之间的设计关系。四个用途分别建立任务、清单、卡片和质量证据，并按实际版本管理。</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8" name="Picture 8"/>
            <wp:cNvGraphicFramePr>
              <a:graphicFrameLocks noChangeAspect="1"/>
            </wp:cNvGraphicFramePr>
            <a:graphic>
              <a:graphicData uri="http://schemas.openxmlformats.org/drawingml/2006/picture">
                <pic:pic>
                  <pic:nvPicPr>
                    <pic:cNvPr id="0" name="图4_工艺关系.png"/>
                    <pic:cNvPicPr/>
                  </pic:nvPicPr>
                  <pic:blipFill>
                    <a:blip r:embed="rId15"/>
                    <a:stretch>
                      <a:fillRect/>
                    </a:stretch>
                  </pic:blipFill>
                  <pic:spPr>
                    <a:xfrm>
                      <a:off x="0" y="0"/>
                      <a:ext cx="6048000" cy="2477354"/>
                    </a:xfrm>
                    <a:prstGeom prst="rect"/>
                  </pic:spPr>
                </pic:pic>
              </a:graphicData>
            </a:graphic>
          </wp:inline>
        </w:drawing>
      </w:r>
    </w:p>
    <w:p>
      <w:pPr>
        <w:pStyle w:val="Caption"/>
        <w:jc w:val="center"/>
      </w:pPr>
      <w:r>
        <w:t>图4-1 产品与工艺适用关系</w:t>
      </w:r>
    </w:p>
    <w:p>
      <w:pPr>
        <w:pStyle w:val="Heading2"/>
      </w:pPr>
      <w:r>
        <w:t>4.1 预训练数据卡</w:t>
      </w:r>
    </w:p>
    <w:p>
      <w:pPr>
        <w:pStyle w:val="Heading3"/>
      </w:pPr>
      <w:r>
        <w:t>4.1.1 基本信息</w:t>
      </w:r>
    </w:p>
    <w:p>
      <w:pPr>
        <w:pStyle w:val="Caption"/>
        <w:keepNext/>
      </w:pPr>
      <w:r>
        <w:t>表4-1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GHY26691-DC-02-0001-V1.0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产品工艺设计数据集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预训练</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02 产品工艺设计；关联对象为产品配置、图号、版次、物料、材料牌号、零部件、工艺路线、工序与生效范围</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预训练有效净量7000000000 Tokens；实际语义记录数由有效清单逐条统计</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预训练有效净量7000000000 Tokens，即70亿Tokens；保存分词器、配置和执行摘要</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采用第7章公共记录结构及本领域扩展字典；完整业务语义记录具有稳定标识、业务对象、来源家族、时间、内容、资源、标签与证据关系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根目录按02-PT及数据版本组织；data保存记录，resources保存模态载荷，metadata保存来源与关系，dictionary保存字段和标签，cards保存卡片，reports保存报告，tools保存解析程序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02-PT-数据版本-六位分片序号.jsonl；资源以稳定资源标识命名；卡片使用完整卡号；路径采用相对路径并拒绝越界和重名冲突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平台服务工单按卡号、数据版本及问题对象受理；由技术与产品设计、工艺、材料、焊接、热处理及检验专业岗位协同处理，服务时段和响应要求执行统一售后安排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产品型谱、图纸、产品配置、材料要求、物料清单、工艺路线、备料、焊接、热处理、机加工及检验要求之间的设计关系。以产品配置、图号、版次、物料、材料牌号、零部件、工艺路线、工序与生效范围建立对象关系，来源范围包括PLM中的图纸、配置及设计变更，ERP中的物料清单与材料主数据，MES中的工艺引用及工序反馈，QMS中的检验要求，企业工艺资料及经授权的技术标准。面向预训练形成忠实保留原始事实、关系和适用条件的领域语料，重点检查原文保真、语义完整、有效Tokens及重复损耗。数据支持产品智能选型、板材智能备料、热处理工艺优化、焊接工艺优化、标准规范智能问答助手，结论依据实际输入、专业条件和验证范围使用。涉及未公开设计图纸、结构尺寸、专有工艺、材料组合、专利资料和设计人员信息时执行相应授权及安全处理。业务事实、推断与未知状态分别标记，数据版本与引用依据保持一致。</w:t>
      </w:r>
    </w:p>
    <w:p>
      <w:pPr>
        <w:pStyle w:val="Heading3"/>
      </w:pPr>
      <w:r>
        <w:t>4.1.2 内容特征</w:t>
      </w:r>
    </w:p>
    <w:p>
      <w:pPr>
        <w:pStyle w:val="Caption"/>
        <w:keepNext/>
      </w:pPr>
      <w:r>
        <w:t>表4-2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文本、图像、时序、视频按有效载荷统计；重点关联产品配置、图号、版次、物料、材料牌号、零部件、工艺路线、工序与生效范围；图纸、表格载体不独立增加模态数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以完整业务语义记录为分母，至少两种有效关联模态的记录为分子；分子、分母及互斥组合清单齐备，按1.4节满足40%要求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按PD01产品结构与配置、PD02图纸与技术条件、PD03材料与备料、PD04工艺路线、PD05焊接与热处理、PD06设计变更与检验统计；主主题互斥，辅助主题允许多选并另列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按事实识读、跨段关系和条件组合区分语料复杂性，不把长度直接当作推理难度</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合成与增强来源内容的并集不超过有效Tokens的20%；交集去重计算</w:t>
            </w:r>
          </w:p>
        </w:tc>
      </w:tr>
    </w:tbl>
    <w:p>
      <w:pPr>
        <w:spacing w:after="40" w:line="240" w:lineRule="auto"/>
        <w:ind w:firstLine="0"/>
      </w:pPr>
      <w:r>
        <w:rPr>
          <w:sz w:val="4"/>
        </w:rPr>
      </w:r>
    </w:p>
    <w:p>
      <w:pPr>
        <w:pStyle w:val="Heading3"/>
      </w:pPr>
      <w:r>
        <w:t>4.1.3 建设过程</w:t>
      </w:r>
    </w:p>
    <w:p>
      <w:pPr>
        <w:pStyle w:val="Caption"/>
        <w:keepNext/>
      </w:pPr>
      <w:r>
        <w:t>表4-3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PLM中的图纸、配置及设计变更，ERP中的物料清单与材料主数据，MES中的工艺引用及工序反馈，QMS中的检验要求，企业工艺资料及经授权的技术标准；逐源登记组织、资料类别、业务期间、采集期间及许可依据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图纸解析保留尺寸、公差、基准及版面定位；关联产品配置与适用版次；把材料、工序、设备适用条件和检验依据连接到工艺路线；变更按生效对象及批次区分；专业参数由有效批准依据确认；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保存解析器、字典、切分、窗口、重叠、单位换算、时间校正和对齐配置；产品配置、图号、版次、物料、材料牌号、零部件、工艺路线、工序与生效范围为关联校验重点；参数经真实资料验证后冻结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主题、实体、术语、版面、时间和模态关联元数据；发生专业语义标记时纳入对应标注规范；规范编号与实际生产记录绑定，不因预训练用途自动省略专业标记管理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由产品设计、工艺、材料、焊接、热处理及检验专业岗位承担专业定义与争议裁决，标注人员依规范执行；自检、交叉复核、专家仲裁分别保存原始结果及修订记录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4.1.4 应用说明</w:t>
      </w:r>
    </w:p>
    <w:p>
      <w:pPr>
        <w:pStyle w:val="Caption"/>
        <w:keepNext/>
      </w:pPr>
      <w:r>
        <w:t>表4-4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产品智能选型、板材智能备料、热处理工艺优化、焊接工艺优化、标准规范智能问答助手；验证结论按实际场景、输入条件和版本形成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继续预训练；输入接口须支持实际文本、图像、时序或视频载荷及对应关系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图纸字段抽取精确率及召回率、单位与公差识别正确率、工艺次序判断正确率、适用版本判断正确率、专业证据引用正确率；各用途采用本卡评价协议并保留定义、方向和统计单位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4.1.5 质量验证</w:t>
      </w:r>
    </w:p>
    <w:p>
      <w:pPr>
        <w:pStyle w:val="Caption"/>
        <w:keepNext/>
      </w:pPr>
      <w:r>
        <w:t>表4-5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质检报告采用GHY26691-QC-02-0001并绑定实际版本、受检清单和内容根摘要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分别报告保真度、完备性、规整性、均衡性、可用性、可信性的方法、结果与问题；按产品配置、图号、版次、物料、材料牌号、零部件、工艺路线、工序与生效范围检查关键业务关联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验证报告采用GHY26691-VR-02-0001及实际版本；引用数据、模型、协议、实验和原始输出，汇总与子集范围分别标明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产品设计、工艺、材料、焊接、热处理及检验专业岗位结合产品智能选型、板材智能备料、热处理工艺优化、焊接工艺优化、标准规范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4.1.6 安全合规</w:t>
      </w:r>
    </w:p>
    <w:p>
      <w:pPr>
        <w:pStyle w:val="Caption"/>
        <w:keepNext/>
      </w:pPr>
      <w:r>
        <w:t>表4-6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生产经营数据中的产品工艺设计相关数据；按产品型谱、图纸、产品配置、材料要求、物料清单、工艺路线、备料、焊接、热处理、机加工及检验要求之间的设计关系细分并关联资产目录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未公开设计图纸、结构尺寸、专有工艺、材料组合、专利资料和设计人员信息；实际敏感要素由检测与人工复核确认，未知状态不按无敏感信息处理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设计人员身份与签署信息按授权范围替代或受控保留；产品及图号使用稳定映射；必要尺寸与公差保留单位和精度，涉及商业秘密的完整图纸按资源权限提供</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产品设计、工艺、材料、焊接、热处理及检验专业岗位按业务必要性申请；加工、质量与评测岗位取得任务所需权限，基准答案、原始敏感资料和替代映射分别控制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按卡号GHY26691-DC-02-0001-V1.0、实际数据版本、对象标识和工单关联查询采集、加工、访问、下载、评测及发布审计；交付留存必要受控记录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4.1.7 指纹血缘</w:t>
      </w:r>
    </w:p>
    <w:p>
      <w:pPr>
        <w:pStyle w:val="Caption"/>
        <w:keepNext/>
      </w:pPr>
      <w:r>
        <w:t>表4-7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02-PT根目录内package.json登记身份、数据版本、结构版本、字典、卡片、资源和文件清单；脱离平台按第7章完成读取及核验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4.1.8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表4-8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drawing_id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图纸稳定编号</w:t>
            </w:r>
          </w:p>
        </w:tc>
        <w:tc>
          <w:tcPr>
            <w:tcW w:type="dxa" w:w="3084"/>
            <w:vAlign w:val="center"/>
          </w:tcPr>
          <w:p>
            <w:pPr>
              <w:keepNext w:val="0"/>
              <w:spacing w:line="320" w:lineRule="exact" w:after="0" w:before="0"/>
              <w:ind w:firstLine="0"/>
              <w:jc w:val="left"/>
            </w:pPr>
            <w:r>
              <w:rPr>
                <w:b w:val="0"/>
                <w:sz w:val="21"/>
              </w:rPr>
              <w:t>同图号不同版次分别识别</w:t>
            </w:r>
          </w:p>
        </w:tc>
      </w:tr>
      <w:tr>
        <w:trPr>
          <w:cantSplit/>
        </w:trPr>
        <w:tc>
          <w:tcPr>
            <w:tcW w:type="dxa" w:w="2313"/>
            <w:vAlign w:val="center"/>
          </w:tcPr>
          <w:p>
            <w:pPr>
              <w:keepNext w:val="0"/>
              <w:spacing w:line="320" w:lineRule="exact" w:after="0" w:before="0"/>
              <w:ind w:firstLine="0"/>
              <w:jc w:val="left"/>
            </w:pPr>
            <w:r>
              <w:rPr>
                <w:b w:val="0"/>
                <w:sz w:val="21"/>
              </w:rPr>
              <w:t>revision</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批准版次</w:t>
            </w:r>
          </w:p>
        </w:tc>
        <w:tc>
          <w:tcPr>
            <w:tcW w:type="dxa" w:w="3084"/>
            <w:vAlign w:val="center"/>
          </w:tcPr>
          <w:p>
            <w:pPr>
              <w:keepNext w:val="0"/>
              <w:spacing w:line="320" w:lineRule="exact" w:after="0" w:before="0"/>
              <w:ind w:firstLine="0"/>
              <w:jc w:val="left"/>
            </w:pPr>
            <w:r>
              <w:rPr>
                <w:b w:val="0"/>
                <w:sz w:val="21"/>
              </w:rPr>
              <w:t>同时关联生效范围与批准证据</w:t>
            </w:r>
          </w:p>
        </w:tc>
      </w:tr>
      <w:tr>
        <w:trPr>
          <w:cantSplit/>
        </w:trPr>
        <w:tc>
          <w:tcPr>
            <w:tcW w:type="dxa" w:w="2313"/>
            <w:vAlign w:val="center"/>
          </w:tcPr>
          <w:p>
            <w:pPr>
              <w:keepNext w:val="0"/>
              <w:spacing w:line="320" w:lineRule="exact" w:after="0" w:before="0"/>
              <w:ind w:firstLine="0"/>
              <w:jc w:val="left"/>
            </w:pPr>
            <w:r>
              <w:rPr>
                <w:b w:val="0"/>
                <w:sz w:val="21"/>
              </w:rPr>
              <w:t>configuration_id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产品配置身份</w:t>
            </w:r>
          </w:p>
        </w:tc>
        <w:tc>
          <w:tcPr>
            <w:tcW w:type="dxa" w:w="3084"/>
            <w:vAlign w:val="center"/>
          </w:tcPr>
          <w:p>
            <w:pPr>
              <w:keepNext w:val="0"/>
              <w:spacing w:line="320" w:lineRule="exact" w:after="0" w:before="0"/>
              <w:ind w:firstLine="0"/>
              <w:jc w:val="left"/>
            </w:pPr>
            <w:r>
              <w:rPr>
                <w:b w:val="0"/>
                <w:sz w:val="21"/>
              </w:rPr>
              <w:t>不得由型号名称推定完整配置</w:t>
            </w:r>
          </w:p>
        </w:tc>
      </w:tr>
      <w:tr>
        <w:trPr>
          <w:cantSplit/>
        </w:trPr>
        <w:tc>
          <w:tcPr>
            <w:tcW w:type="dxa" w:w="2313"/>
            <w:vAlign w:val="center"/>
          </w:tcPr>
          <w:p>
            <w:pPr>
              <w:keepNext w:val="0"/>
              <w:spacing w:line="320" w:lineRule="exact" w:after="0" w:before="0"/>
              <w:ind w:firstLine="0"/>
              <w:jc w:val="left"/>
            </w:pPr>
            <w:r>
              <w:rPr>
                <w:b w:val="0"/>
                <w:sz w:val="21"/>
              </w:rPr>
              <w:t>feature_refs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尺寸、基准、公差及技术条件的定位</w:t>
            </w:r>
          </w:p>
        </w:tc>
        <w:tc>
          <w:tcPr>
            <w:tcW w:type="dxa" w:w="3084"/>
            <w:vAlign w:val="center"/>
          </w:tcPr>
          <w:p>
            <w:pPr>
              <w:keepNext w:val="0"/>
              <w:spacing w:line="320" w:lineRule="exact" w:after="0" w:before="0"/>
              <w:ind w:firstLine="0"/>
              <w:jc w:val="left"/>
            </w:pPr>
            <w:r>
              <w:rPr>
                <w:b w:val="0"/>
                <w:sz w:val="21"/>
              </w:rPr>
              <w:t>每个值附单位、精度和原文坐标</w:t>
            </w:r>
          </w:p>
        </w:tc>
      </w:tr>
      <w:tr>
        <w:trPr>
          <w:cantSplit/>
        </w:trPr>
        <w:tc>
          <w:tcPr>
            <w:tcW w:type="dxa" w:w="2313"/>
            <w:vAlign w:val="center"/>
          </w:tcPr>
          <w:p>
            <w:pPr>
              <w:keepNext w:val="0"/>
              <w:spacing w:line="320" w:lineRule="exact" w:after="0" w:before="0"/>
              <w:ind w:firstLine="0"/>
              <w:jc w:val="left"/>
            </w:pPr>
            <w:r>
              <w:rPr>
                <w:b w:val="0"/>
                <w:sz w:val="21"/>
              </w:rPr>
              <w:t>route_id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工艺路线与版本</w:t>
            </w:r>
          </w:p>
        </w:tc>
        <w:tc>
          <w:tcPr>
            <w:tcW w:type="dxa" w:w="3084"/>
            <w:vAlign w:val="center"/>
          </w:tcPr>
          <w:p>
            <w:pPr>
              <w:keepNext w:val="0"/>
              <w:spacing w:line="320" w:lineRule="exact" w:after="0" w:before="0"/>
              <w:ind w:firstLine="0"/>
              <w:jc w:val="left"/>
            </w:pPr>
            <w:r>
              <w:rPr>
                <w:b w:val="0"/>
                <w:sz w:val="21"/>
              </w:rPr>
              <w:t>与零件、材料和生效范围匹配</w:t>
            </w:r>
          </w:p>
        </w:tc>
      </w:tr>
      <w:tr>
        <w:trPr>
          <w:cantSplit/>
        </w:trPr>
        <w:tc>
          <w:tcPr>
            <w:tcW w:type="dxa" w:w="2313"/>
            <w:vAlign w:val="center"/>
          </w:tcPr>
          <w:p>
            <w:pPr>
              <w:keepNext w:val="0"/>
              <w:spacing w:line="320" w:lineRule="exact" w:after="0" w:before="0"/>
              <w:ind w:firstLine="0"/>
              <w:jc w:val="left"/>
            </w:pPr>
            <w:r>
              <w:rPr>
                <w:b w:val="0"/>
                <w:sz w:val="21"/>
              </w:rPr>
              <w:t>operation_constraints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工序顺序、前置条件、设备及检验依据</w:t>
            </w:r>
          </w:p>
        </w:tc>
        <w:tc>
          <w:tcPr>
            <w:tcW w:type="dxa" w:w="3084"/>
            <w:vAlign w:val="center"/>
          </w:tcPr>
          <w:p>
            <w:pPr>
              <w:keepNext w:val="0"/>
              <w:spacing w:line="320" w:lineRule="exact" w:after="0" w:before="0"/>
              <w:ind w:firstLine="0"/>
              <w:jc w:val="left"/>
            </w:pPr>
            <w:r>
              <w:rPr>
                <w:b w:val="0"/>
                <w:sz w:val="21"/>
              </w:rPr>
              <w:t>专业条件变更引发受影响关系重核</w:t>
            </w:r>
          </w:p>
        </w:tc>
      </w:tr>
    </w:tbl>
    <w:p>
      <w:pPr>
        <w:spacing w:after="40" w:line="240" w:lineRule="auto"/>
        <w:ind w:firstLine="0"/>
      </w:pPr>
      <w:r>
        <w:rPr>
          <w:sz w:val="4"/>
        </w:rPr>
      </w:r>
    </w:p>
    <w:p>
      <w:pPr>
        <w:pStyle w:val="Caption"/>
        <w:keepNext/>
      </w:pPr>
      <w:r>
        <w:t>表4-9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PD01</w:t>
            </w:r>
          </w:p>
        </w:tc>
        <w:tc>
          <w:tcPr>
            <w:tcW w:type="dxa" w:w="2891"/>
            <w:vAlign w:val="center"/>
          </w:tcPr>
          <w:p>
            <w:pPr>
              <w:keepNext w:val="0"/>
              <w:spacing w:line="320" w:lineRule="exact" w:after="0" w:before="0"/>
              <w:ind w:firstLine="0"/>
              <w:jc w:val="left"/>
            </w:pPr>
            <w:r>
              <w:rPr>
                <w:b w:val="0"/>
                <w:sz w:val="21"/>
              </w:rPr>
              <w:t>产品结构与配置</w:t>
            </w:r>
          </w:p>
        </w:tc>
        <w:tc>
          <w:tcPr>
            <w:tcW w:type="dxa" w:w="4433"/>
            <w:vAlign w:val="center"/>
          </w:tcPr>
          <w:p>
            <w:pPr>
              <w:keepNext w:val="0"/>
              <w:spacing w:line="320" w:lineRule="exact" w:after="0" w:before="0"/>
              <w:ind w:firstLine="0"/>
              <w:jc w:val="left"/>
            </w:pPr>
            <w:r>
              <w:rPr>
                <w:b w:val="0"/>
                <w:sz w:val="21"/>
              </w:rPr>
              <w:t>部件关系、接口及配置适用性</w:t>
            </w:r>
          </w:p>
        </w:tc>
      </w:tr>
      <w:tr>
        <w:trPr>
          <w:cantSplit/>
        </w:trPr>
        <w:tc>
          <w:tcPr>
            <w:tcW w:type="dxa" w:w="2313"/>
            <w:vAlign w:val="center"/>
          </w:tcPr>
          <w:p>
            <w:pPr>
              <w:keepNext w:val="0"/>
              <w:spacing w:line="320" w:lineRule="exact" w:after="0" w:before="0"/>
              <w:ind w:firstLine="0"/>
              <w:jc w:val="left"/>
            </w:pPr>
            <w:r>
              <w:rPr>
                <w:b w:val="0"/>
                <w:sz w:val="21"/>
              </w:rPr>
              <w:t>PD02</w:t>
            </w:r>
          </w:p>
        </w:tc>
        <w:tc>
          <w:tcPr>
            <w:tcW w:type="dxa" w:w="2891"/>
            <w:vAlign w:val="center"/>
          </w:tcPr>
          <w:p>
            <w:pPr>
              <w:keepNext w:val="0"/>
              <w:spacing w:line="320" w:lineRule="exact" w:after="0" w:before="0"/>
              <w:ind w:firstLine="0"/>
              <w:jc w:val="left"/>
            </w:pPr>
            <w:r>
              <w:rPr>
                <w:b w:val="0"/>
                <w:sz w:val="21"/>
              </w:rPr>
              <w:t>图纸与技术条件</w:t>
            </w:r>
          </w:p>
        </w:tc>
        <w:tc>
          <w:tcPr>
            <w:tcW w:type="dxa" w:w="4433"/>
            <w:vAlign w:val="center"/>
          </w:tcPr>
          <w:p>
            <w:pPr>
              <w:keepNext w:val="0"/>
              <w:spacing w:line="320" w:lineRule="exact" w:after="0" w:before="0"/>
              <w:ind w:firstLine="0"/>
              <w:jc w:val="left"/>
            </w:pPr>
            <w:r>
              <w:rPr>
                <w:b w:val="0"/>
                <w:sz w:val="21"/>
              </w:rPr>
              <w:t>尺寸、公差、材料、表面及技术要求</w:t>
            </w:r>
          </w:p>
        </w:tc>
      </w:tr>
      <w:tr>
        <w:trPr>
          <w:cantSplit/>
        </w:trPr>
        <w:tc>
          <w:tcPr>
            <w:tcW w:type="dxa" w:w="2313"/>
            <w:vAlign w:val="center"/>
          </w:tcPr>
          <w:p>
            <w:pPr>
              <w:keepNext w:val="0"/>
              <w:spacing w:line="320" w:lineRule="exact" w:after="0" w:before="0"/>
              <w:ind w:firstLine="0"/>
              <w:jc w:val="left"/>
            </w:pPr>
            <w:r>
              <w:rPr>
                <w:b w:val="0"/>
                <w:sz w:val="21"/>
              </w:rPr>
              <w:t>PD03</w:t>
            </w:r>
          </w:p>
        </w:tc>
        <w:tc>
          <w:tcPr>
            <w:tcW w:type="dxa" w:w="2891"/>
            <w:vAlign w:val="center"/>
          </w:tcPr>
          <w:p>
            <w:pPr>
              <w:keepNext w:val="0"/>
              <w:spacing w:line="320" w:lineRule="exact" w:after="0" w:before="0"/>
              <w:ind w:firstLine="0"/>
              <w:jc w:val="left"/>
            </w:pPr>
            <w:r>
              <w:rPr>
                <w:b w:val="0"/>
                <w:sz w:val="21"/>
              </w:rPr>
              <w:t>材料与备料</w:t>
            </w:r>
          </w:p>
        </w:tc>
        <w:tc>
          <w:tcPr>
            <w:tcW w:type="dxa" w:w="4433"/>
            <w:vAlign w:val="center"/>
          </w:tcPr>
          <w:p>
            <w:pPr>
              <w:keepNext w:val="0"/>
              <w:spacing w:line="320" w:lineRule="exact" w:after="0" w:before="0"/>
              <w:ind w:firstLine="0"/>
              <w:jc w:val="left"/>
            </w:pPr>
            <w:r>
              <w:rPr>
                <w:b w:val="0"/>
                <w:sz w:val="21"/>
              </w:rPr>
              <w:t>板材规格、下料条件和材料追溯</w:t>
            </w:r>
          </w:p>
        </w:tc>
      </w:tr>
      <w:tr>
        <w:trPr>
          <w:cantSplit/>
        </w:trPr>
        <w:tc>
          <w:tcPr>
            <w:tcW w:type="dxa" w:w="2313"/>
            <w:vAlign w:val="center"/>
          </w:tcPr>
          <w:p>
            <w:pPr>
              <w:keepNext w:val="0"/>
              <w:spacing w:line="320" w:lineRule="exact" w:after="0" w:before="0"/>
              <w:ind w:firstLine="0"/>
              <w:jc w:val="left"/>
            </w:pPr>
            <w:r>
              <w:rPr>
                <w:b w:val="0"/>
                <w:sz w:val="21"/>
              </w:rPr>
              <w:t>PD04</w:t>
            </w:r>
          </w:p>
        </w:tc>
        <w:tc>
          <w:tcPr>
            <w:tcW w:type="dxa" w:w="2891"/>
            <w:vAlign w:val="center"/>
          </w:tcPr>
          <w:p>
            <w:pPr>
              <w:keepNext w:val="0"/>
              <w:spacing w:line="320" w:lineRule="exact" w:after="0" w:before="0"/>
              <w:ind w:firstLine="0"/>
              <w:jc w:val="left"/>
            </w:pPr>
            <w:r>
              <w:rPr>
                <w:b w:val="0"/>
                <w:sz w:val="21"/>
              </w:rPr>
              <w:t>工艺路线</w:t>
            </w:r>
          </w:p>
        </w:tc>
        <w:tc>
          <w:tcPr>
            <w:tcW w:type="dxa" w:w="4433"/>
            <w:vAlign w:val="center"/>
          </w:tcPr>
          <w:p>
            <w:pPr>
              <w:keepNext w:val="0"/>
              <w:spacing w:line="320" w:lineRule="exact" w:after="0" w:before="0"/>
              <w:ind w:firstLine="0"/>
              <w:jc w:val="left"/>
            </w:pPr>
            <w:r>
              <w:rPr>
                <w:b w:val="0"/>
                <w:sz w:val="21"/>
              </w:rPr>
              <w:t>工序次序、前置条件和适用设备</w:t>
            </w:r>
          </w:p>
        </w:tc>
      </w:tr>
      <w:tr>
        <w:trPr>
          <w:cantSplit/>
        </w:trPr>
        <w:tc>
          <w:tcPr>
            <w:tcW w:type="dxa" w:w="2313"/>
            <w:vAlign w:val="center"/>
          </w:tcPr>
          <w:p>
            <w:pPr>
              <w:keepNext w:val="0"/>
              <w:spacing w:line="320" w:lineRule="exact" w:after="0" w:before="0"/>
              <w:ind w:firstLine="0"/>
              <w:jc w:val="left"/>
            </w:pPr>
            <w:r>
              <w:rPr>
                <w:b w:val="0"/>
                <w:sz w:val="21"/>
              </w:rPr>
              <w:t>PD05</w:t>
            </w:r>
          </w:p>
        </w:tc>
        <w:tc>
          <w:tcPr>
            <w:tcW w:type="dxa" w:w="2891"/>
            <w:vAlign w:val="center"/>
          </w:tcPr>
          <w:p>
            <w:pPr>
              <w:keepNext w:val="0"/>
              <w:spacing w:line="320" w:lineRule="exact" w:after="0" w:before="0"/>
              <w:ind w:firstLine="0"/>
              <w:jc w:val="left"/>
            </w:pPr>
            <w:r>
              <w:rPr>
                <w:b w:val="0"/>
                <w:sz w:val="21"/>
              </w:rPr>
              <w:t>焊接与热处理</w:t>
            </w:r>
          </w:p>
        </w:tc>
        <w:tc>
          <w:tcPr>
            <w:tcW w:type="dxa" w:w="4433"/>
            <w:vAlign w:val="center"/>
          </w:tcPr>
          <w:p>
            <w:pPr>
              <w:keepNext w:val="0"/>
              <w:spacing w:line="320" w:lineRule="exact" w:after="0" w:before="0"/>
              <w:ind w:firstLine="0"/>
              <w:jc w:val="left"/>
            </w:pPr>
            <w:r>
              <w:rPr>
                <w:b w:val="0"/>
                <w:sz w:val="21"/>
              </w:rPr>
              <w:t>批准工艺、关键阶段和适用范围</w:t>
            </w:r>
          </w:p>
        </w:tc>
      </w:tr>
      <w:tr>
        <w:trPr>
          <w:cantSplit/>
        </w:trPr>
        <w:tc>
          <w:tcPr>
            <w:tcW w:type="dxa" w:w="2313"/>
            <w:vAlign w:val="center"/>
          </w:tcPr>
          <w:p>
            <w:pPr>
              <w:keepNext w:val="0"/>
              <w:spacing w:line="320" w:lineRule="exact" w:after="0" w:before="0"/>
              <w:ind w:firstLine="0"/>
              <w:jc w:val="left"/>
            </w:pPr>
            <w:r>
              <w:rPr>
                <w:b w:val="0"/>
                <w:sz w:val="21"/>
              </w:rPr>
              <w:t>PD06</w:t>
            </w:r>
          </w:p>
        </w:tc>
        <w:tc>
          <w:tcPr>
            <w:tcW w:type="dxa" w:w="2891"/>
            <w:vAlign w:val="center"/>
          </w:tcPr>
          <w:p>
            <w:pPr>
              <w:keepNext w:val="0"/>
              <w:spacing w:line="320" w:lineRule="exact" w:after="0" w:before="0"/>
              <w:ind w:firstLine="0"/>
              <w:jc w:val="left"/>
            </w:pPr>
            <w:r>
              <w:rPr>
                <w:b w:val="0"/>
                <w:sz w:val="21"/>
              </w:rPr>
              <w:t>设计变更与检验</w:t>
            </w:r>
          </w:p>
        </w:tc>
        <w:tc>
          <w:tcPr>
            <w:tcW w:type="dxa" w:w="4433"/>
            <w:vAlign w:val="center"/>
          </w:tcPr>
          <w:p>
            <w:pPr>
              <w:keepNext w:val="0"/>
              <w:spacing w:line="320" w:lineRule="exact" w:after="0" w:before="0"/>
              <w:ind w:firstLine="0"/>
              <w:jc w:val="left"/>
            </w:pPr>
            <w:r>
              <w:rPr>
                <w:b w:val="0"/>
                <w:sz w:val="21"/>
              </w:rPr>
              <w:t>版本生效、影响对象和检验依据</w:t>
            </w:r>
          </w:p>
        </w:tc>
      </w:tr>
    </w:tbl>
    <w:p>
      <w:pPr>
        <w:spacing w:after="40" w:line="240" w:lineRule="auto"/>
        <w:ind w:firstLine="0"/>
      </w:pPr>
      <w:r>
        <w:rPr>
          <w:sz w:val="4"/>
        </w:rPr>
      </w:r>
    </w:p>
    <w:p>
      <w:pPr>
        <w:pStyle w:val="Caption"/>
        <w:keepNext/>
      </w:pPr>
      <w:r>
        <w:t>表4-10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表4-11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evidence_insufficient</w:t>
            </w:r>
          </w:p>
        </w:tc>
        <w:tc>
          <w:tcPr>
            <w:tcW w:type="dxa" w:w="7228"/>
            <w:vAlign w:val="center"/>
          </w:tcPr>
          <w:p>
            <w:pPr>
              <w:keepNext w:val="0"/>
              <w:spacing w:line="320" w:lineRule="exact" w:after="0" w:before="0"/>
              <w:ind w:firstLine="0"/>
              <w:jc w:val="left"/>
            </w:pPr>
            <w:r>
              <w:rPr>
                <w:b w:val="0"/>
                <w:sz w:val="21"/>
              </w:rPr>
              <w:t>已有内容不足以支持所问结论，明确缺少的证据及仍可判定的范围</w:t>
            </w:r>
          </w:p>
        </w:tc>
      </w:tr>
      <w:tr>
        <w:trPr>
          <w:cantSplit/>
        </w:trPr>
        <w:tc>
          <w:tcPr>
            <w:tcW w:type="dxa" w:w="2409"/>
            <w:vAlign w:val="center"/>
          </w:tcPr>
          <w:p>
            <w:pPr>
              <w:keepNext w:val="0"/>
              <w:spacing w:line="320" w:lineRule="exact" w:after="0" w:before="0"/>
              <w:ind w:firstLine="0"/>
              <w:jc w:val="left"/>
            </w:pPr>
            <w:r>
              <w:rPr>
                <w:b w:val="0"/>
                <w:sz w:val="21"/>
              </w:rPr>
              <w:t>inspection_dependency</w:t>
            </w:r>
          </w:p>
        </w:tc>
        <w:tc>
          <w:tcPr>
            <w:tcW w:type="dxa" w:w="7228"/>
            <w:vAlign w:val="center"/>
          </w:tcPr>
          <w:p>
            <w:pPr>
              <w:keepNext w:val="0"/>
              <w:spacing w:line="320" w:lineRule="exact" w:after="0" w:before="0"/>
              <w:ind w:firstLine="0"/>
              <w:jc w:val="left"/>
            </w:pPr>
            <w:r>
              <w:rPr>
                <w:b w:val="0"/>
                <w:sz w:val="21"/>
              </w:rPr>
              <w:t>后续动作依赖有效检验结论，复核中、无结果与通过分别识别</w:t>
            </w:r>
          </w:p>
        </w:tc>
      </w:tr>
      <w:tr>
        <w:trPr>
          <w:cantSplit/>
        </w:trPr>
        <w:tc>
          <w:tcPr>
            <w:tcW w:type="dxa" w:w="2409"/>
            <w:vAlign w:val="center"/>
          </w:tcPr>
          <w:p>
            <w:pPr>
              <w:keepNext w:val="0"/>
              <w:spacing w:line="320" w:lineRule="exact" w:after="0" w:before="0"/>
              <w:ind w:firstLine="0"/>
              <w:jc w:val="left"/>
            </w:pPr>
            <w:r>
              <w:rPr>
                <w:b w:val="0"/>
                <w:sz w:val="21"/>
              </w:rPr>
              <w:t>legal_historical_version</w:t>
            </w:r>
          </w:p>
        </w:tc>
        <w:tc>
          <w:tcPr>
            <w:tcW w:type="dxa" w:w="7228"/>
            <w:vAlign w:val="center"/>
          </w:tcPr>
          <w:p>
            <w:pPr>
              <w:keepNext w:val="0"/>
              <w:spacing w:line="320" w:lineRule="exact" w:after="0" w:before="0"/>
              <w:ind w:firstLine="0"/>
              <w:jc w:val="left"/>
            </w:pPr>
            <w:r>
              <w:rPr>
                <w:b w:val="0"/>
                <w:sz w:val="21"/>
              </w:rPr>
              <w:t>历史对象合法适用旧版，较新版次存在本身不构成旧版错误</w:t>
            </w:r>
          </w:p>
        </w:tc>
      </w:tr>
      <w:tr>
        <w:trPr>
          <w:cantSplit/>
        </w:trPr>
        <w:tc>
          <w:tcPr>
            <w:tcW w:type="dxa" w:w="2409"/>
            <w:vAlign w:val="center"/>
          </w:tcPr>
          <w:p>
            <w:pPr>
              <w:keepNext w:val="0"/>
              <w:spacing w:line="320" w:lineRule="exact" w:after="0" w:before="0"/>
              <w:ind w:firstLine="0"/>
              <w:jc w:val="left"/>
            </w:pPr>
            <w:r>
              <w:rPr>
                <w:b w:val="0"/>
                <w:sz w:val="21"/>
              </w:rPr>
              <w:t>precedence_check</w:t>
            </w:r>
          </w:p>
        </w:tc>
        <w:tc>
          <w:tcPr>
            <w:tcW w:type="dxa" w:w="7228"/>
            <w:vAlign w:val="center"/>
          </w:tcPr>
          <w:p>
            <w:pPr>
              <w:keepNext w:val="0"/>
              <w:spacing w:line="320" w:lineRule="exact" w:after="0" w:before="0"/>
              <w:ind w:firstLine="0"/>
              <w:jc w:val="left"/>
            </w:pPr>
            <w:r>
              <w:rPr>
                <w:b w:val="0"/>
                <w:sz w:val="21"/>
              </w:rPr>
              <w:t>核验后续工序全部必要前置条件，不把单一状态当作完整开工依据</w:t>
            </w:r>
          </w:p>
        </w:tc>
      </w:tr>
      <w:tr>
        <w:trPr>
          <w:cantSplit/>
        </w:trPr>
        <w:tc>
          <w:tcPr>
            <w:tcW w:type="dxa" w:w="2409"/>
            <w:vAlign w:val="center"/>
          </w:tcPr>
          <w:p>
            <w:pPr>
              <w:keepNext w:val="0"/>
              <w:spacing w:line="320" w:lineRule="exact" w:after="0" w:before="0"/>
              <w:ind w:firstLine="0"/>
              <w:jc w:val="left"/>
            </w:pPr>
            <w:r>
              <w:rPr>
                <w:b w:val="0"/>
                <w:sz w:val="21"/>
              </w:rPr>
              <w:t>stage_sequence</w:t>
            </w:r>
          </w:p>
        </w:tc>
        <w:tc>
          <w:tcPr>
            <w:tcW w:type="dxa" w:w="7228"/>
            <w:vAlign w:val="center"/>
          </w:tcPr>
          <w:p>
            <w:pPr>
              <w:keepNext w:val="0"/>
              <w:spacing w:line="320" w:lineRule="exact" w:after="0" w:before="0"/>
              <w:ind w:firstLine="0"/>
              <w:jc w:val="left"/>
            </w:pPr>
            <w:r>
              <w:rPr>
                <w:b w:val="0"/>
                <w:sz w:val="21"/>
              </w:rPr>
              <w:t>按批准阶段及其时间次序核查记录结构，不直接等同专业工艺合格</w:t>
            </w:r>
          </w:p>
        </w:tc>
      </w:tr>
      <w:tr>
        <w:trPr>
          <w:cantSplit/>
        </w:trPr>
        <w:tc>
          <w:tcPr>
            <w:tcW w:type="dxa" w:w="2409"/>
            <w:vAlign w:val="center"/>
          </w:tcPr>
          <w:p>
            <w:pPr>
              <w:keepNext w:val="0"/>
              <w:spacing w:line="320" w:lineRule="exact" w:after="0" w:before="0"/>
              <w:ind w:firstLine="0"/>
              <w:jc w:val="left"/>
            </w:pPr>
            <w:r>
              <w:rPr>
                <w:b w:val="0"/>
                <w:sz w:val="21"/>
              </w:rPr>
              <w:t>version_scope</w:t>
            </w:r>
          </w:p>
        </w:tc>
        <w:tc>
          <w:tcPr>
            <w:tcW w:type="dxa" w:w="7228"/>
            <w:vAlign w:val="center"/>
          </w:tcPr>
          <w:p>
            <w:pPr>
              <w:keepNext w:val="0"/>
              <w:spacing w:line="320" w:lineRule="exact" w:after="0" w:before="0"/>
              <w:ind w:firstLine="0"/>
              <w:jc w:val="left"/>
            </w:pPr>
            <w:r>
              <w:rPr>
                <w:b w:val="0"/>
                <w:sz w:val="21"/>
              </w:rPr>
              <w:t>按批准版次的生效对象、期间及批次判断适用性</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4.1.9 规范样本</w:t>
      </w:r>
    </w:p>
    <w:p>
      <w:pPr>
        <w:keepNext/>
        <w:jc w:val="both"/>
      </w:pPr>
      <w:r>
        <w:t>规范样本1 图纸版次的适用范围判断</w:t>
      </w:r>
    </w:p>
    <w:p>
      <w:pPr>
        <w:pStyle w:val="Caption"/>
        <w:keepNext/>
      </w:pPr>
      <w:r>
        <w:t>表4-12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EX-02-PT-001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PD06、version_scope、legal_historical_version</w:t>
            </w:r>
          </w:p>
        </w:tc>
      </w:tr>
    </w:tbl>
    <w:p>
      <w:pPr>
        <w:spacing w:after="40" w:line="240" w:lineRule="auto"/>
        <w:ind w:firstLine="0"/>
      </w:pPr>
      <w:r>
        <w:rPr>
          <w:sz w:val="4"/>
        </w:rPr>
      </w:r>
    </w:p>
    <w:p>
      <w:pPr>
        <w:jc w:val="both"/>
      </w:pPr>
      <w:r>
        <w:t>输入内容：图纸D甲存在R1和R2两个批准版次。变更文件规定R2适用于批次B20及以后，B19仍适用R1。工单对象为B19，工艺卡引用R1；未提供其他改变生效范围的批准文件。</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9" name="Picture 9"/>
            <wp:cNvGraphicFramePr>
              <a:graphicFrameLocks noChangeAspect="1"/>
            </wp:cNvGraphicFramePr>
            <a:graphic>
              <a:graphicData uri="http://schemas.openxmlformats.org/drawingml/2006/picture">
                <pic:pic>
                  <pic:nvPicPr>
                    <pic:cNvPr id="0" name="例图02_1.png"/>
                    <pic:cNvPicPr/>
                  </pic:nvPicPr>
                  <pic:blipFill>
                    <a:blip r:embed="rId16"/>
                    <a:stretch>
                      <a:fillRect/>
                    </a:stretch>
                  </pic:blipFill>
                  <pic:spPr>
                    <a:xfrm>
                      <a:off x="0" y="0"/>
                      <a:ext cx="6048000" cy="1422831"/>
                    </a:xfrm>
                    <a:prstGeom prst="rect"/>
                  </pic:spPr>
                </pic:pic>
              </a:graphicData>
            </a:graphic>
          </wp:inline>
        </w:drawing>
      </w:r>
    </w:p>
    <w:p>
      <w:pPr>
        <w:pStyle w:val="Caption"/>
        <w:jc w:val="center"/>
      </w:pPr>
      <w:r>
        <w:t>图4-2 图纸版次的适用范围判断</w:t>
      </w:r>
    </w:p>
    <w:p>
      <w:pPr>
        <w:jc w:val="both"/>
      </w:pPr>
      <w:r>
        <w:t>语料正文：按题定生效范围，B19适用R1，现有引用不构成版本错误。应保存工单批次、图纸版次及变更生效范围的关联。R2是较新版次，并不意味着所有历史批次必须改用R2。</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keepNext/>
        <w:jc w:val="both"/>
      </w:pPr>
      <w:r>
        <w:t>规范样本2 工序前置条件核查</w:t>
      </w:r>
    </w:p>
    <w:p>
      <w:pPr>
        <w:pStyle w:val="Caption"/>
        <w:keepNext/>
      </w:pPr>
      <w:r>
        <w:t>表4-13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EX-02-PT-002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PD04、precedence_check、inspection_dependency</w:t>
            </w:r>
          </w:p>
        </w:tc>
      </w:tr>
    </w:tbl>
    <w:p>
      <w:pPr>
        <w:spacing w:after="40" w:line="240" w:lineRule="auto"/>
        <w:ind w:firstLine="0"/>
      </w:pPr>
      <w:r>
        <w:rPr>
          <w:sz w:val="4"/>
        </w:rPr>
      </w:r>
    </w:p>
    <w:p>
      <w:pPr>
        <w:jc w:val="both"/>
      </w:pPr>
      <w:r>
        <w:t>输入内容：批准工艺规定工序P3必须在P2完成且检验通过后开始。记录显示P2已报工完成，检验状态为复核中；P3排程已经生成，但尚未下达开工指令。</w:t>
      </w:r>
    </w:p>
    <w:p>
      <w:pPr>
        <w:jc w:val="both"/>
      </w:pPr>
      <w:r>
        <w:t>语料正文：不能直接允许。P3的前置条件包含P2完成和检验通过两项，复核中不等于检验通过。排程生成也不等于开工批准。应取得有效检验通过记录后，再由授权流程确认开工条件。</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keepNext/>
        <w:jc w:val="both"/>
      </w:pPr>
      <w:r>
        <w:t>规范样本3 工艺曲线区间的适用性</w:t>
      </w:r>
    </w:p>
    <w:p>
      <w:pPr>
        <w:pStyle w:val="Caption"/>
        <w:keepNext/>
      </w:pPr>
      <w:r>
        <w:t>表4-14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EX-02-PT-003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PD05、stage_sequence、evidence_insufficient</w:t>
            </w:r>
          </w:p>
        </w:tc>
      </w:tr>
    </w:tbl>
    <w:p>
      <w:pPr>
        <w:spacing w:after="40" w:line="240" w:lineRule="auto"/>
        <w:ind w:firstLine="0"/>
      </w:pPr>
      <w:r>
        <w:rPr>
          <w:sz w:val="4"/>
        </w:rPr>
      </w:r>
    </w:p>
    <w:p>
      <w:pPr>
        <w:jc w:val="both"/>
      </w:pPr>
      <w:r>
        <w:t>输入内容：批准工艺片段划分为升温、保温、冷却三个阶段，阶段代码依次为H、S、C。提供的规范曲线记录为相对时刻0、1、2、3、4，阶段H、H、S、S、C；观测值只用于说明记录结构，未提供材料适用工艺限值。</w:t>
      </w:r>
    </w:p>
    <w:p>
      <w:pPr>
        <w:pStyle w:val="Caption"/>
        <w:keepNext/>
      </w:pPr>
      <w:r>
        <w:t>表4-15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center"/>
            </w:pPr>
            <w:r>
              <w:rPr>
                <w:b w:val="0"/>
                <w:sz w:val="21"/>
              </w:rPr>
              <w:t>0</w:t>
            </w:r>
          </w:p>
        </w:tc>
        <w:tc>
          <w:tcPr>
            <w:tcW w:type="dxa" w:w="7228"/>
            <w:vAlign w:val="center"/>
          </w:tcPr>
          <w:p>
            <w:pPr>
              <w:keepNext/>
              <w:spacing w:line="320" w:lineRule="exact" w:after="0" w:before="0"/>
              <w:ind w:firstLine="0"/>
              <w:jc w:val="left"/>
            </w:pPr>
            <w:r>
              <w:rPr>
                <w:b w:val="0"/>
                <w:sz w:val="21"/>
              </w:rPr>
              <w:t>H</w:t>
            </w:r>
          </w:p>
        </w:tc>
      </w:tr>
      <w:tr>
        <w:trPr>
          <w:cantSplit/>
        </w:trPr>
        <w:tc>
          <w:tcPr>
            <w:tcW w:type="dxa" w:w="2409"/>
            <w:vAlign w:val="center"/>
          </w:tcPr>
          <w:p>
            <w:pPr>
              <w:keepNext/>
              <w:spacing w:line="320" w:lineRule="exact" w:after="0" w:before="0"/>
              <w:ind w:firstLine="0"/>
              <w:jc w:val="center"/>
            </w:pPr>
            <w:r>
              <w:rPr>
                <w:b w:val="0"/>
                <w:sz w:val="21"/>
              </w:rPr>
              <w:t>1</w:t>
            </w:r>
          </w:p>
        </w:tc>
        <w:tc>
          <w:tcPr>
            <w:tcW w:type="dxa" w:w="7228"/>
            <w:vAlign w:val="center"/>
          </w:tcPr>
          <w:p>
            <w:pPr>
              <w:keepNext/>
              <w:spacing w:line="320" w:lineRule="exact" w:after="0" w:before="0"/>
              <w:ind w:firstLine="0"/>
              <w:jc w:val="left"/>
            </w:pPr>
            <w:r>
              <w:rPr>
                <w:b w:val="0"/>
                <w:sz w:val="21"/>
              </w:rPr>
              <w:t>H</w:t>
            </w:r>
          </w:p>
        </w:tc>
      </w:tr>
      <w:tr>
        <w:trPr>
          <w:cantSplit/>
        </w:trPr>
        <w:tc>
          <w:tcPr>
            <w:tcW w:type="dxa" w:w="2409"/>
            <w:vAlign w:val="center"/>
          </w:tcPr>
          <w:p>
            <w:pPr>
              <w:keepNext/>
              <w:spacing w:line="320" w:lineRule="exact" w:after="0" w:before="0"/>
              <w:ind w:firstLine="0"/>
              <w:jc w:val="center"/>
            </w:pPr>
            <w:r>
              <w:rPr>
                <w:b w:val="0"/>
                <w:sz w:val="21"/>
              </w:rPr>
              <w:t>2</w:t>
            </w:r>
          </w:p>
        </w:tc>
        <w:tc>
          <w:tcPr>
            <w:tcW w:type="dxa" w:w="7228"/>
            <w:vAlign w:val="center"/>
          </w:tcPr>
          <w:p>
            <w:pPr>
              <w:keepNext/>
              <w:spacing w:line="320" w:lineRule="exact" w:after="0" w:before="0"/>
              <w:ind w:firstLine="0"/>
              <w:jc w:val="left"/>
            </w:pPr>
            <w:r>
              <w:rPr>
                <w:b w:val="0"/>
                <w:sz w:val="21"/>
              </w:rPr>
              <w:t>S</w:t>
            </w:r>
          </w:p>
        </w:tc>
      </w:tr>
      <w:tr>
        <w:trPr>
          <w:cantSplit/>
        </w:trPr>
        <w:tc>
          <w:tcPr>
            <w:tcW w:type="dxa" w:w="2409"/>
            <w:vAlign w:val="center"/>
          </w:tcPr>
          <w:p>
            <w:pPr>
              <w:keepNext/>
              <w:spacing w:line="320" w:lineRule="exact" w:after="0" w:before="0"/>
              <w:ind w:firstLine="0"/>
              <w:jc w:val="center"/>
            </w:pPr>
            <w:r>
              <w:rPr>
                <w:b w:val="0"/>
                <w:sz w:val="21"/>
              </w:rPr>
              <w:t>3</w:t>
            </w:r>
          </w:p>
        </w:tc>
        <w:tc>
          <w:tcPr>
            <w:tcW w:type="dxa" w:w="7228"/>
            <w:vAlign w:val="center"/>
          </w:tcPr>
          <w:p>
            <w:pPr>
              <w:keepNext/>
              <w:spacing w:line="320" w:lineRule="exact" w:after="0" w:before="0"/>
              <w:ind w:firstLine="0"/>
              <w:jc w:val="left"/>
            </w:pPr>
            <w:r>
              <w:rPr>
                <w:b w:val="0"/>
                <w:sz w:val="21"/>
              </w:rPr>
              <w:t>S</w:t>
            </w:r>
          </w:p>
        </w:tc>
      </w:tr>
      <w:tr>
        <w:trPr>
          <w:cantSplit/>
        </w:trPr>
        <w:tc>
          <w:tcPr>
            <w:tcW w:type="dxa" w:w="2409"/>
            <w:vAlign w:val="center"/>
          </w:tcPr>
          <w:p>
            <w:pPr>
              <w:keepNext w:val="0"/>
              <w:spacing w:line="320" w:lineRule="exact" w:after="0" w:before="0"/>
              <w:ind w:firstLine="0"/>
              <w:jc w:val="center"/>
            </w:pPr>
            <w:r>
              <w:rPr>
                <w:b w:val="0"/>
                <w:sz w:val="21"/>
              </w:rPr>
              <w:t>4</w:t>
            </w:r>
          </w:p>
        </w:tc>
        <w:tc>
          <w:tcPr>
            <w:tcW w:type="dxa" w:w="7228"/>
            <w:vAlign w:val="center"/>
          </w:tcPr>
          <w:p>
            <w:pPr>
              <w:keepNext w:val="0"/>
              <w:spacing w:line="320" w:lineRule="exact" w:after="0" w:before="0"/>
              <w:ind w:firstLine="0"/>
              <w:jc w:val="left"/>
            </w:pPr>
            <w:r>
              <w:rPr>
                <w:b w:val="0"/>
                <w:sz w:val="21"/>
              </w:rPr>
              <w:t>C</w:t>
            </w:r>
          </w:p>
        </w:tc>
      </w:tr>
    </w:tbl>
    <w:p>
      <w:pPr>
        <w:spacing w:after="40" w:line="240" w:lineRule="auto"/>
        <w:ind w:firstLine="0"/>
      </w:pPr>
      <w:r>
        <w:rPr>
          <w:sz w:val="4"/>
        </w:rPr>
      </w:r>
    </w:p>
    <w:p>
      <w:pPr>
        <w:jc w:val="both"/>
      </w:pPr>
      <w:r>
        <w:t>语料正文：可以核查阶段顺序、时间递增和记录结构，现有序列满足H到S再到C的题定顺序。未提供材料、工件、测点条件及批准限值，不能判定实际工艺合格。专业合格判断必须关联相应批准工艺及完整测量依据。</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pStyle w:val="Heading3"/>
      </w:pPr>
      <w:r>
        <w:t>4.1.10 生产与使用核验</w:t>
      </w:r>
    </w:p>
    <w:p>
      <w:pPr>
        <w:jc w:val="both"/>
      </w:pPr>
      <w:r>
        <w:t>在固定保留语料上统计有效损失与困惑度，在独立业务探针上检查知识、关系和条件理解；不同分词器的困惑度不直接横比。本领域同时检查图纸字段抽取精确率及召回率、单位与公差识别正确率、工艺次序判断正确率、适用版本判断正确率、专业证据引用正确率。统计按任务类型、来源、模态、难度及关键业务对象分层，保留题目或记录级结果和失败对象。</w:t>
      </w:r>
    </w:p>
    <w:p>
      <w:pPr>
        <w:jc w:val="both"/>
      </w:pPr>
      <w:r>
        <w:t>生产检查从来源记录开始核对产品配置、图号、版次、物料、材料牌号、零部件、工艺路线、工序与生效范围，确认图纸解析保留尺寸、公差、基准及版面定位；关联产品配置与适用版次；把材料、工序、设备适用条件和检验依据连接到工艺路线；变更按生效对象及批次区分；专业参数由有效批准依据确认。专业分歧由产品设计、工艺、材料、焊接、热处理及检验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4.2 有监督指令微调数据卡</w:t>
      </w:r>
    </w:p>
    <w:p>
      <w:pPr>
        <w:pStyle w:val="Heading3"/>
      </w:pPr>
      <w:r>
        <w:t>4.2.1 基本信息</w:t>
      </w:r>
    </w:p>
    <w:p>
      <w:pPr>
        <w:pStyle w:val="Caption"/>
        <w:keepNext/>
      </w:pPr>
      <w:r>
        <w:t>表4-16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GHY26691-DC-02-0002-V1.0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产品工艺设计数据集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有监督指令微调</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02 产品工艺设计；关联对象为产品配置、图号、版次、物料、材料牌号、零部件、工艺路线、工序与生效范围</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有效交付净量100000条；以完整输入与合格目标输出构成的任务为计数单位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本用途规模按条验收；如统计输入输出Tokens，分开保存且不替代任务或比较组数量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采用第7章公共记录结构及本领域扩展字典；完整输入与合格目标输出构成的任务具有稳定标识、业务对象、来源家族、时间、内容、资源、标签与证据关系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根目录按02-SFT及数据版本组织；data保存记录，resources保存模态载荷，metadata保存来源与关系，dictionary保存字段和标签，cards保存卡片，reports保存报告，tools保存解析程序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02-SFT-数据版本-六位分片序号.jsonl；资源以稳定资源标识命名；卡片使用完整卡号；路径采用相对路径并拒绝越界和重名冲突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平台服务工单按卡号、数据版本及问题对象受理；由技术与产品设计、工艺、材料、焊接、热处理及检验专业岗位协同处理，服务时段和响应要求执行统一售后安排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产品型谱、图纸、产品配置、材料要求、物料清单、工艺路线、备料、焊接、热处理、机加工及检验要求之间的设计关系。以产品配置、图号、版次、物料、材料牌号、零部件、工艺路线、工序与生效范围建立对象关系，来源范围包括PLM中的图纸、配置及设计变更，ERP中的物料清单与材料主数据，MES中的工艺引用及工序反馈，QMS中的检验要求，企业工艺资料及经授权的技术标准。面向有监督指令微调形成具有明确任务、证据、目标输出和边界条件的指令样本，重点检查指令明确、答案正确、证据充分、资源可读和任务完整。数据支持产品智能选型、板材智能备料、热处理工艺优化、焊接工艺优化、标准规范智能问答助手，结论依据实际输入、专业条件和验证范围使用。涉及未公开设计图纸、结构尺寸、专有工艺、材料组合、专利资料和设计人员信息时执行相应授权及安全处理。业务事实、推断与未知状态分别标记，数据版本与引用依据保持一致。</w:t>
      </w:r>
    </w:p>
    <w:p>
      <w:pPr>
        <w:pStyle w:val="Heading3"/>
      </w:pPr>
      <w:r>
        <w:t>4.2.2 内容特征</w:t>
      </w:r>
    </w:p>
    <w:p>
      <w:pPr>
        <w:pStyle w:val="Caption"/>
        <w:keepNext/>
      </w:pPr>
      <w:r>
        <w:t>表4-17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文本、图像、时序、视频按有效载荷统计；重点关联产品配置、图号、版次、物料、材料牌号、零部件、工艺路线、工序与生效范围；图纸、表格载体不独立增加模态数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以完整输入与合格目标输出构成的任务为分母，至少两种有效关联模态的记录为分子；分子、分母及互斥组合清单齐备，按1.4节满足40%要求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按PD01产品结构与配置、PD02图纸与技术条件、PD03材料与备料、PD04工艺路线、PD05焊接与热处理、PD06设计变更与检验统计；主主题互斥，辅助主题允许多选并另列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单一证据直接识读为基础，跨对象关联或有限计算为组合，多条件判断及证据冲突为复杂；分类依据任务认知要求</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整体合成来源不超过45%；真实数据充足任务不超过30%，推理及长尾任务不超过60%，并服从整体45%上限</w:t>
            </w:r>
          </w:p>
        </w:tc>
      </w:tr>
    </w:tbl>
    <w:p>
      <w:pPr>
        <w:spacing w:after="40" w:line="240" w:lineRule="auto"/>
        <w:ind w:firstLine="0"/>
      </w:pPr>
      <w:r>
        <w:rPr>
          <w:sz w:val="4"/>
        </w:rPr>
      </w:r>
    </w:p>
    <w:p>
      <w:pPr>
        <w:pStyle w:val="Heading3"/>
      </w:pPr>
      <w:r>
        <w:t>4.2.3 建设过程</w:t>
      </w:r>
    </w:p>
    <w:p>
      <w:pPr>
        <w:pStyle w:val="Caption"/>
        <w:keepNext/>
      </w:pPr>
      <w:r>
        <w:t>表4-18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PLM中的图纸、配置及设计变更，ERP中的物料清单与材料主数据，MES中的工艺引用及工序反馈，QMS中的检验要求，企业工艺资料及经授权的技术标准；逐源登记组织、资料类别、业务期间、采集期间及许可依据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图纸解析保留尺寸、公差、基准及版面定位；关联产品配置与适用版次；把材料、工序、设备适用条件和检验依据连接到工艺路线；变更按生效对象及批次区分；专业参数由有效批准依据确认；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保存解析器、字典、切分、窗口、重叠、单位换算、时间校正和对齐配置；产品配置、图号、版次、物料、材料牌号、零部件、工艺路线、工序与生效范围为关联校验重点；参数经真实资料验证后冻结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任务类型、输入条件、目标答案、证据定位、适用边界、难度及必要的多模态标签；规范编号与实际生产记录绑定，不因预训练用途自动省略专业标记管理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由产品设计、工艺、材料、焊接、热处理及检验专业岗位承担专业定义与争议裁决，标注人员依规范执行；自检、交叉复核、专家仲裁分别保存原始结果及修订记录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4.2.4 应用说明</w:t>
      </w:r>
    </w:p>
    <w:p>
      <w:pPr>
        <w:pStyle w:val="Caption"/>
        <w:keepNext/>
      </w:pPr>
      <w:r>
        <w:t>表4-19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产品智能选型、板材智能备料、热处理工艺优化、焊接工艺优化、标准规范智能问答助手；验证结论按实际场景、输入条件和版本形成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指令微调；输入接口须支持实际文本、图像、时序或视频载荷及对应关系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图纸字段抽取精确率及召回率、单位与公差识别正确率、工艺次序判断正确率、适用版本判断正确率、专业证据引用正确率；各用途采用本卡评价协议并保留定义、方向和统计单位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4.2.5 质量验证</w:t>
      </w:r>
    </w:p>
    <w:p>
      <w:pPr>
        <w:pStyle w:val="Caption"/>
        <w:keepNext/>
      </w:pPr>
      <w:r>
        <w:t>表4-20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质检报告采用GHY26691-QC-02-0002并绑定实际版本、受检清单和内容根摘要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分别报告保真度、完备性、规整性、均衡性、可用性、可信性的方法、结果与问题；按产品配置、图号、版次、物料、材料牌号、零部件、工艺路线、工序与生效范围检查关键业务关联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验证报告采用GHY26691-VR-02-0002及实际版本；引用数据、模型、协议、实验和原始输出，汇总与子集范围分别标明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产品设计、工艺、材料、焊接、热处理及检验专业岗位结合产品智能选型、板材智能备料、热处理工艺优化、焊接工艺优化、标准规范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4.2.6 安全合规</w:t>
      </w:r>
    </w:p>
    <w:p>
      <w:pPr>
        <w:pStyle w:val="Caption"/>
        <w:keepNext/>
      </w:pPr>
      <w:r>
        <w:t>表4-21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生产经营数据中的产品工艺设计相关数据；按产品型谱、图纸、产品配置、材料要求、物料清单、工艺路线、备料、焊接、热处理、机加工及检验要求之间的设计关系细分并关联资产目录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未公开设计图纸、结构尺寸、专有工艺、材料组合、专利资料和设计人员信息；实际敏感要素由检测与人工复核确认，未知状态不按无敏感信息处理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设计人员身份与签署信息按授权范围替代或受控保留；产品及图号使用稳定映射；必要尺寸与公差保留单位和精度，涉及商业秘密的完整图纸按资源权限提供</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产品设计、工艺、材料、焊接、热处理及检验专业岗位按业务必要性申请；加工、质量与评测岗位取得任务所需权限，基准答案、原始敏感资料和替代映射分别控制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按卡号GHY26691-DC-02-0002-V1.0、实际数据版本、对象标识和工单关联查询采集、加工、访问、下载、评测及发布审计；交付留存必要受控记录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4.2.7 指纹血缘</w:t>
      </w:r>
    </w:p>
    <w:p>
      <w:pPr>
        <w:pStyle w:val="Caption"/>
        <w:keepNext/>
      </w:pPr>
      <w:r>
        <w:t>表4-22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02-SFT根目录内package.json登记身份、数据版本、结构版本、字典、卡片、资源和文件清单；脱离平台按第7章完成读取及核验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4.2.8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表4-23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drawing_id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图纸稳定编号</w:t>
            </w:r>
          </w:p>
        </w:tc>
        <w:tc>
          <w:tcPr>
            <w:tcW w:type="dxa" w:w="3084"/>
            <w:vAlign w:val="center"/>
          </w:tcPr>
          <w:p>
            <w:pPr>
              <w:keepNext w:val="0"/>
              <w:spacing w:line="320" w:lineRule="exact" w:after="0" w:before="0"/>
              <w:ind w:firstLine="0"/>
              <w:jc w:val="left"/>
            </w:pPr>
            <w:r>
              <w:rPr>
                <w:b w:val="0"/>
                <w:sz w:val="21"/>
              </w:rPr>
              <w:t>同图号不同版次分别识别</w:t>
            </w:r>
          </w:p>
        </w:tc>
      </w:tr>
      <w:tr>
        <w:trPr>
          <w:cantSplit/>
        </w:trPr>
        <w:tc>
          <w:tcPr>
            <w:tcW w:type="dxa" w:w="2313"/>
            <w:vAlign w:val="center"/>
          </w:tcPr>
          <w:p>
            <w:pPr>
              <w:keepNext w:val="0"/>
              <w:spacing w:line="320" w:lineRule="exact" w:after="0" w:before="0"/>
              <w:ind w:firstLine="0"/>
              <w:jc w:val="left"/>
            </w:pPr>
            <w:r>
              <w:rPr>
                <w:b w:val="0"/>
                <w:sz w:val="21"/>
              </w:rPr>
              <w:t>revision</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批准版次</w:t>
            </w:r>
          </w:p>
        </w:tc>
        <w:tc>
          <w:tcPr>
            <w:tcW w:type="dxa" w:w="3084"/>
            <w:vAlign w:val="center"/>
          </w:tcPr>
          <w:p>
            <w:pPr>
              <w:keepNext w:val="0"/>
              <w:spacing w:line="320" w:lineRule="exact" w:after="0" w:before="0"/>
              <w:ind w:firstLine="0"/>
              <w:jc w:val="left"/>
            </w:pPr>
            <w:r>
              <w:rPr>
                <w:b w:val="0"/>
                <w:sz w:val="21"/>
              </w:rPr>
              <w:t>同时关联生效范围与批准证据</w:t>
            </w:r>
          </w:p>
        </w:tc>
      </w:tr>
      <w:tr>
        <w:trPr>
          <w:cantSplit/>
        </w:trPr>
        <w:tc>
          <w:tcPr>
            <w:tcW w:type="dxa" w:w="2313"/>
            <w:vAlign w:val="center"/>
          </w:tcPr>
          <w:p>
            <w:pPr>
              <w:keepNext w:val="0"/>
              <w:spacing w:line="320" w:lineRule="exact" w:after="0" w:before="0"/>
              <w:ind w:firstLine="0"/>
              <w:jc w:val="left"/>
            </w:pPr>
            <w:r>
              <w:rPr>
                <w:b w:val="0"/>
                <w:sz w:val="21"/>
              </w:rPr>
              <w:t>configuration_id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产品配置身份</w:t>
            </w:r>
          </w:p>
        </w:tc>
        <w:tc>
          <w:tcPr>
            <w:tcW w:type="dxa" w:w="3084"/>
            <w:vAlign w:val="center"/>
          </w:tcPr>
          <w:p>
            <w:pPr>
              <w:keepNext w:val="0"/>
              <w:spacing w:line="320" w:lineRule="exact" w:after="0" w:before="0"/>
              <w:ind w:firstLine="0"/>
              <w:jc w:val="left"/>
            </w:pPr>
            <w:r>
              <w:rPr>
                <w:b w:val="0"/>
                <w:sz w:val="21"/>
              </w:rPr>
              <w:t>不得由型号名称推定完整配置</w:t>
            </w:r>
          </w:p>
        </w:tc>
      </w:tr>
      <w:tr>
        <w:trPr>
          <w:cantSplit/>
        </w:trPr>
        <w:tc>
          <w:tcPr>
            <w:tcW w:type="dxa" w:w="2313"/>
            <w:vAlign w:val="center"/>
          </w:tcPr>
          <w:p>
            <w:pPr>
              <w:keepNext w:val="0"/>
              <w:spacing w:line="320" w:lineRule="exact" w:after="0" w:before="0"/>
              <w:ind w:firstLine="0"/>
              <w:jc w:val="left"/>
            </w:pPr>
            <w:r>
              <w:rPr>
                <w:b w:val="0"/>
                <w:sz w:val="21"/>
              </w:rPr>
              <w:t>feature_refs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尺寸、基准、公差及技术条件的定位</w:t>
            </w:r>
          </w:p>
        </w:tc>
        <w:tc>
          <w:tcPr>
            <w:tcW w:type="dxa" w:w="3084"/>
            <w:vAlign w:val="center"/>
          </w:tcPr>
          <w:p>
            <w:pPr>
              <w:keepNext w:val="0"/>
              <w:spacing w:line="320" w:lineRule="exact" w:after="0" w:before="0"/>
              <w:ind w:firstLine="0"/>
              <w:jc w:val="left"/>
            </w:pPr>
            <w:r>
              <w:rPr>
                <w:b w:val="0"/>
                <w:sz w:val="21"/>
              </w:rPr>
              <w:t>每个值附单位、精度和原文坐标</w:t>
            </w:r>
          </w:p>
        </w:tc>
      </w:tr>
      <w:tr>
        <w:trPr>
          <w:cantSplit/>
        </w:trPr>
        <w:tc>
          <w:tcPr>
            <w:tcW w:type="dxa" w:w="2313"/>
            <w:vAlign w:val="center"/>
          </w:tcPr>
          <w:p>
            <w:pPr>
              <w:keepNext w:val="0"/>
              <w:spacing w:line="320" w:lineRule="exact" w:after="0" w:before="0"/>
              <w:ind w:firstLine="0"/>
              <w:jc w:val="left"/>
            </w:pPr>
            <w:r>
              <w:rPr>
                <w:b w:val="0"/>
                <w:sz w:val="21"/>
              </w:rPr>
              <w:t>route_id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工艺路线与版本</w:t>
            </w:r>
          </w:p>
        </w:tc>
        <w:tc>
          <w:tcPr>
            <w:tcW w:type="dxa" w:w="3084"/>
            <w:vAlign w:val="center"/>
          </w:tcPr>
          <w:p>
            <w:pPr>
              <w:keepNext w:val="0"/>
              <w:spacing w:line="320" w:lineRule="exact" w:after="0" w:before="0"/>
              <w:ind w:firstLine="0"/>
              <w:jc w:val="left"/>
            </w:pPr>
            <w:r>
              <w:rPr>
                <w:b w:val="0"/>
                <w:sz w:val="21"/>
              </w:rPr>
              <w:t>与零件、材料和生效范围匹配</w:t>
            </w:r>
          </w:p>
        </w:tc>
      </w:tr>
      <w:tr>
        <w:trPr>
          <w:cantSplit/>
        </w:trPr>
        <w:tc>
          <w:tcPr>
            <w:tcW w:type="dxa" w:w="2313"/>
            <w:vAlign w:val="center"/>
          </w:tcPr>
          <w:p>
            <w:pPr>
              <w:keepNext w:val="0"/>
              <w:spacing w:line="320" w:lineRule="exact" w:after="0" w:before="0"/>
              <w:ind w:firstLine="0"/>
              <w:jc w:val="left"/>
            </w:pPr>
            <w:r>
              <w:rPr>
                <w:b w:val="0"/>
                <w:sz w:val="21"/>
              </w:rPr>
              <w:t>operation_constraints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工序顺序、前置条件、设备及检验依据</w:t>
            </w:r>
          </w:p>
        </w:tc>
        <w:tc>
          <w:tcPr>
            <w:tcW w:type="dxa" w:w="3084"/>
            <w:vAlign w:val="center"/>
          </w:tcPr>
          <w:p>
            <w:pPr>
              <w:keepNext w:val="0"/>
              <w:spacing w:line="320" w:lineRule="exact" w:after="0" w:before="0"/>
              <w:ind w:firstLine="0"/>
              <w:jc w:val="left"/>
            </w:pPr>
            <w:r>
              <w:rPr>
                <w:b w:val="0"/>
                <w:sz w:val="21"/>
              </w:rPr>
              <w:t>专业条件变更引发受影响关系重核</w:t>
            </w:r>
          </w:p>
        </w:tc>
      </w:tr>
    </w:tbl>
    <w:p>
      <w:pPr>
        <w:spacing w:after="40" w:line="240" w:lineRule="auto"/>
        <w:ind w:firstLine="0"/>
      </w:pPr>
      <w:r>
        <w:rPr>
          <w:sz w:val="4"/>
        </w:rPr>
      </w:r>
    </w:p>
    <w:p>
      <w:pPr>
        <w:pStyle w:val="Caption"/>
        <w:keepNext/>
      </w:pPr>
      <w:r>
        <w:t>表4-24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PD01</w:t>
            </w:r>
          </w:p>
        </w:tc>
        <w:tc>
          <w:tcPr>
            <w:tcW w:type="dxa" w:w="2891"/>
            <w:vAlign w:val="center"/>
          </w:tcPr>
          <w:p>
            <w:pPr>
              <w:keepNext w:val="0"/>
              <w:spacing w:line="320" w:lineRule="exact" w:after="0" w:before="0"/>
              <w:ind w:firstLine="0"/>
              <w:jc w:val="left"/>
            </w:pPr>
            <w:r>
              <w:rPr>
                <w:b w:val="0"/>
                <w:sz w:val="21"/>
              </w:rPr>
              <w:t>产品结构与配置</w:t>
            </w:r>
          </w:p>
        </w:tc>
        <w:tc>
          <w:tcPr>
            <w:tcW w:type="dxa" w:w="4433"/>
            <w:vAlign w:val="center"/>
          </w:tcPr>
          <w:p>
            <w:pPr>
              <w:keepNext w:val="0"/>
              <w:spacing w:line="320" w:lineRule="exact" w:after="0" w:before="0"/>
              <w:ind w:firstLine="0"/>
              <w:jc w:val="left"/>
            </w:pPr>
            <w:r>
              <w:rPr>
                <w:b w:val="0"/>
                <w:sz w:val="21"/>
              </w:rPr>
              <w:t>部件关系、接口及配置适用性</w:t>
            </w:r>
          </w:p>
        </w:tc>
      </w:tr>
      <w:tr>
        <w:trPr>
          <w:cantSplit/>
        </w:trPr>
        <w:tc>
          <w:tcPr>
            <w:tcW w:type="dxa" w:w="2313"/>
            <w:vAlign w:val="center"/>
          </w:tcPr>
          <w:p>
            <w:pPr>
              <w:keepNext w:val="0"/>
              <w:spacing w:line="320" w:lineRule="exact" w:after="0" w:before="0"/>
              <w:ind w:firstLine="0"/>
              <w:jc w:val="left"/>
            </w:pPr>
            <w:r>
              <w:rPr>
                <w:b w:val="0"/>
                <w:sz w:val="21"/>
              </w:rPr>
              <w:t>PD02</w:t>
            </w:r>
          </w:p>
        </w:tc>
        <w:tc>
          <w:tcPr>
            <w:tcW w:type="dxa" w:w="2891"/>
            <w:vAlign w:val="center"/>
          </w:tcPr>
          <w:p>
            <w:pPr>
              <w:keepNext w:val="0"/>
              <w:spacing w:line="320" w:lineRule="exact" w:after="0" w:before="0"/>
              <w:ind w:firstLine="0"/>
              <w:jc w:val="left"/>
            </w:pPr>
            <w:r>
              <w:rPr>
                <w:b w:val="0"/>
                <w:sz w:val="21"/>
              </w:rPr>
              <w:t>图纸与技术条件</w:t>
            </w:r>
          </w:p>
        </w:tc>
        <w:tc>
          <w:tcPr>
            <w:tcW w:type="dxa" w:w="4433"/>
            <w:vAlign w:val="center"/>
          </w:tcPr>
          <w:p>
            <w:pPr>
              <w:keepNext w:val="0"/>
              <w:spacing w:line="320" w:lineRule="exact" w:after="0" w:before="0"/>
              <w:ind w:firstLine="0"/>
              <w:jc w:val="left"/>
            </w:pPr>
            <w:r>
              <w:rPr>
                <w:b w:val="0"/>
                <w:sz w:val="21"/>
              </w:rPr>
              <w:t>尺寸、公差、材料、表面及技术要求</w:t>
            </w:r>
          </w:p>
        </w:tc>
      </w:tr>
      <w:tr>
        <w:trPr>
          <w:cantSplit/>
        </w:trPr>
        <w:tc>
          <w:tcPr>
            <w:tcW w:type="dxa" w:w="2313"/>
            <w:vAlign w:val="center"/>
          </w:tcPr>
          <w:p>
            <w:pPr>
              <w:keepNext w:val="0"/>
              <w:spacing w:line="320" w:lineRule="exact" w:after="0" w:before="0"/>
              <w:ind w:firstLine="0"/>
              <w:jc w:val="left"/>
            </w:pPr>
            <w:r>
              <w:rPr>
                <w:b w:val="0"/>
                <w:sz w:val="21"/>
              </w:rPr>
              <w:t>PD03</w:t>
            </w:r>
          </w:p>
        </w:tc>
        <w:tc>
          <w:tcPr>
            <w:tcW w:type="dxa" w:w="2891"/>
            <w:vAlign w:val="center"/>
          </w:tcPr>
          <w:p>
            <w:pPr>
              <w:keepNext w:val="0"/>
              <w:spacing w:line="320" w:lineRule="exact" w:after="0" w:before="0"/>
              <w:ind w:firstLine="0"/>
              <w:jc w:val="left"/>
            </w:pPr>
            <w:r>
              <w:rPr>
                <w:b w:val="0"/>
                <w:sz w:val="21"/>
              </w:rPr>
              <w:t>材料与备料</w:t>
            </w:r>
          </w:p>
        </w:tc>
        <w:tc>
          <w:tcPr>
            <w:tcW w:type="dxa" w:w="4433"/>
            <w:vAlign w:val="center"/>
          </w:tcPr>
          <w:p>
            <w:pPr>
              <w:keepNext w:val="0"/>
              <w:spacing w:line="320" w:lineRule="exact" w:after="0" w:before="0"/>
              <w:ind w:firstLine="0"/>
              <w:jc w:val="left"/>
            </w:pPr>
            <w:r>
              <w:rPr>
                <w:b w:val="0"/>
                <w:sz w:val="21"/>
              </w:rPr>
              <w:t>板材规格、下料条件和材料追溯</w:t>
            </w:r>
          </w:p>
        </w:tc>
      </w:tr>
      <w:tr>
        <w:trPr>
          <w:cantSplit/>
        </w:trPr>
        <w:tc>
          <w:tcPr>
            <w:tcW w:type="dxa" w:w="2313"/>
            <w:vAlign w:val="center"/>
          </w:tcPr>
          <w:p>
            <w:pPr>
              <w:keepNext w:val="0"/>
              <w:spacing w:line="320" w:lineRule="exact" w:after="0" w:before="0"/>
              <w:ind w:firstLine="0"/>
              <w:jc w:val="left"/>
            </w:pPr>
            <w:r>
              <w:rPr>
                <w:b w:val="0"/>
                <w:sz w:val="21"/>
              </w:rPr>
              <w:t>PD04</w:t>
            </w:r>
          </w:p>
        </w:tc>
        <w:tc>
          <w:tcPr>
            <w:tcW w:type="dxa" w:w="2891"/>
            <w:vAlign w:val="center"/>
          </w:tcPr>
          <w:p>
            <w:pPr>
              <w:keepNext w:val="0"/>
              <w:spacing w:line="320" w:lineRule="exact" w:after="0" w:before="0"/>
              <w:ind w:firstLine="0"/>
              <w:jc w:val="left"/>
            </w:pPr>
            <w:r>
              <w:rPr>
                <w:b w:val="0"/>
                <w:sz w:val="21"/>
              </w:rPr>
              <w:t>工艺路线</w:t>
            </w:r>
          </w:p>
        </w:tc>
        <w:tc>
          <w:tcPr>
            <w:tcW w:type="dxa" w:w="4433"/>
            <w:vAlign w:val="center"/>
          </w:tcPr>
          <w:p>
            <w:pPr>
              <w:keepNext w:val="0"/>
              <w:spacing w:line="320" w:lineRule="exact" w:after="0" w:before="0"/>
              <w:ind w:firstLine="0"/>
              <w:jc w:val="left"/>
            </w:pPr>
            <w:r>
              <w:rPr>
                <w:b w:val="0"/>
                <w:sz w:val="21"/>
              </w:rPr>
              <w:t>工序次序、前置条件和适用设备</w:t>
            </w:r>
          </w:p>
        </w:tc>
      </w:tr>
      <w:tr>
        <w:trPr>
          <w:cantSplit/>
        </w:trPr>
        <w:tc>
          <w:tcPr>
            <w:tcW w:type="dxa" w:w="2313"/>
            <w:vAlign w:val="center"/>
          </w:tcPr>
          <w:p>
            <w:pPr>
              <w:keepNext w:val="0"/>
              <w:spacing w:line="320" w:lineRule="exact" w:after="0" w:before="0"/>
              <w:ind w:firstLine="0"/>
              <w:jc w:val="left"/>
            </w:pPr>
            <w:r>
              <w:rPr>
                <w:b w:val="0"/>
                <w:sz w:val="21"/>
              </w:rPr>
              <w:t>PD05</w:t>
            </w:r>
          </w:p>
        </w:tc>
        <w:tc>
          <w:tcPr>
            <w:tcW w:type="dxa" w:w="2891"/>
            <w:vAlign w:val="center"/>
          </w:tcPr>
          <w:p>
            <w:pPr>
              <w:keepNext w:val="0"/>
              <w:spacing w:line="320" w:lineRule="exact" w:after="0" w:before="0"/>
              <w:ind w:firstLine="0"/>
              <w:jc w:val="left"/>
            </w:pPr>
            <w:r>
              <w:rPr>
                <w:b w:val="0"/>
                <w:sz w:val="21"/>
              </w:rPr>
              <w:t>焊接与热处理</w:t>
            </w:r>
          </w:p>
        </w:tc>
        <w:tc>
          <w:tcPr>
            <w:tcW w:type="dxa" w:w="4433"/>
            <w:vAlign w:val="center"/>
          </w:tcPr>
          <w:p>
            <w:pPr>
              <w:keepNext w:val="0"/>
              <w:spacing w:line="320" w:lineRule="exact" w:after="0" w:before="0"/>
              <w:ind w:firstLine="0"/>
              <w:jc w:val="left"/>
            </w:pPr>
            <w:r>
              <w:rPr>
                <w:b w:val="0"/>
                <w:sz w:val="21"/>
              </w:rPr>
              <w:t>批准工艺、关键阶段和适用范围</w:t>
            </w:r>
          </w:p>
        </w:tc>
      </w:tr>
      <w:tr>
        <w:trPr>
          <w:cantSplit/>
        </w:trPr>
        <w:tc>
          <w:tcPr>
            <w:tcW w:type="dxa" w:w="2313"/>
            <w:vAlign w:val="center"/>
          </w:tcPr>
          <w:p>
            <w:pPr>
              <w:keepNext w:val="0"/>
              <w:spacing w:line="320" w:lineRule="exact" w:after="0" w:before="0"/>
              <w:ind w:firstLine="0"/>
              <w:jc w:val="left"/>
            </w:pPr>
            <w:r>
              <w:rPr>
                <w:b w:val="0"/>
                <w:sz w:val="21"/>
              </w:rPr>
              <w:t>PD06</w:t>
            </w:r>
          </w:p>
        </w:tc>
        <w:tc>
          <w:tcPr>
            <w:tcW w:type="dxa" w:w="2891"/>
            <w:vAlign w:val="center"/>
          </w:tcPr>
          <w:p>
            <w:pPr>
              <w:keepNext w:val="0"/>
              <w:spacing w:line="320" w:lineRule="exact" w:after="0" w:before="0"/>
              <w:ind w:firstLine="0"/>
              <w:jc w:val="left"/>
            </w:pPr>
            <w:r>
              <w:rPr>
                <w:b w:val="0"/>
                <w:sz w:val="21"/>
              </w:rPr>
              <w:t>设计变更与检验</w:t>
            </w:r>
          </w:p>
        </w:tc>
        <w:tc>
          <w:tcPr>
            <w:tcW w:type="dxa" w:w="4433"/>
            <w:vAlign w:val="center"/>
          </w:tcPr>
          <w:p>
            <w:pPr>
              <w:keepNext w:val="0"/>
              <w:spacing w:line="320" w:lineRule="exact" w:after="0" w:before="0"/>
              <w:ind w:firstLine="0"/>
              <w:jc w:val="left"/>
            </w:pPr>
            <w:r>
              <w:rPr>
                <w:b w:val="0"/>
                <w:sz w:val="21"/>
              </w:rPr>
              <w:t>版本生效、影响对象和检验依据</w:t>
            </w:r>
          </w:p>
        </w:tc>
      </w:tr>
    </w:tbl>
    <w:p>
      <w:pPr>
        <w:spacing w:after="40" w:line="240" w:lineRule="auto"/>
        <w:ind w:firstLine="0"/>
      </w:pPr>
      <w:r>
        <w:rPr>
          <w:sz w:val="4"/>
        </w:rPr>
      </w:r>
    </w:p>
    <w:p>
      <w:pPr>
        <w:pStyle w:val="Caption"/>
        <w:keepNext/>
      </w:pPr>
      <w:r>
        <w:t>表4-25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表4-26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evidence_insufficient</w:t>
            </w:r>
          </w:p>
        </w:tc>
        <w:tc>
          <w:tcPr>
            <w:tcW w:type="dxa" w:w="7228"/>
            <w:vAlign w:val="center"/>
          </w:tcPr>
          <w:p>
            <w:pPr>
              <w:keepNext w:val="0"/>
              <w:spacing w:line="320" w:lineRule="exact" w:after="0" w:before="0"/>
              <w:ind w:firstLine="0"/>
              <w:jc w:val="left"/>
            </w:pPr>
            <w:r>
              <w:rPr>
                <w:b w:val="0"/>
                <w:sz w:val="21"/>
              </w:rPr>
              <w:t>已有内容不足以支持所问结论，明确缺少的证据及仍可判定的范围</w:t>
            </w:r>
          </w:p>
        </w:tc>
      </w:tr>
      <w:tr>
        <w:trPr>
          <w:cantSplit/>
        </w:trPr>
        <w:tc>
          <w:tcPr>
            <w:tcW w:type="dxa" w:w="2409"/>
            <w:vAlign w:val="center"/>
          </w:tcPr>
          <w:p>
            <w:pPr>
              <w:keepNext w:val="0"/>
              <w:spacing w:line="320" w:lineRule="exact" w:after="0" w:before="0"/>
              <w:ind w:firstLine="0"/>
              <w:jc w:val="left"/>
            </w:pPr>
            <w:r>
              <w:rPr>
                <w:b w:val="0"/>
                <w:sz w:val="21"/>
              </w:rPr>
              <w:t>inspection_dependency</w:t>
            </w:r>
          </w:p>
        </w:tc>
        <w:tc>
          <w:tcPr>
            <w:tcW w:type="dxa" w:w="7228"/>
            <w:vAlign w:val="center"/>
          </w:tcPr>
          <w:p>
            <w:pPr>
              <w:keepNext w:val="0"/>
              <w:spacing w:line="320" w:lineRule="exact" w:after="0" w:before="0"/>
              <w:ind w:firstLine="0"/>
              <w:jc w:val="left"/>
            </w:pPr>
            <w:r>
              <w:rPr>
                <w:b w:val="0"/>
                <w:sz w:val="21"/>
              </w:rPr>
              <w:t>后续动作依赖有效检验结论，复核中、无结果与通过分别识别</w:t>
            </w:r>
          </w:p>
        </w:tc>
      </w:tr>
      <w:tr>
        <w:trPr>
          <w:cantSplit/>
        </w:trPr>
        <w:tc>
          <w:tcPr>
            <w:tcW w:type="dxa" w:w="2409"/>
            <w:vAlign w:val="center"/>
          </w:tcPr>
          <w:p>
            <w:pPr>
              <w:keepNext w:val="0"/>
              <w:spacing w:line="320" w:lineRule="exact" w:after="0" w:before="0"/>
              <w:ind w:firstLine="0"/>
              <w:jc w:val="left"/>
            </w:pPr>
            <w:r>
              <w:rPr>
                <w:b w:val="0"/>
                <w:sz w:val="21"/>
              </w:rPr>
              <w:t>legal_historical_version</w:t>
            </w:r>
          </w:p>
        </w:tc>
        <w:tc>
          <w:tcPr>
            <w:tcW w:type="dxa" w:w="7228"/>
            <w:vAlign w:val="center"/>
          </w:tcPr>
          <w:p>
            <w:pPr>
              <w:keepNext w:val="0"/>
              <w:spacing w:line="320" w:lineRule="exact" w:after="0" w:before="0"/>
              <w:ind w:firstLine="0"/>
              <w:jc w:val="left"/>
            </w:pPr>
            <w:r>
              <w:rPr>
                <w:b w:val="0"/>
                <w:sz w:val="21"/>
              </w:rPr>
              <w:t>历史对象合法适用旧版，较新版次存在本身不构成旧版错误</w:t>
            </w:r>
          </w:p>
        </w:tc>
      </w:tr>
      <w:tr>
        <w:trPr>
          <w:cantSplit/>
        </w:trPr>
        <w:tc>
          <w:tcPr>
            <w:tcW w:type="dxa" w:w="2409"/>
            <w:vAlign w:val="center"/>
          </w:tcPr>
          <w:p>
            <w:pPr>
              <w:keepNext w:val="0"/>
              <w:spacing w:line="320" w:lineRule="exact" w:after="0" w:before="0"/>
              <w:ind w:firstLine="0"/>
              <w:jc w:val="left"/>
            </w:pPr>
            <w:r>
              <w:rPr>
                <w:b w:val="0"/>
                <w:sz w:val="21"/>
              </w:rPr>
              <w:t>precedence_check</w:t>
            </w:r>
          </w:p>
        </w:tc>
        <w:tc>
          <w:tcPr>
            <w:tcW w:type="dxa" w:w="7228"/>
            <w:vAlign w:val="center"/>
          </w:tcPr>
          <w:p>
            <w:pPr>
              <w:keepNext w:val="0"/>
              <w:spacing w:line="320" w:lineRule="exact" w:after="0" w:before="0"/>
              <w:ind w:firstLine="0"/>
              <w:jc w:val="left"/>
            </w:pPr>
            <w:r>
              <w:rPr>
                <w:b w:val="0"/>
                <w:sz w:val="21"/>
              </w:rPr>
              <w:t>核验后续工序全部必要前置条件，不把单一状态当作完整开工依据</w:t>
            </w:r>
          </w:p>
        </w:tc>
      </w:tr>
      <w:tr>
        <w:trPr>
          <w:cantSplit/>
        </w:trPr>
        <w:tc>
          <w:tcPr>
            <w:tcW w:type="dxa" w:w="2409"/>
            <w:vAlign w:val="center"/>
          </w:tcPr>
          <w:p>
            <w:pPr>
              <w:keepNext w:val="0"/>
              <w:spacing w:line="320" w:lineRule="exact" w:after="0" w:before="0"/>
              <w:ind w:firstLine="0"/>
              <w:jc w:val="left"/>
            </w:pPr>
            <w:r>
              <w:rPr>
                <w:b w:val="0"/>
                <w:sz w:val="21"/>
              </w:rPr>
              <w:t>stage_sequence</w:t>
            </w:r>
          </w:p>
        </w:tc>
        <w:tc>
          <w:tcPr>
            <w:tcW w:type="dxa" w:w="7228"/>
            <w:vAlign w:val="center"/>
          </w:tcPr>
          <w:p>
            <w:pPr>
              <w:keepNext w:val="0"/>
              <w:spacing w:line="320" w:lineRule="exact" w:after="0" w:before="0"/>
              <w:ind w:firstLine="0"/>
              <w:jc w:val="left"/>
            </w:pPr>
            <w:r>
              <w:rPr>
                <w:b w:val="0"/>
                <w:sz w:val="21"/>
              </w:rPr>
              <w:t>按批准阶段及其时间次序核查记录结构，不直接等同专业工艺合格</w:t>
            </w:r>
          </w:p>
        </w:tc>
      </w:tr>
      <w:tr>
        <w:trPr>
          <w:cantSplit/>
        </w:trPr>
        <w:tc>
          <w:tcPr>
            <w:tcW w:type="dxa" w:w="2409"/>
            <w:vAlign w:val="center"/>
          </w:tcPr>
          <w:p>
            <w:pPr>
              <w:keepNext w:val="0"/>
              <w:spacing w:line="320" w:lineRule="exact" w:after="0" w:before="0"/>
              <w:ind w:firstLine="0"/>
              <w:jc w:val="left"/>
            </w:pPr>
            <w:r>
              <w:rPr>
                <w:b w:val="0"/>
                <w:sz w:val="21"/>
              </w:rPr>
              <w:t>version_scope</w:t>
            </w:r>
          </w:p>
        </w:tc>
        <w:tc>
          <w:tcPr>
            <w:tcW w:type="dxa" w:w="7228"/>
            <w:vAlign w:val="center"/>
          </w:tcPr>
          <w:p>
            <w:pPr>
              <w:keepNext w:val="0"/>
              <w:spacing w:line="320" w:lineRule="exact" w:after="0" w:before="0"/>
              <w:ind w:firstLine="0"/>
              <w:jc w:val="left"/>
            </w:pPr>
            <w:r>
              <w:rPr>
                <w:b w:val="0"/>
                <w:sz w:val="21"/>
              </w:rPr>
              <w:t>按批准版次的生效对象、期间及批次判断适用性</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4.2.9 规范样本</w:t>
      </w:r>
    </w:p>
    <w:p>
      <w:pPr>
        <w:keepNext/>
        <w:jc w:val="both"/>
      </w:pPr>
      <w:r>
        <w:t>规范样本1 图纸版次的适用范围判断</w:t>
      </w:r>
    </w:p>
    <w:p>
      <w:pPr>
        <w:pStyle w:val="Caption"/>
        <w:keepNext/>
      </w:pPr>
      <w:r>
        <w:t>表4-27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EX-02-SFT-001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PD06、version_scope、legal_historical_version</w:t>
            </w:r>
          </w:p>
        </w:tc>
      </w:tr>
    </w:tbl>
    <w:p>
      <w:pPr>
        <w:spacing w:after="40" w:line="240" w:lineRule="auto"/>
        <w:ind w:firstLine="0"/>
      </w:pPr>
      <w:r>
        <w:rPr>
          <w:sz w:val="4"/>
        </w:rPr>
      </w:r>
    </w:p>
    <w:p>
      <w:pPr>
        <w:jc w:val="both"/>
      </w:pPr>
      <w:r>
        <w:t>输入内容：图纸D甲存在R1和R2两个批准版次。变更文件规定R2适用于批次B20及以后，B19仍适用R1。工单对象为B19，工艺卡引用R1；未提供其他改变生效范围的批准文件。</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10" name="Picture 10"/>
            <wp:cNvGraphicFramePr>
              <a:graphicFrameLocks noChangeAspect="1"/>
            </wp:cNvGraphicFramePr>
            <a:graphic>
              <a:graphicData uri="http://schemas.openxmlformats.org/drawingml/2006/picture">
                <pic:pic>
                  <pic:nvPicPr>
                    <pic:cNvPr id="0" name="例图02_1.png"/>
                    <pic:cNvPicPr/>
                  </pic:nvPicPr>
                  <pic:blipFill>
                    <a:blip r:embed="rId16"/>
                    <a:stretch>
                      <a:fillRect/>
                    </a:stretch>
                  </pic:blipFill>
                  <pic:spPr>
                    <a:xfrm>
                      <a:off x="0" y="0"/>
                      <a:ext cx="6048000" cy="1422831"/>
                    </a:xfrm>
                    <a:prstGeom prst="rect"/>
                  </pic:spPr>
                </pic:pic>
              </a:graphicData>
            </a:graphic>
          </wp:inline>
        </w:drawing>
      </w:r>
    </w:p>
    <w:p>
      <w:pPr>
        <w:pStyle w:val="Caption"/>
        <w:jc w:val="center"/>
      </w:pPr>
      <w:r>
        <w:t>图4-3 图纸版次的适用范围判断</w:t>
      </w:r>
    </w:p>
    <w:p>
      <w:pPr>
        <w:jc w:val="both"/>
      </w:pPr>
      <w:r>
        <w:t>任务指令：工艺卡引用R1是否构成版本错误？</w:t>
      </w:r>
    </w:p>
    <w:p>
      <w:pPr>
        <w:jc w:val="both"/>
      </w:pPr>
      <w:r>
        <w:t>目标输出：按题定生效范围，B19适用R1，现有引用不构成版本错误。应保存工单批次、图纸版次及变更生效范围的关联。R2是较新版次，并不意味着所有历史批次必须改用R2。</w:t>
      </w:r>
    </w:p>
    <w:p>
      <w:pPr>
        <w:jc w:val="both"/>
      </w:pPr>
      <w:r>
        <w:t>标注核验：B19适用R1；未构成版本错误；保留生效证据；不按最新版本机械覆盖。答案应包含结论及必要依据，不能用泛化建议代替题定判断。语义等价的表达可以接受，擅自添加未给出的事实应判为内容错误。</w:t>
      </w:r>
    </w:p>
    <w:p>
      <w:pPr>
        <w:keepNext/>
        <w:jc w:val="both"/>
      </w:pPr>
      <w:r>
        <w:t>规范样本2 工序前置条件核查</w:t>
      </w:r>
    </w:p>
    <w:p>
      <w:pPr>
        <w:pStyle w:val="Caption"/>
        <w:keepNext/>
      </w:pPr>
      <w:r>
        <w:t>表4-28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EX-02-SFT-002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PD04、precedence_check、inspection_dependency</w:t>
            </w:r>
          </w:p>
        </w:tc>
      </w:tr>
    </w:tbl>
    <w:p>
      <w:pPr>
        <w:spacing w:after="40" w:line="240" w:lineRule="auto"/>
        <w:ind w:firstLine="0"/>
      </w:pPr>
      <w:r>
        <w:rPr>
          <w:sz w:val="4"/>
        </w:rPr>
      </w:r>
    </w:p>
    <w:p>
      <w:pPr>
        <w:jc w:val="both"/>
      </w:pPr>
      <w:r>
        <w:t>输入内容：批准工艺规定工序P3必须在P2完成且检验通过后开始。记录显示P2已报工完成，检验状态为复核中；P3排程已经生成，但尚未下达开工指令。</w:t>
      </w:r>
    </w:p>
    <w:p>
      <w:pPr>
        <w:jc w:val="both"/>
      </w:pPr>
      <w:r>
        <w:t>任务指令：是否可以依据P2完成记录直接允许P3开工？</w:t>
      </w:r>
    </w:p>
    <w:p>
      <w:pPr>
        <w:jc w:val="both"/>
      </w:pPr>
      <w:r>
        <w:t>目标输出：不能直接允许。P3的前置条件包含P2完成和检验通过两项，复核中不等于检验通过。排程生成也不等于开工批准。应取得有效检验通过记录后，再由授权流程确认开工条件。</w:t>
      </w:r>
    </w:p>
    <w:p>
      <w:pPr>
        <w:jc w:val="both"/>
      </w:pPr>
      <w:r>
        <w:t>标注核验：识别两项前置条件；复核中不算通过；排程与开工不同；要求有效检验记录。答案应包含结论及必要依据，不能用泛化建议代替题定判断。语义等价的表达可以接受，擅自添加未给出的事实应判为内容错误。</w:t>
      </w:r>
    </w:p>
    <w:p>
      <w:pPr>
        <w:keepNext/>
        <w:jc w:val="both"/>
      </w:pPr>
      <w:r>
        <w:t>规范样本3 工艺曲线区间的适用性</w:t>
      </w:r>
    </w:p>
    <w:p>
      <w:pPr>
        <w:pStyle w:val="Caption"/>
        <w:keepNext/>
      </w:pPr>
      <w:r>
        <w:t>表4-29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EX-02-SFT-003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PD05、stage_sequence、evidence_insufficient</w:t>
            </w:r>
          </w:p>
        </w:tc>
      </w:tr>
    </w:tbl>
    <w:p>
      <w:pPr>
        <w:spacing w:after="40" w:line="240" w:lineRule="auto"/>
        <w:ind w:firstLine="0"/>
      </w:pPr>
      <w:r>
        <w:rPr>
          <w:sz w:val="4"/>
        </w:rPr>
      </w:r>
    </w:p>
    <w:p>
      <w:pPr>
        <w:jc w:val="both"/>
      </w:pPr>
      <w:r>
        <w:t>输入内容：批准工艺片段划分为升温、保温、冷却三个阶段，阶段代码依次为H、S、C。提供的规范曲线记录为相对时刻0、1、2、3、4，阶段H、H、S、S、C；观测值只用于说明记录结构，未提供材料适用工艺限值。</w:t>
      </w:r>
    </w:p>
    <w:p>
      <w:pPr>
        <w:pStyle w:val="Caption"/>
        <w:keepNext/>
      </w:pPr>
      <w:r>
        <w:t>表4-30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center"/>
            </w:pPr>
            <w:r>
              <w:rPr>
                <w:b w:val="0"/>
                <w:sz w:val="21"/>
              </w:rPr>
              <w:t>0</w:t>
            </w:r>
          </w:p>
        </w:tc>
        <w:tc>
          <w:tcPr>
            <w:tcW w:type="dxa" w:w="7228"/>
            <w:vAlign w:val="center"/>
          </w:tcPr>
          <w:p>
            <w:pPr>
              <w:keepNext/>
              <w:spacing w:line="320" w:lineRule="exact" w:after="0" w:before="0"/>
              <w:ind w:firstLine="0"/>
              <w:jc w:val="left"/>
            </w:pPr>
            <w:r>
              <w:rPr>
                <w:b w:val="0"/>
                <w:sz w:val="21"/>
              </w:rPr>
              <w:t>H</w:t>
            </w:r>
          </w:p>
        </w:tc>
      </w:tr>
      <w:tr>
        <w:trPr>
          <w:cantSplit/>
        </w:trPr>
        <w:tc>
          <w:tcPr>
            <w:tcW w:type="dxa" w:w="2409"/>
            <w:vAlign w:val="center"/>
          </w:tcPr>
          <w:p>
            <w:pPr>
              <w:keepNext/>
              <w:spacing w:line="320" w:lineRule="exact" w:after="0" w:before="0"/>
              <w:ind w:firstLine="0"/>
              <w:jc w:val="center"/>
            </w:pPr>
            <w:r>
              <w:rPr>
                <w:b w:val="0"/>
                <w:sz w:val="21"/>
              </w:rPr>
              <w:t>1</w:t>
            </w:r>
          </w:p>
        </w:tc>
        <w:tc>
          <w:tcPr>
            <w:tcW w:type="dxa" w:w="7228"/>
            <w:vAlign w:val="center"/>
          </w:tcPr>
          <w:p>
            <w:pPr>
              <w:keepNext/>
              <w:spacing w:line="320" w:lineRule="exact" w:after="0" w:before="0"/>
              <w:ind w:firstLine="0"/>
              <w:jc w:val="left"/>
            </w:pPr>
            <w:r>
              <w:rPr>
                <w:b w:val="0"/>
                <w:sz w:val="21"/>
              </w:rPr>
              <w:t>H</w:t>
            </w:r>
          </w:p>
        </w:tc>
      </w:tr>
      <w:tr>
        <w:trPr>
          <w:cantSplit/>
        </w:trPr>
        <w:tc>
          <w:tcPr>
            <w:tcW w:type="dxa" w:w="2409"/>
            <w:vAlign w:val="center"/>
          </w:tcPr>
          <w:p>
            <w:pPr>
              <w:keepNext/>
              <w:spacing w:line="320" w:lineRule="exact" w:after="0" w:before="0"/>
              <w:ind w:firstLine="0"/>
              <w:jc w:val="center"/>
            </w:pPr>
            <w:r>
              <w:rPr>
                <w:b w:val="0"/>
                <w:sz w:val="21"/>
              </w:rPr>
              <w:t>2</w:t>
            </w:r>
          </w:p>
        </w:tc>
        <w:tc>
          <w:tcPr>
            <w:tcW w:type="dxa" w:w="7228"/>
            <w:vAlign w:val="center"/>
          </w:tcPr>
          <w:p>
            <w:pPr>
              <w:keepNext/>
              <w:spacing w:line="320" w:lineRule="exact" w:after="0" w:before="0"/>
              <w:ind w:firstLine="0"/>
              <w:jc w:val="left"/>
            </w:pPr>
            <w:r>
              <w:rPr>
                <w:b w:val="0"/>
                <w:sz w:val="21"/>
              </w:rPr>
              <w:t>S</w:t>
            </w:r>
          </w:p>
        </w:tc>
      </w:tr>
      <w:tr>
        <w:trPr>
          <w:cantSplit/>
        </w:trPr>
        <w:tc>
          <w:tcPr>
            <w:tcW w:type="dxa" w:w="2409"/>
            <w:vAlign w:val="center"/>
          </w:tcPr>
          <w:p>
            <w:pPr>
              <w:keepNext/>
              <w:spacing w:line="320" w:lineRule="exact" w:after="0" w:before="0"/>
              <w:ind w:firstLine="0"/>
              <w:jc w:val="center"/>
            </w:pPr>
            <w:r>
              <w:rPr>
                <w:b w:val="0"/>
                <w:sz w:val="21"/>
              </w:rPr>
              <w:t>3</w:t>
            </w:r>
          </w:p>
        </w:tc>
        <w:tc>
          <w:tcPr>
            <w:tcW w:type="dxa" w:w="7228"/>
            <w:vAlign w:val="center"/>
          </w:tcPr>
          <w:p>
            <w:pPr>
              <w:keepNext/>
              <w:spacing w:line="320" w:lineRule="exact" w:after="0" w:before="0"/>
              <w:ind w:firstLine="0"/>
              <w:jc w:val="left"/>
            </w:pPr>
            <w:r>
              <w:rPr>
                <w:b w:val="0"/>
                <w:sz w:val="21"/>
              </w:rPr>
              <w:t>S</w:t>
            </w:r>
          </w:p>
        </w:tc>
      </w:tr>
      <w:tr>
        <w:trPr>
          <w:cantSplit/>
        </w:trPr>
        <w:tc>
          <w:tcPr>
            <w:tcW w:type="dxa" w:w="2409"/>
            <w:vAlign w:val="center"/>
          </w:tcPr>
          <w:p>
            <w:pPr>
              <w:keepNext w:val="0"/>
              <w:spacing w:line="320" w:lineRule="exact" w:after="0" w:before="0"/>
              <w:ind w:firstLine="0"/>
              <w:jc w:val="center"/>
            </w:pPr>
            <w:r>
              <w:rPr>
                <w:b w:val="0"/>
                <w:sz w:val="21"/>
              </w:rPr>
              <w:t>4</w:t>
            </w:r>
          </w:p>
        </w:tc>
        <w:tc>
          <w:tcPr>
            <w:tcW w:type="dxa" w:w="7228"/>
            <w:vAlign w:val="center"/>
          </w:tcPr>
          <w:p>
            <w:pPr>
              <w:keepNext w:val="0"/>
              <w:spacing w:line="320" w:lineRule="exact" w:after="0" w:before="0"/>
              <w:ind w:firstLine="0"/>
              <w:jc w:val="left"/>
            </w:pPr>
            <w:r>
              <w:rPr>
                <w:b w:val="0"/>
                <w:sz w:val="21"/>
              </w:rPr>
              <w:t>C</w:t>
            </w:r>
          </w:p>
        </w:tc>
      </w:tr>
    </w:tbl>
    <w:p>
      <w:pPr>
        <w:spacing w:after="40" w:line="240" w:lineRule="auto"/>
        <w:ind w:firstLine="0"/>
      </w:pPr>
      <w:r>
        <w:rPr>
          <w:sz w:val="4"/>
        </w:rPr>
      </w:r>
    </w:p>
    <w:p>
      <w:pPr>
        <w:jc w:val="both"/>
      </w:pPr>
      <w:r>
        <w:t>任务指令：能否仅凭该曲线宣布实际工艺合格？可以核查哪些内容？</w:t>
      </w:r>
    </w:p>
    <w:p>
      <w:pPr>
        <w:jc w:val="both"/>
      </w:pPr>
      <w:r>
        <w:t>目标输出：可以核查阶段顺序、时间递增和记录结构，现有序列满足H到S再到C的题定顺序。未提供材料、工件、测点条件及批准限值，不能判定实际工艺合格。专业合格判断必须关联相应批准工艺及完整测量依据。</w:t>
      </w:r>
    </w:p>
    <w:p>
      <w:pPr>
        <w:jc w:val="both"/>
      </w:pPr>
      <w:r>
        <w:t>标注核验：阶段顺序可检查；时间顺序可检查；不宣布工艺合格；要求适用限值与依据。答案应包含结论及必要依据，不能用泛化建议代替题定判断。语义等价的表达可以接受，擅自添加未给出的事实应判为内容错误。</w:t>
      </w:r>
    </w:p>
    <w:p>
      <w:pPr>
        <w:pStyle w:val="Heading3"/>
      </w:pPr>
      <w:r>
        <w:t>4.2.10 生产与使用核验</w:t>
      </w:r>
    </w:p>
    <w:p>
      <w:pPr>
        <w:jc w:val="both"/>
      </w:pPr>
      <w:r>
        <w:t>逐任务核查答案正确性、事实一致性、约束满足和证据引用，开放回答结合固定要点评分及Rouge-L等辅助指标；文字相似度不代替业务正确性。本领域同时检查图纸字段抽取精确率及召回率、单位与公差识别正确率、工艺次序判断正确率、适用版本判断正确率、专业证据引用正确率。统计按任务类型、来源、模态、难度及关键业务对象分层，保留题目或记录级结果和失败对象。</w:t>
      </w:r>
    </w:p>
    <w:p>
      <w:pPr>
        <w:jc w:val="both"/>
      </w:pPr>
      <w:r>
        <w:t>生产检查从来源记录开始核对产品配置、图号、版次、物料、材料牌号、零部件、工艺路线、工序与生效范围，确认图纸解析保留尺寸、公差、基准及版面定位；关联产品配置与适用版次；把材料、工序、设备适用条件和检验依据连接到工艺路线；变更按生效对象及批次区分；专业参数由有效批准依据确认。专业分歧由产品设计、工艺、材料、焊接、热处理及检验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4.3 人类偏好对齐数据卡</w:t>
      </w:r>
    </w:p>
    <w:p>
      <w:pPr>
        <w:pStyle w:val="Heading3"/>
      </w:pPr>
      <w:r>
        <w:t>4.3.1 基本信息</w:t>
      </w:r>
    </w:p>
    <w:p>
      <w:pPr>
        <w:pStyle w:val="Caption"/>
        <w:keepNext/>
      </w:pPr>
      <w:r>
        <w:t>表4-31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GHY26691-DC-02-0003-V1.0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产品工艺设计数据集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人类偏好对齐</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02 产品工艺设计；关联对象为产品配置、图号、版次、物料、材料牌号、零部件、工艺路线、工序与生效范围</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有效交付净量8000组；以同一输入下完整候选回答及偏好依据构成的比较组为计数单位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本用途规模按组验收；如统计输入输出Tokens，分开保存且不替代任务或比较组数量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采用第7章公共记录结构及本领域扩展字典；同一输入下完整候选回答及偏好依据构成的比较组具有稳定标识、业务对象、来源家族、时间、内容、资源、标签与证据关系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根目录按02-PREF及数据版本组织；data保存记录，resources保存模态载荷，metadata保存来源与关系，dictionary保存字段和标签，cards保存卡片，reports保存报告，tools保存解析程序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02-PREF-数据版本-六位分片序号.jsonl；资源以稳定资源标识命名；卡片使用完整卡号；路径采用相对路径并拒绝越界和重名冲突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平台服务工单按卡号、数据版本及问题对象受理；由技术与产品设计、工艺、材料、焊接、热处理及检验专业岗位协同处理，服务时段和响应要求执行统一售后安排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产品型谱、图纸、产品配置、材料要求、物料清单、工艺路线、备料、焊接、热处理、机加工及检验要求之间的设计关系。以产品配置、图号、版次、物料、材料牌号、零部件、工艺路线、工序与生效范围建立对象关系，来源范围包括PLM中的图纸、配置及设计变更，ERP中的物料清单与材料主数据，MES中的工艺引用及工序反馈，QMS中的检验要求，企业工艺资料及经授权的技术标准。面向人类偏好对齐形成可比较的候选、独立判断结果、理由及仲裁记录，重点检查输入一致、候选可比、偏好依据有效、匿名展示和组完整性。数据支持产品智能选型、板材智能备料、热处理工艺优化、焊接工艺优化、标准规范智能问答助手，结论依据实际输入、专业条件和验证范围使用。涉及未公开设计图纸、结构尺寸、专有工艺、材料组合、专利资料和设计人员信息时执行相应授权及安全处理。业务事实、推断与未知状态分别标记，数据版本与引用依据保持一致。</w:t>
      </w:r>
    </w:p>
    <w:p>
      <w:pPr>
        <w:pStyle w:val="Heading3"/>
      </w:pPr>
      <w:r>
        <w:t>4.3.2 内容特征</w:t>
      </w:r>
    </w:p>
    <w:p>
      <w:pPr>
        <w:pStyle w:val="Caption"/>
        <w:keepNext/>
      </w:pPr>
      <w:r>
        <w:t>表4-32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文本、图像、时序、视频按有效载荷统计；重点关联产品配置、图号、版次、物料、材料牌号、零部件、工艺路线、工序与生效范围；图纸、表格载体不独立增加模态数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以同一输入下完整候选回答及偏好依据构成的比较组为分母，至少两种有效关联模态的记录为分子；分子、分母及互斥组合清单齐备，按1.4节满足40%要求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按PD01产品结构与配置、PD02图纸与技术条件、PD03材料与备料、PD04工艺路线、PD05焊接与热处理、PD06设计变更与检验统计；主主题互斥，辅助主题允许多选并另列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按候选差异涉及的事实、约束、证据与风险判断复杂性分层，不能仅按回答长短或文风判优</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组内包含合成候选或其派生内容即计入合成来源组，比例不超过50%；纯真实增强另记加工属性</w:t>
            </w:r>
          </w:p>
        </w:tc>
      </w:tr>
    </w:tbl>
    <w:p>
      <w:pPr>
        <w:spacing w:after="40" w:line="240" w:lineRule="auto"/>
        <w:ind w:firstLine="0"/>
      </w:pPr>
      <w:r>
        <w:rPr>
          <w:sz w:val="4"/>
        </w:rPr>
      </w:r>
    </w:p>
    <w:p>
      <w:pPr>
        <w:pStyle w:val="Heading3"/>
      </w:pPr>
      <w:r>
        <w:t>4.3.3 建设过程</w:t>
      </w:r>
    </w:p>
    <w:p>
      <w:pPr>
        <w:pStyle w:val="Caption"/>
        <w:keepNext/>
      </w:pPr>
      <w:r>
        <w:t>表4-33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PLM中的图纸、配置及设计变更，ERP中的物料清单与材料主数据，MES中的工艺引用及工序反馈，QMS中的检验要求，企业工艺资料及经授权的技术标准；逐源登记组织、资料类别、业务期间、采集期间及许可依据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图纸解析保留尺寸、公差、基准及版面定位；关联产品配置与适用版次；把材料、工序、设备适用条件和检验依据连接到工艺路线；变更按生效对象及批次区分；专业参数由有效批准依据确认；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保存解析器、字典、切分、窗口、重叠、单位换算、时间校正和对齐配置；产品配置、图号、版次、物料、材料牌号、零部件、工艺路线、工序与生效范围为关联校验重点；参数经真实资料验证后冻结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候选标识、展示顺序、优选结果、可并列状态、事实与约束判断、偏好理由和仲裁结果；规范编号与实际生产记录绑定，不因预训练用途自动省略专业标记管理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由产品设计、工艺、材料、焊接、热处理及检验专业岗位承担专业定义与争议裁决，标注人员依规范执行；自检、交叉复核、专家仲裁分别保存原始结果及修订记录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4.3.4 应用说明</w:t>
      </w:r>
    </w:p>
    <w:p>
      <w:pPr>
        <w:pStyle w:val="Caption"/>
        <w:keepNext/>
      </w:pPr>
      <w:r>
        <w:t>表4-34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产品智能选型、板材智能备料、热处理工艺优化、焊接工艺优化、标准规范智能问答助手；验证结论按实际场景、输入条件和版本形成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偏好对齐；输入接口须支持实际文本、图像、时序或视频载荷及对应关系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图纸字段抽取精确率及召回率、单位与公差识别正确率、工艺次序判断正确率、适用版本判断正确率、专业证据引用正确率；各用途采用本卡评价协议并保留定义、方向和统计单位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4.3.5 质量验证</w:t>
      </w:r>
    </w:p>
    <w:p>
      <w:pPr>
        <w:pStyle w:val="Caption"/>
        <w:keepNext/>
      </w:pPr>
      <w:r>
        <w:t>表4-35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质检报告采用GHY26691-QC-02-0003并绑定实际版本、受检清单和内容根摘要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分别报告保真度、完备性、规整性、均衡性、可用性、可信性的方法、结果与问题；按产品配置、图号、版次、物料、材料牌号、零部件、工艺路线、工序与生效范围检查关键业务关联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验证报告采用GHY26691-VR-02-0003及实际版本；引用数据、模型、协议、实验和原始输出，汇总与子集范围分别标明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产品设计、工艺、材料、焊接、热处理及检验专业岗位结合产品智能选型、板材智能备料、热处理工艺优化、焊接工艺优化、标准规范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ageBreakBefore/>
      </w:pPr>
      <w:r>
        <w:t>4.3.6 安全合规</w:t>
      </w:r>
    </w:p>
    <w:p>
      <w:pPr>
        <w:pStyle w:val="Caption"/>
        <w:keepNext/>
      </w:pPr>
      <w:r>
        <w:t>表4-36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生产经营数据中的产品工艺设计相关数据；按产品型谱、图纸、产品配置、材料要求、物料清单、工艺路线、备料、焊接、热处理、机加工及检验要求之间的设计关系细分并关联资产目录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未公开设计图纸、结构尺寸、专有工艺、材料组合、专利资料和设计人员信息；实际敏感要素由检测与人工复核确认，未知状态不按无敏感信息处理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设计人员身份与签署信息按授权范围替代或受控保留；产品及图号使用稳定映射；必要尺寸与公差保留单位和精度，涉及商业秘密的完整图纸按资源权限提供</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产品设计、工艺、材料、焊接、热处理及检验专业岗位按业务必要性申请；加工、质量与评测岗位取得任务所需权限，基准答案、原始敏感资料和替代映射分别控制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按卡号GHY26691-DC-02-0003-V1.0、实际数据版本、对象标识和工单关联查询采集、加工、访问、下载、评测及发布审计；交付留存必要受控记录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4.3.7 指纹血缘</w:t>
      </w:r>
    </w:p>
    <w:p>
      <w:pPr>
        <w:pStyle w:val="Caption"/>
        <w:keepNext/>
      </w:pPr>
      <w:r>
        <w:t>表4-37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spacing w:line="320" w:lineRule="exact" w:after="0" w:before="0"/>
              <w:ind w:firstLine="0"/>
              <w:jc w:val="left"/>
            </w:pPr>
            <w:r>
              <w:rPr>
                <w:b w:val="0"/>
                <w:sz w:val="21"/>
              </w:rPr>
              <w:t>G01</w:t>
            </w:r>
          </w:p>
        </w:tc>
        <w:tc>
          <w:tcPr>
            <w:tcW w:type="dxa" w:w="2120"/>
            <w:vAlign w:val="center"/>
          </w:tcPr>
          <w:p>
            <w:pPr>
              <w:keepNext/>
              <w:spacing w:line="320" w:lineRule="exact" w:after="0" w:before="0"/>
              <w:ind w:firstLine="0"/>
              <w:jc w:val="left"/>
            </w:pPr>
            <w:r>
              <w:rPr>
                <w:b w:val="0"/>
                <w:sz w:val="21"/>
              </w:rPr>
              <w:t>文件清单摘要</w:t>
            </w:r>
          </w:p>
        </w:tc>
        <w:tc>
          <w:tcPr>
            <w:tcW w:type="dxa" w:w="6746"/>
            <w:vAlign w:val="center"/>
          </w:tcPr>
          <w:p>
            <w:pPr>
              <w:keepNext/>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02-PREF根目录内package.json登记身份、数据版本、结构版本、字典、卡片、资源和文件清单；脱离平台按第7章完成读取及核验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4.3.8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表4-38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drawing_id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图纸稳定编号</w:t>
            </w:r>
          </w:p>
        </w:tc>
        <w:tc>
          <w:tcPr>
            <w:tcW w:type="dxa" w:w="3084"/>
            <w:vAlign w:val="center"/>
          </w:tcPr>
          <w:p>
            <w:pPr>
              <w:keepNext w:val="0"/>
              <w:spacing w:line="320" w:lineRule="exact" w:after="0" w:before="0"/>
              <w:ind w:firstLine="0"/>
              <w:jc w:val="left"/>
            </w:pPr>
            <w:r>
              <w:rPr>
                <w:b w:val="0"/>
                <w:sz w:val="21"/>
              </w:rPr>
              <w:t>同图号不同版次分别识别</w:t>
            </w:r>
          </w:p>
        </w:tc>
      </w:tr>
      <w:tr>
        <w:trPr>
          <w:cantSplit/>
        </w:trPr>
        <w:tc>
          <w:tcPr>
            <w:tcW w:type="dxa" w:w="2313"/>
            <w:vAlign w:val="center"/>
          </w:tcPr>
          <w:p>
            <w:pPr>
              <w:keepNext w:val="0"/>
              <w:spacing w:line="320" w:lineRule="exact" w:after="0" w:before="0"/>
              <w:ind w:firstLine="0"/>
              <w:jc w:val="left"/>
            </w:pPr>
            <w:r>
              <w:rPr>
                <w:b w:val="0"/>
                <w:sz w:val="21"/>
              </w:rPr>
              <w:t>revision</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批准版次</w:t>
            </w:r>
          </w:p>
        </w:tc>
        <w:tc>
          <w:tcPr>
            <w:tcW w:type="dxa" w:w="3084"/>
            <w:vAlign w:val="center"/>
          </w:tcPr>
          <w:p>
            <w:pPr>
              <w:keepNext w:val="0"/>
              <w:spacing w:line="320" w:lineRule="exact" w:after="0" w:before="0"/>
              <w:ind w:firstLine="0"/>
              <w:jc w:val="left"/>
            </w:pPr>
            <w:r>
              <w:rPr>
                <w:b w:val="0"/>
                <w:sz w:val="21"/>
              </w:rPr>
              <w:t>同时关联生效范围与批准证据</w:t>
            </w:r>
          </w:p>
        </w:tc>
      </w:tr>
      <w:tr>
        <w:trPr>
          <w:cantSplit/>
        </w:trPr>
        <w:tc>
          <w:tcPr>
            <w:tcW w:type="dxa" w:w="2313"/>
            <w:vAlign w:val="center"/>
          </w:tcPr>
          <w:p>
            <w:pPr>
              <w:keepNext w:val="0"/>
              <w:spacing w:line="320" w:lineRule="exact" w:after="0" w:before="0"/>
              <w:ind w:firstLine="0"/>
              <w:jc w:val="left"/>
            </w:pPr>
            <w:r>
              <w:rPr>
                <w:b w:val="0"/>
                <w:sz w:val="21"/>
              </w:rPr>
              <w:t>configuration_id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产品配置身份</w:t>
            </w:r>
          </w:p>
        </w:tc>
        <w:tc>
          <w:tcPr>
            <w:tcW w:type="dxa" w:w="3084"/>
            <w:vAlign w:val="center"/>
          </w:tcPr>
          <w:p>
            <w:pPr>
              <w:keepNext w:val="0"/>
              <w:spacing w:line="320" w:lineRule="exact" w:after="0" w:before="0"/>
              <w:ind w:firstLine="0"/>
              <w:jc w:val="left"/>
            </w:pPr>
            <w:r>
              <w:rPr>
                <w:b w:val="0"/>
                <w:sz w:val="21"/>
              </w:rPr>
              <w:t>不得由型号名称推定完整配置</w:t>
            </w:r>
          </w:p>
        </w:tc>
      </w:tr>
      <w:tr>
        <w:trPr>
          <w:cantSplit/>
        </w:trPr>
        <w:tc>
          <w:tcPr>
            <w:tcW w:type="dxa" w:w="2313"/>
            <w:vAlign w:val="center"/>
          </w:tcPr>
          <w:p>
            <w:pPr>
              <w:keepNext w:val="0"/>
              <w:spacing w:line="320" w:lineRule="exact" w:after="0" w:before="0"/>
              <w:ind w:firstLine="0"/>
              <w:jc w:val="left"/>
            </w:pPr>
            <w:r>
              <w:rPr>
                <w:b w:val="0"/>
                <w:sz w:val="21"/>
              </w:rPr>
              <w:t>feature_refs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尺寸、基准、公差及技术条件的定位</w:t>
            </w:r>
          </w:p>
        </w:tc>
        <w:tc>
          <w:tcPr>
            <w:tcW w:type="dxa" w:w="3084"/>
            <w:vAlign w:val="center"/>
          </w:tcPr>
          <w:p>
            <w:pPr>
              <w:keepNext w:val="0"/>
              <w:spacing w:line="320" w:lineRule="exact" w:after="0" w:before="0"/>
              <w:ind w:firstLine="0"/>
              <w:jc w:val="left"/>
            </w:pPr>
            <w:r>
              <w:rPr>
                <w:b w:val="0"/>
                <w:sz w:val="21"/>
              </w:rPr>
              <w:t>每个值附单位、精度和原文坐标</w:t>
            </w:r>
          </w:p>
        </w:tc>
      </w:tr>
      <w:tr>
        <w:trPr>
          <w:cantSplit/>
        </w:trPr>
        <w:tc>
          <w:tcPr>
            <w:tcW w:type="dxa" w:w="2313"/>
            <w:vAlign w:val="center"/>
          </w:tcPr>
          <w:p>
            <w:pPr>
              <w:keepNext w:val="0"/>
              <w:spacing w:line="320" w:lineRule="exact" w:after="0" w:before="0"/>
              <w:ind w:firstLine="0"/>
              <w:jc w:val="left"/>
            </w:pPr>
            <w:r>
              <w:rPr>
                <w:b w:val="0"/>
                <w:sz w:val="21"/>
              </w:rPr>
              <w:t>route_id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工艺路线与版本</w:t>
            </w:r>
          </w:p>
        </w:tc>
        <w:tc>
          <w:tcPr>
            <w:tcW w:type="dxa" w:w="3084"/>
            <w:vAlign w:val="center"/>
          </w:tcPr>
          <w:p>
            <w:pPr>
              <w:keepNext w:val="0"/>
              <w:spacing w:line="320" w:lineRule="exact" w:after="0" w:before="0"/>
              <w:ind w:firstLine="0"/>
              <w:jc w:val="left"/>
            </w:pPr>
            <w:r>
              <w:rPr>
                <w:b w:val="0"/>
                <w:sz w:val="21"/>
              </w:rPr>
              <w:t>与零件、材料和生效范围匹配</w:t>
            </w:r>
          </w:p>
        </w:tc>
      </w:tr>
      <w:tr>
        <w:trPr>
          <w:cantSplit/>
        </w:trPr>
        <w:tc>
          <w:tcPr>
            <w:tcW w:type="dxa" w:w="2313"/>
            <w:vAlign w:val="center"/>
          </w:tcPr>
          <w:p>
            <w:pPr>
              <w:keepNext w:val="0"/>
              <w:spacing w:line="320" w:lineRule="exact" w:after="0" w:before="0"/>
              <w:ind w:firstLine="0"/>
              <w:jc w:val="left"/>
            </w:pPr>
            <w:r>
              <w:rPr>
                <w:b w:val="0"/>
                <w:sz w:val="21"/>
              </w:rPr>
              <w:t>operation_constraints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工序顺序、前置条件、设备及检验依据</w:t>
            </w:r>
          </w:p>
        </w:tc>
        <w:tc>
          <w:tcPr>
            <w:tcW w:type="dxa" w:w="3084"/>
            <w:vAlign w:val="center"/>
          </w:tcPr>
          <w:p>
            <w:pPr>
              <w:keepNext w:val="0"/>
              <w:spacing w:line="320" w:lineRule="exact" w:after="0" w:before="0"/>
              <w:ind w:firstLine="0"/>
              <w:jc w:val="left"/>
            </w:pPr>
            <w:r>
              <w:rPr>
                <w:b w:val="0"/>
                <w:sz w:val="21"/>
              </w:rPr>
              <w:t>专业条件变更引发受影响关系重核</w:t>
            </w:r>
          </w:p>
        </w:tc>
      </w:tr>
    </w:tbl>
    <w:p>
      <w:pPr>
        <w:spacing w:after="40" w:line="240" w:lineRule="auto"/>
        <w:ind w:firstLine="0"/>
      </w:pPr>
      <w:r>
        <w:rPr>
          <w:sz w:val="4"/>
        </w:rPr>
      </w:r>
    </w:p>
    <w:p>
      <w:pPr>
        <w:pStyle w:val="Caption"/>
        <w:keepNext/>
      </w:pPr>
      <w:r>
        <w:t>表4-39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PD01</w:t>
            </w:r>
          </w:p>
        </w:tc>
        <w:tc>
          <w:tcPr>
            <w:tcW w:type="dxa" w:w="2891"/>
            <w:vAlign w:val="center"/>
          </w:tcPr>
          <w:p>
            <w:pPr>
              <w:keepNext w:val="0"/>
              <w:spacing w:line="320" w:lineRule="exact" w:after="0" w:before="0"/>
              <w:ind w:firstLine="0"/>
              <w:jc w:val="left"/>
            </w:pPr>
            <w:r>
              <w:rPr>
                <w:b w:val="0"/>
                <w:sz w:val="21"/>
              </w:rPr>
              <w:t>产品结构与配置</w:t>
            </w:r>
          </w:p>
        </w:tc>
        <w:tc>
          <w:tcPr>
            <w:tcW w:type="dxa" w:w="4433"/>
            <w:vAlign w:val="center"/>
          </w:tcPr>
          <w:p>
            <w:pPr>
              <w:keepNext w:val="0"/>
              <w:spacing w:line="320" w:lineRule="exact" w:after="0" w:before="0"/>
              <w:ind w:firstLine="0"/>
              <w:jc w:val="left"/>
            </w:pPr>
            <w:r>
              <w:rPr>
                <w:b w:val="0"/>
                <w:sz w:val="21"/>
              </w:rPr>
              <w:t>部件关系、接口及配置适用性</w:t>
            </w:r>
          </w:p>
        </w:tc>
      </w:tr>
      <w:tr>
        <w:trPr>
          <w:cantSplit/>
        </w:trPr>
        <w:tc>
          <w:tcPr>
            <w:tcW w:type="dxa" w:w="2313"/>
            <w:vAlign w:val="center"/>
          </w:tcPr>
          <w:p>
            <w:pPr>
              <w:keepNext w:val="0"/>
              <w:spacing w:line="320" w:lineRule="exact" w:after="0" w:before="0"/>
              <w:ind w:firstLine="0"/>
              <w:jc w:val="left"/>
            </w:pPr>
            <w:r>
              <w:rPr>
                <w:b w:val="0"/>
                <w:sz w:val="21"/>
              </w:rPr>
              <w:t>PD02</w:t>
            </w:r>
          </w:p>
        </w:tc>
        <w:tc>
          <w:tcPr>
            <w:tcW w:type="dxa" w:w="2891"/>
            <w:vAlign w:val="center"/>
          </w:tcPr>
          <w:p>
            <w:pPr>
              <w:keepNext w:val="0"/>
              <w:spacing w:line="320" w:lineRule="exact" w:after="0" w:before="0"/>
              <w:ind w:firstLine="0"/>
              <w:jc w:val="left"/>
            </w:pPr>
            <w:r>
              <w:rPr>
                <w:b w:val="0"/>
                <w:sz w:val="21"/>
              </w:rPr>
              <w:t>图纸与技术条件</w:t>
            </w:r>
          </w:p>
        </w:tc>
        <w:tc>
          <w:tcPr>
            <w:tcW w:type="dxa" w:w="4433"/>
            <w:vAlign w:val="center"/>
          </w:tcPr>
          <w:p>
            <w:pPr>
              <w:keepNext w:val="0"/>
              <w:spacing w:line="320" w:lineRule="exact" w:after="0" w:before="0"/>
              <w:ind w:firstLine="0"/>
              <w:jc w:val="left"/>
            </w:pPr>
            <w:r>
              <w:rPr>
                <w:b w:val="0"/>
                <w:sz w:val="21"/>
              </w:rPr>
              <w:t>尺寸、公差、材料、表面及技术要求</w:t>
            </w:r>
          </w:p>
        </w:tc>
      </w:tr>
      <w:tr>
        <w:trPr>
          <w:cantSplit/>
        </w:trPr>
        <w:tc>
          <w:tcPr>
            <w:tcW w:type="dxa" w:w="2313"/>
            <w:vAlign w:val="center"/>
          </w:tcPr>
          <w:p>
            <w:pPr>
              <w:keepNext w:val="0"/>
              <w:spacing w:line="320" w:lineRule="exact" w:after="0" w:before="0"/>
              <w:ind w:firstLine="0"/>
              <w:jc w:val="left"/>
            </w:pPr>
            <w:r>
              <w:rPr>
                <w:b w:val="0"/>
                <w:sz w:val="21"/>
              </w:rPr>
              <w:t>PD03</w:t>
            </w:r>
          </w:p>
        </w:tc>
        <w:tc>
          <w:tcPr>
            <w:tcW w:type="dxa" w:w="2891"/>
            <w:vAlign w:val="center"/>
          </w:tcPr>
          <w:p>
            <w:pPr>
              <w:keepNext w:val="0"/>
              <w:spacing w:line="320" w:lineRule="exact" w:after="0" w:before="0"/>
              <w:ind w:firstLine="0"/>
              <w:jc w:val="left"/>
            </w:pPr>
            <w:r>
              <w:rPr>
                <w:b w:val="0"/>
                <w:sz w:val="21"/>
              </w:rPr>
              <w:t>材料与备料</w:t>
            </w:r>
          </w:p>
        </w:tc>
        <w:tc>
          <w:tcPr>
            <w:tcW w:type="dxa" w:w="4433"/>
            <w:vAlign w:val="center"/>
          </w:tcPr>
          <w:p>
            <w:pPr>
              <w:keepNext w:val="0"/>
              <w:spacing w:line="320" w:lineRule="exact" w:after="0" w:before="0"/>
              <w:ind w:firstLine="0"/>
              <w:jc w:val="left"/>
            </w:pPr>
            <w:r>
              <w:rPr>
                <w:b w:val="0"/>
                <w:sz w:val="21"/>
              </w:rPr>
              <w:t>板材规格、下料条件和材料追溯</w:t>
            </w:r>
          </w:p>
        </w:tc>
      </w:tr>
      <w:tr>
        <w:trPr>
          <w:cantSplit/>
        </w:trPr>
        <w:tc>
          <w:tcPr>
            <w:tcW w:type="dxa" w:w="2313"/>
            <w:vAlign w:val="center"/>
          </w:tcPr>
          <w:p>
            <w:pPr>
              <w:keepNext w:val="0"/>
              <w:spacing w:line="320" w:lineRule="exact" w:after="0" w:before="0"/>
              <w:ind w:firstLine="0"/>
              <w:jc w:val="left"/>
            </w:pPr>
            <w:r>
              <w:rPr>
                <w:b w:val="0"/>
                <w:sz w:val="21"/>
              </w:rPr>
              <w:t>PD04</w:t>
            </w:r>
          </w:p>
        </w:tc>
        <w:tc>
          <w:tcPr>
            <w:tcW w:type="dxa" w:w="2891"/>
            <w:vAlign w:val="center"/>
          </w:tcPr>
          <w:p>
            <w:pPr>
              <w:keepNext w:val="0"/>
              <w:spacing w:line="320" w:lineRule="exact" w:after="0" w:before="0"/>
              <w:ind w:firstLine="0"/>
              <w:jc w:val="left"/>
            </w:pPr>
            <w:r>
              <w:rPr>
                <w:b w:val="0"/>
                <w:sz w:val="21"/>
              </w:rPr>
              <w:t>工艺路线</w:t>
            </w:r>
          </w:p>
        </w:tc>
        <w:tc>
          <w:tcPr>
            <w:tcW w:type="dxa" w:w="4433"/>
            <w:vAlign w:val="center"/>
          </w:tcPr>
          <w:p>
            <w:pPr>
              <w:keepNext w:val="0"/>
              <w:spacing w:line="320" w:lineRule="exact" w:after="0" w:before="0"/>
              <w:ind w:firstLine="0"/>
              <w:jc w:val="left"/>
            </w:pPr>
            <w:r>
              <w:rPr>
                <w:b w:val="0"/>
                <w:sz w:val="21"/>
              </w:rPr>
              <w:t>工序次序、前置条件和适用设备</w:t>
            </w:r>
          </w:p>
        </w:tc>
      </w:tr>
      <w:tr>
        <w:trPr>
          <w:cantSplit/>
        </w:trPr>
        <w:tc>
          <w:tcPr>
            <w:tcW w:type="dxa" w:w="2313"/>
            <w:vAlign w:val="center"/>
          </w:tcPr>
          <w:p>
            <w:pPr>
              <w:keepNext w:val="0"/>
              <w:spacing w:line="320" w:lineRule="exact" w:after="0" w:before="0"/>
              <w:ind w:firstLine="0"/>
              <w:jc w:val="left"/>
            </w:pPr>
            <w:r>
              <w:rPr>
                <w:b w:val="0"/>
                <w:sz w:val="21"/>
              </w:rPr>
              <w:t>PD05</w:t>
            </w:r>
          </w:p>
        </w:tc>
        <w:tc>
          <w:tcPr>
            <w:tcW w:type="dxa" w:w="2891"/>
            <w:vAlign w:val="center"/>
          </w:tcPr>
          <w:p>
            <w:pPr>
              <w:keepNext w:val="0"/>
              <w:spacing w:line="320" w:lineRule="exact" w:after="0" w:before="0"/>
              <w:ind w:firstLine="0"/>
              <w:jc w:val="left"/>
            </w:pPr>
            <w:r>
              <w:rPr>
                <w:b w:val="0"/>
                <w:sz w:val="21"/>
              </w:rPr>
              <w:t>焊接与热处理</w:t>
            </w:r>
          </w:p>
        </w:tc>
        <w:tc>
          <w:tcPr>
            <w:tcW w:type="dxa" w:w="4433"/>
            <w:vAlign w:val="center"/>
          </w:tcPr>
          <w:p>
            <w:pPr>
              <w:keepNext w:val="0"/>
              <w:spacing w:line="320" w:lineRule="exact" w:after="0" w:before="0"/>
              <w:ind w:firstLine="0"/>
              <w:jc w:val="left"/>
            </w:pPr>
            <w:r>
              <w:rPr>
                <w:b w:val="0"/>
                <w:sz w:val="21"/>
              </w:rPr>
              <w:t>批准工艺、关键阶段和适用范围</w:t>
            </w:r>
          </w:p>
        </w:tc>
      </w:tr>
      <w:tr>
        <w:trPr>
          <w:cantSplit/>
        </w:trPr>
        <w:tc>
          <w:tcPr>
            <w:tcW w:type="dxa" w:w="2313"/>
            <w:vAlign w:val="center"/>
          </w:tcPr>
          <w:p>
            <w:pPr>
              <w:keepNext w:val="0"/>
              <w:spacing w:line="320" w:lineRule="exact" w:after="0" w:before="0"/>
              <w:ind w:firstLine="0"/>
              <w:jc w:val="left"/>
            </w:pPr>
            <w:r>
              <w:rPr>
                <w:b w:val="0"/>
                <w:sz w:val="21"/>
              </w:rPr>
              <w:t>PD06</w:t>
            </w:r>
          </w:p>
        </w:tc>
        <w:tc>
          <w:tcPr>
            <w:tcW w:type="dxa" w:w="2891"/>
            <w:vAlign w:val="center"/>
          </w:tcPr>
          <w:p>
            <w:pPr>
              <w:keepNext w:val="0"/>
              <w:spacing w:line="320" w:lineRule="exact" w:after="0" w:before="0"/>
              <w:ind w:firstLine="0"/>
              <w:jc w:val="left"/>
            </w:pPr>
            <w:r>
              <w:rPr>
                <w:b w:val="0"/>
                <w:sz w:val="21"/>
              </w:rPr>
              <w:t>设计变更与检验</w:t>
            </w:r>
          </w:p>
        </w:tc>
        <w:tc>
          <w:tcPr>
            <w:tcW w:type="dxa" w:w="4433"/>
            <w:vAlign w:val="center"/>
          </w:tcPr>
          <w:p>
            <w:pPr>
              <w:keepNext w:val="0"/>
              <w:spacing w:line="320" w:lineRule="exact" w:after="0" w:before="0"/>
              <w:ind w:firstLine="0"/>
              <w:jc w:val="left"/>
            </w:pPr>
            <w:r>
              <w:rPr>
                <w:b w:val="0"/>
                <w:sz w:val="21"/>
              </w:rPr>
              <w:t>版本生效、影响对象和检验依据</w:t>
            </w:r>
          </w:p>
        </w:tc>
      </w:tr>
    </w:tbl>
    <w:p>
      <w:pPr>
        <w:spacing w:after="40" w:line="240" w:lineRule="auto"/>
        <w:ind w:firstLine="0"/>
      </w:pPr>
      <w:r>
        <w:rPr>
          <w:sz w:val="4"/>
        </w:rPr>
      </w:r>
    </w:p>
    <w:p>
      <w:pPr>
        <w:pStyle w:val="Caption"/>
        <w:keepNext/>
      </w:pPr>
      <w:r>
        <w:t>表4-40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表4-41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evidence_insufficient</w:t>
            </w:r>
          </w:p>
        </w:tc>
        <w:tc>
          <w:tcPr>
            <w:tcW w:type="dxa" w:w="7228"/>
            <w:vAlign w:val="center"/>
          </w:tcPr>
          <w:p>
            <w:pPr>
              <w:keepNext w:val="0"/>
              <w:spacing w:line="320" w:lineRule="exact" w:after="0" w:before="0"/>
              <w:ind w:firstLine="0"/>
              <w:jc w:val="left"/>
            </w:pPr>
            <w:r>
              <w:rPr>
                <w:b w:val="0"/>
                <w:sz w:val="21"/>
              </w:rPr>
              <w:t>已有内容不足以支持所问结论，明确缺少的证据及仍可判定的范围</w:t>
            </w:r>
          </w:p>
        </w:tc>
      </w:tr>
      <w:tr>
        <w:trPr>
          <w:cantSplit/>
        </w:trPr>
        <w:tc>
          <w:tcPr>
            <w:tcW w:type="dxa" w:w="2409"/>
            <w:vAlign w:val="center"/>
          </w:tcPr>
          <w:p>
            <w:pPr>
              <w:keepNext w:val="0"/>
              <w:spacing w:line="320" w:lineRule="exact" w:after="0" w:before="0"/>
              <w:ind w:firstLine="0"/>
              <w:jc w:val="left"/>
            </w:pPr>
            <w:r>
              <w:rPr>
                <w:b w:val="0"/>
                <w:sz w:val="21"/>
              </w:rPr>
              <w:t>inspection_dependency</w:t>
            </w:r>
          </w:p>
        </w:tc>
        <w:tc>
          <w:tcPr>
            <w:tcW w:type="dxa" w:w="7228"/>
            <w:vAlign w:val="center"/>
          </w:tcPr>
          <w:p>
            <w:pPr>
              <w:keepNext w:val="0"/>
              <w:spacing w:line="320" w:lineRule="exact" w:after="0" w:before="0"/>
              <w:ind w:firstLine="0"/>
              <w:jc w:val="left"/>
            </w:pPr>
            <w:r>
              <w:rPr>
                <w:b w:val="0"/>
                <w:sz w:val="21"/>
              </w:rPr>
              <w:t>后续动作依赖有效检验结论，复核中、无结果与通过分别识别</w:t>
            </w:r>
          </w:p>
        </w:tc>
      </w:tr>
      <w:tr>
        <w:trPr>
          <w:cantSplit/>
        </w:trPr>
        <w:tc>
          <w:tcPr>
            <w:tcW w:type="dxa" w:w="2409"/>
            <w:vAlign w:val="center"/>
          </w:tcPr>
          <w:p>
            <w:pPr>
              <w:keepNext w:val="0"/>
              <w:spacing w:line="320" w:lineRule="exact" w:after="0" w:before="0"/>
              <w:ind w:firstLine="0"/>
              <w:jc w:val="left"/>
            </w:pPr>
            <w:r>
              <w:rPr>
                <w:b w:val="0"/>
                <w:sz w:val="21"/>
              </w:rPr>
              <w:t>legal_historical_version</w:t>
            </w:r>
          </w:p>
        </w:tc>
        <w:tc>
          <w:tcPr>
            <w:tcW w:type="dxa" w:w="7228"/>
            <w:vAlign w:val="center"/>
          </w:tcPr>
          <w:p>
            <w:pPr>
              <w:keepNext w:val="0"/>
              <w:spacing w:line="320" w:lineRule="exact" w:after="0" w:before="0"/>
              <w:ind w:firstLine="0"/>
              <w:jc w:val="left"/>
            </w:pPr>
            <w:r>
              <w:rPr>
                <w:b w:val="0"/>
                <w:sz w:val="21"/>
              </w:rPr>
              <w:t>历史对象合法适用旧版，较新版次存在本身不构成旧版错误</w:t>
            </w:r>
          </w:p>
        </w:tc>
      </w:tr>
      <w:tr>
        <w:trPr>
          <w:cantSplit/>
        </w:trPr>
        <w:tc>
          <w:tcPr>
            <w:tcW w:type="dxa" w:w="2409"/>
            <w:vAlign w:val="center"/>
          </w:tcPr>
          <w:p>
            <w:pPr>
              <w:keepNext w:val="0"/>
              <w:spacing w:line="320" w:lineRule="exact" w:after="0" w:before="0"/>
              <w:ind w:firstLine="0"/>
              <w:jc w:val="left"/>
            </w:pPr>
            <w:r>
              <w:rPr>
                <w:b w:val="0"/>
                <w:sz w:val="21"/>
              </w:rPr>
              <w:t>precedence_check</w:t>
            </w:r>
          </w:p>
        </w:tc>
        <w:tc>
          <w:tcPr>
            <w:tcW w:type="dxa" w:w="7228"/>
            <w:vAlign w:val="center"/>
          </w:tcPr>
          <w:p>
            <w:pPr>
              <w:keepNext w:val="0"/>
              <w:spacing w:line="320" w:lineRule="exact" w:after="0" w:before="0"/>
              <w:ind w:firstLine="0"/>
              <w:jc w:val="left"/>
            </w:pPr>
            <w:r>
              <w:rPr>
                <w:b w:val="0"/>
                <w:sz w:val="21"/>
              </w:rPr>
              <w:t>核验后续工序全部必要前置条件，不把单一状态当作完整开工依据</w:t>
            </w:r>
          </w:p>
        </w:tc>
      </w:tr>
      <w:tr>
        <w:trPr>
          <w:cantSplit/>
        </w:trPr>
        <w:tc>
          <w:tcPr>
            <w:tcW w:type="dxa" w:w="2409"/>
            <w:vAlign w:val="center"/>
          </w:tcPr>
          <w:p>
            <w:pPr>
              <w:keepNext w:val="0"/>
              <w:spacing w:line="320" w:lineRule="exact" w:after="0" w:before="0"/>
              <w:ind w:firstLine="0"/>
              <w:jc w:val="left"/>
            </w:pPr>
            <w:r>
              <w:rPr>
                <w:b w:val="0"/>
                <w:sz w:val="21"/>
              </w:rPr>
              <w:t>stage_sequence</w:t>
            </w:r>
          </w:p>
        </w:tc>
        <w:tc>
          <w:tcPr>
            <w:tcW w:type="dxa" w:w="7228"/>
            <w:vAlign w:val="center"/>
          </w:tcPr>
          <w:p>
            <w:pPr>
              <w:keepNext w:val="0"/>
              <w:spacing w:line="320" w:lineRule="exact" w:after="0" w:before="0"/>
              <w:ind w:firstLine="0"/>
              <w:jc w:val="left"/>
            </w:pPr>
            <w:r>
              <w:rPr>
                <w:b w:val="0"/>
                <w:sz w:val="21"/>
              </w:rPr>
              <w:t>按批准阶段及其时间次序核查记录结构，不直接等同专业工艺合格</w:t>
            </w:r>
          </w:p>
        </w:tc>
      </w:tr>
      <w:tr>
        <w:trPr>
          <w:cantSplit/>
        </w:trPr>
        <w:tc>
          <w:tcPr>
            <w:tcW w:type="dxa" w:w="2409"/>
            <w:vAlign w:val="center"/>
          </w:tcPr>
          <w:p>
            <w:pPr>
              <w:keepNext w:val="0"/>
              <w:spacing w:line="320" w:lineRule="exact" w:after="0" w:before="0"/>
              <w:ind w:firstLine="0"/>
              <w:jc w:val="left"/>
            </w:pPr>
            <w:r>
              <w:rPr>
                <w:b w:val="0"/>
                <w:sz w:val="21"/>
              </w:rPr>
              <w:t>version_scope</w:t>
            </w:r>
          </w:p>
        </w:tc>
        <w:tc>
          <w:tcPr>
            <w:tcW w:type="dxa" w:w="7228"/>
            <w:vAlign w:val="center"/>
          </w:tcPr>
          <w:p>
            <w:pPr>
              <w:keepNext w:val="0"/>
              <w:spacing w:line="320" w:lineRule="exact" w:after="0" w:before="0"/>
              <w:ind w:firstLine="0"/>
              <w:jc w:val="left"/>
            </w:pPr>
            <w:r>
              <w:rPr>
                <w:b w:val="0"/>
                <w:sz w:val="21"/>
              </w:rPr>
              <w:t>按批准版次的生效对象、期间及批次判断适用性</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4.3.9 规范样本</w:t>
      </w:r>
    </w:p>
    <w:p>
      <w:pPr>
        <w:keepNext/>
        <w:jc w:val="both"/>
      </w:pPr>
      <w:r>
        <w:t>规范样本1 图纸版次的适用范围判断</w:t>
      </w:r>
    </w:p>
    <w:p>
      <w:pPr>
        <w:pStyle w:val="Caption"/>
        <w:keepNext/>
      </w:pPr>
      <w:r>
        <w:t>表4-42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EX-02-PREF-001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PD06、version_scope、legal_historical_version</w:t>
            </w:r>
          </w:p>
        </w:tc>
      </w:tr>
    </w:tbl>
    <w:p>
      <w:pPr>
        <w:spacing w:after="40" w:line="240" w:lineRule="auto"/>
        <w:ind w:firstLine="0"/>
      </w:pPr>
      <w:r>
        <w:rPr>
          <w:sz w:val="4"/>
        </w:rPr>
      </w:r>
    </w:p>
    <w:p>
      <w:pPr>
        <w:jc w:val="both"/>
      </w:pPr>
      <w:r>
        <w:t>输入内容：图纸D甲存在R1和R2两个批准版次。变更文件规定R2适用于批次B20及以后，B19仍适用R1。工单对象为B19，工艺卡引用R1；未提供其他改变生效范围的批准文件。</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11" name="Picture 11"/>
            <wp:cNvGraphicFramePr>
              <a:graphicFrameLocks noChangeAspect="1"/>
            </wp:cNvGraphicFramePr>
            <a:graphic>
              <a:graphicData uri="http://schemas.openxmlformats.org/drawingml/2006/picture">
                <pic:pic>
                  <pic:nvPicPr>
                    <pic:cNvPr id="0" name="例图02_1.png"/>
                    <pic:cNvPicPr/>
                  </pic:nvPicPr>
                  <pic:blipFill>
                    <a:blip r:embed="rId16"/>
                    <a:stretch>
                      <a:fillRect/>
                    </a:stretch>
                  </pic:blipFill>
                  <pic:spPr>
                    <a:xfrm>
                      <a:off x="0" y="0"/>
                      <a:ext cx="6048000" cy="1422831"/>
                    </a:xfrm>
                    <a:prstGeom prst="rect"/>
                  </pic:spPr>
                </pic:pic>
              </a:graphicData>
            </a:graphic>
          </wp:inline>
        </w:drawing>
      </w:r>
    </w:p>
    <w:p>
      <w:pPr>
        <w:pStyle w:val="Caption"/>
        <w:jc w:val="center"/>
      </w:pPr>
      <w:r>
        <w:t>图4-4 图纸版次的适用范围判断</w:t>
      </w:r>
    </w:p>
    <w:p>
      <w:pPr>
        <w:jc w:val="both"/>
      </w:pPr>
      <w:r>
        <w:t>共同任务：工艺卡引用R1是否构成版本错误？</w:t>
      </w:r>
    </w:p>
    <w:p>
      <w:pPr>
        <w:jc w:val="both"/>
      </w:pPr>
      <w:r>
        <w:t>候选甲：按题定生效范围，B19适用R1，现有引用不构成版本错误。应保存工单批次、图纸版次及变更生效范围的关联。R2是较新版次，并不意味着所有历史批次必须改用R2。</w:t>
      </w:r>
    </w:p>
    <w:p>
      <w:pPr>
        <w:jc w:val="both"/>
      </w:pPr>
      <w:r>
        <w:t>候选乙：R2比R1新，所有工单必须立即改用R2。</w:t>
      </w:r>
    </w:p>
    <w:p>
      <w:pPr>
        <w:jc w:val="both"/>
      </w:pPr>
      <w:r>
        <w:t>偏好结论：候选甲优于候选乙。判断依据为B19适用R1、未构成版本错误、保留生效证据、不按最新版本机械覆盖。候选乙的错误涉及事实或约束，不以字数、语气或展示位置决定偏好。实际比较时随机交换展示顺序，保留原候选标识及独立判断。</w:t>
      </w:r>
    </w:p>
    <w:p>
      <w:pPr>
        <w:keepNext/>
        <w:jc w:val="both"/>
      </w:pPr>
      <w:r>
        <w:t>规范样本2 工序前置条件核查</w:t>
      </w:r>
    </w:p>
    <w:p>
      <w:pPr>
        <w:pStyle w:val="Caption"/>
        <w:keepNext/>
      </w:pPr>
      <w:r>
        <w:t>表4-43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EX-02-PREF-002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PD04、precedence_check、inspection_dependency</w:t>
            </w:r>
          </w:p>
        </w:tc>
      </w:tr>
    </w:tbl>
    <w:p>
      <w:pPr>
        <w:spacing w:after="40" w:line="240" w:lineRule="auto"/>
        <w:ind w:firstLine="0"/>
      </w:pPr>
      <w:r>
        <w:rPr>
          <w:sz w:val="4"/>
        </w:rPr>
      </w:r>
    </w:p>
    <w:p>
      <w:pPr>
        <w:jc w:val="both"/>
      </w:pPr>
      <w:r>
        <w:t>输入内容：批准工艺规定工序P3必须在P2完成且检验通过后开始。记录显示P2已报工完成，检验状态为复核中；P3排程已经生成，但尚未下达开工指令。</w:t>
      </w:r>
    </w:p>
    <w:p>
      <w:pPr>
        <w:jc w:val="both"/>
      </w:pPr>
      <w:r>
        <w:t>共同任务：是否可以依据P2完成记录直接允许P3开工？</w:t>
      </w:r>
    </w:p>
    <w:p>
      <w:pPr>
        <w:jc w:val="both"/>
      </w:pPr>
      <w:r>
        <w:t>候选甲：不能直接允许。P3的前置条件包含P2完成和检验通过两项，复核中不等于检验通过。排程生成也不等于开工批准。应取得有效检验通过记录后，再由授权流程确认开工条件。</w:t>
      </w:r>
    </w:p>
    <w:p>
      <w:pPr>
        <w:jc w:val="both"/>
      </w:pPr>
      <w:r>
        <w:t>候选乙：P2已经报工，P3有排程即可自动开工。</w:t>
      </w:r>
    </w:p>
    <w:p>
      <w:pPr>
        <w:jc w:val="both"/>
      </w:pPr>
      <w:r>
        <w:t>偏好结论：候选甲优于候选乙。判断依据为识别两项前置条件、复核中不算通过、排程与开工不同、要求有效检验记录。候选乙的错误涉及事实或约束，不以字数、语气或展示位置决定偏好。实际比较时随机交换展示顺序，保留原候选标识及独立判断。</w:t>
      </w:r>
    </w:p>
    <w:p>
      <w:pPr>
        <w:keepNext/>
        <w:jc w:val="both"/>
      </w:pPr>
      <w:r>
        <w:t>规范样本3 工艺曲线区间的适用性</w:t>
      </w:r>
    </w:p>
    <w:p>
      <w:pPr>
        <w:pStyle w:val="Caption"/>
        <w:keepNext/>
      </w:pPr>
      <w:r>
        <w:t>表4-44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EX-02-PREF-003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PD05、stage_sequence、evidence_insufficient</w:t>
            </w:r>
          </w:p>
        </w:tc>
      </w:tr>
    </w:tbl>
    <w:p>
      <w:pPr>
        <w:spacing w:after="40" w:line="240" w:lineRule="auto"/>
        <w:ind w:firstLine="0"/>
      </w:pPr>
      <w:r>
        <w:rPr>
          <w:sz w:val="4"/>
        </w:rPr>
      </w:r>
    </w:p>
    <w:p>
      <w:pPr>
        <w:jc w:val="both"/>
      </w:pPr>
      <w:r>
        <w:t>输入内容：批准工艺片段划分为升温、保温、冷却三个阶段，阶段代码依次为H、S、C。提供的规范曲线记录为相对时刻0、1、2、3、4，阶段H、H、S、S、C；观测值只用于说明记录结构，未提供材料适用工艺限值。</w:t>
      </w:r>
    </w:p>
    <w:p>
      <w:pPr>
        <w:pStyle w:val="Caption"/>
        <w:keepNext/>
      </w:pPr>
      <w:r>
        <w:t>表4-45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center"/>
            </w:pPr>
            <w:r>
              <w:rPr>
                <w:b w:val="0"/>
                <w:sz w:val="21"/>
              </w:rPr>
              <w:t>0</w:t>
            </w:r>
          </w:p>
        </w:tc>
        <w:tc>
          <w:tcPr>
            <w:tcW w:type="dxa" w:w="7228"/>
            <w:vAlign w:val="center"/>
          </w:tcPr>
          <w:p>
            <w:pPr>
              <w:keepNext/>
              <w:spacing w:line="320" w:lineRule="exact" w:after="0" w:before="0"/>
              <w:ind w:firstLine="0"/>
              <w:jc w:val="left"/>
            </w:pPr>
            <w:r>
              <w:rPr>
                <w:b w:val="0"/>
                <w:sz w:val="21"/>
              </w:rPr>
              <w:t>H</w:t>
            </w:r>
          </w:p>
        </w:tc>
      </w:tr>
      <w:tr>
        <w:trPr>
          <w:cantSplit/>
        </w:trPr>
        <w:tc>
          <w:tcPr>
            <w:tcW w:type="dxa" w:w="2409"/>
            <w:vAlign w:val="center"/>
          </w:tcPr>
          <w:p>
            <w:pPr>
              <w:keepNext/>
              <w:spacing w:line="320" w:lineRule="exact" w:after="0" w:before="0"/>
              <w:ind w:firstLine="0"/>
              <w:jc w:val="center"/>
            </w:pPr>
            <w:r>
              <w:rPr>
                <w:b w:val="0"/>
                <w:sz w:val="21"/>
              </w:rPr>
              <w:t>1</w:t>
            </w:r>
          </w:p>
        </w:tc>
        <w:tc>
          <w:tcPr>
            <w:tcW w:type="dxa" w:w="7228"/>
            <w:vAlign w:val="center"/>
          </w:tcPr>
          <w:p>
            <w:pPr>
              <w:keepNext/>
              <w:spacing w:line="320" w:lineRule="exact" w:after="0" w:before="0"/>
              <w:ind w:firstLine="0"/>
              <w:jc w:val="left"/>
            </w:pPr>
            <w:r>
              <w:rPr>
                <w:b w:val="0"/>
                <w:sz w:val="21"/>
              </w:rPr>
              <w:t>H</w:t>
            </w:r>
          </w:p>
        </w:tc>
      </w:tr>
      <w:tr>
        <w:trPr>
          <w:cantSplit/>
        </w:trPr>
        <w:tc>
          <w:tcPr>
            <w:tcW w:type="dxa" w:w="2409"/>
            <w:vAlign w:val="center"/>
          </w:tcPr>
          <w:p>
            <w:pPr>
              <w:keepNext/>
              <w:spacing w:line="320" w:lineRule="exact" w:after="0" w:before="0"/>
              <w:ind w:firstLine="0"/>
              <w:jc w:val="center"/>
            </w:pPr>
            <w:r>
              <w:rPr>
                <w:b w:val="0"/>
                <w:sz w:val="21"/>
              </w:rPr>
              <w:t>2</w:t>
            </w:r>
          </w:p>
        </w:tc>
        <w:tc>
          <w:tcPr>
            <w:tcW w:type="dxa" w:w="7228"/>
            <w:vAlign w:val="center"/>
          </w:tcPr>
          <w:p>
            <w:pPr>
              <w:keepNext/>
              <w:spacing w:line="320" w:lineRule="exact" w:after="0" w:before="0"/>
              <w:ind w:firstLine="0"/>
              <w:jc w:val="left"/>
            </w:pPr>
            <w:r>
              <w:rPr>
                <w:b w:val="0"/>
                <w:sz w:val="21"/>
              </w:rPr>
              <w:t>S</w:t>
            </w:r>
          </w:p>
        </w:tc>
      </w:tr>
      <w:tr>
        <w:trPr>
          <w:cantSplit/>
        </w:trPr>
        <w:tc>
          <w:tcPr>
            <w:tcW w:type="dxa" w:w="2409"/>
            <w:vAlign w:val="center"/>
          </w:tcPr>
          <w:p>
            <w:pPr>
              <w:keepNext/>
              <w:spacing w:line="320" w:lineRule="exact" w:after="0" w:before="0"/>
              <w:ind w:firstLine="0"/>
              <w:jc w:val="center"/>
            </w:pPr>
            <w:r>
              <w:rPr>
                <w:b w:val="0"/>
                <w:sz w:val="21"/>
              </w:rPr>
              <w:t>3</w:t>
            </w:r>
          </w:p>
        </w:tc>
        <w:tc>
          <w:tcPr>
            <w:tcW w:type="dxa" w:w="7228"/>
            <w:vAlign w:val="center"/>
          </w:tcPr>
          <w:p>
            <w:pPr>
              <w:keepNext/>
              <w:spacing w:line="320" w:lineRule="exact" w:after="0" w:before="0"/>
              <w:ind w:firstLine="0"/>
              <w:jc w:val="left"/>
            </w:pPr>
            <w:r>
              <w:rPr>
                <w:b w:val="0"/>
                <w:sz w:val="21"/>
              </w:rPr>
              <w:t>S</w:t>
            </w:r>
          </w:p>
        </w:tc>
      </w:tr>
      <w:tr>
        <w:trPr>
          <w:cantSplit/>
        </w:trPr>
        <w:tc>
          <w:tcPr>
            <w:tcW w:type="dxa" w:w="2409"/>
            <w:vAlign w:val="center"/>
          </w:tcPr>
          <w:p>
            <w:pPr>
              <w:keepNext w:val="0"/>
              <w:spacing w:line="320" w:lineRule="exact" w:after="0" w:before="0"/>
              <w:ind w:firstLine="0"/>
              <w:jc w:val="center"/>
            </w:pPr>
            <w:r>
              <w:rPr>
                <w:b w:val="0"/>
                <w:sz w:val="21"/>
              </w:rPr>
              <w:t>4</w:t>
            </w:r>
          </w:p>
        </w:tc>
        <w:tc>
          <w:tcPr>
            <w:tcW w:type="dxa" w:w="7228"/>
            <w:vAlign w:val="center"/>
          </w:tcPr>
          <w:p>
            <w:pPr>
              <w:keepNext w:val="0"/>
              <w:spacing w:line="320" w:lineRule="exact" w:after="0" w:before="0"/>
              <w:ind w:firstLine="0"/>
              <w:jc w:val="left"/>
            </w:pPr>
            <w:r>
              <w:rPr>
                <w:b w:val="0"/>
                <w:sz w:val="21"/>
              </w:rPr>
              <w:t>C</w:t>
            </w:r>
          </w:p>
        </w:tc>
      </w:tr>
    </w:tbl>
    <w:p>
      <w:pPr>
        <w:spacing w:after="40" w:line="240" w:lineRule="auto"/>
        <w:ind w:firstLine="0"/>
      </w:pPr>
      <w:r>
        <w:rPr>
          <w:sz w:val="4"/>
        </w:rPr>
      </w:r>
    </w:p>
    <w:p>
      <w:pPr>
        <w:jc w:val="both"/>
      </w:pPr>
      <w:r>
        <w:t>共同任务：能否仅凭该曲线宣布实际工艺合格？可以核查哪些内容？</w:t>
      </w:r>
    </w:p>
    <w:p>
      <w:pPr>
        <w:jc w:val="both"/>
      </w:pPr>
      <w:r>
        <w:t>候选甲：可以核查阶段顺序、时间递增和记录结构，现有序列满足H到S再到C的题定顺序。未提供材料、工件、测点条件及批准限值，不能判定实际工艺合格。专业合格判断必须关联相应批准工艺及完整测量依据。</w:t>
      </w:r>
    </w:p>
    <w:p>
      <w:pPr>
        <w:jc w:val="both"/>
      </w:pPr>
      <w:r>
        <w:t>候选乙：曲线经过升温、保温和冷却，因此实际工艺已经合格。</w:t>
      </w:r>
    </w:p>
    <w:p>
      <w:pPr>
        <w:jc w:val="both"/>
      </w:pPr>
      <w:r>
        <w:t>偏好结论：候选甲优于候选乙。判断依据为阶段顺序可检查、时间顺序可检查、不宣布工艺合格、要求适用限值与依据。候选乙的错误涉及事实或约束，不以字数、语气或展示位置决定偏好。实际比较时随机交换展示顺序，保留原候选标识及独立判断。</w:t>
      </w:r>
    </w:p>
    <w:p>
      <w:pPr>
        <w:pStyle w:val="Heading3"/>
      </w:pPr>
      <w:r>
        <w:t>4.3.10 生产与使用核验</w:t>
      </w:r>
    </w:p>
    <w:p>
      <w:pPr>
        <w:jc w:val="both"/>
      </w:pPr>
      <w:r>
        <w:t>统计专业偏好一致率、固定协议下的胜率及平局率、事实约束违反率；展示次序随机化，盲化候选来源并保留交换顺序复核。本领域同时检查图纸字段抽取精确率及召回率、单位与公差识别正确率、工艺次序判断正确率、适用版本判断正确率、专业证据引用正确率。统计按任务类型、来源、模态、难度及关键业务对象分层，保留题目或记录级结果和失败对象。</w:t>
      </w:r>
    </w:p>
    <w:p>
      <w:pPr>
        <w:jc w:val="both"/>
      </w:pPr>
      <w:r>
        <w:t>生产检查从来源记录开始核对产品配置、图号、版次、物料、材料牌号、零部件、工艺路线、工序与生效范围，确认图纸解析保留尺寸、公差、基准及版面定位；关联产品配置与适用版次；把材料、工序、设备适用条件和检验依据连接到工艺路线；变更按生效对象及批次区分；专业参数由有效批准依据确认。专业分歧由产品设计、工艺、材料、焊接、热处理及检验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4.4 基准评测数据卡</w:t>
      </w:r>
    </w:p>
    <w:p>
      <w:pPr>
        <w:pStyle w:val="Heading3"/>
      </w:pPr>
      <w:r>
        <w:t>4.4.1 基本信息</w:t>
      </w:r>
    </w:p>
    <w:p>
      <w:pPr>
        <w:pStyle w:val="Caption"/>
        <w:keepNext/>
      </w:pPr>
      <w:r>
        <w:t>表4-46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GHY26691-DC-02-0004-V1.0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产品工艺设计数据集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基准评测</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02 产品工艺设计；关联对象为产品配置、图号、版次、物料、材料牌号、零部件、工艺路线、工序与生效范围</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有效交付净量1000条；以固定输入、必要资源、参考依据与判分规则构成的完整题目为计数单位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本用途规模按条验收；如统计输入输出Tokens，分开保存且不替代任务或比较组数量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采用第7章公共记录结构及本领域扩展字典；固定输入、必要资源、参考依据与判分规则构成的完整题目具有稳定标识、业务对象、来源家族、时间、内容、资源、标签与证据关系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根目录按02-EVAL及数据版本组织；data保存记录，resources保存模态载荷，metadata保存来源与关系，dictionary保存字段和标签，cards保存卡片，reports保存报告，tools保存解析程序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02-EVAL-数据版本-六位分片序号.jsonl；资源以稳定资源标识命名；卡片使用完整卡号；路径采用相对路径并拒绝越界和重名冲突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平台服务工单按卡号、数据版本及问题对象受理；由技术与产品设计、工艺、材料、焊接、热处理及检验专业岗位协同处理，服务时段和响应要求执行统一售后安排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产品型谱、图纸、产品配置、材料要求、物料清单、工艺路线、备料、焊接、热处理、机加工及检验要求之间的设计关系。以产品配置、图号、版次、物料、材料牌号、零部件、工艺路线、工序与生效范围建立对象关系，来源范围包括PLM中的图纸、配置及设计变更，ERP中的物料清单与材料主数据，MES中的工艺引用及工序反馈，QMS中的检验要求，企业工艺资料及经授权的技术标准。面向基准评测形成真实来源独立题目、固定判分依据和可复现实验结果，重点检查来源真实、家族隔离、答案正确、题目完整、判分稳定和答案保密。数据支持产品智能选型、板材智能备料、热处理工艺优化、焊接工艺优化、标准规范智能问答助手，结论依据实际输入、专业条件和验证范围使用。涉及未公开设计图纸、结构尺寸、专有工艺、材料组合、专利资料和设计人员信息时执行相应授权及安全处理。业务事实、推断与未知状态分别标记，数据版本与引用依据保持一致。</w:t>
      </w:r>
    </w:p>
    <w:p>
      <w:pPr>
        <w:pStyle w:val="Heading3"/>
      </w:pPr>
      <w:r>
        <w:t>4.4.2 内容特征</w:t>
      </w:r>
    </w:p>
    <w:p>
      <w:pPr>
        <w:pStyle w:val="Caption"/>
        <w:keepNext/>
      </w:pPr>
      <w:r>
        <w:t>表4-47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文本、图像、时序、视频按有效载荷统计；重点关联产品配置、图号、版次、物料、材料牌号、零部件、工艺路线、工序与生效范围；图纸、表格载体不独立增加模态数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以固定输入、必要资源、参考依据与判分规则构成的完整题目为分母，至少两种有效关联模态的记录为分子；分子、分母及互斥组合清单齐备，按1.4节满足40%要求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按PD01产品结构与配置、PD02图纸与技术条件、PD03材料与备料、PD04工艺路线、PD05焊接与热处理、PD06设计变更与检验统计；主主题互斥，辅助主题允许多选并另列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基础识读、关联计算、复杂条件与证据不足判断分别成层；稀缺题型独立报告，避免总体分数掩盖薄弱项</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合成占比为0%；不使用人为增强扩充题目数量</w:t>
            </w:r>
          </w:p>
        </w:tc>
      </w:tr>
    </w:tbl>
    <w:p>
      <w:pPr>
        <w:spacing w:after="40" w:line="240" w:lineRule="auto"/>
        <w:ind w:firstLine="0"/>
      </w:pPr>
      <w:r>
        <w:rPr>
          <w:sz w:val="4"/>
        </w:rPr>
      </w:r>
    </w:p>
    <w:p>
      <w:pPr>
        <w:pStyle w:val="Heading3"/>
      </w:pPr>
      <w:r>
        <w:t>4.4.3 建设过程</w:t>
      </w:r>
    </w:p>
    <w:p>
      <w:pPr>
        <w:pStyle w:val="Caption"/>
        <w:keepNext/>
      </w:pPr>
      <w:r>
        <w:t>表4-48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PLM中的图纸、配置及设计变更，ERP中的物料清单与材料主数据，MES中的工艺引用及工序反馈，QMS中的检验要求，企业工艺资料及经授权的技术标准；逐源登记组织、资料类别、业务期间、采集期间及许可依据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图纸解析保留尺寸、公差、基准及版面定位；关联产品配置与适用版次；把材料、工序、设备适用条件和检验依据连接到工艺路线；变更按生效对象及批次区分；专业参数由有效批准依据确认；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保存解析器、字典、切分、窗口、重叠、单位换算、时间校正和对齐配置；产品配置、图号、版次、物料、材料牌号、零部件、工艺路线、工序与生效范围为关联校验重点；参数经真实资料验证后冻结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题型、考核能力、参考答案、评分点、扣分条件、适用范围、难度及裁决依据；规范编号与实际生产记录绑定，不因预训练用途自动省略专业标记管理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由产品设计、工艺、材料、焊接、热处理及检验专业岗位承担专业定义与争议裁决，标注人员依规范执行；自检、交叉复核、专家仲裁分别保存原始结果及修订记录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正式基准不进行任何形式的合成；核查来源家族和派生记录，发现生成内容即退出有效基准并补足真实合格题目</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正式基准答案由真实证据和专业审核确定；辅助工具使用单独留痕，不把教师生成内容计作真实基准来源</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不以改写、扰动、裁剪派生或其他人为增强扩充正式题量；必要格式标准化保持原始题目身份与证据，不重复计数</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4.4.4 应用说明</w:t>
      </w:r>
    </w:p>
    <w:p>
      <w:pPr>
        <w:pStyle w:val="Caption"/>
        <w:keepNext/>
      </w:pPr>
      <w:r>
        <w:t>表4-49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产品智能选型、板材智能备料、热处理工艺优化、焊接工艺优化、标准规范智能问答助手；验证结论按实际场景、输入条件和版本形成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基准评测；输入接口须支持实际文本、图像、时序或视频载荷及对应关系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图纸字段抽取精确率及召回率、单位与公差识别正确率、工艺次序判断正确率、适用版本判断正确率、专业证据引用正确率；各用途采用本卡评价协议并保留定义、方向和统计单位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4.4.5 质量验证</w:t>
      </w:r>
    </w:p>
    <w:p>
      <w:pPr>
        <w:pStyle w:val="Caption"/>
        <w:keepNext/>
      </w:pPr>
      <w:r>
        <w:t>表4-50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质检报告采用GHY26691-QC-02-0004并绑定实际版本、受检清单和内容根摘要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分别报告保真度、完备性、规整性、均衡性、可用性、可信性的方法、结果与问题；按产品配置、图号、版次、物料、材料牌号、零部件、工艺路线、工序与生效范围检查关键业务关联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验证报告采用GHY26691-VR-02-0004及实际版本；引用数据、模型、协议、实验和原始输出，汇总与子集范围分别标明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产品设计、工艺、材料、焊接、热处理及检验专业岗位结合产品智能选型、板材智能备料、热处理工艺优化、焊接工艺优化、标准规范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4.4.6 安全合规</w:t>
      </w:r>
    </w:p>
    <w:p>
      <w:pPr>
        <w:pStyle w:val="Caption"/>
        <w:keepNext/>
      </w:pPr>
      <w:r>
        <w:t>表4-51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生产经营数据中的产品工艺设计相关数据；按产品型谱、图纸、产品配置、材料要求、物料清单、工艺路线、备料、焊接、热处理、机加工及检验要求之间的设计关系细分并关联资产目录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未公开设计图纸、结构尺寸、专有工艺、材料组合、专利资料和设计人员信息；实际敏感要素由检测与人工复核确认，未知状态不按无敏感信息处理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设计人员身份与签署信息按授权范围替代或受控保留；产品及图号使用稳定映射；必要尺寸与公差保留单位和精度，涉及商业秘密的完整图纸按资源权限提供</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产品设计、工艺、材料、焊接、热处理及检验专业岗位按业务必要性申请；加工、质量与评测岗位取得任务所需权限，基准答案、原始敏感资料和替代映射分别控制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按卡号GHY26691-DC-02-0004-V1.0、实际数据版本、对象标识和工单关联查询采集、加工、访问、下载、评测及发布审计；交付留存必要受控记录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4.4.7 指纹血缘</w:t>
      </w:r>
    </w:p>
    <w:p>
      <w:pPr>
        <w:pStyle w:val="Caption"/>
        <w:keepNext/>
      </w:pPr>
      <w:r>
        <w:t>表4-52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02-EVAL根目录内package.json登记身份、数据版本、结构版本、字典、卡片、资源和文件清单；脱离平台按第7章完成读取及核验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4.4.8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表4-53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drawing_id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图纸稳定编号</w:t>
            </w:r>
          </w:p>
        </w:tc>
        <w:tc>
          <w:tcPr>
            <w:tcW w:type="dxa" w:w="3084"/>
            <w:vAlign w:val="center"/>
          </w:tcPr>
          <w:p>
            <w:pPr>
              <w:keepNext w:val="0"/>
              <w:spacing w:line="320" w:lineRule="exact" w:after="0" w:before="0"/>
              <w:ind w:firstLine="0"/>
              <w:jc w:val="left"/>
            </w:pPr>
            <w:r>
              <w:rPr>
                <w:b w:val="0"/>
                <w:sz w:val="21"/>
              </w:rPr>
              <w:t>同图号不同版次分别识别</w:t>
            </w:r>
          </w:p>
        </w:tc>
      </w:tr>
      <w:tr>
        <w:trPr>
          <w:cantSplit/>
        </w:trPr>
        <w:tc>
          <w:tcPr>
            <w:tcW w:type="dxa" w:w="2313"/>
            <w:vAlign w:val="center"/>
          </w:tcPr>
          <w:p>
            <w:pPr>
              <w:keepNext w:val="0"/>
              <w:spacing w:line="320" w:lineRule="exact" w:after="0" w:before="0"/>
              <w:ind w:firstLine="0"/>
              <w:jc w:val="left"/>
            </w:pPr>
            <w:r>
              <w:rPr>
                <w:b w:val="0"/>
                <w:sz w:val="21"/>
              </w:rPr>
              <w:t>revision</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批准版次</w:t>
            </w:r>
          </w:p>
        </w:tc>
        <w:tc>
          <w:tcPr>
            <w:tcW w:type="dxa" w:w="3084"/>
            <w:vAlign w:val="center"/>
          </w:tcPr>
          <w:p>
            <w:pPr>
              <w:keepNext w:val="0"/>
              <w:spacing w:line="320" w:lineRule="exact" w:after="0" w:before="0"/>
              <w:ind w:firstLine="0"/>
              <w:jc w:val="left"/>
            </w:pPr>
            <w:r>
              <w:rPr>
                <w:b w:val="0"/>
                <w:sz w:val="21"/>
              </w:rPr>
              <w:t>同时关联生效范围与批准证据</w:t>
            </w:r>
          </w:p>
        </w:tc>
      </w:tr>
      <w:tr>
        <w:trPr>
          <w:cantSplit/>
        </w:trPr>
        <w:tc>
          <w:tcPr>
            <w:tcW w:type="dxa" w:w="2313"/>
            <w:vAlign w:val="center"/>
          </w:tcPr>
          <w:p>
            <w:pPr>
              <w:keepNext w:val="0"/>
              <w:spacing w:line="320" w:lineRule="exact" w:after="0" w:before="0"/>
              <w:ind w:firstLine="0"/>
              <w:jc w:val="left"/>
            </w:pPr>
            <w:r>
              <w:rPr>
                <w:b w:val="0"/>
                <w:sz w:val="21"/>
              </w:rPr>
              <w:t>configuration_id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产品配置身份</w:t>
            </w:r>
          </w:p>
        </w:tc>
        <w:tc>
          <w:tcPr>
            <w:tcW w:type="dxa" w:w="3084"/>
            <w:vAlign w:val="center"/>
          </w:tcPr>
          <w:p>
            <w:pPr>
              <w:keepNext w:val="0"/>
              <w:spacing w:line="320" w:lineRule="exact" w:after="0" w:before="0"/>
              <w:ind w:firstLine="0"/>
              <w:jc w:val="left"/>
            </w:pPr>
            <w:r>
              <w:rPr>
                <w:b w:val="0"/>
                <w:sz w:val="21"/>
              </w:rPr>
              <w:t>不得由型号名称推定完整配置</w:t>
            </w:r>
          </w:p>
        </w:tc>
      </w:tr>
      <w:tr>
        <w:trPr>
          <w:cantSplit/>
        </w:trPr>
        <w:tc>
          <w:tcPr>
            <w:tcW w:type="dxa" w:w="2313"/>
            <w:vAlign w:val="center"/>
          </w:tcPr>
          <w:p>
            <w:pPr>
              <w:keepNext w:val="0"/>
              <w:spacing w:line="320" w:lineRule="exact" w:after="0" w:before="0"/>
              <w:ind w:firstLine="0"/>
              <w:jc w:val="left"/>
            </w:pPr>
            <w:r>
              <w:rPr>
                <w:b w:val="0"/>
                <w:sz w:val="21"/>
              </w:rPr>
              <w:t>feature_refs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尺寸、基准、公差及技术条件的定位</w:t>
            </w:r>
          </w:p>
        </w:tc>
        <w:tc>
          <w:tcPr>
            <w:tcW w:type="dxa" w:w="3084"/>
            <w:vAlign w:val="center"/>
          </w:tcPr>
          <w:p>
            <w:pPr>
              <w:keepNext w:val="0"/>
              <w:spacing w:line="320" w:lineRule="exact" w:after="0" w:before="0"/>
              <w:ind w:firstLine="0"/>
              <w:jc w:val="left"/>
            </w:pPr>
            <w:r>
              <w:rPr>
                <w:b w:val="0"/>
                <w:sz w:val="21"/>
              </w:rPr>
              <w:t>每个值附单位、精度和原文坐标</w:t>
            </w:r>
          </w:p>
        </w:tc>
      </w:tr>
      <w:tr>
        <w:trPr>
          <w:cantSplit/>
        </w:trPr>
        <w:tc>
          <w:tcPr>
            <w:tcW w:type="dxa" w:w="2313"/>
            <w:vAlign w:val="center"/>
          </w:tcPr>
          <w:p>
            <w:pPr>
              <w:keepNext w:val="0"/>
              <w:spacing w:line="320" w:lineRule="exact" w:after="0" w:before="0"/>
              <w:ind w:firstLine="0"/>
              <w:jc w:val="left"/>
            </w:pPr>
            <w:r>
              <w:rPr>
                <w:b w:val="0"/>
                <w:sz w:val="21"/>
              </w:rPr>
              <w:t>route_id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工艺路线与版本</w:t>
            </w:r>
          </w:p>
        </w:tc>
        <w:tc>
          <w:tcPr>
            <w:tcW w:type="dxa" w:w="3084"/>
            <w:vAlign w:val="center"/>
          </w:tcPr>
          <w:p>
            <w:pPr>
              <w:keepNext w:val="0"/>
              <w:spacing w:line="320" w:lineRule="exact" w:after="0" w:before="0"/>
              <w:ind w:firstLine="0"/>
              <w:jc w:val="left"/>
            </w:pPr>
            <w:r>
              <w:rPr>
                <w:b w:val="0"/>
                <w:sz w:val="21"/>
              </w:rPr>
              <w:t>与零件、材料和生效范围匹配</w:t>
            </w:r>
          </w:p>
        </w:tc>
      </w:tr>
      <w:tr>
        <w:trPr>
          <w:cantSplit/>
        </w:trPr>
        <w:tc>
          <w:tcPr>
            <w:tcW w:type="dxa" w:w="2313"/>
            <w:vAlign w:val="center"/>
          </w:tcPr>
          <w:p>
            <w:pPr>
              <w:keepNext w:val="0"/>
              <w:spacing w:line="320" w:lineRule="exact" w:after="0" w:before="0"/>
              <w:ind w:firstLine="0"/>
              <w:jc w:val="left"/>
            </w:pPr>
            <w:r>
              <w:rPr>
                <w:b w:val="0"/>
                <w:sz w:val="21"/>
              </w:rPr>
              <w:t>operation_constraints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工序顺序、前置条件、设备及检验依据</w:t>
            </w:r>
          </w:p>
        </w:tc>
        <w:tc>
          <w:tcPr>
            <w:tcW w:type="dxa" w:w="3084"/>
            <w:vAlign w:val="center"/>
          </w:tcPr>
          <w:p>
            <w:pPr>
              <w:keepNext w:val="0"/>
              <w:spacing w:line="320" w:lineRule="exact" w:after="0" w:before="0"/>
              <w:ind w:firstLine="0"/>
              <w:jc w:val="left"/>
            </w:pPr>
            <w:r>
              <w:rPr>
                <w:b w:val="0"/>
                <w:sz w:val="21"/>
              </w:rPr>
              <w:t>专业条件变更引发受影响关系重核</w:t>
            </w:r>
          </w:p>
        </w:tc>
      </w:tr>
    </w:tbl>
    <w:p>
      <w:pPr>
        <w:spacing w:after="40" w:line="240" w:lineRule="auto"/>
        <w:ind w:firstLine="0"/>
      </w:pPr>
      <w:r>
        <w:rPr>
          <w:sz w:val="4"/>
        </w:rPr>
      </w:r>
    </w:p>
    <w:p>
      <w:pPr>
        <w:pStyle w:val="Caption"/>
        <w:keepNext/>
      </w:pPr>
      <w:r>
        <w:t>表4-54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PD01</w:t>
            </w:r>
          </w:p>
        </w:tc>
        <w:tc>
          <w:tcPr>
            <w:tcW w:type="dxa" w:w="2891"/>
            <w:vAlign w:val="center"/>
          </w:tcPr>
          <w:p>
            <w:pPr>
              <w:keepNext w:val="0"/>
              <w:spacing w:line="320" w:lineRule="exact" w:after="0" w:before="0"/>
              <w:ind w:firstLine="0"/>
              <w:jc w:val="left"/>
            </w:pPr>
            <w:r>
              <w:rPr>
                <w:b w:val="0"/>
                <w:sz w:val="21"/>
              </w:rPr>
              <w:t>产品结构与配置</w:t>
            </w:r>
          </w:p>
        </w:tc>
        <w:tc>
          <w:tcPr>
            <w:tcW w:type="dxa" w:w="4433"/>
            <w:vAlign w:val="center"/>
          </w:tcPr>
          <w:p>
            <w:pPr>
              <w:keepNext w:val="0"/>
              <w:spacing w:line="320" w:lineRule="exact" w:after="0" w:before="0"/>
              <w:ind w:firstLine="0"/>
              <w:jc w:val="left"/>
            </w:pPr>
            <w:r>
              <w:rPr>
                <w:b w:val="0"/>
                <w:sz w:val="21"/>
              </w:rPr>
              <w:t>部件关系、接口及配置适用性</w:t>
            </w:r>
          </w:p>
        </w:tc>
      </w:tr>
      <w:tr>
        <w:trPr>
          <w:cantSplit/>
        </w:trPr>
        <w:tc>
          <w:tcPr>
            <w:tcW w:type="dxa" w:w="2313"/>
            <w:vAlign w:val="center"/>
          </w:tcPr>
          <w:p>
            <w:pPr>
              <w:keepNext w:val="0"/>
              <w:spacing w:line="320" w:lineRule="exact" w:after="0" w:before="0"/>
              <w:ind w:firstLine="0"/>
              <w:jc w:val="left"/>
            </w:pPr>
            <w:r>
              <w:rPr>
                <w:b w:val="0"/>
                <w:sz w:val="21"/>
              </w:rPr>
              <w:t>PD02</w:t>
            </w:r>
          </w:p>
        </w:tc>
        <w:tc>
          <w:tcPr>
            <w:tcW w:type="dxa" w:w="2891"/>
            <w:vAlign w:val="center"/>
          </w:tcPr>
          <w:p>
            <w:pPr>
              <w:keepNext w:val="0"/>
              <w:spacing w:line="320" w:lineRule="exact" w:after="0" w:before="0"/>
              <w:ind w:firstLine="0"/>
              <w:jc w:val="left"/>
            </w:pPr>
            <w:r>
              <w:rPr>
                <w:b w:val="0"/>
                <w:sz w:val="21"/>
              </w:rPr>
              <w:t>图纸与技术条件</w:t>
            </w:r>
          </w:p>
        </w:tc>
        <w:tc>
          <w:tcPr>
            <w:tcW w:type="dxa" w:w="4433"/>
            <w:vAlign w:val="center"/>
          </w:tcPr>
          <w:p>
            <w:pPr>
              <w:keepNext w:val="0"/>
              <w:spacing w:line="320" w:lineRule="exact" w:after="0" w:before="0"/>
              <w:ind w:firstLine="0"/>
              <w:jc w:val="left"/>
            </w:pPr>
            <w:r>
              <w:rPr>
                <w:b w:val="0"/>
                <w:sz w:val="21"/>
              </w:rPr>
              <w:t>尺寸、公差、材料、表面及技术要求</w:t>
            </w:r>
          </w:p>
        </w:tc>
      </w:tr>
      <w:tr>
        <w:trPr>
          <w:cantSplit/>
        </w:trPr>
        <w:tc>
          <w:tcPr>
            <w:tcW w:type="dxa" w:w="2313"/>
            <w:vAlign w:val="center"/>
          </w:tcPr>
          <w:p>
            <w:pPr>
              <w:keepNext w:val="0"/>
              <w:spacing w:line="320" w:lineRule="exact" w:after="0" w:before="0"/>
              <w:ind w:firstLine="0"/>
              <w:jc w:val="left"/>
            </w:pPr>
            <w:r>
              <w:rPr>
                <w:b w:val="0"/>
                <w:sz w:val="21"/>
              </w:rPr>
              <w:t>PD03</w:t>
            </w:r>
          </w:p>
        </w:tc>
        <w:tc>
          <w:tcPr>
            <w:tcW w:type="dxa" w:w="2891"/>
            <w:vAlign w:val="center"/>
          </w:tcPr>
          <w:p>
            <w:pPr>
              <w:keepNext w:val="0"/>
              <w:spacing w:line="320" w:lineRule="exact" w:after="0" w:before="0"/>
              <w:ind w:firstLine="0"/>
              <w:jc w:val="left"/>
            </w:pPr>
            <w:r>
              <w:rPr>
                <w:b w:val="0"/>
                <w:sz w:val="21"/>
              </w:rPr>
              <w:t>材料与备料</w:t>
            </w:r>
          </w:p>
        </w:tc>
        <w:tc>
          <w:tcPr>
            <w:tcW w:type="dxa" w:w="4433"/>
            <w:vAlign w:val="center"/>
          </w:tcPr>
          <w:p>
            <w:pPr>
              <w:keepNext w:val="0"/>
              <w:spacing w:line="320" w:lineRule="exact" w:after="0" w:before="0"/>
              <w:ind w:firstLine="0"/>
              <w:jc w:val="left"/>
            </w:pPr>
            <w:r>
              <w:rPr>
                <w:b w:val="0"/>
                <w:sz w:val="21"/>
              </w:rPr>
              <w:t>板材规格、下料条件和材料追溯</w:t>
            </w:r>
          </w:p>
        </w:tc>
      </w:tr>
      <w:tr>
        <w:trPr>
          <w:cantSplit/>
        </w:trPr>
        <w:tc>
          <w:tcPr>
            <w:tcW w:type="dxa" w:w="2313"/>
            <w:vAlign w:val="center"/>
          </w:tcPr>
          <w:p>
            <w:pPr>
              <w:keepNext w:val="0"/>
              <w:spacing w:line="320" w:lineRule="exact" w:after="0" w:before="0"/>
              <w:ind w:firstLine="0"/>
              <w:jc w:val="left"/>
            </w:pPr>
            <w:r>
              <w:rPr>
                <w:b w:val="0"/>
                <w:sz w:val="21"/>
              </w:rPr>
              <w:t>PD04</w:t>
            </w:r>
          </w:p>
        </w:tc>
        <w:tc>
          <w:tcPr>
            <w:tcW w:type="dxa" w:w="2891"/>
            <w:vAlign w:val="center"/>
          </w:tcPr>
          <w:p>
            <w:pPr>
              <w:keepNext w:val="0"/>
              <w:spacing w:line="320" w:lineRule="exact" w:after="0" w:before="0"/>
              <w:ind w:firstLine="0"/>
              <w:jc w:val="left"/>
            </w:pPr>
            <w:r>
              <w:rPr>
                <w:b w:val="0"/>
                <w:sz w:val="21"/>
              </w:rPr>
              <w:t>工艺路线</w:t>
            </w:r>
          </w:p>
        </w:tc>
        <w:tc>
          <w:tcPr>
            <w:tcW w:type="dxa" w:w="4433"/>
            <w:vAlign w:val="center"/>
          </w:tcPr>
          <w:p>
            <w:pPr>
              <w:keepNext w:val="0"/>
              <w:spacing w:line="320" w:lineRule="exact" w:after="0" w:before="0"/>
              <w:ind w:firstLine="0"/>
              <w:jc w:val="left"/>
            </w:pPr>
            <w:r>
              <w:rPr>
                <w:b w:val="0"/>
                <w:sz w:val="21"/>
              </w:rPr>
              <w:t>工序次序、前置条件和适用设备</w:t>
            </w:r>
          </w:p>
        </w:tc>
      </w:tr>
      <w:tr>
        <w:trPr>
          <w:cantSplit/>
        </w:trPr>
        <w:tc>
          <w:tcPr>
            <w:tcW w:type="dxa" w:w="2313"/>
            <w:vAlign w:val="center"/>
          </w:tcPr>
          <w:p>
            <w:pPr>
              <w:keepNext w:val="0"/>
              <w:spacing w:line="320" w:lineRule="exact" w:after="0" w:before="0"/>
              <w:ind w:firstLine="0"/>
              <w:jc w:val="left"/>
            </w:pPr>
            <w:r>
              <w:rPr>
                <w:b w:val="0"/>
                <w:sz w:val="21"/>
              </w:rPr>
              <w:t>PD05</w:t>
            </w:r>
          </w:p>
        </w:tc>
        <w:tc>
          <w:tcPr>
            <w:tcW w:type="dxa" w:w="2891"/>
            <w:vAlign w:val="center"/>
          </w:tcPr>
          <w:p>
            <w:pPr>
              <w:keepNext w:val="0"/>
              <w:spacing w:line="320" w:lineRule="exact" w:after="0" w:before="0"/>
              <w:ind w:firstLine="0"/>
              <w:jc w:val="left"/>
            </w:pPr>
            <w:r>
              <w:rPr>
                <w:b w:val="0"/>
                <w:sz w:val="21"/>
              </w:rPr>
              <w:t>焊接与热处理</w:t>
            </w:r>
          </w:p>
        </w:tc>
        <w:tc>
          <w:tcPr>
            <w:tcW w:type="dxa" w:w="4433"/>
            <w:vAlign w:val="center"/>
          </w:tcPr>
          <w:p>
            <w:pPr>
              <w:keepNext w:val="0"/>
              <w:spacing w:line="320" w:lineRule="exact" w:after="0" w:before="0"/>
              <w:ind w:firstLine="0"/>
              <w:jc w:val="left"/>
            </w:pPr>
            <w:r>
              <w:rPr>
                <w:b w:val="0"/>
                <w:sz w:val="21"/>
              </w:rPr>
              <w:t>批准工艺、关键阶段和适用范围</w:t>
            </w:r>
          </w:p>
        </w:tc>
      </w:tr>
      <w:tr>
        <w:trPr>
          <w:cantSplit/>
        </w:trPr>
        <w:tc>
          <w:tcPr>
            <w:tcW w:type="dxa" w:w="2313"/>
            <w:vAlign w:val="center"/>
          </w:tcPr>
          <w:p>
            <w:pPr>
              <w:keepNext w:val="0"/>
              <w:spacing w:line="320" w:lineRule="exact" w:after="0" w:before="0"/>
              <w:ind w:firstLine="0"/>
              <w:jc w:val="left"/>
            </w:pPr>
            <w:r>
              <w:rPr>
                <w:b w:val="0"/>
                <w:sz w:val="21"/>
              </w:rPr>
              <w:t>PD06</w:t>
            </w:r>
          </w:p>
        </w:tc>
        <w:tc>
          <w:tcPr>
            <w:tcW w:type="dxa" w:w="2891"/>
            <w:vAlign w:val="center"/>
          </w:tcPr>
          <w:p>
            <w:pPr>
              <w:keepNext w:val="0"/>
              <w:spacing w:line="320" w:lineRule="exact" w:after="0" w:before="0"/>
              <w:ind w:firstLine="0"/>
              <w:jc w:val="left"/>
            </w:pPr>
            <w:r>
              <w:rPr>
                <w:b w:val="0"/>
                <w:sz w:val="21"/>
              </w:rPr>
              <w:t>设计变更与检验</w:t>
            </w:r>
          </w:p>
        </w:tc>
        <w:tc>
          <w:tcPr>
            <w:tcW w:type="dxa" w:w="4433"/>
            <w:vAlign w:val="center"/>
          </w:tcPr>
          <w:p>
            <w:pPr>
              <w:keepNext w:val="0"/>
              <w:spacing w:line="320" w:lineRule="exact" w:after="0" w:before="0"/>
              <w:ind w:firstLine="0"/>
              <w:jc w:val="left"/>
            </w:pPr>
            <w:r>
              <w:rPr>
                <w:b w:val="0"/>
                <w:sz w:val="21"/>
              </w:rPr>
              <w:t>版本生效、影响对象和检验依据</w:t>
            </w:r>
          </w:p>
        </w:tc>
      </w:tr>
    </w:tbl>
    <w:p>
      <w:pPr>
        <w:spacing w:after="40" w:line="240" w:lineRule="auto"/>
        <w:ind w:firstLine="0"/>
      </w:pPr>
      <w:r>
        <w:rPr>
          <w:sz w:val="4"/>
        </w:rPr>
      </w:r>
    </w:p>
    <w:p>
      <w:pPr>
        <w:pStyle w:val="Caption"/>
        <w:keepNext/>
      </w:pPr>
      <w:r>
        <w:t>表4-55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表4-56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evidence_insufficient</w:t>
            </w:r>
          </w:p>
        </w:tc>
        <w:tc>
          <w:tcPr>
            <w:tcW w:type="dxa" w:w="7228"/>
            <w:vAlign w:val="center"/>
          </w:tcPr>
          <w:p>
            <w:pPr>
              <w:keepNext w:val="0"/>
              <w:spacing w:line="320" w:lineRule="exact" w:after="0" w:before="0"/>
              <w:ind w:firstLine="0"/>
              <w:jc w:val="left"/>
            </w:pPr>
            <w:r>
              <w:rPr>
                <w:b w:val="0"/>
                <w:sz w:val="21"/>
              </w:rPr>
              <w:t>已有内容不足以支持所问结论，明确缺少的证据及仍可判定的范围</w:t>
            </w:r>
          </w:p>
        </w:tc>
      </w:tr>
      <w:tr>
        <w:trPr>
          <w:cantSplit/>
        </w:trPr>
        <w:tc>
          <w:tcPr>
            <w:tcW w:type="dxa" w:w="2409"/>
            <w:vAlign w:val="center"/>
          </w:tcPr>
          <w:p>
            <w:pPr>
              <w:keepNext w:val="0"/>
              <w:spacing w:line="320" w:lineRule="exact" w:after="0" w:before="0"/>
              <w:ind w:firstLine="0"/>
              <w:jc w:val="left"/>
            </w:pPr>
            <w:r>
              <w:rPr>
                <w:b w:val="0"/>
                <w:sz w:val="21"/>
              </w:rPr>
              <w:t>inspection_dependency</w:t>
            </w:r>
          </w:p>
        </w:tc>
        <w:tc>
          <w:tcPr>
            <w:tcW w:type="dxa" w:w="7228"/>
            <w:vAlign w:val="center"/>
          </w:tcPr>
          <w:p>
            <w:pPr>
              <w:keepNext w:val="0"/>
              <w:spacing w:line="320" w:lineRule="exact" w:after="0" w:before="0"/>
              <w:ind w:firstLine="0"/>
              <w:jc w:val="left"/>
            </w:pPr>
            <w:r>
              <w:rPr>
                <w:b w:val="0"/>
                <w:sz w:val="21"/>
              </w:rPr>
              <w:t>后续动作依赖有效检验结论，复核中、无结果与通过分别识别</w:t>
            </w:r>
          </w:p>
        </w:tc>
      </w:tr>
      <w:tr>
        <w:trPr>
          <w:cantSplit/>
        </w:trPr>
        <w:tc>
          <w:tcPr>
            <w:tcW w:type="dxa" w:w="2409"/>
            <w:vAlign w:val="center"/>
          </w:tcPr>
          <w:p>
            <w:pPr>
              <w:keepNext w:val="0"/>
              <w:spacing w:line="320" w:lineRule="exact" w:after="0" w:before="0"/>
              <w:ind w:firstLine="0"/>
              <w:jc w:val="left"/>
            </w:pPr>
            <w:r>
              <w:rPr>
                <w:b w:val="0"/>
                <w:sz w:val="21"/>
              </w:rPr>
              <w:t>legal_historical_version</w:t>
            </w:r>
          </w:p>
        </w:tc>
        <w:tc>
          <w:tcPr>
            <w:tcW w:type="dxa" w:w="7228"/>
            <w:vAlign w:val="center"/>
          </w:tcPr>
          <w:p>
            <w:pPr>
              <w:keepNext w:val="0"/>
              <w:spacing w:line="320" w:lineRule="exact" w:after="0" w:before="0"/>
              <w:ind w:firstLine="0"/>
              <w:jc w:val="left"/>
            </w:pPr>
            <w:r>
              <w:rPr>
                <w:b w:val="0"/>
                <w:sz w:val="21"/>
              </w:rPr>
              <w:t>历史对象合法适用旧版，较新版次存在本身不构成旧版错误</w:t>
            </w:r>
          </w:p>
        </w:tc>
      </w:tr>
      <w:tr>
        <w:trPr>
          <w:cantSplit/>
        </w:trPr>
        <w:tc>
          <w:tcPr>
            <w:tcW w:type="dxa" w:w="2409"/>
            <w:vAlign w:val="center"/>
          </w:tcPr>
          <w:p>
            <w:pPr>
              <w:keepNext w:val="0"/>
              <w:spacing w:line="320" w:lineRule="exact" w:after="0" w:before="0"/>
              <w:ind w:firstLine="0"/>
              <w:jc w:val="left"/>
            </w:pPr>
            <w:r>
              <w:rPr>
                <w:b w:val="0"/>
                <w:sz w:val="21"/>
              </w:rPr>
              <w:t>precedence_check</w:t>
            </w:r>
          </w:p>
        </w:tc>
        <w:tc>
          <w:tcPr>
            <w:tcW w:type="dxa" w:w="7228"/>
            <w:vAlign w:val="center"/>
          </w:tcPr>
          <w:p>
            <w:pPr>
              <w:keepNext w:val="0"/>
              <w:spacing w:line="320" w:lineRule="exact" w:after="0" w:before="0"/>
              <w:ind w:firstLine="0"/>
              <w:jc w:val="left"/>
            </w:pPr>
            <w:r>
              <w:rPr>
                <w:b w:val="0"/>
                <w:sz w:val="21"/>
              </w:rPr>
              <w:t>核验后续工序全部必要前置条件，不把单一状态当作完整开工依据</w:t>
            </w:r>
          </w:p>
        </w:tc>
      </w:tr>
      <w:tr>
        <w:trPr>
          <w:cantSplit/>
        </w:trPr>
        <w:tc>
          <w:tcPr>
            <w:tcW w:type="dxa" w:w="2409"/>
            <w:vAlign w:val="center"/>
          </w:tcPr>
          <w:p>
            <w:pPr>
              <w:keepNext w:val="0"/>
              <w:spacing w:line="320" w:lineRule="exact" w:after="0" w:before="0"/>
              <w:ind w:firstLine="0"/>
              <w:jc w:val="left"/>
            </w:pPr>
            <w:r>
              <w:rPr>
                <w:b w:val="0"/>
                <w:sz w:val="21"/>
              </w:rPr>
              <w:t>stage_sequence</w:t>
            </w:r>
          </w:p>
        </w:tc>
        <w:tc>
          <w:tcPr>
            <w:tcW w:type="dxa" w:w="7228"/>
            <w:vAlign w:val="center"/>
          </w:tcPr>
          <w:p>
            <w:pPr>
              <w:keepNext w:val="0"/>
              <w:spacing w:line="320" w:lineRule="exact" w:after="0" w:before="0"/>
              <w:ind w:firstLine="0"/>
              <w:jc w:val="left"/>
            </w:pPr>
            <w:r>
              <w:rPr>
                <w:b w:val="0"/>
                <w:sz w:val="21"/>
              </w:rPr>
              <w:t>按批准阶段及其时间次序核查记录结构，不直接等同专业工艺合格</w:t>
            </w:r>
          </w:p>
        </w:tc>
      </w:tr>
      <w:tr>
        <w:trPr>
          <w:cantSplit/>
        </w:trPr>
        <w:tc>
          <w:tcPr>
            <w:tcW w:type="dxa" w:w="2409"/>
            <w:vAlign w:val="center"/>
          </w:tcPr>
          <w:p>
            <w:pPr>
              <w:keepNext w:val="0"/>
              <w:spacing w:line="320" w:lineRule="exact" w:after="0" w:before="0"/>
              <w:ind w:firstLine="0"/>
              <w:jc w:val="left"/>
            </w:pPr>
            <w:r>
              <w:rPr>
                <w:b w:val="0"/>
                <w:sz w:val="21"/>
              </w:rPr>
              <w:t>version_scope</w:t>
            </w:r>
          </w:p>
        </w:tc>
        <w:tc>
          <w:tcPr>
            <w:tcW w:type="dxa" w:w="7228"/>
            <w:vAlign w:val="center"/>
          </w:tcPr>
          <w:p>
            <w:pPr>
              <w:keepNext w:val="0"/>
              <w:spacing w:line="320" w:lineRule="exact" w:after="0" w:before="0"/>
              <w:ind w:firstLine="0"/>
              <w:jc w:val="left"/>
            </w:pPr>
            <w:r>
              <w:rPr>
                <w:b w:val="0"/>
                <w:sz w:val="21"/>
              </w:rPr>
              <w:t>按批准版次的生效对象、期间及批次判断适用性</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4.4.9 规范样本</w:t>
      </w:r>
    </w:p>
    <w:p>
      <w:pPr>
        <w:keepNext/>
        <w:jc w:val="both"/>
      </w:pPr>
      <w:r>
        <w:t>规范样本1 图纸版次的适用范围判断</w:t>
      </w:r>
    </w:p>
    <w:p>
      <w:pPr>
        <w:pStyle w:val="Caption"/>
        <w:keepNext/>
      </w:pPr>
      <w:r>
        <w:t>表4-57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EX-02-EVAL-001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PD06、version_scope、legal_historical_version</w:t>
            </w:r>
          </w:p>
        </w:tc>
      </w:tr>
    </w:tbl>
    <w:p>
      <w:pPr>
        <w:spacing w:after="40" w:line="240" w:lineRule="auto"/>
        <w:ind w:firstLine="0"/>
      </w:pPr>
      <w:r>
        <w:rPr>
          <w:sz w:val="4"/>
        </w:rPr>
      </w:r>
    </w:p>
    <w:p>
      <w:pPr>
        <w:jc w:val="both"/>
      </w:pPr>
      <w:r>
        <w:t>输入内容：图纸D甲存在R1和R2两个批准版次。变更文件规定R2适用于批次B20及以后，B19仍适用R1。工单对象为B19，工艺卡引用R1；未提供其他改变生效范围的批准文件。</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12" name="Picture 12"/>
            <wp:cNvGraphicFramePr>
              <a:graphicFrameLocks noChangeAspect="1"/>
            </wp:cNvGraphicFramePr>
            <a:graphic>
              <a:graphicData uri="http://schemas.openxmlformats.org/drawingml/2006/picture">
                <pic:pic>
                  <pic:nvPicPr>
                    <pic:cNvPr id="0" name="例图02_1.png"/>
                    <pic:cNvPicPr/>
                  </pic:nvPicPr>
                  <pic:blipFill>
                    <a:blip r:embed="rId16"/>
                    <a:stretch>
                      <a:fillRect/>
                    </a:stretch>
                  </pic:blipFill>
                  <pic:spPr>
                    <a:xfrm>
                      <a:off x="0" y="0"/>
                      <a:ext cx="6048000" cy="1422831"/>
                    </a:xfrm>
                    <a:prstGeom prst="rect"/>
                  </pic:spPr>
                </pic:pic>
              </a:graphicData>
            </a:graphic>
          </wp:inline>
        </w:drawing>
      </w:r>
    </w:p>
    <w:p>
      <w:pPr>
        <w:pStyle w:val="Caption"/>
        <w:jc w:val="center"/>
      </w:pPr>
      <w:r>
        <w:t>图4-5 图纸版次的适用范围判断</w:t>
      </w:r>
    </w:p>
    <w:p>
      <w:pPr>
        <w:jc w:val="both"/>
      </w:pPr>
      <w:r>
        <w:t>评测问题：工艺卡引用R1是否构成版本错误？</w:t>
      </w:r>
    </w:p>
    <w:p>
      <w:pPr>
        <w:jc w:val="both"/>
      </w:pPr>
      <w:r>
        <w:t>参考依据：按题定生效范围，B19适用R1，现有引用不构成版本错误。应保存工单批次、图纸版次及变更生效范围的关联。R2是较新版次，并不意味着所有历史批次必须改用R2。</w:t>
      </w:r>
    </w:p>
    <w:p>
      <w:pPr>
        <w:pStyle w:val="Caption"/>
        <w:keepNext/>
      </w:pPr>
      <w:r>
        <w:t>表4-58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B19适用R1</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未构成版本错误</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保留生效证据</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不按最新版本机械覆盖</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keepNext/>
        <w:jc w:val="both"/>
      </w:pPr>
      <w:r>
        <w:t>规范样本2 工序前置条件核查</w:t>
      </w:r>
    </w:p>
    <w:p>
      <w:pPr>
        <w:pStyle w:val="Caption"/>
        <w:keepNext/>
      </w:pPr>
      <w:r>
        <w:t>表4-59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EX-02-EVAL-002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PD04、precedence_check、inspection_dependency</w:t>
            </w:r>
          </w:p>
        </w:tc>
      </w:tr>
    </w:tbl>
    <w:p>
      <w:pPr>
        <w:spacing w:after="40" w:line="240" w:lineRule="auto"/>
        <w:ind w:firstLine="0"/>
      </w:pPr>
      <w:r>
        <w:rPr>
          <w:sz w:val="4"/>
        </w:rPr>
      </w:r>
    </w:p>
    <w:p>
      <w:pPr>
        <w:jc w:val="both"/>
      </w:pPr>
      <w:r>
        <w:t>输入内容：批准工艺规定工序P3必须在P2完成且检验通过后开始。记录显示P2已报工完成，检验状态为复核中；P3排程已经生成，但尚未下达开工指令。</w:t>
      </w:r>
    </w:p>
    <w:p>
      <w:pPr>
        <w:jc w:val="both"/>
      </w:pPr>
      <w:r>
        <w:t>评测问题：是否可以依据P2完成记录直接允许P3开工？</w:t>
      </w:r>
    </w:p>
    <w:p>
      <w:pPr>
        <w:jc w:val="both"/>
      </w:pPr>
      <w:r>
        <w:t>参考依据：不能直接允许。P3的前置条件包含P2完成和检验通过两项，复核中不等于检验通过。排程生成也不等于开工批准。应取得有效检验通过记录后，再由授权流程确认开工条件。</w:t>
      </w:r>
    </w:p>
    <w:p>
      <w:pPr>
        <w:pStyle w:val="Caption"/>
        <w:keepNext/>
      </w:pPr>
      <w:r>
        <w:t>表4-60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识别两项前置条件</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复核中不算通过</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排程与开工不同</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要求有效检验记录</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keepNext/>
        <w:jc w:val="both"/>
      </w:pPr>
      <w:r>
        <w:t>规范样本3 工艺曲线区间的适用性</w:t>
      </w:r>
    </w:p>
    <w:p>
      <w:pPr>
        <w:pStyle w:val="Caption"/>
        <w:keepNext/>
      </w:pPr>
      <w:r>
        <w:t>表4-61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EX-02-EVAL-003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PD05、stage_sequence、evidence_insufficient</w:t>
            </w:r>
          </w:p>
        </w:tc>
      </w:tr>
    </w:tbl>
    <w:p>
      <w:pPr>
        <w:spacing w:after="40" w:line="240" w:lineRule="auto"/>
        <w:ind w:firstLine="0"/>
      </w:pPr>
      <w:r>
        <w:rPr>
          <w:sz w:val="4"/>
        </w:rPr>
      </w:r>
    </w:p>
    <w:p>
      <w:pPr>
        <w:jc w:val="both"/>
      </w:pPr>
      <w:r>
        <w:t>输入内容：批准工艺片段划分为升温、保温、冷却三个阶段，阶段代码依次为H、S、C。提供的规范曲线记录为相对时刻0、1、2、3、4，阶段H、H、S、S、C；观测值只用于说明记录结构，未提供材料适用工艺限值。</w:t>
      </w:r>
    </w:p>
    <w:p>
      <w:pPr>
        <w:pStyle w:val="Caption"/>
        <w:keepNext/>
      </w:pPr>
      <w:r>
        <w:t>表4-62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center"/>
            </w:pPr>
            <w:r>
              <w:rPr>
                <w:b w:val="0"/>
                <w:sz w:val="21"/>
              </w:rPr>
              <w:t>0</w:t>
            </w:r>
          </w:p>
        </w:tc>
        <w:tc>
          <w:tcPr>
            <w:tcW w:type="dxa" w:w="7228"/>
            <w:vAlign w:val="center"/>
          </w:tcPr>
          <w:p>
            <w:pPr>
              <w:keepNext/>
              <w:spacing w:line="320" w:lineRule="exact" w:after="0" w:before="0"/>
              <w:ind w:firstLine="0"/>
              <w:jc w:val="left"/>
            </w:pPr>
            <w:r>
              <w:rPr>
                <w:b w:val="0"/>
                <w:sz w:val="21"/>
              </w:rPr>
              <w:t>H</w:t>
            </w:r>
          </w:p>
        </w:tc>
      </w:tr>
      <w:tr>
        <w:trPr>
          <w:cantSplit/>
        </w:trPr>
        <w:tc>
          <w:tcPr>
            <w:tcW w:type="dxa" w:w="2409"/>
            <w:vAlign w:val="center"/>
          </w:tcPr>
          <w:p>
            <w:pPr>
              <w:keepNext/>
              <w:spacing w:line="320" w:lineRule="exact" w:after="0" w:before="0"/>
              <w:ind w:firstLine="0"/>
              <w:jc w:val="center"/>
            </w:pPr>
            <w:r>
              <w:rPr>
                <w:b w:val="0"/>
                <w:sz w:val="21"/>
              </w:rPr>
              <w:t>1</w:t>
            </w:r>
          </w:p>
        </w:tc>
        <w:tc>
          <w:tcPr>
            <w:tcW w:type="dxa" w:w="7228"/>
            <w:vAlign w:val="center"/>
          </w:tcPr>
          <w:p>
            <w:pPr>
              <w:keepNext/>
              <w:spacing w:line="320" w:lineRule="exact" w:after="0" w:before="0"/>
              <w:ind w:firstLine="0"/>
              <w:jc w:val="left"/>
            </w:pPr>
            <w:r>
              <w:rPr>
                <w:b w:val="0"/>
                <w:sz w:val="21"/>
              </w:rPr>
              <w:t>H</w:t>
            </w:r>
          </w:p>
        </w:tc>
      </w:tr>
      <w:tr>
        <w:trPr>
          <w:cantSplit/>
        </w:trPr>
        <w:tc>
          <w:tcPr>
            <w:tcW w:type="dxa" w:w="2409"/>
            <w:vAlign w:val="center"/>
          </w:tcPr>
          <w:p>
            <w:pPr>
              <w:keepNext/>
              <w:spacing w:line="320" w:lineRule="exact" w:after="0" w:before="0"/>
              <w:ind w:firstLine="0"/>
              <w:jc w:val="center"/>
            </w:pPr>
            <w:r>
              <w:rPr>
                <w:b w:val="0"/>
                <w:sz w:val="21"/>
              </w:rPr>
              <w:t>2</w:t>
            </w:r>
          </w:p>
        </w:tc>
        <w:tc>
          <w:tcPr>
            <w:tcW w:type="dxa" w:w="7228"/>
            <w:vAlign w:val="center"/>
          </w:tcPr>
          <w:p>
            <w:pPr>
              <w:keepNext/>
              <w:spacing w:line="320" w:lineRule="exact" w:after="0" w:before="0"/>
              <w:ind w:firstLine="0"/>
              <w:jc w:val="left"/>
            </w:pPr>
            <w:r>
              <w:rPr>
                <w:b w:val="0"/>
                <w:sz w:val="21"/>
              </w:rPr>
              <w:t>S</w:t>
            </w:r>
          </w:p>
        </w:tc>
      </w:tr>
      <w:tr>
        <w:trPr>
          <w:cantSplit/>
        </w:trPr>
        <w:tc>
          <w:tcPr>
            <w:tcW w:type="dxa" w:w="2409"/>
            <w:vAlign w:val="center"/>
          </w:tcPr>
          <w:p>
            <w:pPr>
              <w:keepNext/>
              <w:spacing w:line="320" w:lineRule="exact" w:after="0" w:before="0"/>
              <w:ind w:firstLine="0"/>
              <w:jc w:val="center"/>
            </w:pPr>
            <w:r>
              <w:rPr>
                <w:b w:val="0"/>
                <w:sz w:val="21"/>
              </w:rPr>
              <w:t>3</w:t>
            </w:r>
          </w:p>
        </w:tc>
        <w:tc>
          <w:tcPr>
            <w:tcW w:type="dxa" w:w="7228"/>
            <w:vAlign w:val="center"/>
          </w:tcPr>
          <w:p>
            <w:pPr>
              <w:keepNext/>
              <w:spacing w:line="320" w:lineRule="exact" w:after="0" w:before="0"/>
              <w:ind w:firstLine="0"/>
              <w:jc w:val="left"/>
            </w:pPr>
            <w:r>
              <w:rPr>
                <w:b w:val="0"/>
                <w:sz w:val="21"/>
              </w:rPr>
              <w:t>S</w:t>
            </w:r>
          </w:p>
        </w:tc>
      </w:tr>
      <w:tr>
        <w:trPr>
          <w:cantSplit/>
        </w:trPr>
        <w:tc>
          <w:tcPr>
            <w:tcW w:type="dxa" w:w="2409"/>
            <w:vAlign w:val="center"/>
          </w:tcPr>
          <w:p>
            <w:pPr>
              <w:keepNext w:val="0"/>
              <w:spacing w:line="320" w:lineRule="exact" w:after="0" w:before="0"/>
              <w:ind w:firstLine="0"/>
              <w:jc w:val="center"/>
            </w:pPr>
            <w:r>
              <w:rPr>
                <w:b w:val="0"/>
                <w:sz w:val="21"/>
              </w:rPr>
              <w:t>4</w:t>
            </w:r>
          </w:p>
        </w:tc>
        <w:tc>
          <w:tcPr>
            <w:tcW w:type="dxa" w:w="7228"/>
            <w:vAlign w:val="center"/>
          </w:tcPr>
          <w:p>
            <w:pPr>
              <w:keepNext w:val="0"/>
              <w:spacing w:line="320" w:lineRule="exact" w:after="0" w:before="0"/>
              <w:ind w:firstLine="0"/>
              <w:jc w:val="left"/>
            </w:pPr>
            <w:r>
              <w:rPr>
                <w:b w:val="0"/>
                <w:sz w:val="21"/>
              </w:rPr>
              <w:t>C</w:t>
            </w:r>
          </w:p>
        </w:tc>
      </w:tr>
    </w:tbl>
    <w:p>
      <w:pPr>
        <w:spacing w:after="40" w:line="240" w:lineRule="auto"/>
        <w:ind w:firstLine="0"/>
      </w:pPr>
      <w:r>
        <w:rPr>
          <w:sz w:val="4"/>
        </w:rPr>
      </w:r>
    </w:p>
    <w:p>
      <w:pPr>
        <w:jc w:val="both"/>
      </w:pPr>
      <w:r>
        <w:t>评测问题：能否仅凭该曲线宣布实际工艺合格？可以核查哪些内容？</w:t>
      </w:r>
    </w:p>
    <w:p>
      <w:pPr>
        <w:jc w:val="both"/>
      </w:pPr>
      <w:r>
        <w:t>参考依据：可以核查阶段顺序、时间递增和记录结构，现有序列满足H到S再到C的题定顺序。未提供材料、工件、测点条件及批准限值，不能判定实际工艺合格。专业合格判断必须关联相应批准工艺及完整测量依据。</w:t>
      </w:r>
    </w:p>
    <w:p>
      <w:pPr>
        <w:pStyle w:val="Caption"/>
        <w:keepNext/>
      </w:pPr>
      <w:r>
        <w:t>表4-63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阶段顺序可检查</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时间顺序可检查</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不宣布工艺合格</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要求适用限值与依据</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pStyle w:val="Heading3"/>
        <w:pageBreakBefore/>
      </w:pPr>
      <w:r>
        <w:t>4.4.10 生产与使用核验</w:t>
      </w:r>
    </w:p>
    <w:p>
      <w:pPr>
        <w:jc w:val="both"/>
      </w:pPr>
      <w:r>
        <w:t>对相同题目和协议比较招标指定基础模型、继续预训练模型、指令微调模型及偏好对齐模型；逐题保存输出、评分和切片统计，未完成题目及失败调用单独报告。本领域同时检查图纸字段抽取精确率及召回率、单位与公差识别正确率、工艺次序判断正确率、适用版本判断正确率、专业证据引用正确率。统计按任务类型、来源、模态、难度及关键业务对象分层，保留题目或记录级结果和失败对象。</w:t>
      </w:r>
    </w:p>
    <w:p>
      <w:pPr>
        <w:jc w:val="both"/>
      </w:pPr>
      <w:r>
        <w:t>生产检查从来源记录开始核对产品配置、图号、版次、物料、材料牌号、零部件、工艺路线、工序与生效范围，确认图纸解析保留尺寸、公差、基准及版面定位；关联产品配置与适用版次；把材料、工序、设备适用条件和检验依据连接到工艺路线；变更按生效对象及批次区分；专业参数由有效批准依据确认。专业分歧由产品设计、工艺、材料、焊接、热处理及检验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1"/>
        <w:pageBreakBefore/>
      </w:pPr>
      <w:r>
        <w:t>5 制造过程用途子集数据卡</w:t>
      </w:r>
    </w:p>
    <w:p>
      <w:pPr>
        <w:jc w:val="both"/>
      </w:pPr>
      <w:r>
        <w:t>本领域以工单、产品实例、材料批次、工序、炉次、焊缝、设备、测点、事件及时间窗口组织记录，覆盖工单执行、工序流转、板材备料、焊接、热处理、机加工、设备运行、能源关联、过程异常与维修活动。四个用途分别建立任务、清单、卡片和质量证据，并按实际版本管理。</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13" name="Picture 13"/>
            <wp:cNvGraphicFramePr>
              <a:graphicFrameLocks noChangeAspect="1"/>
            </wp:cNvGraphicFramePr>
            <a:graphic>
              <a:graphicData uri="http://schemas.openxmlformats.org/drawingml/2006/picture">
                <pic:pic>
                  <pic:nvPicPr>
                    <pic:cNvPr id="0" name="图5_制造关系.png"/>
                    <pic:cNvPicPr/>
                  </pic:nvPicPr>
                  <pic:blipFill>
                    <a:blip r:embed="rId17"/>
                    <a:stretch>
                      <a:fillRect/>
                    </a:stretch>
                  </pic:blipFill>
                  <pic:spPr>
                    <a:xfrm>
                      <a:off x="0" y="0"/>
                      <a:ext cx="6048000" cy="2477354"/>
                    </a:xfrm>
                    <a:prstGeom prst="rect"/>
                  </pic:spPr>
                </pic:pic>
              </a:graphicData>
            </a:graphic>
          </wp:inline>
        </w:drawing>
      </w:r>
    </w:p>
    <w:p>
      <w:pPr>
        <w:pStyle w:val="Caption"/>
        <w:jc w:val="center"/>
      </w:pPr>
      <w:r>
        <w:t>图5-1 制造过程对象与观测关系</w:t>
      </w:r>
    </w:p>
    <w:p>
      <w:pPr>
        <w:pStyle w:val="Heading2"/>
      </w:pPr>
      <w:r>
        <w:t>5.1 预训练数据卡</w:t>
      </w:r>
    </w:p>
    <w:p>
      <w:pPr>
        <w:pStyle w:val="Heading3"/>
      </w:pPr>
      <w:r>
        <w:t>5.1.1 基本信息</w:t>
      </w:r>
    </w:p>
    <w:p>
      <w:pPr>
        <w:pStyle w:val="Caption"/>
        <w:keepNext/>
      </w:pPr>
      <w:r>
        <w:t>表5-1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GHY26691-DC-03-0001-V1.0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制造过程数据集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预训练</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03 制造过程；关联对象为工单、产品实例、材料批次、工序、炉次、焊缝、设备、测点、事件及时间窗口</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预训练有效净量10500000000 Tokens；实际语义记录数由有效清单逐条统计</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预训练有效净量10500000000 Tokens，即105亿Tokens；保存分词器、配置和执行摘要</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采用第7章公共记录结构及本领域扩展字典；完整业务语义记录具有稳定标识、业务对象、来源家族、时间、内容、资源、标签与证据关系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根目录按03-PT及数据版本组织；data保存记录，resources保存模态载荷，metadata保存来源与关系，dictionary保存字段和标签，cards保存卡片，reports保存报告，tools保存解析程序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03-PT-数据版本-六位分片序号.jsonl；资源以稳定资源标识命名；卡片使用完整卡号；路径采用相对路径并拒绝越界和重名冲突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平台服务工单按卡号、数据版本及问题对象受理；由技术与生产、设备、工艺、能源、质量及现场采集专业岗位协同处理，服务时段和响应要求执行统一售后安排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工单执行、工序流转、板材备料、焊接、热处理、机加工、设备运行、能源关联、过程异常与维修活动。以工单、产品实例、材料批次、工序、炉次、焊缝、设备、测点、事件及时间窗口建立对象关系，来源范围包括MES中的工单和报工，SCADA中的过程采样，热处理群控中的炉次及曲线，EMS中的能源记录，EAM中的设备和维修，QMS中的过程检验，LMS、WMS中的物流与领退料记录。面向预训练形成忠实保留原始事实、关系和适用条件的领域语料，重点检查原文保真、语义完整、有效Tokens及重复损耗。数据支持板材智能备料、热处理工艺优化、焊接工艺优化、刮板输送机健康管理、决策数据智能问答助手，结论依据实际输入、专业条件和验证范围使用。涉及生产节拍、设备状态、现场视频、人员影像、关键过程参数和运行位置时执行相应授权及安全处理。业务事实、推断与未知状态分别标记，数据版本与引用依据保持一致。</w:t>
      </w:r>
    </w:p>
    <w:p>
      <w:pPr>
        <w:pStyle w:val="Heading3"/>
      </w:pPr>
      <w:r>
        <w:t>5.1.2 内容特征</w:t>
      </w:r>
    </w:p>
    <w:p>
      <w:pPr>
        <w:pStyle w:val="Caption"/>
        <w:keepNext/>
      </w:pPr>
      <w:r>
        <w:t>表5-2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文本、图像、时序、视频按有效载荷统计；重点关联工单、产品实例、材料批次、工序、炉次、焊缝、设备、测点、事件及时间窗口；图纸、表格载体不独立增加模态数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以完整业务语义记录为分母，至少两种有效关联模态的记录为分子；分子、分母及互斥组合清单齐备，按1.4节满足40%要求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按MP01工单与工序、MP02备料与加工、MP03焊接过程、MP04热处理过程、MP05设备与能耗、MP06异常与维修统计；主主题互斥，辅助主题允许多选并另列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按事实识读、跨段关系和条件组合区分语料复杂性，不把长度直接当作推理难度</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合成与增强来源内容的并集不超过有效Tokens的20%；交集去重计算</w:t>
            </w:r>
          </w:p>
        </w:tc>
      </w:tr>
    </w:tbl>
    <w:p>
      <w:pPr>
        <w:spacing w:after="40" w:line="240" w:lineRule="auto"/>
        <w:ind w:firstLine="0"/>
      </w:pPr>
      <w:r>
        <w:rPr>
          <w:sz w:val="4"/>
        </w:rPr>
      </w:r>
    </w:p>
    <w:p>
      <w:pPr>
        <w:pStyle w:val="Heading3"/>
      </w:pPr>
      <w:r>
        <w:t>5.1.3 建设过程</w:t>
      </w:r>
    </w:p>
    <w:p>
      <w:pPr>
        <w:pStyle w:val="Caption"/>
        <w:keepNext/>
      </w:pPr>
      <w:r>
        <w:t>表5-3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MES中的工单和报工，SCADA中的过程采样，热处理群控中的炉次及曲线，EMS中的能源记录，EAM中的设备和维修，QMS中的过程检验，LMS、WMS中的物流与领退料记录；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按设备实物身份与工单组织记录，固定原时钟和校正关系；以业务事件划定时序窗口；分开真实工艺异常、传感器异常和采集链路异常；图像视频与工序阶段、位置及批次对齐；过程结论连接实际检验或维修证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保存解析器、字典、切分、窗口、重叠、单位换算、时间校正和对齐配置；工单、产品实例、材料批次、工序、炉次、焊缝、设备、测点、事件及时间窗口为关联校验重点；参数经真实资料验证后冻结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主题、实体、术语、版面、时间和模态关联元数据；发生专业语义标记时纳入对应标注规范；规范编号与实际生产记录绑定，不因预训练用途自动省略专业标记管理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由生产、设备、工艺、能源、质量及现场采集专业岗位承担专业定义与争议裁决，标注人员依规范执行；自检、交叉复核、专家仲裁分别保存原始结果及修订记录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5.1.4 应用说明</w:t>
      </w:r>
    </w:p>
    <w:p>
      <w:pPr>
        <w:pStyle w:val="Caption"/>
        <w:keepNext/>
      </w:pPr>
      <w:r>
        <w:t>表5-4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板材智能备料、热处理工艺优化、焊接工艺优化、刮板输送机健康管理、决策数据智能问答助手；验证结论按实际场景、输入条件和版本形成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继续预训练；输入接口须支持实际文本、图像、时序或视频载荷及对应关系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事件与工序识别F1、时序片段定位误差、过程关联正确率、采集缺口识别召回率、异常解释证据正确率及设备切片稳定性；各用途采用本卡评价协议并保留定义、方向和统计单位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5.1.5 质量验证</w:t>
      </w:r>
    </w:p>
    <w:p>
      <w:pPr>
        <w:pStyle w:val="Caption"/>
        <w:keepNext/>
      </w:pPr>
      <w:r>
        <w:t>表5-5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质检报告采用GHY26691-QC-03-0001并绑定实际版本、受检清单和内容根摘要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分别报告保真度、完备性、规整性、均衡性、可用性、可信性的方法、结果与问题；按工单、产品实例、材料批次、工序、炉次、焊缝、设备、测点、事件及时间窗口检查关键业务关联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验证报告采用GHY26691-VR-03-0001及实际版本；引用数据、模型、协议、实验和原始输出，汇总与子集范围分别标明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生产、设备、工艺、能源、质量及现场采集专业岗位结合板材智能备料、热处理工艺优化、焊接工艺优化、刮板输送机健康管理、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5.1.6 安全合规</w:t>
      </w:r>
    </w:p>
    <w:p>
      <w:pPr>
        <w:pStyle w:val="Caption"/>
        <w:keepNext/>
      </w:pPr>
      <w:r>
        <w:t>表5-6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生产经营数据中的制造过程相关数据；按工单执行、工序流转、板材备料、焊接、热处理、机加工、设备运行、能源关联、过程异常与维修活动细分并关联资产目录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生产节拍、设备状态、现场视频、人员影像、关键过程参数和运行位置；实际敏感要素由检测与人工复核确认，未知状态不按无敏感信息处理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人员影像和工号按用途遮蔽或替代；设备编号保持稳定受控映射；生产时间按授权用途处理并保持事件相对顺序；涉及参数的资料采用受控访问，避免变换破坏工艺含义</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生产、设备、工艺、能源、质量及现场采集专业岗位按业务必要性申请；加工、质量与评测岗位取得任务所需权限，基准答案、原始敏感资料和替代映射分别控制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按卡号GHY26691-DC-03-0001-V1.0、实际数据版本、对象标识和工单关联查询采集、加工、访问、下载、评测及发布审计；交付留存必要受控记录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5.1.7 指纹血缘</w:t>
      </w:r>
    </w:p>
    <w:p>
      <w:pPr>
        <w:pStyle w:val="Caption"/>
        <w:keepNext/>
      </w:pPr>
      <w:r>
        <w:t>表5-7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03-PT根目录内package.json登记身份、数据版本、结构版本、字典、卡片、资源和文件清单；脱离平台按第7章完成读取及核验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5.1.8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表5-8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work_order_id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工单稳定编号</w:t>
            </w:r>
          </w:p>
        </w:tc>
        <w:tc>
          <w:tcPr>
            <w:tcW w:type="dxa" w:w="3084"/>
            <w:vAlign w:val="center"/>
          </w:tcPr>
          <w:p>
            <w:pPr>
              <w:keepNext w:val="0"/>
              <w:spacing w:line="320" w:lineRule="exact" w:after="0" w:before="0"/>
              <w:ind w:firstLine="0"/>
              <w:jc w:val="left"/>
            </w:pPr>
            <w:r>
              <w:rPr>
                <w:b w:val="0"/>
                <w:sz w:val="21"/>
              </w:rPr>
              <w:t>分批与返工采用独立实例关系</w:t>
            </w:r>
          </w:p>
        </w:tc>
      </w:tr>
      <w:tr>
        <w:trPr>
          <w:cantSplit/>
        </w:trPr>
        <w:tc>
          <w:tcPr>
            <w:tcW w:type="dxa" w:w="2313"/>
            <w:vAlign w:val="center"/>
          </w:tcPr>
          <w:p>
            <w:pPr>
              <w:keepNext w:val="0"/>
              <w:spacing w:line="320" w:lineRule="exact" w:after="0" w:before="0"/>
              <w:ind w:firstLine="0"/>
              <w:jc w:val="left"/>
            </w:pPr>
            <w:r>
              <w:rPr>
                <w:b w:val="0"/>
                <w:sz w:val="21"/>
              </w:rPr>
              <w:t>equipment_instance</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设备及安装部件身份</w:t>
            </w:r>
          </w:p>
        </w:tc>
        <w:tc>
          <w:tcPr>
            <w:tcW w:type="dxa" w:w="3084"/>
            <w:vAlign w:val="center"/>
          </w:tcPr>
          <w:p>
            <w:pPr>
              <w:keepNext w:val="0"/>
              <w:spacing w:line="320" w:lineRule="exact" w:after="0" w:before="0"/>
              <w:ind w:firstLine="0"/>
              <w:jc w:val="left"/>
            </w:pPr>
            <w:r>
              <w:rPr>
                <w:b w:val="0"/>
                <w:sz w:val="21"/>
              </w:rPr>
              <w:t>换件前后保留安装期间</w:t>
            </w:r>
          </w:p>
        </w:tc>
      </w:tr>
      <w:tr>
        <w:trPr>
          <w:cantSplit/>
        </w:trPr>
        <w:tc>
          <w:tcPr>
            <w:tcW w:type="dxa" w:w="2313"/>
            <w:vAlign w:val="center"/>
          </w:tcPr>
          <w:p>
            <w:pPr>
              <w:keepNext w:val="0"/>
              <w:spacing w:line="320" w:lineRule="exact" w:after="0" w:before="0"/>
              <w:ind w:firstLine="0"/>
              <w:jc w:val="left"/>
            </w:pPr>
            <w:r>
              <w:rPr>
                <w:b w:val="0"/>
                <w:sz w:val="21"/>
              </w:rPr>
              <w:t>event_window</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起止时间、时区、闭合方式与事件编号</w:t>
            </w:r>
          </w:p>
        </w:tc>
        <w:tc>
          <w:tcPr>
            <w:tcW w:type="dxa" w:w="3084"/>
            <w:vAlign w:val="center"/>
          </w:tcPr>
          <w:p>
            <w:pPr>
              <w:keepNext w:val="0"/>
              <w:spacing w:line="320" w:lineRule="exact" w:after="0" w:before="0"/>
              <w:ind w:firstLine="0"/>
              <w:jc w:val="left"/>
            </w:pPr>
            <w:r>
              <w:rPr>
                <w:b w:val="0"/>
                <w:sz w:val="21"/>
              </w:rPr>
              <w:t>起止有序，跨边界片段保留前后文</w:t>
            </w:r>
          </w:p>
        </w:tc>
      </w:tr>
      <w:tr>
        <w:trPr>
          <w:cantSplit/>
        </w:trPr>
        <w:tc>
          <w:tcPr>
            <w:tcW w:type="dxa" w:w="2313"/>
            <w:vAlign w:val="center"/>
          </w:tcPr>
          <w:p>
            <w:pPr>
              <w:keepNext w:val="0"/>
              <w:spacing w:line="320" w:lineRule="exact" w:after="0" w:before="0"/>
              <w:ind w:firstLine="0"/>
              <w:jc w:val="left"/>
            </w:pPr>
            <w:r>
              <w:rPr>
                <w:b w:val="0"/>
                <w:sz w:val="21"/>
              </w:rPr>
              <w:t>sensor_id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测点及校准配置标识</w:t>
            </w:r>
          </w:p>
        </w:tc>
        <w:tc>
          <w:tcPr>
            <w:tcW w:type="dxa" w:w="3084"/>
            <w:vAlign w:val="center"/>
          </w:tcPr>
          <w:p>
            <w:pPr>
              <w:keepNext w:val="0"/>
              <w:spacing w:line="320" w:lineRule="exact" w:after="0" w:before="0"/>
              <w:ind w:firstLine="0"/>
              <w:jc w:val="left"/>
            </w:pPr>
            <w:r>
              <w:rPr>
                <w:b w:val="0"/>
                <w:sz w:val="21"/>
              </w:rPr>
              <w:t>原单位与换算配置可追溯</w:t>
            </w:r>
          </w:p>
        </w:tc>
      </w:tr>
      <w:tr>
        <w:trPr>
          <w:cantSplit/>
        </w:trPr>
        <w:tc>
          <w:tcPr>
            <w:tcW w:type="dxa" w:w="2313"/>
            <w:vAlign w:val="center"/>
          </w:tcPr>
          <w:p>
            <w:pPr>
              <w:keepNext w:val="0"/>
              <w:spacing w:line="320" w:lineRule="exact" w:after="0" w:before="0"/>
              <w:ind w:firstLine="0"/>
              <w:jc w:val="left"/>
            </w:pPr>
            <w:r>
              <w:rPr>
                <w:b w:val="0"/>
                <w:sz w:val="21"/>
              </w:rPr>
              <w:t>sample_time</w:t>
            </w:r>
          </w:p>
        </w:tc>
        <w:tc>
          <w:tcPr>
            <w:tcW w:type="dxa" w:w="1157"/>
            <w:vAlign w:val="center"/>
          </w:tcPr>
          <w:p>
            <w:pPr>
              <w:keepNext w:val="0"/>
              <w:spacing w:line="320" w:lineRule="exact" w:after="0" w:before="0"/>
              <w:ind w:firstLine="0"/>
              <w:jc w:val="left"/>
            </w:pPr>
            <w:r>
              <w:rPr>
                <w:b w:val="0"/>
                <w:sz w:val="21"/>
              </w:rPr>
              <w:t>时间数组</w:t>
            </w:r>
          </w:p>
        </w:tc>
        <w:tc>
          <w:tcPr>
            <w:tcW w:type="dxa" w:w="3084"/>
            <w:vAlign w:val="center"/>
          </w:tcPr>
          <w:p>
            <w:pPr>
              <w:keepNext w:val="0"/>
              <w:spacing w:line="320" w:lineRule="exact" w:after="0" w:before="0"/>
              <w:ind w:firstLine="0"/>
              <w:jc w:val="left"/>
            </w:pPr>
            <w:r>
              <w:rPr>
                <w:b w:val="0"/>
                <w:sz w:val="21"/>
              </w:rPr>
              <w:t>按观测顺序记录原采样时间</w:t>
            </w:r>
          </w:p>
        </w:tc>
        <w:tc>
          <w:tcPr>
            <w:tcW w:type="dxa" w:w="3084"/>
            <w:vAlign w:val="center"/>
          </w:tcPr>
          <w:p>
            <w:pPr>
              <w:keepNext w:val="0"/>
              <w:spacing w:line="320" w:lineRule="exact" w:after="0" w:before="0"/>
              <w:ind w:firstLine="0"/>
              <w:jc w:val="left"/>
            </w:pPr>
            <w:r>
              <w:rPr>
                <w:b w:val="0"/>
                <w:sz w:val="21"/>
              </w:rPr>
              <w:t>重复、缺口和校时处理有状态</w:t>
            </w:r>
          </w:p>
        </w:tc>
      </w:tr>
      <w:tr>
        <w:trPr>
          <w:cantSplit/>
        </w:trPr>
        <w:tc>
          <w:tcPr>
            <w:tcW w:type="dxa" w:w="2313"/>
            <w:vAlign w:val="center"/>
          </w:tcPr>
          <w:p>
            <w:pPr>
              <w:keepNext w:val="0"/>
              <w:spacing w:line="320" w:lineRule="exact" w:after="0" w:before="0"/>
              <w:ind w:firstLine="0"/>
              <w:jc w:val="left"/>
            </w:pPr>
            <w:r>
              <w:rPr>
                <w:b w:val="0"/>
                <w:sz w:val="21"/>
              </w:rPr>
              <w:t>process_state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running、stopped、maintenance、unknown</w:t>
            </w:r>
          </w:p>
        </w:tc>
        <w:tc>
          <w:tcPr>
            <w:tcW w:type="dxa" w:w="3084"/>
            <w:vAlign w:val="center"/>
          </w:tcPr>
          <w:p>
            <w:pPr>
              <w:keepNext w:val="0"/>
              <w:spacing w:line="320" w:lineRule="exact" w:after="0" w:before="0"/>
              <w:ind w:firstLine="0"/>
              <w:jc w:val="left"/>
            </w:pPr>
            <w:r>
              <w:rPr>
                <w:b w:val="0"/>
                <w:sz w:val="21"/>
              </w:rPr>
              <w:t>依据事件记录判断，不由空值自动推定停机</w:t>
            </w:r>
          </w:p>
        </w:tc>
      </w:tr>
    </w:tbl>
    <w:p>
      <w:pPr>
        <w:spacing w:after="40" w:line="240" w:lineRule="auto"/>
        <w:ind w:firstLine="0"/>
      </w:pPr>
      <w:r>
        <w:rPr>
          <w:sz w:val="4"/>
        </w:rPr>
      </w:r>
    </w:p>
    <w:p>
      <w:pPr>
        <w:pStyle w:val="Caption"/>
        <w:keepNext/>
      </w:pPr>
      <w:r>
        <w:t>表5-9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MP01</w:t>
            </w:r>
          </w:p>
        </w:tc>
        <w:tc>
          <w:tcPr>
            <w:tcW w:type="dxa" w:w="2891"/>
            <w:vAlign w:val="center"/>
          </w:tcPr>
          <w:p>
            <w:pPr>
              <w:keepNext w:val="0"/>
              <w:spacing w:line="320" w:lineRule="exact" w:after="0" w:before="0"/>
              <w:ind w:firstLine="0"/>
              <w:jc w:val="left"/>
            </w:pPr>
            <w:r>
              <w:rPr>
                <w:b w:val="0"/>
                <w:sz w:val="21"/>
              </w:rPr>
              <w:t>工单与工序</w:t>
            </w:r>
          </w:p>
        </w:tc>
        <w:tc>
          <w:tcPr>
            <w:tcW w:type="dxa" w:w="4433"/>
            <w:vAlign w:val="center"/>
          </w:tcPr>
          <w:p>
            <w:pPr>
              <w:keepNext w:val="0"/>
              <w:spacing w:line="320" w:lineRule="exact" w:after="0" w:before="0"/>
              <w:ind w:firstLine="0"/>
              <w:jc w:val="left"/>
            </w:pPr>
            <w:r>
              <w:rPr>
                <w:b w:val="0"/>
                <w:sz w:val="21"/>
              </w:rPr>
              <w:t>计划、开工、完工和检验关系</w:t>
            </w:r>
          </w:p>
        </w:tc>
      </w:tr>
      <w:tr>
        <w:trPr>
          <w:cantSplit/>
        </w:trPr>
        <w:tc>
          <w:tcPr>
            <w:tcW w:type="dxa" w:w="2313"/>
            <w:vAlign w:val="center"/>
          </w:tcPr>
          <w:p>
            <w:pPr>
              <w:keepNext w:val="0"/>
              <w:spacing w:line="320" w:lineRule="exact" w:after="0" w:before="0"/>
              <w:ind w:firstLine="0"/>
              <w:jc w:val="left"/>
            </w:pPr>
            <w:r>
              <w:rPr>
                <w:b w:val="0"/>
                <w:sz w:val="21"/>
              </w:rPr>
              <w:t>MP02</w:t>
            </w:r>
          </w:p>
        </w:tc>
        <w:tc>
          <w:tcPr>
            <w:tcW w:type="dxa" w:w="2891"/>
            <w:vAlign w:val="center"/>
          </w:tcPr>
          <w:p>
            <w:pPr>
              <w:keepNext w:val="0"/>
              <w:spacing w:line="320" w:lineRule="exact" w:after="0" w:before="0"/>
              <w:ind w:firstLine="0"/>
              <w:jc w:val="left"/>
            </w:pPr>
            <w:r>
              <w:rPr>
                <w:b w:val="0"/>
                <w:sz w:val="21"/>
              </w:rPr>
              <w:t>备料与加工</w:t>
            </w:r>
          </w:p>
        </w:tc>
        <w:tc>
          <w:tcPr>
            <w:tcW w:type="dxa" w:w="4433"/>
            <w:vAlign w:val="center"/>
          </w:tcPr>
          <w:p>
            <w:pPr>
              <w:keepNext w:val="0"/>
              <w:spacing w:line="320" w:lineRule="exact" w:after="0" w:before="0"/>
              <w:ind w:firstLine="0"/>
              <w:jc w:val="left"/>
            </w:pPr>
            <w:r>
              <w:rPr>
                <w:b w:val="0"/>
                <w:sz w:val="21"/>
              </w:rPr>
              <w:t>材料批次、领退料和工序输入输出</w:t>
            </w:r>
          </w:p>
        </w:tc>
      </w:tr>
      <w:tr>
        <w:trPr>
          <w:cantSplit/>
        </w:trPr>
        <w:tc>
          <w:tcPr>
            <w:tcW w:type="dxa" w:w="2313"/>
            <w:vAlign w:val="center"/>
          </w:tcPr>
          <w:p>
            <w:pPr>
              <w:keepNext w:val="0"/>
              <w:spacing w:line="320" w:lineRule="exact" w:after="0" w:before="0"/>
              <w:ind w:firstLine="0"/>
              <w:jc w:val="left"/>
            </w:pPr>
            <w:r>
              <w:rPr>
                <w:b w:val="0"/>
                <w:sz w:val="21"/>
              </w:rPr>
              <w:t>MP03</w:t>
            </w:r>
          </w:p>
        </w:tc>
        <w:tc>
          <w:tcPr>
            <w:tcW w:type="dxa" w:w="2891"/>
            <w:vAlign w:val="center"/>
          </w:tcPr>
          <w:p>
            <w:pPr>
              <w:keepNext w:val="0"/>
              <w:spacing w:line="320" w:lineRule="exact" w:after="0" w:before="0"/>
              <w:ind w:firstLine="0"/>
              <w:jc w:val="left"/>
            </w:pPr>
            <w:r>
              <w:rPr>
                <w:b w:val="0"/>
                <w:sz w:val="21"/>
              </w:rPr>
              <w:t>焊接过程</w:t>
            </w:r>
          </w:p>
        </w:tc>
        <w:tc>
          <w:tcPr>
            <w:tcW w:type="dxa" w:w="4433"/>
            <w:vAlign w:val="center"/>
          </w:tcPr>
          <w:p>
            <w:pPr>
              <w:keepNext w:val="0"/>
              <w:spacing w:line="320" w:lineRule="exact" w:after="0" w:before="0"/>
              <w:ind w:firstLine="0"/>
              <w:jc w:val="left"/>
            </w:pPr>
            <w:r>
              <w:rPr>
                <w:b w:val="0"/>
                <w:sz w:val="21"/>
              </w:rPr>
              <w:t>焊缝、位置、参数与检验关系</w:t>
            </w:r>
          </w:p>
        </w:tc>
      </w:tr>
      <w:tr>
        <w:trPr>
          <w:cantSplit/>
        </w:trPr>
        <w:tc>
          <w:tcPr>
            <w:tcW w:type="dxa" w:w="2313"/>
            <w:vAlign w:val="center"/>
          </w:tcPr>
          <w:p>
            <w:pPr>
              <w:keepNext w:val="0"/>
              <w:spacing w:line="320" w:lineRule="exact" w:after="0" w:before="0"/>
              <w:ind w:firstLine="0"/>
              <w:jc w:val="left"/>
            </w:pPr>
            <w:r>
              <w:rPr>
                <w:b w:val="0"/>
                <w:sz w:val="21"/>
              </w:rPr>
              <w:t>MP04</w:t>
            </w:r>
          </w:p>
        </w:tc>
        <w:tc>
          <w:tcPr>
            <w:tcW w:type="dxa" w:w="2891"/>
            <w:vAlign w:val="center"/>
          </w:tcPr>
          <w:p>
            <w:pPr>
              <w:keepNext w:val="0"/>
              <w:spacing w:line="320" w:lineRule="exact" w:after="0" w:before="0"/>
              <w:ind w:firstLine="0"/>
              <w:jc w:val="left"/>
            </w:pPr>
            <w:r>
              <w:rPr>
                <w:b w:val="0"/>
                <w:sz w:val="21"/>
              </w:rPr>
              <w:t>热处理过程</w:t>
            </w:r>
          </w:p>
        </w:tc>
        <w:tc>
          <w:tcPr>
            <w:tcW w:type="dxa" w:w="4433"/>
            <w:vAlign w:val="center"/>
          </w:tcPr>
          <w:p>
            <w:pPr>
              <w:keepNext w:val="0"/>
              <w:spacing w:line="320" w:lineRule="exact" w:after="0" w:before="0"/>
              <w:ind w:firstLine="0"/>
              <w:jc w:val="left"/>
            </w:pPr>
            <w:r>
              <w:rPr>
                <w:b w:val="0"/>
                <w:sz w:val="21"/>
              </w:rPr>
              <w:t>装炉、阶段、曲线和测点条件</w:t>
            </w:r>
          </w:p>
        </w:tc>
      </w:tr>
      <w:tr>
        <w:trPr>
          <w:cantSplit/>
        </w:trPr>
        <w:tc>
          <w:tcPr>
            <w:tcW w:type="dxa" w:w="2313"/>
            <w:vAlign w:val="center"/>
          </w:tcPr>
          <w:p>
            <w:pPr>
              <w:keepNext w:val="0"/>
              <w:spacing w:line="320" w:lineRule="exact" w:after="0" w:before="0"/>
              <w:ind w:firstLine="0"/>
              <w:jc w:val="left"/>
            </w:pPr>
            <w:r>
              <w:rPr>
                <w:b w:val="0"/>
                <w:sz w:val="21"/>
              </w:rPr>
              <w:t>MP05</w:t>
            </w:r>
          </w:p>
        </w:tc>
        <w:tc>
          <w:tcPr>
            <w:tcW w:type="dxa" w:w="2891"/>
            <w:vAlign w:val="center"/>
          </w:tcPr>
          <w:p>
            <w:pPr>
              <w:keepNext w:val="0"/>
              <w:spacing w:line="320" w:lineRule="exact" w:after="0" w:before="0"/>
              <w:ind w:firstLine="0"/>
              <w:jc w:val="left"/>
            </w:pPr>
            <w:r>
              <w:rPr>
                <w:b w:val="0"/>
                <w:sz w:val="21"/>
              </w:rPr>
              <w:t>设备与能耗</w:t>
            </w:r>
          </w:p>
        </w:tc>
        <w:tc>
          <w:tcPr>
            <w:tcW w:type="dxa" w:w="4433"/>
            <w:vAlign w:val="center"/>
          </w:tcPr>
          <w:p>
            <w:pPr>
              <w:keepNext w:val="0"/>
              <w:spacing w:line="320" w:lineRule="exact" w:after="0" w:before="0"/>
              <w:ind w:firstLine="0"/>
              <w:jc w:val="left"/>
            </w:pPr>
            <w:r>
              <w:rPr>
                <w:b w:val="0"/>
                <w:sz w:val="21"/>
              </w:rPr>
              <w:t>设备状态、观测窗口及能耗口径</w:t>
            </w:r>
          </w:p>
        </w:tc>
      </w:tr>
      <w:tr>
        <w:trPr>
          <w:cantSplit/>
        </w:trPr>
        <w:tc>
          <w:tcPr>
            <w:tcW w:type="dxa" w:w="2313"/>
            <w:vAlign w:val="center"/>
          </w:tcPr>
          <w:p>
            <w:pPr>
              <w:keepNext w:val="0"/>
              <w:spacing w:line="320" w:lineRule="exact" w:after="0" w:before="0"/>
              <w:ind w:firstLine="0"/>
              <w:jc w:val="left"/>
            </w:pPr>
            <w:r>
              <w:rPr>
                <w:b w:val="0"/>
                <w:sz w:val="21"/>
              </w:rPr>
              <w:t>MP06</w:t>
            </w:r>
          </w:p>
        </w:tc>
        <w:tc>
          <w:tcPr>
            <w:tcW w:type="dxa" w:w="2891"/>
            <w:vAlign w:val="center"/>
          </w:tcPr>
          <w:p>
            <w:pPr>
              <w:keepNext w:val="0"/>
              <w:spacing w:line="320" w:lineRule="exact" w:after="0" w:before="0"/>
              <w:ind w:firstLine="0"/>
              <w:jc w:val="left"/>
            </w:pPr>
            <w:r>
              <w:rPr>
                <w:b w:val="0"/>
                <w:sz w:val="21"/>
              </w:rPr>
              <w:t>异常与维修</w:t>
            </w:r>
          </w:p>
        </w:tc>
        <w:tc>
          <w:tcPr>
            <w:tcW w:type="dxa" w:w="4433"/>
            <w:vAlign w:val="center"/>
          </w:tcPr>
          <w:p>
            <w:pPr>
              <w:keepNext w:val="0"/>
              <w:spacing w:line="320" w:lineRule="exact" w:after="0" w:before="0"/>
              <w:ind w:firstLine="0"/>
              <w:jc w:val="left"/>
            </w:pPr>
            <w:r>
              <w:rPr>
                <w:b w:val="0"/>
                <w:sz w:val="21"/>
              </w:rPr>
              <w:t>事件证据、维修发现和恢复条件</w:t>
            </w:r>
          </w:p>
        </w:tc>
      </w:tr>
    </w:tbl>
    <w:p>
      <w:pPr>
        <w:spacing w:after="40" w:line="240" w:lineRule="auto"/>
        <w:ind w:firstLine="0"/>
      </w:pPr>
      <w:r>
        <w:rPr>
          <w:sz w:val="4"/>
        </w:rPr>
      </w:r>
    </w:p>
    <w:p>
      <w:pPr>
        <w:pStyle w:val="Caption"/>
        <w:keepNext/>
      </w:pPr>
      <w:r>
        <w:t>表5-10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表5-11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acquisition_failure</w:t>
            </w:r>
          </w:p>
        </w:tc>
        <w:tc>
          <w:tcPr>
            <w:tcW w:type="dxa" w:w="7228"/>
            <w:vAlign w:val="center"/>
          </w:tcPr>
          <w:p>
            <w:pPr>
              <w:keepNext w:val="0"/>
              <w:spacing w:line="320" w:lineRule="exact" w:after="0" w:before="0"/>
              <w:ind w:firstLine="0"/>
              <w:jc w:val="left"/>
            </w:pPr>
            <w:r>
              <w:rPr>
                <w:b w:val="0"/>
                <w:sz w:val="21"/>
              </w:rPr>
              <w:t>有采集或传输证据支持的数据链路异常，与真实工艺变化区分</w:t>
            </w:r>
          </w:p>
        </w:tc>
      </w:tr>
      <w:tr>
        <w:trPr>
          <w:cantSplit/>
        </w:trPr>
        <w:tc>
          <w:tcPr>
            <w:tcW w:type="dxa" w:w="2409"/>
            <w:vAlign w:val="center"/>
          </w:tcPr>
          <w:p>
            <w:pPr>
              <w:keepNext w:val="0"/>
              <w:spacing w:line="320" w:lineRule="exact" w:after="0" w:before="0"/>
              <w:ind w:firstLine="0"/>
              <w:jc w:val="left"/>
            </w:pPr>
            <w:r>
              <w:rPr>
                <w:b w:val="0"/>
                <w:sz w:val="21"/>
              </w:rPr>
              <w:t>alarm_review</w:t>
            </w:r>
          </w:p>
        </w:tc>
        <w:tc>
          <w:tcPr>
            <w:tcW w:type="dxa" w:w="7228"/>
            <w:vAlign w:val="center"/>
          </w:tcPr>
          <w:p>
            <w:pPr>
              <w:keepNext w:val="0"/>
              <w:spacing w:line="320" w:lineRule="exact" w:after="0" w:before="0"/>
              <w:ind w:firstLine="0"/>
              <w:jc w:val="left"/>
            </w:pPr>
            <w:r>
              <w:rPr>
                <w:b w:val="0"/>
                <w:sz w:val="21"/>
              </w:rPr>
              <w:t>对预警事实及后续检查分别记录并复核其证据关系</w:t>
            </w:r>
          </w:p>
        </w:tc>
      </w:tr>
      <w:tr>
        <w:trPr>
          <w:cantSplit/>
        </w:trPr>
        <w:tc>
          <w:tcPr>
            <w:tcW w:type="dxa" w:w="2409"/>
            <w:vAlign w:val="center"/>
          </w:tcPr>
          <w:p>
            <w:pPr>
              <w:keepNext w:val="0"/>
              <w:spacing w:line="320" w:lineRule="exact" w:after="0" w:before="0"/>
              <w:ind w:firstLine="0"/>
              <w:jc w:val="left"/>
            </w:pPr>
            <w:r>
              <w:rPr>
                <w:b w:val="0"/>
                <w:sz w:val="21"/>
              </w:rPr>
              <w:t>fault_unconfirmed</w:t>
            </w:r>
          </w:p>
        </w:tc>
        <w:tc>
          <w:tcPr>
            <w:tcW w:type="dxa" w:w="7228"/>
            <w:vAlign w:val="center"/>
          </w:tcPr>
          <w:p>
            <w:pPr>
              <w:keepNext w:val="0"/>
              <w:spacing w:line="320" w:lineRule="exact" w:after="0" w:before="0"/>
              <w:ind w:firstLine="0"/>
              <w:jc w:val="left"/>
            </w:pPr>
            <w:r>
              <w:rPr>
                <w:b w:val="0"/>
                <w:sz w:val="21"/>
              </w:rPr>
              <w:t>尚无足够专业证据确认故障类型，不能转成确定性故障监督标签</w:t>
            </w:r>
          </w:p>
        </w:tc>
      </w:tr>
      <w:tr>
        <w:trPr>
          <w:cantSplit/>
        </w:trPr>
        <w:tc>
          <w:tcPr>
            <w:tcW w:type="dxa" w:w="2409"/>
            <w:vAlign w:val="center"/>
          </w:tcPr>
          <w:p>
            <w:pPr>
              <w:keepNext w:val="0"/>
              <w:spacing w:line="320" w:lineRule="exact" w:after="0" w:before="0"/>
              <w:ind w:firstLine="0"/>
              <w:jc w:val="left"/>
            </w:pPr>
            <w:r>
              <w:rPr>
                <w:b w:val="0"/>
                <w:sz w:val="21"/>
              </w:rPr>
              <w:t>identity_mismatch</w:t>
            </w:r>
          </w:p>
        </w:tc>
        <w:tc>
          <w:tcPr>
            <w:tcW w:type="dxa" w:w="7228"/>
            <w:vAlign w:val="center"/>
          </w:tcPr>
          <w:p>
            <w:pPr>
              <w:keepNext w:val="0"/>
              <w:spacing w:line="320" w:lineRule="exact" w:after="0" w:before="0"/>
              <w:ind w:firstLine="0"/>
              <w:jc w:val="left"/>
            </w:pPr>
            <w:r>
              <w:rPr>
                <w:b w:val="0"/>
                <w:sz w:val="21"/>
              </w:rPr>
              <w:t>证据指向不同对象或部位，不能直接相互赋予标签或结论</w:t>
            </w:r>
          </w:p>
        </w:tc>
      </w:tr>
      <w:tr>
        <w:trPr>
          <w:cantSplit/>
        </w:trPr>
        <w:tc>
          <w:tcPr>
            <w:tcW w:type="dxa" w:w="2409"/>
            <w:vAlign w:val="center"/>
          </w:tcPr>
          <w:p>
            <w:pPr>
              <w:keepNext w:val="0"/>
              <w:spacing w:line="320" w:lineRule="exact" w:after="0" w:before="0"/>
              <w:ind w:firstLine="0"/>
              <w:jc w:val="left"/>
            </w:pPr>
            <w:r>
              <w:rPr>
                <w:b w:val="0"/>
                <w:sz w:val="21"/>
              </w:rPr>
              <w:t>multimodal_alignment</w:t>
            </w:r>
          </w:p>
        </w:tc>
        <w:tc>
          <w:tcPr>
            <w:tcW w:type="dxa" w:w="7228"/>
            <w:vAlign w:val="center"/>
          </w:tcPr>
          <w:p>
            <w:pPr>
              <w:keepNext w:val="0"/>
              <w:spacing w:line="320" w:lineRule="exact" w:after="0" w:before="0"/>
              <w:ind w:firstLine="0"/>
              <w:jc w:val="left"/>
            </w:pPr>
            <w:r>
              <w:rPr>
                <w:b w:val="0"/>
                <w:sz w:val="21"/>
              </w:rPr>
              <w:t>核对模态载荷在业务对象、位置、事件和版本上的对应关系</w:t>
            </w:r>
          </w:p>
        </w:tc>
      </w:tr>
      <w:tr>
        <w:trPr>
          <w:cantSplit/>
        </w:trPr>
        <w:tc>
          <w:tcPr>
            <w:tcW w:type="dxa" w:w="2409"/>
            <w:vAlign w:val="center"/>
          </w:tcPr>
          <w:p>
            <w:pPr>
              <w:keepNext w:val="0"/>
              <w:spacing w:line="320" w:lineRule="exact" w:after="0" w:before="0"/>
              <w:ind w:firstLine="0"/>
              <w:jc w:val="left"/>
            </w:pPr>
            <w:r>
              <w:rPr>
                <w:b w:val="0"/>
                <w:sz w:val="21"/>
              </w:rPr>
              <w:t>sampling_gap</w:t>
            </w:r>
          </w:p>
        </w:tc>
        <w:tc>
          <w:tcPr>
            <w:tcW w:type="dxa" w:w="7228"/>
            <w:vAlign w:val="center"/>
          </w:tcPr>
          <w:p>
            <w:pPr>
              <w:keepNext w:val="0"/>
              <w:spacing w:line="320" w:lineRule="exact" w:after="0" w:before="0"/>
              <w:ind w:firstLine="0"/>
              <w:jc w:val="left"/>
            </w:pPr>
            <w:r>
              <w:rPr>
                <w:b w:val="0"/>
                <w:sz w:val="21"/>
              </w:rPr>
              <w:t>依据采样策略确认应有而缺失的观测位置，缺失不同于真实零值</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5.1.9 规范样本</w:t>
      </w:r>
    </w:p>
    <w:p>
      <w:pPr>
        <w:keepNext/>
        <w:jc w:val="both"/>
      </w:pPr>
      <w:r>
        <w:t>规范样本1 采样缺口与工艺异常区分</w:t>
      </w:r>
    </w:p>
    <w:p>
      <w:pPr>
        <w:pStyle w:val="Caption"/>
        <w:keepNext/>
      </w:pPr>
      <w:r>
        <w:t>表5-12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EX-03-PT-001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MP04、sampling_gap、acquisition_failure</w:t>
            </w:r>
          </w:p>
        </w:tc>
      </w:tr>
    </w:tbl>
    <w:p>
      <w:pPr>
        <w:spacing w:after="40" w:line="240" w:lineRule="auto"/>
        <w:ind w:firstLine="0"/>
      </w:pPr>
      <w:r>
        <w:rPr>
          <w:sz w:val="4"/>
        </w:rPr>
      </w:r>
    </w:p>
    <w:p>
      <w:pPr>
        <w:jc w:val="both"/>
      </w:pPr>
      <w:r>
        <w:t>输入内容：某规范测点按相对秒0、1、2、3、4、5形成应采记录。实际存在0、1、4、5四个时间点；运行记录显示该区间设备持续运行，采集日志在2、3秒对应期间发生传输中断。未提供缓存补传结果。</w:t>
      </w:r>
    </w:p>
    <w:p>
      <w:pPr>
        <w:pStyle w:val="Caption"/>
        <w:keepNext/>
      </w:pPr>
      <w:r>
        <w:t>表5-13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center"/>
            </w:pPr>
            <w:r>
              <w:rPr>
                <w:b w:val="0"/>
                <w:sz w:val="21"/>
              </w:rPr>
              <w:t>0</w:t>
            </w:r>
          </w:p>
        </w:tc>
        <w:tc>
          <w:tcPr>
            <w:tcW w:type="dxa" w:w="7228"/>
            <w:vAlign w:val="center"/>
          </w:tcPr>
          <w:p>
            <w:pPr>
              <w:keepNext/>
              <w:spacing w:line="320" w:lineRule="exact" w:after="0" w:before="0"/>
              <w:ind w:firstLine="0"/>
              <w:jc w:val="center"/>
            </w:pPr>
            <w:r>
              <w:rPr>
                <w:b w:val="0"/>
                <w:sz w:val="21"/>
              </w:rPr>
              <w:t>10</w:t>
            </w:r>
          </w:p>
        </w:tc>
      </w:tr>
      <w:tr>
        <w:trPr>
          <w:cantSplit/>
        </w:trPr>
        <w:tc>
          <w:tcPr>
            <w:tcW w:type="dxa" w:w="2409"/>
            <w:vAlign w:val="center"/>
          </w:tcPr>
          <w:p>
            <w:pPr>
              <w:keepNext/>
              <w:spacing w:line="320" w:lineRule="exact" w:after="0" w:before="0"/>
              <w:ind w:firstLine="0"/>
              <w:jc w:val="center"/>
            </w:pPr>
            <w:r>
              <w:rPr>
                <w:b w:val="0"/>
                <w:sz w:val="21"/>
              </w:rPr>
              <w:t>1</w:t>
            </w:r>
          </w:p>
        </w:tc>
        <w:tc>
          <w:tcPr>
            <w:tcW w:type="dxa" w:w="7228"/>
            <w:vAlign w:val="center"/>
          </w:tcPr>
          <w:p>
            <w:pPr>
              <w:keepNext/>
              <w:spacing w:line="320" w:lineRule="exact" w:after="0" w:before="0"/>
              <w:ind w:firstLine="0"/>
              <w:jc w:val="center"/>
            </w:pPr>
            <w:r>
              <w:rPr>
                <w:b w:val="0"/>
                <w:sz w:val="21"/>
              </w:rPr>
              <w:t>11</w:t>
            </w:r>
          </w:p>
        </w:tc>
      </w:tr>
      <w:tr>
        <w:trPr>
          <w:cantSplit/>
        </w:trPr>
        <w:tc>
          <w:tcPr>
            <w:tcW w:type="dxa" w:w="2409"/>
            <w:vAlign w:val="center"/>
          </w:tcPr>
          <w:p>
            <w:pPr>
              <w:keepNext/>
              <w:spacing w:line="320" w:lineRule="exact" w:after="0" w:before="0"/>
              <w:ind w:firstLine="0"/>
              <w:jc w:val="center"/>
            </w:pPr>
            <w:r>
              <w:rPr>
                <w:b w:val="0"/>
                <w:sz w:val="21"/>
              </w:rPr>
              <w:t>4</w:t>
            </w:r>
          </w:p>
        </w:tc>
        <w:tc>
          <w:tcPr>
            <w:tcW w:type="dxa" w:w="7228"/>
            <w:vAlign w:val="center"/>
          </w:tcPr>
          <w:p>
            <w:pPr>
              <w:keepNext/>
              <w:spacing w:line="320" w:lineRule="exact" w:after="0" w:before="0"/>
              <w:ind w:firstLine="0"/>
              <w:jc w:val="center"/>
            </w:pPr>
            <w:r>
              <w:rPr>
                <w:b w:val="0"/>
                <w:sz w:val="21"/>
              </w:rPr>
              <w:t>12</w:t>
            </w:r>
          </w:p>
        </w:tc>
      </w:tr>
      <w:tr>
        <w:trPr>
          <w:cantSplit/>
        </w:trPr>
        <w:tc>
          <w:tcPr>
            <w:tcW w:type="dxa" w:w="2409"/>
            <w:vAlign w:val="center"/>
          </w:tcPr>
          <w:p>
            <w:pPr>
              <w:keepNext w:val="0"/>
              <w:spacing w:line="320" w:lineRule="exact" w:after="0" w:before="0"/>
              <w:ind w:firstLine="0"/>
              <w:jc w:val="center"/>
            </w:pPr>
            <w:r>
              <w:rPr>
                <w:b w:val="0"/>
                <w:sz w:val="21"/>
              </w:rPr>
              <w:t>5</w:t>
            </w:r>
          </w:p>
        </w:tc>
        <w:tc>
          <w:tcPr>
            <w:tcW w:type="dxa" w:w="7228"/>
            <w:vAlign w:val="center"/>
          </w:tcPr>
          <w:p>
            <w:pPr>
              <w:keepNext w:val="0"/>
              <w:spacing w:line="320" w:lineRule="exact" w:after="0" w:before="0"/>
              <w:ind w:firstLine="0"/>
              <w:jc w:val="center"/>
            </w:pPr>
            <w:r>
              <w:rPr>
                <w:b w:val="0"/>
                <w:sz w:val="21"/>
              </w:rPr>
              <w:t>12</w:t>
            </w:r>
          </w:p>
        </w:tc>
      </w:tr>
    </w:tbl>
    <w:p>
      <w:pPr>
        <w:spacing w:after="40" w:line="240" w:lineRule="auto"/>
        <w:ind w:firstLine="0"/>
      </w:pPr>
      <w:r>
        <w:rPr>
          <w:sz w:val="4"/>
        </w:rPr>
      </w:r>
    </w:p>
    <w:p>
      <w:pPr>
        <w:jc w:val="both"/>
      </w:pPr>
      <w:r>
        <w:t>语料正文：应记录2、3秒为采集缺口，并关联传输中断日志。缺口不代表真实测量值为零，不能据此判定工艺下降。应检查合法缓存或源端记录是否可以恢复；不能恢复时保留缺失标记，按任务所需连续性判断可用范围。</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keepNext/>
        <w:jc w:val="both"/>
      </w:pPr>
      <w:r>
        <w:t>规范样本2 焊缝影像与检验对象关联</w:t>
      </w:r>
    </w:p>
    <w:p>
      <w:pPr>
        <w:pStyle w:val="Caption"/>
        <w:keepNext/>
      </w:pPr>
      <w:r>
        <w:t>表5-14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EX-03-PT-002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MP03、multimodal_alignment、identity_mismatch</w:t>
            </w:r>
          </w:p>
        </w:tc>
      </w:tr>
    </w:tbl>
    <w:p>
      <w:pPr>
        <w:spacing w:after="40" w:line="240" w:lineRule="auto"/>
        <w:ind w:firstLine="0"/>
      </w:pPr>
      <w:r>
        <w:rPr>
          <w:sz w:val="4"/>
        </w:rPr>
      </w:r>
    </w:p>
    <w:p>
      <w:pPr>
        <w:jc w:val="both"/>
      </w:pPr>
      <w:r>
        <w:t>输入内容：影像对象标识为产品P甲的焊缝W1，检验记录标识为同产品的焊缝W2，两者属于不同位置。仅有文件上传时间相近，无焊缝映射或位置一致证据。</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14" name="Picture 14"/>
            <wp:cNvGraphicFramePr>
              <a:graphicFrameLocks noChangeAspect="1"/>
            </wp:cNvGraphicFramePr>
            <a:graphic>
              <a:graphicData uri="http://schemas.openxmlformats.org/drawingml/2006/picture">
                <pic:pic>
                  <pic:nvPicPr>
                    <pic:cNvPr id="0" name="例图03_2.png"/>
                    <pic:cNvPicPr/>
                  </pic:nvPicPr>
                  <pic:blipFill>
                    <a:blip r:embed="rId18"/>
                    <a:stretch>
                      <a:fillRect/>
                    </a:stretch>
                  </pic:blipFill>
                  <pic:spPr>
                    <a:xfrm>
                      <a:off x="0" y="0"/>
                      <a:ext cx="6048000" cy="1422831"/>
                    </a:xfrm>
                    <a:prstGeom prst="rect"/>
                  </pic:spPr>
                </pic:pic>
              </a:graphicData>
            </a:graphic>
          </wp:inline>
        </w:drawing>
      </w:r>
    </w:p>
    <w:p>
      <w:pPr>
        <w:pStyle w:val="Caption"/>
        <w:jc w:val="center"/>
      </w:pPr>
      <w:r>
        <w:t>图5-2 焊缝影像与检验对象关联</w:t>
      </w:r>
    </w:p>
    <w:p>
      <w:pPr>
        <w:jc w:val="both"/>
      </w:pPr>
      <w:r>
        <w:t>语料正文：不能直接使用。应先核查焊缝位置、工序阶段、产品实例和映射证据；W1与W2为不同位置，上传时间相近不能证明对应。无法形成正确关联时，影像与检验记录分别保留身份，相关标签不进入合格监督样本。</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keepNext/>
        <w:jc w:val="both"/>
      </w:pPr>
      <w:r>
        <w:t>规范样本3 预警与确认故障分层记录</w:t>
      </w:r>
    </w:p>
    <w:p>
      <w:pPr>
        <w:pStyle w:val="Caption"/>
        <w:keepNext/>
      </w:pPr>
      <w:r>
        <w:t>表5-15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EX-03-PT-003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MP06、alarm_review、fault_unconfirmed</w:t>
            </w:r>
          </w:p>
        </w:tc>
      </w:tr>
    </w:tbl>
    <w:p>
      <w:pPr>
        <w:spacing w:after="40" w:line="240" w:lineRule="auto"/>
        <w:ind w:firstLine="0"/>
      </w:pPr>
      <w:r>
        <w:rPr>
          <w:sz w:val="4"/>
        </w:rPr>
      </w:r>
    </w:p>
    <w:p>
      <w:pPr>
        <w:jc w:val="both"/>
      </w:pPr>
      <w:r>
        <w:t>输入内容：设备E甲在事件窗口内产生一次模型预警。维修工单记录为检查未发现明确故障，随后恢复观察；尚无拆检或专业确认结果支持某一故障类型。</w:t>
      </w:r>
    </w:p>
    <w:p>
      <w:pPr>
        <w:jc w:val="both"/>
      </w:pPr>
      <w:r>
        <w:t>语料正文：分别记录预警事实、维修检查结果和后续观察状态。可以用于预警复核或证据不足判断任务，不能标为某类已确认故障，也不能由本次检查推断设备整个观察期无故障。后续证据形成时以新版本更新事件状态。</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pStyle w:val="Heading3"/>
      </w:pPr>
      <w:r>
        <w:t>5.1.10 生产与使用核验</w:t>
      </w:r>
    </w:p>
    <w:p>
      <w:pPr>
        <w:jc w:val="both"/>
      </w:pPr>
      <w:r>
        <w:t>在固定保留语料上统计有效损失与困惑度，在独立业务探针上检查知识、关系和条件理解；不同分词器的困惑度不直接横比。本领域同时检查事件与工序识别F1、时序片段定位误差、过程关联正确率、采集缺口识别召回率、异常解释证据正确率及设备切片稳定性。统计按任务类型、来源、模态、难度及关键业务对象分层，保留题目或记录级结果和失败对象。</w:t>
      </w:r>
    </w:p>
    <w:p>
      <w:pPr>
        <w:jc w:val="both"/>
      </w:pPr>
      <w:r>
        <w:t>生产检查从来源记录开始核对工单、产品实例、材料批次、工序、炉次、焊缝、设备、测点、事件及时间窗口，确认按设备实物身份与工单组织记录，固定原时钟和校正关系；以业务事件划定时序窗口；分开真实工艺异常、传感器异常和采集链路异常；图像视频与工序阶段、位置及批次对齐；过程结论连接实际检验或维修证据。专业分歧由生产、设备、工艺、能源、质量及现场采集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5.2 有监督指令微调数据卡</w:t>
      </w:r>
    </w:p>
    <w:p>
      <w:pPr>
        <w:pStyle w:val="Heading3"/>
      </w:pPr>
      <w:r>
        <w:t>5.2.1 基本信息</w:t>
      </w:r>
    </w:p>
    <w:p>
      <w:pPr>
        <w:pStyle w:val="Caption"/>
        <w:keepNext/>
      </w:pPr>
      <w:r>
        <w:t>表5-16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GHY26691-DC-03-0002-V1.0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制造过程数据集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有监督指令微调</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03 制造过程；关联对象为工单、产品实例、材料批次、工序、炉次、焊缝、设备、测点、事件及时间窗口</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有效交付净量150000条；以完整输入与合格目标输出构成的任务为计数单位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本用途规模按条验收；如统计输入输出Tokens，分开保存且不替代任务或比较组数量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采用第7章公共记录结构及本领域扩展字典；完整输入与合格目标输出构成的任务具有稳定标识、业务对象、来源家族、时间、内容、资源、标签与证据关系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根目录按03-SFT及数据版本组织；data保存记录，resources保存模态载荷，metadata保存来源与关系，dictionary保存字段和标签，cards保存卡片，reports保存报告，tools保存解析程序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03-SFT-数据版本-六位分片序号.jsonl；资源以稳定资源标识命名；卡片使用完整卡号；路径采用相对路径并拒绝越界和重名冲突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平台服务工单按卡号、数据版本及问题对象受理；由技术与生产、设备、工艺、能源、质量及现场采集专业岗位协同处理，服务时段和响应要求执行统一售后安排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工单执行、工序流转、板材备料、焊接、热处理、机加工、设备运行、能源关联、过程异常与维修活动。以工单、产品实例、材料批次、工序、炉次、焊缝、设备、测点、事件及时间窗口建立对象关系，来源范围包括MES中的工单和报工，SCADA中的过程采样，热处理群控中的炉次及曲线，EMS中的能源记录，EAM中的设备和维修，QMS中的过程检验，LMS、WMS中的物流与领退料记录。面向有监督指令微调形成具有明确任务、证据、目标输出和边界条件的指令样本，重点检查指令明确、答案正确、证据充分、资源可读和任务完整。数据支持板材智能备料、热处理工艺优化、焊接工艺优化、刮板输送机健康管理、决策数据智能问答助手，结论依据实际输入、专业条件和验证范围使用。涉及生产节拍、设备状态、现场视频、人员影像、关键过程参数和运行位置时执行相应授权及安全处理。业务事实、推断与未知状态分别标记，数据版本与引用依据保持一致。</w:t>
      </w:r>
    </w:p>
    <w:p>
      <w:pPr>
        <w:pStyle w:val="Heading3"/>
      </w:pPr>
      <w:r>
        <w:t>5.2.2 内容特征</w:t>
      </w:r>
    </w:p>
    <w:p>
      <w:pPr>
        <w:pStyle w:val="Caption"/>
        <w:keepNext/>
      </w:pPr>
      <w:r>
        <w:t>表5-17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文本、图像、时序、视频按有效载荷统计；重点关联工单、产品实例、材料批次、工序、炉次、焊缝、设备、测点、事件及时间窗口；图纸、表格载体不独立增加模态数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以完整输入与合格目标输出构成的任务为分母，至少两种有效关联模态的记录为分子；分子、分母及互斥组合清单齐备，按1.4节满足40%要求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按MP01工单与工序、MP02备料与加工、MP03焊接过程、MP04热处理过程、MP05设备与能耗、MP06异常与维修统计；主主题互斥，辅助主题允许多选并另列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单一证据直接识读为基础，跨对象关联或有限计算为组合，多条件判断及证据冲突为复杂；分类依据任务认知要求</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整体合成来源不超过45%；真实数据充足任务不超过30%，推理及长尾任务不超过60%，并服从整体45%上限</w:t>
            </w:r>
          </w:p>
        </w:tc>
      </w:tr>
    </w:tbl>
    <w:p>
      <w:pPr>
        <w:spacing w:after="40" w:line="240" w:lineRule="auto"/>
        <w:ind w:firstLine="0"/>
      </w:pPr>
      <w:r>
        <w:rPr>
          <w:sz w:val="4"/>
        </w:rPr>
      </w:r>
    </w:p>
    <w:p>
      <w:pPr>
        <w:pStyle w:val="Heading3"/>
      </w:pPr>
      <w:r>
        <w:t>5.2.3 建设过程</w:t>
      </w:r>
    </w:p>
    <w:p>
      <w:pPr>
        <w:pStyle w:val="Caption"/>
        <w:keepNext/>
      </w:pPr>
      <w:r>
        <w:t>表5-18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MES中的工单和报工，SCADA中的过程采样，热处理群控中的炉次及曲线，EMS中的能源记录，EAM中的设备和维修，QMS中的过程检验，LMS、WMS中的物流与领退料记录；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按设备实物身份与工单组织记录，固定原时钟和校正关系；以业务事件划定时序窗口；分开真实工艺异常、传感器异常和采集链路异常；图像视频与工序阶段、位置及批次对齐；过程结论连接实际检验或维修证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保存解析器、字典、切分、窗口、重叠、单位换算、时间校正和对齐配置；工单、产品实例、材料批次、工序、炉次、焊缝、设备、测点、事件及时间窗口为关联校验重点；参数经真实资料验证后冻结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任务类型、输入条件、目标答案、证据定位、适用边界、难度及必要的多模态标签；规范编号与实际生产记录绑定，不因预训练用途自动省略专业标记管理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由生产、设备、工艺、能源、质量及现场采集专业岗位承担专业定义与争议裁决，标注人员依规范执行；自检、交叉复核、专家仲裁分别保存原始结果及修订记录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5.2.4 应用说明</w:t>
      </w:r>
    </w:p>
    <w:p>
      <w:pPr>
        <w:pStyle w:val="Caption"/>
        <w:keepNext/>
      </w:pPr>
      <w:r>
        <w:t>表5-19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板材智能备料、热处理工艺优化、焊接工艺优化、刮板输送机健康管理、决策数据智能问答助手；验证结论按实际场景、输入条件和版本形成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指令微调；输入接口须支持实际文本、图像、时序或视频载荷及对应关系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事件与工序识别F1、时序片段定位误差、过程关联正确率、采集缺口识别召回率、异常解释证据正确率及设备切片稳定性；各用途采用本卡评价协议并保留定义、方向和统计单位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5.2.5 质量验证</w:t>
      </w:r>
    </w:p>
    <w:p>
      <w:pPr>
        <w:pStyle w:val="Caption"/>
        <w:keepNext/>
      </w:pPr>
      <w:r>
        <w:t>表5-20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质检报告采用GHY26691-QC-03-0002并绑定实际版本、受检清单和内容根摘要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分别报告保真度、完备性、规整性、均衡性、可用性、可信性的方法、结果与问题；按工单、产品实例、材料批次、工序、炉次、焊缝、设备、测点、事件及时间窗口检查关键业务关联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验证报告采用GHY26691-VR-03-0002及实际版本；引用数据、模型、协议、实验和原始输出，汇总与子集范围分别标明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生产、设备、工艺、能源、质量及现场采集专业岗位结合板材智能备料、热处理工艺优化、焊接工艺优化、刮板输送机健康管理、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5.2.6 安全合规</w:t>
      </w:r>
    </w:p>
    <w:p>
      <w:pPr>
        <w:pStyle w:val="Caption"/>
        <w:keepNext/>
      </w:pPr>
      <w:r>
        <w:t>表5-21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生产经营数据中的制造过程相关数据；按工单执行、工序流转、板材备料、焊接、热处理、机加工、设备运行、能源关联、过程异常与维修活动细分并关联资产目录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生产节拍、设备状态、现场视频、人员影像、关键过程参数和运行位置；实际敏感要素由检测与人工复核确认，未知状态不按无敏感信息处理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人员影像和工号按用途遮蔽或替代；设备编号保持稳定受控映射；生产时间按授权用途处理并保持事件相对顺序；涉及参数的资料采用受控访问，避免变换破坏工艺含义</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生产、设备、工艺、能源、质量及现场采集专业岗位按业务必要性申请；加工、质量与评测岗位取得任务所需权限，基准答案、原始敏感资料和替代映射分别控制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按卡号GHY26691-DC-03-0002-V1.0、实际数据版本、对象标识和工单关联查询采集、加工、访问、下载、评测及发布审计；交付留存必要受控记录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5.2.7 指纹血缘</w:t>
      </w:r>
    </w:p>
    <w:p>
      <w:pPr>
        <w:pStyle w:val="Caption"/>
        <w:keepNext/>
      </w:pPr>
      <w:r>
        <w:t>表5-22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03-SFT根目录内package.json登记身份、数据版本、结构版本、字典、卡片、资源和文件清单；脱离平台按第7章完成读取及核验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5.2.8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表5-23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work_order_id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工单稳定编号</w:t>
            </w:r>
          </w:p>
        </w:tc>
        <w:tc>
          <w:tcPr>
            <w:tcW w:type="dxa" w:w="3084"/>
            <w:vAlign w:val="center"/>
          </w:tcPr>
          <w:p>
            <w:pPr>
              <w:keepNext w:val="0"/>
              <w:spacing w:line="320" w:lineRule="exact" w:after="0" w:before="0"/>
              <w:ind w:firstLine="0"/>
              <w:jc w:val="left"/>
            </w:pPr>
            <w:r>
              <w:rPr>
                <w:b w:val="0"/>
                <w:sz w:val="21"/>
              </w:rPr>
              <w:t>分批与返工采用独立实例关系</w:t>
            </w:r>
          </w:p>
        </w:tc>
      </w:tr>
      <w:tr>
        <w:trPr>
          <w:cantSplit/>
        </w:trPr>
        <w:tc>
          <w:tcPr>
            <w:tcW w:type="dxa" w:w="2313"/>
            <w:vAlign w:val="center"/>
          </w:tcPr>
          <w:p>
            <w:pPr>
              <w:keepNext w:val="0"/>
              <w:spacing w:line="320" w:lineRule="exact" w:after="0" w:before="0"/>
              <w:ind w:firstLine="0"/>
              <w:jc w:val="left"/>
            </w:pPr>
            <w:r>
              <w:rPr>
                <w:b w:val="0"/>
                <w:sz w:val="21"/>
              </w:rPr>
              <w:t>equipment_instance</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设备及安装部件身份</w:t>
            </w:r>
          </w:p>
        </w:tc>
        <w:tc>
          <w:tcPr>
            <w:tcW w:type="dxa" w:w="3084"/>
            <w:vAlign w:val="center"/>
          </w:tcPr>
          <w:p>
            <w:pPr>
              <w:keepNext w:val="0"/>
              <w:spacing w:line="320" w:lineRule="exact" w:after="0" w:before="0"/>
              <w:ind w:firstLine="0"/>
              <w:jc w:val="left"/>
            </w:pPr>
            <w:r>
              <w:rPr>
                <w:b w:val="0"/>
                <w:sz w:val="21"/>
              </w:rPr>
              <w:t>换件前后保留安装期间</w:t>
            </w:r>
          </w:p>
        </w:tc>
      </w:tr>
      <w:tr>
        <w:trPr>
          <w:cantSplit/>
        </w:trPr>
        <w:tc>
          <w:tcPr>
            <w:tcW w:type="dxa" w:w="2313"/>
            <w:vAlign w:val="center"/>
          </w:tcPr>
          <w:p>
            <w:pPr>
              <w:keepNext w:val="0"/>
              <w:spacing w:line="320" w:lineRule="exact" w:after="0" w:before="0"/>
              <w:ind w:firstLine="0"/>
              <w:jc w:val="left"/>
            </w:pPr>
            <w:r>
              <w:rPr>
                <w:b w:val="0"/>
                <w:sz w:val="21"/>
              </w:rPr>
              <w:t>event_window</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起止时间、时区、闭合方式与事件编号</w:t>
            </w:r>
          </w:p>
        </w:tc>
        <w:tc>
          <w:tcPr>
            <w:tcW w:type="dxa" w:w="3084"/>
            <w:vAlign w:val="center"/>
          </w:tcPr>
          <w:p>
            <w:pPr>
              <w:keepNext w:val="0"/>
              <w:spacing w:line="320" w:lineRule="exact" w:after="0" w:before="0"/>
              <w:ind w:firstLine="0"/>
              <w:jc w:val="left"/>
            </w:pPr>
            <w:r>
              <w:rPr>
                <w:b w:val="0"/>
                <w:sz w:val="21"/>
              </w:rPr>
              <w:t>起止有序，跨边界片段保留前后文</w:t>
            </w:r>
          </w:p>
        </w:tc>
      </w:tr>
      <w:tr>
        <w:trPr>
          <w:cantSplit/>
        </w:trPr>
        <w:tc>
          <w:tcPr>
            <w:tcW w:type="dxa" w:w="2313"/>
            <w:vAlign w:val="center"/>
          </w:tcPr>
          <w:p>
            <w:pPr>
              <w:keepNext w:val="0"/>
              <w:spacing w:line="320" w:lineRule="exact" w:after="0" w:before="0"/>
              <w:ind w:firstLine="0"/>
              <w:jc w:val="left"/>
            </w:pPr>
            <w:r>
              <w:rPr>
                <w:b w:val="0"/>
                <w:sz w:val="21"/>
              </w:rPr>
              <w:t>sensor_id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测点及校准配置标识</w:t>
            </w:r>
          </w:p>
        </w:tc>
        <w:tc>
          <w:tcPr>
            <w:tcW w:type="dxa" w:w="3084"/>
            <w:vAlign w:val="center"/>
          </w:tcPr>
          <w:p>
            <w:pPr>
              <w:keepNext w:val="0"/>
              <w:spacing w:line="320" w:lineRule="exact" w:after="0" w:before="0"/>
              <w:ind w:firstLine="0"/>
              <w:jc w:val="left"/>
            </w:pPr>
            <w:r>
              <w:rPr>
                <w:b w:val="0"/>
                <w:sz w:val="21"/>
              </w:rPr>
              <w:t>原单位与换算配置可追溯</w:t>
            </w:r>
          </w:p>
        </w:tc>
      </w:tr>
      <w:tr>
        <w:trPr>
          <w:cantSplit/>
        </w:trPr>
        <w:tc>
          <w:tcPr>
            <w:tcW w:type="dxa" w:w="2313"/>
            <w:vAlign w:val="center"/>
          </w:tcPr>
          <w:p>
            <w:pPr>
              <w:keepNext w:val="0"/>
              <w:spacing w:line="320" w:lineRule="exact" w:after="0" w:before="0"/>
              <w:ind w:firstLine="0"/>
              <w:jc w:val="left"/>
            </w:pPr>
            <w:r>
              <w:rPr>
                <w:b w:val="0"/>
                <w:sz w:val="21"/>
              </w:rPr>
              <w:t>sample_time</w:t>
            </w:r>
          </w:p>
        </w:tc>
        <w:tc>
          <w:tcPr>
            <w:tcW w:type="dxa" w:w="1157"/>
            <w:vAlign w:val="center"/>
          </w:tcPr>
          <w:p>
            <w:pPr>
              <w:keepNext w:val="0"/>
              <w:spacing w:line="320" w:lineRule="exact" w:after="0" w:before="0"/>
              <w:ind w:firstLine="0"/>
              <w:jc w:val="left"/>
            </w:pPr>
            <w:r>
              <w:rPr>
                <w:b w:val="0"/>
                <w:sz w:val="21"/>
              </w:rPr>
              <w:t>时间数组</w:t>
            </w:r>
          </w:p>
        </w:tc>
        <w:tc>
          <w:tcPr>
            <w:tcW w:type="dxa" w:w="3084"/>
            <w:vAlign w:val="center"/>
          </w:tcPr>
          <w:p>
            <w:pPr>
              <w:keepNext w:val="0"/>
              <w:spacing w:line="320" w:lineRule="exact" w:after="0" w:before="0"/>
              <w:ind w:firstLine="0"/>
              <w:jc w:val="left"/>
            </w:pPr>
            <w:r>
              <w:rPr>
                <w:b w:val="0"/>
                <w:sz w:val="21"/>
              </w:rPr>
              <w:t>按观测顺序记录原采样时间</w:t>
            </w:r>
          </w:p>
        </w:tc>
        <w:tc>
          <w:tcPr>
            <w:tcW w:type="dxa" w:w="3084"/>
            <w:vAlign w:val="center"/>
          </w:tcPr>
          <w:p>
            <w:pPr>
              <w:keepNext w:val="0"/>
              <w:spacing w:line="320" w:lineRule="exact" w:after="0" w:before="0"/>
              <w:ind w:firstLine="0"/>
              <w:jc w:val="left"/>
            </w:pPr>
            <w:r>
              <w:rPr>
                <w:b w:val="0"/>
                <w:sz w:val="21"/>
              </w:rPr>
              <w:t>重复、缺口和校时处理有状态</w:t>
            </w:r>
          </w:p>
        </w:tc>
      </w:tr>
      <w:tr>
        <w:trPr>
          <w:cantSplit/>
        </w:trPr>
        <w:tc>
          <w:tcPr>
            <w:tcW w:type="dxa" w:w="2313"/>
            <w:vAlign w:val="center"/>
          </w:tcPr>
          <w:p>
            <w:pPr>
              <w:keepNext w:val="0"/>
              <w:spacing w:line="320" w:lineRule="exact" w:after="0" w:before="0"/>
              <w:ind w:firstLine="0"/>
              <w:jc w:val="left"/>
            </w:pPr>
            <w:r>
              <w:rPr>
                <w:b w:val="0"/>
                <w:sz w:val="21"/>
              </w:rPr>
              <w:t>process_state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running、stopped、maintenance、unknown</w:t>
            </w:r>
          </w:p>
        </w:tc>
        <w:tc>
          <w:tcPr>
            <w:tcW w:type="dxa" w:w="3084"/>
            <w:vAlign w:val="center"/>
          </w:tcPr>
          <w:p>
            <w:pPr>
              <w:keepNext w:val="0"/>
              <w:spacing w:line="320" w:lineRule="exact" w:after="0" w:before="0"/>
              <w:ind w:firstLine="0"/>
              <w:jc w:val="left"/>
            </w:pPr>
            <w:r>
              <w:rPr>
                <w:b w:val="0"/>
                <w:sz w:val="21"/>
              </w:rPr>
              <w:t>依据事件记录判断，不由空值自动推定停机</w:t>
            </w:r>
          </w:p>
        </w:tc>
      </w:tr>
    </w:tbl>
    <w:p>
      <w:pPr>
        <w:spacing w:after="40" w:line="240" w:lineRule="auto"/>
        <w:ind w:firstLine="0"/>
      </w:pPr>
      <w:r>
        <w:rPr>
          <w:sz w:val="4"/>
        </w:rPr>
      </w:r>
    </w:p>
    <w:p>
      <w:pPr>
        <w:pStyle w:val="Caption"/>
        <w:keepNext/>
      </w:pPr>
      <w:r>
        <w:t>表5-24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MP01</w:t>
            </w:r>
          </w:p>
        </w:tc>
        <w:tc>
          <w:tcPr>
            <w:tcW w:type="dxa" w:w="2891"/>
            <w:vAlign w:val="center"/>
          </w:tcPr>
          <w:p>
            <w:pPr>
              <w:keepNext w:val="0"/>
              <w:spacing w:line="320" w:lineRule="exact" w:after="0" w:before="0"/>
              <w:ind w:firstLine="0"/>
              <w:jc w:val="left"/>
            </w:pPr>
            <w:r>
              <w:rPr>
                <w:b w:val="0"/>
                <w:sz w:val="21"/>
              </w:rPr>
              <w:t>工单与工序</w:t>
            </w:r>
          </w:p>
        </w:tc>
        <w:tc>
          <w:tcPr>
            <w:tcW w:type="dxa" w:w="4433"/>
            <w:vAlign w:val="center"/>
          </w:tcPr>
          <w:p>
            <w:pPr>
              <w:keepNext w:val="0"/>
              <w:spacing w:line="320" w:lineRule="exact" w:after="0" w:before="0"/>
              <w:ind w:firstLine="0"/>
              <w:jc w:val="left"/>
            </w:pPr>
            <w:r>
              <w:rPr>
                <w:b w:val="0"/>
                <w:sz w:val="21"/>
              </w:rPr>
              <w:t>计划、开工、完工和检验关系</w:t>
            </w:r>
          </w:p>
        </w:tc>
      </w:tr>
      <w:tr>
        <w:trPr>
          <w:cantSplit/>
        </w:trPr>
        <w:tc>
          <w:tcPr>
            <w:tcW w:type="dxa" w:w="2313"/>
            <w:vAlign w:val="center"/>
          </w:tcPr>
          <w:p>
            <w:pPr>
              <w:keepNext w:val="0"/>
              <w:spacing w:line="320" w:lineRule="exact" w:after="0" w:before="0"/>
              <w:ind w:firstLine="0"/>
              <w:jc w:val="left"/>
            </w:pPr>
            <w:r>
              <w:rPr>
                <w:b w:val="0"/>
                <w:sz w:val="21"/>
              </w:rPr>
              <w:t>MP02</w:t>
            </w:r>
          </w:p>
        </w:tc>
        <w:tc>
          <w:tcPr>
            <w:tcW w:type="dxa" w:w="2891"/>
            <w:vAlign w:val="center"/>
          </w:tcPr>
          <w:p>
            <w:pPr>
              <w:keepNext w:val="0"/>
              <w:spacing w:line="320" w:lineRule="exact" w:after="0" w:before="0"/>
              <w:ind w:firstLine="0"/>
              <w:jc w:val="left"/>
            </w:pPr>
            <w:r>
              <w:rPr>
                <w:b w:val="0"/>
                <w:sz w:val="21"/>
              </w:rPr>
              <w:t>备料与加工</w:t>
            </w:r>
          </w:p>
        </w:tc>
        <w:tc>
          <w:tcPr>
            <w:tcW w:type="dxa" w:w="4433"/>
            <w:vAlign w:val="center"/>
          </w:tcPr>
          <w:p>
            <w:pPr>
              <w:keepNext w:val="0"/>
              <w:spacing w:line="320" w:lineRule="exact" w:after="0" w:before="0"/>
              <w:ind w:firstLine="0"/>
              <w:jc w:val="left"/>
            </w:pPr>
            <w:r>
              <w:rPr>
                <w:b w:val="0"/>
                <w:sz w:val="21"/>
              </w:rPr>
              <w:t>材料批次、领退料和工序输入输出</w:t>
            </w:r>
          </w:p>
        </w:tc>
      </w:tr>
      <w:tr>
        <w:trPr>
          <w:cantSplit/>
        </w:trPr>
        <w:tc>
          <w:tcPr>
            <w:tcW w:type="dxa" w:w="2313"/>
            <w:vAlign w:val="center"/>
          </w:tcPr>
          <w:p>
            <w:pPr>
              <w:keepNext w:val="0"/>
              <w:spacing w:line="320" w:lineRule="exact" w:after="0" w:before="0"/>
              <w:ind w:firstLine="0"/>
              <w:jc w:val="left"/>
            </w:pPr>
            <w:r>
              <w:rPr>
                <w:b w:val="0"/>
                <w:sz w:val="21"/>
              </w:rPr>
              <w:t>MP03</w:t>
            </w:r>
          </w:p>
        </w:tc>
        <w:tc>
          <w:tcPr>
            <w:tcW w:type="dxa" w:w="2891"/>
            <w:vAlign w:val="center"/>
          </w:tcPr>
          <w:p>
            <w:pPr>
              <w:keepNext w:val="0"/>
              <w:spacing w:line="320" w:lineRule="exact" w:after="0" w:before="0"/>
              <w:ind w:firstLine="0"/>
              <w:jc w:val="left"/>
            </w:pPr>
            <w:r>
              <w:rPr>
                <w:b w:val="0"/>
                <w:sz w:val="21"/>
              </w:rPr>
              <w:t>焊接过程</w:t>
            </w:r>
          </w:p>
        </w:tc>
        <w:tc>
          <w:tcPr>
            <w:tcW w:type="dxa" w:w="4433"/>
            <w:vAlign w:val="center"/>
          </w:tcPr>
          <w:p>
            <w:pPr>
              <w:keepNext w:val="0"/>
              <w:spacing w:line="320" w:lineRule="exact" w:after="0" w:before="0"/>
              <w:ind w:firstLine="0"/>
              <w:jc w:val="left"/>
            </w:pPr>
            <w:r>
              <w:rPr>
                <w:b w:val="0"/>
                <w:sz w:val="21"/>
              </w:rPr>
              <w:t>焊缝、位置、参数与检验关系</w:t>
            </w:r>
          </w:p>
        </w:tc>
      </w:tr>
      <w:tr>
        <w:trPr>
          <w:cantSplit/>
        </w:trPr>
        <w:tc>
          <w:tcPr>
            <w:tcW w:type="dxa" w:w="2313"/>
            <w:vAlign w:val="center"/>
          </w:tcPr>
          <w:p>
            <w:pPr>
              <w:keepNext w:val="0"/>
              <w:spacing w:line="320" w:lineRule="exact" w:after="0" w:before="0"/>
              <w:ind w:firstLine="0"/>
              <w:jc w:val="left"/>
            </w:pPr>
            <w:r>
              <w:rPr>
                <w:b w:val="0"/>
                <w:sz w:val="21"/>
              </w:rPr>
              <w:t>MP04</w:t>
            </w:r>
          </w:p>
        </w:tc>
        <w:tc>
          <w:tcPr>
            <w:tcW w:type="dxa" w:w="2891"/>
            <w:vAlign w:val="center"/>
          </w:tcPr>
          <w:p>
            <w:pPr>
              <w:keepNext w:val="0"/>
              <w:spacing w:line="320" w:lineRule="exact" w:after="0" w:before="0"/>
              <w:ind w:firstLine="0"/>
              <w:jc w:val="left"/>
            </w:pPr>
            <w:r>
              <w:rPr>
                <w:b w:val="0"/>
                <w:sz w:val="21"/>
              </w:rPr>
              <w:t>热处理过程</w:t>
            </w:r>
          </w:p>
        </w:tc>
        <w:tc>
          <w:tcPr>
            <w:tcW w:type="dxa" w:w="4433"/>
            <w:vAlign w:val="center"/>
          </w:tcPr>
          <w:p>
            <w:pPr>
              <w:keepNext w:val="0"/>
              <w:spacing w:line="320" w:lineRule="exact" w:after="0" w:before="0"/>
              <w:ind w:firstLine="0"/>
              <w:jc w:val="left"/>
            </w:pPr>
            <w:r>
              <w:rPr>
                <w:b w:val="0"/>
                <w:sz w:val="21"/>
              </w:rPr>
              <w:t>装炉、阶段、曲线和测点条件</w:t>
            </w:r>
          </w:p>
        </w:tc>
      </w:tr>
      <w:tr>
        <w:trPr>
          <w:cantSplit/>
        </w:trPr>
        <w:tc>
          <w:tcPr>
            <w:tcW w:type="dxa" w:w="2313"/>
            <w:vAlign w:val="center"/>
          </w:tcPr>
          <w:p>
            <w:pPr>
              <w:keepNext w:val="0"/>
              <w:spacing w:line="320" w:lineRule="exact" w:after="0" w:before="0"/>
              <w:ind w:firstLine="0"/>
              <w:jc w:val="left"/>
            </w:pPr>
            <w:r>
              <w:rPr>
                <w:b w:val="0"/>
                <w:sz w:val="21"/>
              </w:rPr>
              <w:t>MP05</w:t>
            </w:r>
          </w:p>
        </w:tc>
        <w:tc>
          <w:tcPr>
            <w:tcW w:type="dxa" w:w="2891"/>
            <w:vAlign w:val="center"/>
          </w:tcPr>
          <w:p>
            <w:pPr>
              <w:keepNext w:val="0"/>
              <w:spacing w:line="320" w:lineRule="exact" w:after="0" w:before="0"/>
              <w:ind w:firstLine="0"/>
              <w:jc w:val="left"/>
            </w:pPr>
            <w:r>
              <w:rPr>
                <w:b w:val="0"/>
                <w:sz w:val="21"/>
              </w:rPr>
              <w:t>设备与能耗</w:t>
            </w:r>
          </w:p>
        </w:tc>
        <w:tc>
          <w:tcPr>
            <w:tcW w:type="dxa" w:w="4433"/>
            <w:vAlign w:val="center"/>
          </w:tcPr>
          <w:p>
            <w:pPr>
              <w:keepNext w:val="0"/>
              <w:spacing w:line="320" w:lineRule="exact" w:after="0" w:before="0"/>
              <w:ind w:firstLine="0"/>
              <w:jc w:val="left"/>
            </w:pPr>
            <w:r>
              <w:rPr>
                <w:b w:val="0"/>
                <w:sz w:val="21"/>
              </w:rPr>
              <w:t>设备状态、观测窗口及能耗口径</w:t>
            </w:r>
          </w:p>
        </w:tc>
      </w:tr>
      <w:tr>
        <w:trPr>
          <w:cantSplit/>
        </w:trPr>
        <w:tc>
          <w:tcPr>
            <w:tcW w:type="dxa" w:w="2313"/>
            <w:vAlign w:val="center"/>
          </w:tcPr>
          <w:p>
            <w:pPr>
              <w:keepNext w:val="0"/>
              <w:spacing w:line="320" w:lineRule="exact" w:after="0" w:before="0"/>
              <w:ind w:firstLine="0"/>
              <w:jc w:val="left"/>
            </w:pPr>
            <w:r>
              <w:rPr>
                <w:b w:val="0"/>
                <w:sz w:val="21"/>
              </w:rPr>
              <w:t>MP06</w:t>
            </w:r>
          </w:p>
        </w:tc>
        <w:tc>
          <w:tcPr>
            <w:tcW w:type="dxa" w:w="2891"/>
            <w:vAlign w:val="center"/>
          </w:tcPr>
          <w:p>
            <w:pPr>
              <w:keepNext w:val="0"/>
              <w:spacing w:line="320" w:lineRule="exact" w:after="0" w:before="0"/>
              <w:ind w:firstLine="0"/>
              <w:jc w:val="left"/>
            </w:pPr>
            <w:r>
              <w:rPr>
                <w:b w:val="0"/>
                <w:sz w:val="21"/>
              </w:rPr>
              <w:t>异常与维修</w:t>
            </w:r>
          </w:p>
        </w:tc>
        <w:tc>
          <w:tcPr>
            <w:tcW w:type="dxa" w:w="4433"/>
            <w:vAlign w:val="center"/>
          </w:tcPr>
          <w:p>
            <w:pPr>
              <w:keepNext w:val="0"/>
              <w:spacing w:line="320" w:lineRule="exact" w:after="0" w:before="0"/>
              <w:ind w:firstLine="0"/>
              <w:jc w:val="left"/>
            </w:pPr>
            <w:r>
              <w:rPr>
                <w:b w:val="0"/>
                <w:sz w:val="21"/>
              </w:rPr>
              <w:t>事件证据、维修发现和恢复条件</w:t>
            </w:r>
          </w:p>
        </w:tc>
      </w:tr>
    </w:tbl>
    <w:p>
      <w:pPr>
        <w:spacing w:after="40" w:line="240" w:lineRule="auto"/>
        <w:ind w:firstLine="0"/>
      </w:pPr>
      <w:r>
        <w:rPr>
          <w:sz w:val="4"/>
        </w:rPr>
      </w:r>
    </w:p>
    <w:p>
      <w:pPr>
        <w:pStyle w:val="Caption"/>
        <w:keepNext/>
      </w:pPr>
      <w:r>
        <w:t>表5-25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表5-26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acquisition_failure</w:t>
            </w:r>
          </w:p>
        </w:tc>
        <w:tc>
          <w:tcPr>
            <w:tcW w:type="dxa" w:w="7228"/>
            <w:vAlign w:val="center"/>
          </w:tcPr>
          <w:p>
            <w:pPr>
              <w:keepNext w:val="0"/>
              <w:spacing w:line="320" w:lineRule="exact" w:after="0" w:before="0"/>
              <w:ind w:firstLine="0"/>
              <w:jc w:val="left"/>
            </w:pPr>
            <w:r>
              <w:rPr>
                <w:b w:val="0"/>
                <w:sz w:val="21"/>
              </w:rPr>
              <w:t>有采集或传输证据支持的数据链路异常，与真实工艺变化区分</w:t>
            </w:r>
          </w:p>
        </w:tc>
      </w:tr>
      <w:tr>
        <w:trPr>
          <w:cantSplit/>
        </w:trPr>
        <w:tc>
          <w:tcPr>
            <w:tcW w:type="dxa" w:w="2409"/>
            <w:vAlign w:val="center"/>
          </w:tcPr>
          <w:p>
            <w:pPr>
              <w:keepNext w:val="0"/>
              <w:spacing w:line="320" w:lineRule="exact" w:after="0" w:before="0"/>
              <w:ind w:firstLine="0"/>
              <w:jc w:val="left"/>
            </w:pPr>
            <w:r>
              <w:rPr>
                <w:b w:val="0"/>
                <w:sz w:val="21"/>
              </w:rPr>
              <w:t>alarm_review</w:t>
            </w:r>
          </w:p>
        </w:tc>
        <w:tc>
          <w:tcPr>
            <w:tcW w:type="dxa" w:w="7228"/>
            <w:vAlign w:val="center"/>
          </w:tcPr>
          <w:p>
            <w:pPr>
              <w:keepNext w:val="0"/>
              <w:spacing w:line="320" w:lineRule="exact" w:after="0" w:before="0"/>
              <w:ind w:firstLine="0"/>
              <w:jc w:val="left"/>
            </w:pPr>
            <w:r>
              <w:rPr>
                <w:b w:val="0"/>
                <w:sz w:val="21"/>
              </w:rPr>
              <w:t>对预警事实及后续检查分别记录并复核其证据关系</w:t>
            </w:r>
          </w:p>
        </w:tc>
      </w:tr>
      <w:tr>
        <w:trPr>
          <w:cantSplit/>
        </w:trPr>
        <w:tc>
          <w:tcPr>
            <w:tcW w:type="dxa" w:w="2409"/>
            <w:vAlign w:val="center"/>
          </w:tcPr>
          <w:p>
            <w:pPr>
              <w:keepNext w:val="0"/>
              <w:spacing w:line="320" w:lineRule="exact" w:after="0" w:before="0"/>
              <w:ind w:firstLine="0"/>
              <w:jc w:val="left"/>
            </w:pPr>
            <w:r>
              <w:rPr>
                <w:b w:val="0"/>
                <w:sz w:val="21"/>
              </w:rPr>
              <w:t>fault_unconfirmed</w:t>
            </w:r>
          </w:p>
        </w:tc>
        <w:tc>
          <w:tcPr>
            <w:tcW w:type="dxa" w:w="7228"/>
            <w:vAlign w:val="center"/>
          </w:tcPr>
          <w:p>
            <w:pPr>
              <w:keepNext w:val="0"/>
              <w:spacing w:line="320" w:lineRule="exact" w:after="0" w:before="0"/>
              <w:ind w:firstLine="0"/>
              <w:jc w:val="left"/>
            </w:pPr>
            <w:r>
              <w:rPr>
                <w:b w:val="0"/>
                <w:sz w:val="21"/>
              </w:rPr>
              <w:t>尚无足够专业证据确认故障类型，不能转成确定性故障监督标签</w:t>
            </w:r>
          </w:p>
        </w:tc>
      </w:tr>
      <w:tr>
        <w:trPr>
          <w:cantSplit/>
        </w:trPr>
        <w:tc>
          <w:tcPr>
            <w:tcW w:type="dxa" w:w="2409"/>
            <w:vAlign w:val="center"/>
          </w:tcPr>
          <w:p>
            <w:pPr>
              <w:keepNext w:val="0"/>
              <w:spacing w:line="320" w:lineRule="exact" w:after="0" w:before="0"/>
              <w:ind w:firstLine="0"/>
              <w:jc w:val="left"/>
            </w:pPr>
            <w:r>
              <w:rPr>
                <w:b w:val="0"/>
                <w:sz w:val="21"/>
              </w:rPr>
              <w:t>identity_mismatch</w:t>
            </w:r>
          </w:p>
        </w:tc>
        <w:tc>
          <w:tcPr>
            <w:tcW w:type="dxa" w:w="7228"/>
            <w:vAlign w:val="center"/>
          </w:tcPr>
          <w:p>
            <w:pPr>
              <w:keepNext w:val="0"/>
              <w:spacing w:line="320" w:lineRule="exact" w:after="0" w:before="0"/>
              <w:ind w:firstLine="0"/>
              <w:jc w:val="left"/>
            </w:pPr>
            <w:r>
              <w:rPr>
                <w:b w:val="0"/>
                <w:sz w:val="21"/>
              </w:rPr>
              <w:t>证据指向不同对象或部位，不能直接相互赋予标签或结论</w:t>
            </w:r>
          </w:p>
        </w:tc>
      </w:tr>
      <w:tr>
        <w:trPr>
          <w:cantSplit/>
        </w:trPr>
        <w:tc>
          <w:tcPr>
            <w:tcW w:type="dxa" w:w="2409"/>
            <w:vAlign w:val="center"/>
          </w:tcPr>
          <w:p>
            <w:pPr>
              <w:keepNext w:val="0"/>
              <w:spacing w:line="320" w:lineRule="exact" w:after="0" w:before="0"/>
              <w:ind w:firstLine="0"/>
              <w:jc w:val="left"/>
            </w:pPr>
            <w:r>
              <w:rPr>
                <w:b w:val="0"/>
                <w:sz w:val="21"/>
              </w:rPr>
              <w:t>multimodal_alignment</w:t>
            </w:r>
          </w:p>
        </w:tc>
        <w:tc>
          <w:tcPr>
            <w:tcW w:type="dxa" w:w="7228"/>
            <w:vAlign w:val="center"/>
          </w:tcPr>
          <w:p>
            <w:pPr>
              <w:keepNext w:val="0"/>
              <w:spacing w:line="320" w:lineRule="exact" w:after="0" w:before="0"/>
              <w:ind w:firstLine="0"/>
              <w:jc w:val="left"/>
            </w:pPr>
            <w:r>
              <w:rPr>
                <w:b w:val="0"/>
                <w:sz w:val="21"/>
              </w:rPr>
              <w:t>核对模态载荷在业务对象、位置、事件和版本上的对应关系</w:t>
            </w:r>
          </w:p>
        </w:tc>
      </w:tr>
      <w:tr>
        <w:trPr>
          <w:cantSplit/>
        </w:trPr>
        <w:tc>
          <w:tcPr>
            <w:tcW w:type="dxa" w:w="2409"/>
            <w:vAlign w:val="center"/>
          </w:tcPr>
          <w:p>
            <w:pPr>
              <w:keepNext w:val="0"/>
              <w:spacing w:line="320" w:lineRule="exact" w:after="0" w:before="0"/>
              <w:ind w:firstLine="0"/>
              <w:jc w:val="left"/>
            </w:pPr>
            <w:r>
              <w:rPr>
                <w:b w:val="0"/>
                <w:sz w:val="21"/>
              </w:rPr>
              <w:t>sampling_gap</w:t>
            </w:r>
          </w:p>
        </w:tc>
        <w:tc>
          <w:tcPr>
            <w:tcW w:type="dxa" w:w="7228"/>
            <w:vAlign w:val="center"/>
          </w:tcPr>
          <w:p>
            <w:pPr>
              <w:keepNext w:val="0"/>
              <w:spacing w:line="320" w:lineRule="exact" w:after="0" w:before="0"/>
              <w:ind w:firstLine="0"/>
              <w:jc w:val="left"/>
            </w:pPr>
            <w:r>
              <w:rPr>
                <w:b w:val="0"/>
                <w:sz w:val="21"/>
              </w:rPr>
              <w:t>依据采样策略确认应有而缺失的观测位置，缺失不同于真实零值</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5.2.9 规范样本</w:t>
      </w:r>
    </w:p>
    <w:p>
      <w:pPr>
        <w:keepNext/>
        <w:jc w:val="both"/>
      </w:pPr>
      <w:r>
        <w:t>规范样本1 采样缺口与工艺异常区分</w:t>
      </w:r>
    </w:p>
    <w:p>
      <w:pPr>
        <w:pStyle w:val="Caption"/>
        <w:keepNext/>
      </w:pPr>
      <w:r>
        <w:t>表5-27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EX-03-SFT-001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MP04、sampling_gap、acquisition_failure</w:t>
            </w:r>
          </w:p>
        </w:tc>
      </w:tr>
    </w:tbl>
    <w:p>
      <w:pPr>
        <w:spacing w:after="40" w:line="240" w:lineRule="auto"/>
        <w:ind w:firstLine="0"/>
      </w:pPr>
      <w:r>
        <w:rPr>
          <w:sz w:val="4"/>
        </w:rPr>
      </w:r>
    </w:p>
    <w:p>
      <w:pPr>
        <w:jc w:val="both"/>
      </w:pPr>
      <w:r>
        <w:t>输入内容：某规范测点按相对秒0、1、2、3、4、5形成应采记录。实际存在0、1、4、5四个时间点；运行记录显示该区间设备持续运行，采集日志在2、3秒对应期间发生传输中断。未提供缓存补传结果。</w:t>
      </w:r>
    </w:p>
    <w:p>
      <w:pPr>
        <w:pStyle w:val="Caption"/>
        <w:keepNext/>
      </w:pPr>
      <w:r>
        <w:t>表5-28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center"/>
            </w:pPr>
            <w:r>
              <w:rPr>
                <w:b w:val="0"/>
                <w:sz w:val="21"/>
              </w:rPr>
              <w:t>0</w:t>
            </w:r>
          </w:p>
        </w:tc>
        <w:tc>
          <w:tcPr>
            <w:tcW w:type="dxa" w:w="7228"/>
            <w:vAlign w:val="center"/>
          </w:tcPr>
          <w:p>
            <w:pPr>
              <w:keepNext/>
              <w:spacing w:line="320" w:lineRule="exact" w:after="0" w:before="0"/>
              <w:ind w:firstLine="0"/>
              <w:jc w:val="center"/>
            </w:pPr>
            <w:r>
              <w:rPr>
                <w:b w:val="0"/>
                <w:sz w:val="21"/>
              </w:rPr>
              <w:t>10</w:t>
            </w:r>
          </w:p>
        </w:tc>
      </w:tr>
      <w:tr>
        <w:trPr>
          <w:cantSplit/>
        </w:trPr>
        <w:tc>
          <w:tcPr>
            <w:tcW w:type="dxa" w:w="2409"/>
            <w:vAlign w:val="center"/>
          </w:tcPr>
          <w:p>
            <w:pPr>
              <w:keepNext/>
              <w:spacing w:line="320" w:lineRule="exact" w:after="0" w:before="0"/>
              <w:ind w:firstLine="0"/>
              <w:jc w:val="center"/>
            </w:pPr>
            <w:r>
              <w:rPr>
                <w:b w:val="0"/>
                <w:sz w:val="21"/>
              </w:rPr>
              <w:t>1</w:t>
            </w:r>
          </w:p>
        </w:tc>
        <w:tc>
          <w:tcPr>
            <w:tcW w:type="dxa" w:w="7228"/>
            <w:vAlign w:val="center"/>
          </w:tcPr>
          <w:p>
            <w:pPr>
              <w:keepNext/>
              <w:spacing w:line="320" w:lineRule="exact" w:after="0" w:before="0"/>
              <w:ind w:firstLine="0"/>
              <w:jc w:val="center"/>
            </w:pPr>
            <w:r>
              <w:rPr>
                <w:b w:val="0"/>
                <w:sz w:val="21"/>
              </w:rPr>
              <w:t>11</w:t>
            </w:r>
          </w:p>
        </w:tc>
      </w:tr>
      <w:tr>
        <w:trPr>
          <w:cantSplit/>
        </w:trPr>
        <w:tc>
          <w:tcPr>
            <w:tcW w:type="dxa" w:w="2409"/>
            <w:vAlign w:val="center"/>
          </w:tcPr>
          <w:p>
            <w:pPr>
              <w:keepNext/>
              <w:spacing w:line="320" w:lineRule="exact" w:after="0" w:before="0"/>
              <w:ind w:firstLine="0"/>
              <w:jc w:val="center"/>
            </w:pPr>
            <w:r>
              <w:rPr>
                <w:b w:val="0"/>
                <w:sz w:val="21"/>
              </w:rPr>
              <w:t>4</w:t>
            </w:r>
          </w:p>
        </w:tc>
        <w:tc>
          <w:tcPr>
            <w:tcW w:type="dxa" w:w="7228"/>
            <w:vAlign w:val="center"/>
          </w:tcPr>
          <w:p>
            <w:pPr>
              <w:keepNext/>
              <w:spacing w:line="320" w:lineRule="exact" w:after="0" w:before="0"/>
              <w:ind w:firstLine="0"/>
              <w:jc w:val="center"/>
            </w:pPr>
            <w:r>
              <w:rPr>
                <w:b w:val="0"/>
                <w:sz w:val="21"/>
              </w:rPr>
              <w:t>12</w:t>
            </w:r>
          </w:p>
        </w:tc>
      </w:tr>
      <w:tr>
        <w:trPr>
          <w:cantSplit/>
        </w:trPr>
        <w:tc>
          <w:tcPr>
            <w:tcW w:type="dxa" w:w="2409"/>
            <w:vAlign w:val="center"/>
          </w:tcPr>
          <w:p>
            <w:pPr>
              <w:keepNext w:val="0"/>
              <w:spacing w:line="320" w:lineRule="exact" w:after="0" w:before="0"/>
              <w:ind w:firstLine="0"/>
              <w:jc w:val="center"/>
            </w:pPr>
            <w:r>
              <w:rPr>
                <w:b w:val="0"/>
                <w:sz w:val="21"/>
              </w:rPr>
              <w:t>5</w:t>
            </w:r>
          </w:p>
        </w:tc>
        <w:tc>
          <w:tcPr>
            <w:tcW w:type="dxa" w:w="7228"/>
            <w:vAlign w:val="center"/>
          </w:tcPr>
          <w:p>
            <w:pPr>
              <w:keepNext w:val="0"/>
              <w:spacing w:line="320" w:lineRule="exact" w:after="0" w:before="0"/>
              <w:ind w:firstLine="0"/>
              <w:jc w:val="center"/>
            </w:pPr>
            <w:r>
              <w:rPr>
                <w:b w:val="0"/>
                <w:sz w:val="21"/>
              </w:rPr>
              <w:t>12</w:t>
            </w:r>
          </w:p>
        </w:tc>
      </w:tr>
    </w:tbl>
    <w:p>
      <w:pPr>
        <w:spacing w:after="40" w:line="240" w:lineRule="auto"/>
        <w:ind w:firstLine="0"/>
      </w:pPr>
      <w:r>
        <w:rPr>
          <w:sz w:val="4"/>
        </w:rPr>
      </w:r>
    </w:p>
    <w:p>
      <w:pPr>
        <w:jc w:val="both"/>
      </w:pPr>
      <w:r>
        <w:t>任务指令：如何记录缺口，能否把2、3秒填零后判定工艺下降？</w:t>
      </w:r>
    </w:p>
    <w:p>
      <w:pPr>
        <w:jc w:val="both"/>
      </w:pPr>
      <w:r>
        <w:t>目标输出：应记录2、3秒为采集缺口，并关联传输中断日志。缺口不代表真实测量值为零，不能据此判定工艺下降。应检查合法缓存或源端记录是否可以恢复；不能恢复时保留缺失标记，按任务所需连续性判断可用范围。</w:t>
      </w:r>
    </w:p>
    <w:p>
      <w:pPr>
        <w:jc w:val="both"/>
      </w:pPr>
      <w:r>
        <w:t>标注核验：缺口2和3秒；不填零冒充测量；区分采集与工艺；按真实恢复或保留缺失。答案应包含结论及必要依据，不能用泛化建议代替题定判断。语义等价的表达可以接受，擅自添加未给出的事实应判为内容错误。</w:t>
      </w:r>
    </w:p>
    <w:p>
      <w:pPr>
        <w:keepNext/>
        <w:jc w:val="both"/>
      </w:pPr>
      <w:r>
        <w:t>规范样本2 焊缝影像与检验对象关联</w:t>
      </w:r>
    </w:p>
    <w:p>
      <w:pPr>
        <w:pStyle w:val="Caption"/>
        <w:keepNext/>
      </w:pPr>
      <w:r>
        <w:t>表5-29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EX-03-SFT-002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MP03、multimodal_alignment、identity_mismatch</w:t>
            </w:r>
          </w:p>
        </w:tc>
      </w:tr>
    </w:tbl>
    <w:p>
      <w:pPr>
        <w:spacing w:after="40" w:line="240" w:lineRule="auto"/>
        <w:ind w:firstLine="0"/>
      </w:pPr>
      <w:r>
        <w:rPr>
          <w:sz w:val="4"/>
        </w:rPr>
      </w:r>
    </w:p>
    <w:p>
      <w:pPr>
        <w:jc w:val="both"/>
      </w:pPr>
      <w:r>
        <w:t>输入内容：影像对象标识为产品P甲的焊缝W1，检验记录标识为同产品的焊缝W2，两者属于不同位置。仅有文件上传时间相近，无焊缝映射或位置一致证据。</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15" name="Picture 15"/>
            <wp:cNvGraphicFramePr>
              <a:graphicFrameLocks noChangeAspect="1"/>
            </wp:cNvGraphicFramePr>
            <a:graphic>
              <a:graphicData uri="http://schemas.openxmlformats.org/drawingml/2006/picture">
                <pic:pic>
                  <pic:nvPicPr>
                    <pic:cNvPr id="0" name="例图03_2.png"/>
                    <pic:cNvPicPr/>
                  </pic:nvPicPr>
                  <pic:blipFill>
                    <a:blip r:embed="rId18"/>
                    <a:stretch>
                      <a:fillRect/>
                    </a:stretch>
                  </pic:blipFill>
                  <pic:spPr>
                    <a:xfrm>
                      <a:off x="0" y="0"/>
                      <a:ext cx="6048000" cy="1422831"/>
                    </a:xfrm>
                    <a:prstGeom prst="rect"/>
                  </pic:spPr>
                </pic:pic>
              </a:graphicData>
            </a:graphic>
          </wp:inline>
        </w:drawing>
      </w:r>
    </w:p>
    <w:p>
      <w:pPr>
        <w:pStyle w:val="Caption"/>
        <w:jc w:val="center"/>
      </w:pPr>
      <w:r>
        <w:t>图5-3 焊缝影像与检验对象关联</w:t>
      </w:r>
    </w:p>
    <w:p>
      <w:pPr>
        <w:jc w:val="both"/>
      </w:pPr>
      <w:r>
        <w:t>任务指令：是否可以将该检验结论作为影像W1的监督标签？</w:t>
      </w:r>
    </w:p>
    <w:p>
      <w:pPr>
        <w:jc w:val="both"/>
      </w:pPr>
      <w:r>
        <w:t>目标输出：不能直接使用。应先核查焊缝位置、工序阶段、产品实例和映射证据；W1与W2为不同位置，上传时间相近不能证明对应。无法形成正确关联时，影像与检验记录分别保留身份，相关标签不进入合格监督样本。</w:t>
      </w:r>
    </w:p>
    <w:p>
      <w:pPr>
        <w:jc w:val="both"/>
      </w:pPr>
      <w:r>
        <w:t>标注核验：不能直接赋标签；核对位置与阶段；上传时间非关联依据；保留对象身份。答案应包含结论及必要依据，不能用泛化建议代替题定判断。语义等价的表达可以接受，擅自添加未给出的事实应判为内容错误。</w:t>
      </w:r>
    </w:p>
    <w:p>
      <w:pPr>
        <w:keepNext/>
        <w:jc w:val="both"/>
      </w:pPr>
      <w:r>
        <w:t>规范样本3 预警与确认故障分层记录</w:t>
      </w:r>
    </w:p>
    <w:p>
      <w:pPr>
        <w:pStyle w:val="Caption"/>
        <w:keepNext/>
      </w:pPr>
      <w:r>
        <w:t>表5-30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EX-03-SFT-003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MP06、alarm_review、fault_unconfirmed</w:t>
            </w:r>
          </w:p>
        </w:tc>
      </w:tr>
    </w:tbl>
    <w:p>
      <w:pPr>
        <w:spacing w:after="40" w:line="240" w:lineRule="auto"/>
        <w:ind w:firstLine="0"/>
      </w:pPr>
      <w:r>
        <w:rPr>
          <w:sz w:val="4"/>
        </w:rPr>
      </w:r>
    </w:p>
    <w:p>
      <w:pPr>
        <w:jc w:val="both"/>
      </w:pPr>
      <w:r>
        <w:t>输入内容：设备E甲在事件窗口内产生一次模型预警。维修工单记录为检查未发现明确故障，随后恢复观察；尚无拆检或专业确认结果支持某一故障类型。</w:t>
      </w:r>
    </w:p>
    <w:p>
      <w:pPr>
        <w:jc w:val="both"/>
      </w:pPr>
      <w:r>
        <w:t>任务指令：该事件应如何进入健康管理数据集？</w:t>
      </w:r>
    </w:p>
    <w:p>
      <w:pPr>
        <w:jc w:val="both"/>
      </w:pPr>
      <w:r>
        <w:t>目标输出：分别记录预警事实、维修检查结果和后续观察状态。可以用于预警复核或证据不足判断任务，不能标为某类已确认故障，也不能由本次检查推断设备整个观察期无故障。后续证据形成时以新版本更新事件状态。</w:t>
      </w:r>
    </w:p>
    <w:p>
      <w:pPr>
        <w:jc w:val="both"/>
      </w:pPr>
      <w:r>
        <w:t>标注核验：预警与故障分开；保留检查结果；不扩展无故障结论；后继版本更新。答案应包含结论及必要依据，不能用泛化建议代替题定判断。语义等价的表达可以接受，擅自添加未给出的事实应判为内容错误。</w:t>
      </w:r>
    </w:p>
    <w:p>
      <w:pPr>
        <w:pStyle w:val="Heading3"/>
      </w:pPr>
      <w:r>
        <w:t>5.2.10 生产与使用核验</w:t>
      </w:r>
    </w:p>
    <w:p>
      <w:pPr>
        <w:jc w:val="both"/>
      </w:pPr>
      <w:r>
        <w:t>逐任务核查答案正确性、事实一致性、约束满足和证据引用，开放回答结合固定要点评分及Rouge-L等辅助指标；文字相似度不代替业务正确性。本领域同时检查事件与工序识别F1、时序片段定位误差、过程关联正确率、采集缺口识别召回率、异常解释证据正确率及设备切片稳定性。统计按任务类型、来源、模态、难度及关键业务对象分层，保留题目或记录级结果和失败对象。</w:t>
      </w:r>
    </w:p>
    <w:p>
      <w:pPr>
        <w:jc w:val="both"/>
      </w:pPr>
      <w:r>
        <w:t>生产检查从来源记录开始核对工单、产品实例、材料批次、工序、炉次、焊缝、设备、测点、事件及时间窗口，确认按设备实物身份与工单组织记录，固定原时钟和校正关系；以业务事件划定时序窗口；分开真实工艺异常、传感器异常和采集链路异常；图像视频与工序阶段、位置及批次对齐；过程结论连接实际检验或维修证据。专业分歧由生产、设备、工艺、能源、质量及现场采集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5.3 人类偏好对齐数据卡</w:t>
      </w:r>
    </w:p>
    <w:p>
      <w:pPr>
        <w:pStyle w:val="Heading3"/>
      </w:pPr>
      <w:r>
        <w:t>5.3.1 基本信息</w:t>
      </w:r>
    </w:p>
    <w:p>
      <w:pPr>
        <w:pStyle w:val="Caption"/>
        <w:keepNext/>
      </w:pPr>
      <w:r>
        <w:t>表5-31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GHY26691-DC-03-0003-V1.0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制造过程数据集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人类偏好对齐</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03 制造过程；关联对象为工单、产品实例、材料批次、工序、炉次、焊缝、设备、测点、事件及时间窗口</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有效交付净量10000组；以同一输入下完整候选回答及偏好依据构成的比较组为计数单位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本用途规模按组验收；如统计输入输出Tokens，分开保存且不替代任务或比较组数量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采用第7章公共记录结构及本领域扩展字典；同一输入下完整候选回答及偏好依据构成的比较组具有稳定标识、业务对象、来源家族、时间、内容、资源、标签与证据关系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根目录按03-PREF及数据版本组织；data保存记录，resources保存模态载荷，metadata保存来源与关系，dictionary保存字段和标签，cards保存卡片，reports保存报告，tools保存解析程序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03-PREF-数据版本-六位分片序号.jsonl；资源以稳定资源标识命名；卡片使用完整卡号；路径采用相对路径并拒绝越界和重名冲突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平台服务工单按卡号、数据版本及问题对象受理；由技术与生产、设备、工艺、能源、质量及现场采集专业岗位协同处理，服务时段和响应要求执行统一售后安排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工单执行、工序流转、板材备料、焊接、热处理、机加工、设备运行、能源关联、过程异常与维修活动。以工单、产品实例、材料批次、工序、炉次、焊缝、设备、测点、事件及时间窗口建立对象关系，来源范围包括MES中的工单和报工，SCADA中的过程采样，热处理群控中的炉次及曲线，EMS中的能源记录，EAM中的设备和维修，QMS中的过程检验，LMS、WMS中的物流与领退料记录。面向人类偏好对齐形成可比较的候选、独立判断结果、理由及仲裁记录，重点检查输入一致、候选可比、偏好依据有效、匿名展示和组完整性。数据支持板材智能备料、热处理工艺优化、焊接工艺优化、刮板输送机健康管理、决策数据智能问答助手，结论依据实际输入、专业条件和验证范围使用。涉及生产节拍、设备状态、现场视频、人员影像、关键过程参数和运行位置时执行相应授权及安全处理。业务事实、推断与未知状态分别标记，数据版本与引用依据保持一致。</w:t>
      </w:r>
    </w:p>
    <w:p>
      <w:pPr>
        <w:pStyle w:val="Heading3"/>
      </w:pPr>
      <w:r>
        <w:t>5.3.2 内容特征</w:t>
      </w:r>
    </w:p>
    <w:p>
      <w:pPr>
        <w:pStyle w:val="Caption"/>
        <w:keepNext/>
      </w:pPr>
      <w:r>
        <w:t>表5-32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文本、图像、时序、视频按有效载荷统计；重点关联工单、产品实例、材料批次、工序、炉次、焊缝、设备、测点、事件及时间窗口；图纸、表格载体不独立增加模态数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以同一输入下完整候选回答及偏好依据构成的比较组为分母，至少两种有效关联模态的记录为分子；分子、分母及互斥组合清单齐备，按1.4节满足40%要求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按MP01工单与工序、MP02备料与加工、MP03焊接过程、MP04热处理过程、MP05设备与能耗、MP06异常与维修统计；主主题互斥，辅助主题允许多选并另列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按候选差异涉及的事实、约束、证据与风险判断复杂性分层，不能仅按回答长短或文风判优</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组内包含合成候选或其派生内容即计入合成来源组，比例不超过50%；纯真实增强另记加工属性</w:t>
            </w:r>
          </w:p>
        </w:tc>
      </w:tr>
    </w:tbl>
    <w:p>
      <w:pPr>
        <w:spacing w:after="40" w:line="240" w:lineRule="auto"/>
        <w:ind w:firstLine="0"/>
      </w:pPr>
      <w:r>
        <w:rPr>
          <w:sz w:val="4"/>
        </w:rPr>
      </w:r>
    </w:p>
    <w:p>
      <w:pPr>
        <w:pStyle w:val="Heading3"/>
      </w:pPr>
      <w:r>
        <w:t>5.3.3 建设过程</w:t>
      </w:r>
    </w:p>
    <w:p>
      <w:pPr>
        <w:pStyle w:val="Caption"/>
        <w:keepNext/>
      </w:pPr>
      <w:r>
        <w:t>表5-33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MES中的工单和报工，SCADA中的过程采样，热处理群控中的炉次及曲线，EMS中的能源记录，EAM中的设备和维修，QMS中的过程检验，LMS、WMS中的物流与领退料记录；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按设备实物身份与工单组织记录，固定原时钟和校正关系；以业务事件划定时序窗口；分开真实工艺异常、传感器异常和采集链路异常；图像视频与工序阶段、位置及批次对齐；过程结论连接实际检验或维修证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保存解析器、字典、切分、窗口、重叠、单位换算、时间校正和对齐配置；工单、产品实例、材料批次、工序、炉次、焊缝、设备、测点、事件及时间窗口为关联校验重点；参数经真实资料验证后冻结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候选标识、展示顺序、优选结果、可并列状态、事实与约束判断、偏好理由和仲裁结果；规范编号与实际生产记录绑定，不因预训练用途自动省略专业标记管理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由生产、设备、工艺、能源、质量及现场采集专业岗位承担专业定义与争议裁决，标注人员依规范执行；自检、交叉复核、专家仲裁分别保存原始结果及修订记录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5.3.4 应用说明</w:t>
      </w:r>
    </w:p>
    <w:p>
      <w:pPr>
        <w:pStyle w:val="Caption"/>
        <w:keepNext/>
      </w:pPr>
      <w:r>
        <w:t>表5-34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板材智能备料、热处理工艺优化、焊接工艺优化、刮板输送机健康管理、决策数据智能问答助手；验证结论按实际场景、输入条件和版本形成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偏好对齐；输入接口须支持实际文本、图像、时序或视频载荷及对应关系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事件与工序识别F1、时序片段定位误差、过程关联正确率、采集缺口识别召回率、异常解释证据正确率及设备切片稳定性；各用途采用本卡评价协议并保留定义、方向和统计单位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5.3.5 质量验证</w:t>
      </w:r>
    </w:p>
    <w:p>
      <w:pPr>
        <w:pStyle w:val="Caption"/>
        <w:keepNext/>
      </w:pPr>
      <w:r>
        <w:t>表5-35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质检报告采用GHY26691-QC-03-0003并绑定实际版本、受检清单和内容根摘要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分别报告保真度、完备性、规整性、均衡性、可用性、可信性的方法、结果与问题；按工单、产品实例、材料批次、工序、炉次、焊缝、设备、测点、事件及时间窗口检查关键业务关联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验证报告采用GHY26691-VR-03-0003及实际版本；引用数据、模型、协议、实验和原始输出，汇总与子集范围分别标明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生产、设备、工艺、能源、质量及现场采集专业岗位结合板材智能备料、热处理工艺优化、焊接工艺优化、刮板输送机健康管理、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5.3.6 安全合规</w:t>
      </w:r>
    </w:p>
    <w:p>
      <w:pPr>
        <w:pStyle w:val="Caption"/>
        <w:keepNext/>
      </w:pPr>
      <w:r>
        <w:t>表5-36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生产经营数据中的制造过程相关数据；按工单执行、工序流转、板材备料、焊接、热处理、机加工、设备运行、能源关联、过程异常与维修活动细分并关联资产目录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生产节拍、设备状态、现场视频、人员影像、关键过程参数和运行位置；实际敏感要素由检测与人工复核确认，未知状态不按无敏感信息处理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人员影像和工号按用途遮蔽或替代；设备编号保持稳定受控映射；生产时间按授权用途处理并保持事件相对顺序；涉及参数的资料采用受控访问，避免变换破坏工艺含义</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生产、设备、工艺、能源、质量及现场采集专业岗位按业务必要性申请；加工、质量与评测岗位取得任务所需权限，基准答案、原始敏感资料和替代映射分别控制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按卡号GHY26691-DC-03-0003-V1.0、实际数据版本、对象标识和工单关联查询采集、加工、访问、下载、评测及发布审计；交付留存必要受控记录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5.3.7 指纹血缘</w:t>
      </w:r>
    </w:p>
    <w:p>
      <w:pPr>
        <w:pStyle w:val="Caption"/>
        <w:keepNext/>
      </w:pPr>
      <w:r>
        <w:t>表5-37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03-PREF根目录内package.json登记身份、数据版本、结构版本、字典、卡片、资源和文件清单；脱离平台按第7章完成读取及核验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5.3.8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表5-38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work_order_id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工单稳定编号</w:t>
            </w:r>
          </w:p>
        </w:tc>
        <w:tc>
          <w:tcPr>
            <w:tcW w:type="dxa" w:w="3084"/>
            <w:vAlign w:val="center"/>
          </w:tcPr>
          <w:p>
            <w:pPr>
              <w:keepNext w:val="0"/>
              <w:spacing w:line="320" w:lineRule="exact" w:after="0" w:before="0"/>
              <w:ind w:firstLine="0"/>
              <w:jc w:val="left"/>
            </w:pPr>
            <w:r>
              <w:rPr>
                <w:b w:val="0"/>
                <w:sz w:val="21"/>
              </w:rPr>
              <w:t>分批与返工采用独立实例关系</w:t>
            </w:r>
          </w:p>
        </w:tc>
      </w:tr>
      <w:tr>
        <w:trPr>
          <w:cantSplit/>
        </w:trPr>
        <w:tc>
          <w:tcPr>
            <w:tcW w:type="dxa" w:w="2313"/>
            <w:vAlign w:val="center"/>
          </w:tcPr>
          <w:p>
            <w:pPr>
              <w:keepNext w:val="0"/>
              <w:spacing w:line="320" w:lineRule="exact" w:after="0" w:before="0"/>
              <w:ind w:firstLine="0"/>
              <w:jc w:val="left"/>
            </w:pPr>
            <w:r>
              <w:rPr>
                <w:b w:val="0"/>
                <w:sz w:val="21"/>
              </w:rPr>
              <w:t>equipment_instance</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设备及安装部件身份</w:t>
            </w:r>
          </w:p>
        </w:tc>
        <w:tc>
          <w:tcPr>
            <w:tcW w:type="dxa" w:w="3084"/>
            <w:vAlign w:val="center"/>
          </w:tcPr>
          <w:p>
            <w:pPr>
              <w:keepNext w:val="0"/>
              <w:spacing w:line="320" w:lineRule="exact" w:after="0" w:before="0"/>
              <w:ind w:firstLine="0"/>
              <w:jc w:val="left"/>
            </w:pPr>
            <w:r>
              <w:rPr>
                <w:b w:val="0"/>
                <w:sz w:val="21"/>
              </w:rPr>
              <w:t>换件前后保留安装期间</w:t>
            </w:r>
          </w:p>
        </w:tc>
      </w:tr>
      <w:tr>
        <w:trPr>
          <w:cantSplit/>
        </w:trPr>
        <w:tc>
          <w:tcPr>
            <w:tcW w:type="dxa" w:w="2313"/>
            <w:vAlign w:val="center"/>
          </w:tcPr>
          <w:p>
            <w:pPr>
              <w:keepNext w:val="0"/>
              <w:spacing w:line="320" w:lineRule="exact" w:after="0" w:before="0"/>
              <w:ind w:firstLine="0"/>
              <w:jc w:val="left"/>
            </w:pPr>
            <w:r>
              <w:rPr>
                <w:b w:val="0"/>
                <w:sz w:val="21"/>
              </w:rPr>
              <w:t>event_window</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起止时间、时区、闭合方式与事件编号</w:t>
            </w:r>
          </w:p>
        </w:tc>
        <w:tc>
          <w:tcPr>
            <w:tcW w:type="dxa" w:w="3084"/>
            <w:vAlign w:val="center"/>
          </w:tcPr>
          <w:p>
            <w:pPr>
              <w:keepNext w:val="0"/>
              <w:spacing w:line="320" w:lineRule="exact" w:after="0" w:before="0"/>
              <w:ind w:firstLine="0"/>
              <w:jc w:val="left"/>
            </w:pPr>
            <w:r>
              <w:rPr>
                <w:b w:val="0"/>
                <w:sz w:val="21"/>
              </w:rPr>
              <w:t>起止有序，跨边界片段保留前后文</w:t>
            </w:r>
          </w:p>
        </w:tc>
      </w:tr>
      <w:tr>
        <w:trPr>
          <w:cantSplit/>
        </w:trPr>
        <w:tc>
          <w:tcPr>
            <w:tcW w:type="dxa" w:w="2313"/>
            <w:vAlign w:val="center"/>
          </w:tcPr>
          <w:p>
            <w:pPr>
              <w:keepNext w:val="0"/>
              <w:spacing w:line="320" w:lineRule="exact" w:after="0" w:before="0"/>
              <w:ind w:firstLine="0"/>
              <w:jc w:val="left"/>
            </w:pPr>
            <w:r>
              <w:rPr>
                <w:b w:val="0"/>
                <w:sz w:val="21"/>
              </w:rPr>
              <w:t>sensor_id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测点及校准配置标识</w:t>
            </w:r>
          </w:p>
        </w:tc>
        <w:tc>
          <w:tcPr>
            <w:tcW w:type="dxa" w:w="3084"/>
            <w:vAlign w:val="center"/>
          </w:tcPr>
          <w:p>
            <w:pPr>
              <w:keepNext w:val="0"/>
              <w:spacing w:line="320" w:lineRule="exact" w:after="0" w:before="0"/>
              <w:ind w:firstLine="0"/>
              <w:jc w:val="left"/>
            </w:pPr>
            <w:r>
              <w:rPr>
                <w:b w:val="0"/>
                <w:sz w:val="21"/>
              </w:rPr>
              <w:t>原单位与换算配置可追溯</w:t>
            </w:r>
          </w:p>
        </w:tc>
      </w:tr>
      <w:tr>
        <w:trPr>
          <w:cantSplit/>
        </w:trPr>
        <w:tc>
          <w:tcPr>
            <w:tcW w:type="dxa" w:w="2313"/>
            <w:vAlign w:val="center"/>
          </w:tcPr>
          <w:p>
            <w:pPr>
              <w:keepNext w:val="0"/>
              <w:spacing w:line="320" w:lineRule="exact" w:after="0" w:before="0"/>
              <w:ind w:firstLine="0"/>
              <w:jc w:val="left"/>
            </w:pPr>
            <w:r>
              <w:rPr>
                <w:b w:val="0"/>
                <w:sz w:val="21"/>
              </w:rPr>
              <w:t>sample_time</w:t>
            </w:r>
          </w:p>
        </w:tc>
        <w:tc>
          <w:tcPr>
            <w:tcW w:type="dxa" w:w="1157"/>
            <w:vAlign w:val="center"/>
          </w:tcPr>
          <w:p>
            <w:pPr>
              <w:keepNext w:val="0"/>
              <w:spacing w:line="320" w:lineRule="exact" w:after="0" w:before="0"/>
              <w:ind w:firstLine="0"/>
              <w:jc w:val="left"/>
            </w:pPr>
            <w:r>
              <w:rPr>
                <w:b w:val="0"/>
                <w:sz w:val="21"/>
              </w:rPr>
              <w:t>时间数组</w:t>
            </w:r>
          </w:p>
        </w:tc>
        <w:tc>
          <w:tcPr>
            <w:tcW w:type="dxa" w:w="3084"/>
            <w:vAlign w:val="center"/>
          </w:tcPr>
          <w:p>
            <w:pPr>
              <w:keepNext w:val="0"/>
              <w:spacing w:line="320" w:lineRule="exact" w:after="0" w:before="0"/>
              <w:ind w:firstLine="0"/>
              <w:jc w:val="left"/>
            </w:pPr>
            <w:r>
              <w:rPr>
                <w:b w:val="0"/>
                <w:sz w:val="21"/>
              </w:rPr>
              <w:t>按观测顺序记录原采样时间</w:t>
            </w:r>
          </w:p>
        </w:tc>
        <w:tc>
          <w:tcPr>
            <w:tcW w:type="dxa" w:w="3084"/>
            <w:vAlign w:val="center"/>
          </w:tcPr>
          <w:p>
            <w:pPr>
              <w:keepNext w:val="0"/>
              <w:spacing w:line="320" w:lineRule="exact" w:after="0" w:before="0"/>
              <w:ind w:firstLine="0"/>
              <w:jc w:val="left"/>
            </w:pPr>
            <w:r>
              <w:rPr>
                <w:b w:val="0"/>
                <w:sz w:val="21"/>
              </w:rPr>
              <w:t>重复、缺口和校时处理有状态</w:t>
            </w:r>
          </w:p>
        </w:tc>
      </w:tr>
      <w:tr>
        <w:trPr>
          <w:cantSplit/>
        </w:trPr>
        <w:tc>
          <w:tcPr>
            <w:tcW w:type="dxa" w:w="2313"/>
            <w:vAlign w:val="center"/>
          </w:tcPr>
          <w:p>
            <w:pPr>
              <w:keepNext w:val="0"/>
              <w:spacing w:line="320" w:lineRule="exact" w:after="0" w:before="0"/>
              <w:ind w:firstLine="0"/>
              <w:jc w:val="left"/>
            </w:pPr>
            <w:r>
              <w:rPr>
                <w:b w:val="0"/>
                <w:sz w:val="21"/>
              </w:rPr>
              <w:t>process_state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running、stopped、maintenance、unknown</w:t>
            </w:r>
          </w:p>
        </w:tc>
        <w:tc>
          <w:tcPr>
            <w:tcW w:type="dxa" w:w="3084"/>
            <w:vAlign w:val="center"/>
          </w:tcPr>
          <w:p>
            <w:pPr>
              <w:keepNext w:val="0"/>
              <w:spacing w:line="320" w:lineRule="exact" w:after="0" w:before="0"/>
              <w:ind w:firstLine="0"/>
              <w:jc w:val="left"/>
            </w:pPr>
            <w:r>
              <w:rPr>
                <w:b w:val="0"/>
                <w:sz w:val="21"/>
              </w:rPr>
              <w:t>依据事件记录判断，不由空值自动推定停机</w:t>
            </w:r>
          </w:p>
        </w:tc>
      </w:tr>
    </w:tbl>
    <w:p>
      <w:pPr>
        <w:spacing w:after="40" w:line="240" w:lineRule="auto"/>
        <w:ind w:firstLine="0"/>
      </w:pPr>
      <w:r>
        <w:rPr>
          <w:sz w:val="4"/>
        </w:rPr>
      </w:r>
    </w:p>
    <w:p>
      <w:pPr>
        <w:pStyle w:val="Caption"/>
        <w:keepNext/>
      </w:pPr>
      <w:r>
        <w:t>表5-39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MP01</w:t>
            </w:r>
          </w:p>
        </w:tc>
        <w:tc>
          <w:tcPr>
            <w:tcW w:type="dxa" w:w="2891"/>
            <w:vAlign w:val="center"/>
          </w:tcPr>
          <w:p>
            <w:pPr>
              <w:keepNext w:val="0"/>
              <w:spacing w:line="320" w:lineRule="exact" w:after="0" w:before="0"/>
              <w:ind w:firstLine="0"/>
              <w:jc w:val="left"/>
            </w:pPr>
            <w:r>
              <w:rPr>
                <w:b w:val="0"/>
                <w:sz w:val="21"/>
              </w:rPr>
              <w:t>工单与工序</w:t>
            </w:r>
          </w:p>
        </w:tc>
        <w:tc>
          <w:tcPr>
            <w:tcW w:type="dxa" w:w="4433"/>
            <w:vAlign w:val="center"/>
          </w:tcPr>
          <w:p>
            <w:pPr>
              <w:keepNext w:val="0"/>
              <w:spacing w:line="320" w:lineRule="exact" w:after="0" w:before="0"/>
              <w:ind w:firstLine="0"/>
              <w:jc w:val="left"/>
            </w:pPr>
            <w:r>
              <w:rPr>
                <w:b w:val="0"/>
                <w:sz w:val="21"/>
              </w:rPr>
              <w:t>计划、开工、完工和检验关系</w:t>
            </w:r>
          </w:p>
        </w:tc>
      </w:tr>
      <w:tr>
        <w:trPr>
          <w:cantSplit/>
        </w:trPr>
        <w:tc>
          <w:tcPr>
            <w:tcW w:type="dxa" w:w="2313"/>
            <w:vAlign w:val="center"/>
          </w:tcPr>
          <w:p>
            <w:pPr>
              <w:keepNext w:val="0"/>
              <w:spacing w:line="320" w:lineRule="exact" w:after="0" w:before="0"/>
              <w:ind w:firstLine="0"/>
              <w:jc w:val="left"/>
            </w:pPr>
            <w:r>
              <w:rPr>
                <w:b w:val="0"/>
                <w:sz w:val="21"/>
              </w:rPr>
              <w:t>MP02</w:t>
            </w:r>
          </w:p>
        </w:tc>
        <w:tc>
          <w:tcPr>
            <w:tcW w:type="dxa" w:w="2891"/>
            <w:vAlign w:val="center"/>
          </w:tcPr>
          <w:p>
            <w:pPr>
              <w:keepNext w:val="0"/>
              <w:spacing w:line="320" w:lineRule="exact" w:after="0" w:before="0"/>
              <w:ind w:firstLine="0"/>
              <w:jc w:val="left"/>
            </w:pPr>
            <w:r>
              <w:rPr>
                <w:b w:val="0"/>
                <w:sz w:val="21"/>
              </w:rPr>
              <w:t>备料与加工</w:t>
            </w:r>
          </w:p>
        </w:tc>
        <w:tc>
          <w:tcPr>
            <w:tcW w:type="dxa" w:w="4433"/>
            <w:vAlign w:val="center"/>
          </w:tcPr>
          <w:p>
            <w:pPr>
              <w:keepNext w:val="0"/>
              <w:spacing w:line="320" w:lineRule="exact" w:after="0" w:before="0"/>
              <w:ind w:firstLine="0"/>
              <w:jc w:val="left"/>
            </w:pPr>
            <w:r>
              <w:rPr>
                <w:b w:val="0"/>
                <w:sz w:val="21"/>
              </w:rPr>
              <w:t>材料批次、领退料和工序输入输出</w:t>
            </w:r>
          </w:p>
        </w:tc>
      </w:tr>
      <w:tr>
        <w:trPr>
          <w:cantSplit/>
        </w:trPr>
        <w:tc>
          <w:tcPr>
            <w:tcW w:type="dxa" w:w="2313"/>
            <w:vAlign w:val="center"/>
          </w:tcPr>
          <w:p>
            <w:pPr>
              <w:keepNext w:val="0"/>
              <w:spacing w:line="320" w:lineRule="exact" w:after="0" w:before="0"/>
              <w:ind w:firstLine="0"/>
              <w:jc w:val="left"/>
            </w:pPr>
            <w:r>
              <w:rPr>
                <w:b w:val="0"/>
                <w:sz w:val="21"/>
              </w:rPr>
              <w:t>MP03</w:t>
            </w:r>
          </w:p>
        </w:tc>
        <w:tc>
          <w:tcPr>
            <w:tcW w:type="dxa" w:w="2891"/>
            <w:vAlign w:val="center"/>
          </w:tcPr>
          <w:p>
            <w:pPr>
              <w:keepNext w:val="0"/>
              <w:spacing w:line="320" w:lineRule="exact" w:after="0" w:before="0"/>
              <w:ind w:firstLine="0"/>
              <w:jc w:val="left"/>
            </w:pPr>
            <w:r>
              <w:rPr>
                <w:b w:val="0"/>
                <w:sz w:val="21"/>
              </w:rPr>
              <w:t>焊接过程</w:t>
            </w:r>
          </w:p>
        </w:tc>
        <w:tc>
          <w:tcPr>
            <w:tcW w:type="dxa" w:w="4433"/>
            <w:vAlign w:val="center"/>
          </w:tcPr>
          <w:p>
            <w:pPr>
              <w:keepNext w:val="0"/>
              <w:spacing w:line="320" w:lineRule="exact" w:after="0" w:before="0"/>
              <w:ind w:firstLine="0"/>
              <w:jc w:val="left"/>
            </w:pPr>
            <w:r>
              <w:rPr>
                <w:b w:val="0"/>
                <w:sz w:val="21"/>
              </w:rPr>
              <w:t>焊缝、位置、参数与检验关系</w:t>
            </w:r>
          </w:p>
        </w:tc>
      </w:tr>
      <w:tr>
        <w:trPr>
          <w:cantSplit/>
        </w:trPr>
        <w:tc>
          <w:tcPr>
            <w:tcW w:type="dxa" w:w="2313"/>
            <w:vAlign w:val="center"/>
          </w:tcPr>
          <w:p>
            <w:pPr>
              <w:keepNext w:val="0"/>
              <w:spacing w:line="320" w:lineRule="exact" w:after="0" w:before="0"/>
              <w:ind w:firstLine="0"/>
              <w:jc w:val="left"/>
            </w:pPr>
            <w:r>
              <w:rPr>
                <w:b w:val="0"/>
                <w:sz w:val="21"/>
              </w:rPr>
              <w:t>MP04</w:t>
            </w:r>
          </w:p>
        </w:tc>
        <w:tc>
          <w:tcPr>
            <w:tcW w:type="dxa" w:w="2891"/>
            <w:vAlign w:val="center"/>
          </w:tcPr>
          <w:p>
            <w:pPr>
              <w:keepNext w:val="0"/>
              <w:spacing w:line="320" w:lineRule="exact" w:after="0" w:before="0"/>
              <w:ind w:firstLine="0"/>
              <w:jc w:val="left"/>
            </w:pPr>
            <w:r>
              <w:rPr>
                <w:b w:val="0"/>
                <w:sz w:val="21"/>
              </w:rPr>
              <w:t>热处理过程</w:t>
            </w:r>
          </w:p>
        </w:tc>
        <w:tc>
          <w:tcPr>
            <w:tcW w:type="dxa" w:w="4433"/>
            <w:vAlign w:val="center"/>
          </w:tcPr>
          <w:p>
            <w:pPr>
              <w:keepNext w:val="0"/>
              <w:spacing w:line="320" w:lineRule="exact" w:after="0" w:before="0"/>
              <w:ind w:firstLine="0"/>
              <w:jc w:val="left"/>
            </w:pPr>
            <w:r>
              <w:rPr>
                <w:b w:val="0"/>
                <w:sz w:val="21"/>
              </w:rPr>
              <w:t>装炉、阶段、曲线和测点条件</w:t>
            </w:r>
          </w:p>
        </w:tc>
      </w:tr>
      <w:tr>
        <w:trPr>
          <w:cantSplit/>
        </w:trPr>
        <w:tc>
          <w:tcPr>
            <w:tcW w:type="dxa" w:w="2313"/>
            <w:vAlign w:val="center"/>
          </w:tcPr>
          <w:p>
            <w:pPr>
              <w:keepNext w:val="0"/>
              <w:spacing w:line="320" w:lineRule="exact" w:after="0" w:before="0"/>
              <w:ind w:firstLine="0"/>
              <w:jc w:val="left"/>
            </w:pPr>
            <w:r>
              <w:rPr>
                <w:b w:val="0"/>
                <w:sz w:val="21"/>
              </w:rPr>
              <w:t>MP05</w:t>
            </w:r>
          </w:p>
        </w:tc>
        <w:tc>
          <w:tcPr>
            <w:tcW w:type="dxa" w:w="2891"/>
            <w:vAlign w:val="center"/>
          </w:tcPr>
          <w:p>
            <w:pPr>
              <w:keepNext w:val="0"/>
              <w:spacing w:line="320" w:lineRule="exact" w:after="0" w:before="0"/>
              <w:ind w:firstLine="0"/>
              <w:jc w:val="left"/>
            </w:pPr>
            <w:r>
              <w:rPr>
                <w:b w:val="0"/>
                <w:sz w:val="21"/>
              </w:rPr>
              <w:t>设备与能耗</w:t>
            </w:r>
          </w:p>
        </w:tc>
        <w:tc>
          <w:tcPr>
            <w:tcW w:type="dxa" w:w="4433"/>
            <w:vAlign w:val="center"/>
          </w:tcPr>
          <w:p>
            <w:pPr>
              <w:keepNext w:val="0"/>
              <w:spacing w:line="320" w:lineRule="exact" w:after="0" w:before="0"/>
              <w:ind w:firstLine="0"/>
              <w:jc w:val="left"/>
            </w:pPr>
            <w:r>
              <w:rPr>
                <w:b w:val="0"/>
                <w:sz w:val="21"/>
              </w:rPr>
              <w:t>设备状态、观测窗口及能耗口径</w:t>
            </w:r>
          </w:p>
        </w:tc>
      </w:tr>
      <w:tr>
        <w:trPr>
          <w:cantSplit/>
        </w:trPr>
        <w:tc>
          <w:tcPr>
            <w:tcW w:type="dxa" w:w="2313"/>
            <w:vAlign w:val="center"/>
          </w:tcPr>
          <w:p>
            <w:pPr>
              <w:keepNext w:val="0"/>
              <w:spacing w:line="320" w:lineRule="exact" w:after="0" w:before="0"/>
              <w:ind w:firstLine="0"/>
              <w:jc w:val="left"/>
            </w:pPr>
            <w:r>
              <w:rPr>
                <w:b w:val="0"/>
                <w:sz w:val="21"/>
              </w:rPr>
              <w:t>MP06</w:t>
            </w:r>
          </w:p>
        </w:tc>
        <w:tc>
          <w:tcPr>
            <w:tcW w:type="dxa" w:w="2891"/>
            <w:vAlign w:val="center"/>
          </w:tcPr>
          <w:p>
            <w:pPr>
              <w:keepNext w:val="0"/>
              <w:spacing w:line="320" w:lineRule="exact" w:after="0" w:before="0"/>
              <w:ind w:firstLine="0"/>
              <w:jc w:val="left"/>
            </w:pPr>
            <w:r>
              <w:rPr>
                <w:b w:val="0"/>
                <w:sz w:val="21"/>
              </w:rPr>
              <w:t>异常与维修</w:t>
            </w:r>
          </w:p>
        </w:tc>
        <w:tc>
          <w:tcPr>
            <w:tcW w:type="dxa" w:w="4433"/>
            <w:vAlign w:val="center"/>
          </w:tcPr>
          <w:p>
            <w:pPr>
              <w:keepNext w:val="0"/>
              <w:spacing w:line="320" w:lineRule="exact" w:after="0" w:before="0"/>
              <w:ind w:firstLine="0"/>
              <w:jc w:val="left"/>
            </w:pPr>
            <w:r>
              <w:rPr>
                <w:b w:val="0"/>
                <w:sz w:val="21"/>
              </w:rPr>
              <w:t>事件证据、维修发现和恢复条件</w:t>
            </w:r>
          </w:p>
        </w:tc>
      </w:tr>
    </w:tbl>
    <w:p>
      <w:pPr>
        <w:spacing w:after="40" w:line="240" w:lineRule="auto"/>
        <w:ind w:firstLine="0"/>
      </w:pPr>
      <w:r>
        <w:rPr>
          <w:sz w:val="4"/>
        </w:rPr>
      </w:r>
    </w:p>
    <w:p>
      <w:pPr>
        <w:pStyle w:val="Caption"/>
        <w:keepNext/>
      </w:pPr>
      <w:r>
        <w:t>表5-40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表5-41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acquisition_failure</w:t>
            </w:r>
          </w:p>
        </w:tc>
        <w:tc>
          <w:tcPr>
            <w:tcW w:type="dxa" w:w="7228"/>
            <w:vAlign w:val="center"/>
          </w:tcPr>
          <w:p>
            <w:pPr>
              <w:keepNext w:val="0"/>
              <w:spacing w:line="320" w:lineRule="exact" w:after="0" w:before="0"/>
              <w:ind w:firstLine="0"/>
              <w:jc w:val="left"/>
            </w:pPr>
            <w:r>
              <w:rPr>
                <w:b w:val="0"/>
                <w:sz w:val="21"/>
              </w:rPr>
              <w:t>有采集或传输证据支持的数据链路异常，与真实工艺变化区分</w:t>
            </w:r>
          </w:p>
        </w:tc>
      </w:tr>
      <w:tr>
        <w:trPr>
          <w:cantSplit/>
        </w:trPr>
        <w:tc>
          <w:tcPr>
            <w:tcW w:type="dxa" w:w="2409"/>
            <w:vAlign w:val="center"/>
          </w:tcPr>
          <w:p>
            <w:pPr>
              <w:keepNext w:val="0"/>
              <w:spacing w:line="320" w:lineRule="exact" w:after="0" w:before="0"/>
              <w:ind w:firstLine="0"/>
              <w:jc w:val="left"/>
            </w:pPr>
            <w:r>
              <w:rPr>
                <w:b w:val="0"/>
                <w:sz w:val="21"/>
              </w:rPr>
              <w:t>alarm_review</w:t>
            </w:r>
          </w:p>
        </w:tc>
        <w:tc>
          <w:tcPr>
            <w:tcW w:type="dxa" w:w="7228"/>
            <w:vAlign w:val="center"/>
          </w:tcPr>
          <w:p>
            <w:pPr>
              <w:keepNext w:val="0"/>
              <w:spacing w:line="320" w:lineRule="exact" w:after="0" w:before="0"/>
              <w:ind w:firstLine="0"/>
              <w:jc w:val="left"/>
            </w:pPr>
            <w:r>
              <w:rPr>
                <w:b w:val="0"/>
                <w:sz w:val="21"/>
              </w:rPr>
              <w:t>对预警事实及后续检查分别记录并复核其证据关系</w:t>
            </w:r>
          </w:p>
        </w:tc>
      </w:tr>
      <w:tr>
        <w:trPr>
          <w:cantSplit/>
        </w:trPr>
        <w:tc>
          <w:tcPr>
            <w:tcW w:type="dxa" w:w="2409"/>
            <w:vAlign w:val="center"/>
          </w:tcPr>
          <w:p>
            <w:pPr>
              <w:keepNext w:val="0"/>
              <w:spacing w:line="320" w:lineRule="exact" w:after="0" w:before="0"/>
              <w:ind w:firstLine="0"/>
              <w:jc w:val="left"/>
            </w:pPr>
            <w:r>
              <w:rPr>
                <w:b w:val="0"/>
                <w:sz w:val="21"/>
              </w:rPr>
              <w:t>fault_unconfirmed</w:t>
            </w:r>
          </w:p>
        </w:tc>
        <w:tc>
          <w:tcPr>
            <w:tcW w:type="dxa" w:w="7228"/>
            <w:vAlign w:val="center"/>
          </w:tcPr>
          <w:p>
            <w:pPr>
              <w:keepNext w:val="0"/>
              <w:spacing w:line="320" w:lineRule="exact" w:after="0" w:before="0"/>
              <w:ind w:firstLine="0"/>
              <w:jc w:val="left"/>
            </w:pPr>
            <w:r>
              <w:rPr>
                <w:b w:val="0"/>
                <w:sz w:val="21"/>
              </w:rPr>
              <w:t>尚无足够专业证据确认故障类型，不能转成确定性故障监督标签</w:t>
            </w:r>
          </w:p>
        </w:tc>
      </w:tr>
      <w:tr>
        <w:trPr>
          <w:cantSplit/>
        </w:trPr>
        <w:tc>
          <w:tcPr>
            <w:tcW w:type="dxa" w:w="2409"/>
            <w:vAlign w:val="center"/>
          </w:tcPr>
          <w:p>
            <w:pPr>
              <w:keepNext w:val="0"/>
              <w:spacing w:line="320" w:lineRule="exact" w:after="0" w:before="0"/>
              <w:ind w:firstLine="0"/>
              <w:jc w:val="left"/>
            </w:pPr>
            <w:r>
              <w:rPr>
                <w:b w:val="0"/>
                <w:sz w:val="21"/>
              </w:rPr>
              <w:t>identity_mismatch</w:t>
            </w:r>
          </w:p>
        </w:tc>
        <w:tc>
          <w:tcPr>
            <w:tcW w:type="dxa" w:w="7228"/>
            <w:vAlign w:val="center"/>
          </w:tcPr>
          <w:p>
            <w:pPr>
              <w:keepNext w:val="0"/>
              <w:spacing w:line="320" w:lineRule="exact" w:after="0" w:before="0"/>
              <w:ind w:firstLine="0"/>
              <w:jc w:val="left"/>
            </w:pPr>
            <w:r>
              <w:rPr>
                <w:b w:val="0"/>
                <w:sz w:val="21"/>
              </w:rPr>
              <w:t>证据指向不同对象或部位，不能直接相互赋予标签或结论</w:t>
            </w:r>
          </w:p>
        </w:tc>
      </w:tr>
      <w:tr>
        <w:trPr>
          <w:cantSplit/>
        </w:trPr>
        <w:tc>
          <w:tcPr>
            <w:tcW w:type="dxa" w:w="2409"/>
            <w:vAlign w:val="center"/>
          </w:tcPr>
          <w:p>
            <w:pPr>
              <w:keepNext w:val="0"/>
              <w:spacing w:line="320" w:lineRule="exact" w:after="0" w:before="0"/>
              <w:ind w:firstLine="0"/>
              <w:jc w:val="left"/>
            </w:pPr>
            <w:r>
              <w:rPr>
                <w:b w:val="0"/>
                <w:sz w:val="21"/>
              </w:rPr>
              <w:t>multimodal_alignment</w:t>
            </w:r>
          </w:p>
        </w:tc>
        <w:tc>
          <w:tcPr>
            <w:tcW w:type="dxa" w:w="7228"/>
            <w:vAlign w:val="center"/>
          </w:tcPr>
          <w:p>
            <w:pPr>
              <w:keepNext w:val="0"/>
              <w:spacing w:line="320" w:lineRule="exact" w:after="0" w:before="0"/>
              <w:ind w:firstLine="0"/>
              <w:jc w:val="left"/>
            </w:pPr>
            <w:r>
              <w:rPr>
                <w:b w:val="0"/>
                <w:sz w:val="21"/>
              </w:rPr>
              <w:t>核对模态载荷在业务对象、位置、事件和版本上的对应关系</w:t>
            </w:r>
          </w:p>
        </w:tc>
      </w:tr>
      <w:tr>
        <w:trPr>
          <w:cantSplit/>
        </w:trPr>
        <w:tc>
          <w:tcPr>
            <w:tcW w:type="dxa" w:w="2409"/>
            <w:vAlign w:val="center"/>
          </w:tcPr>
          <w:p>
            <w:pPr>
              <w:keepNext w:val="0"/>
              <w:spacing w:line="320" w:lineRule="exact" w:after="0" w:before="0"/>
              <w:ind w:firstLine="0"/>
              <w:jc w:val="left"/>
            </w:pPr>
            <w:r>
              <w:rPr>
                <w:b w:val="0"/>
                <w:sz w:val="21"/>
              </w:rPr>
              <w:t>sampling_gap</w:t>
            </w:r>
          </w:p>
        </w:tc>
        <w:tc>
          <w:tcPr>
            <w:tcW w:type="dxa" w:w="7228"/>
            <w:vAlign w:val="center"/>
          </w:tcPr>
          <w:p>
            <w:pPr>
              <w:keepNext w:val="0"/>
              <w:spacing w:line="320" w:lineRule="exact" w:after="0" w:before="0"/>
              <w:ind w:firstLine="0"/>
              <w:jc w:val="left"/>
            </w:pPr>
            <w:r>
              <w:rPr>
                <w:b w:val="0"/>
                <w:sz w:val="21"/>
              </w:rPr>
              <w:t>依据采样策略确认应有而缺失的观测位置，缺失不同于真实零值</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5.3.9 规范样本</w:t>
      </w:r>
    </w:p>
    <w:p>
      <w:pPr>
        <w:keepNext/>
        <w:jc w:val="both"/>
      </w:pPr>
      <w:r>
        <w:t>规范样本1 采样缺口与工艺异常区分</w:t>
      </w:r>
    </w:p>
    <w:p>
      <w:pPr>
        <w:pStyle w:val="Caption"/>
        <w:keepNext/>
      </w:pPr>
      <w:r>
        <w:t>表5-42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EX-03-PREF-001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MP04、sampling_gap、acquisition_failure</w:t>
            </w:r>
          </w:p>
        </w:tc>
      </w:tr>
    </w:tbl>
    <w:p>
      <w:pPr>
        <w:spacing w:after="40" w:line="240" w:lineRule="auto"/>
        <w:ind w:firstLine="0"/>
      </w:pPr>
      <w:r>
        <w:rPr>
          <w:sz w:val="4"/>
        </w:rPr>
      </w:r>
    </w:p>
    <w:p>
      <w:pPr>
        <w:jc w:val="both"/>
      </w:pPr>
      <w:r>
        <w:t>输入内容：某规范测点按相对秒0、1、2、3、4、5形成应采记录。实际存在0、1、4、5四个时间点；运行记录显示该区间设备持续运行，采集日志在2、3秒对应期间发生传输中断。未提供缓存补传结果。</w:t>
      </w:r>
    </w:p>
    <w:p>
      <w:pPr>
        <w:pStyle w:val="Caption"/>
        <w:keepNext/>
      </w:pPr>
      <w:r>
        <w:t>表5-43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center"/>
            </w:pPr>
            <w:r>
              <w:rPr>
                <w:b w:val="0"/>
                <w:sz w:val="21"/>
              </w:rPr>
              <w:t>0</w:t>
            </w:r>
          </w:p>
        </w:tc>
        <w:tc>
          <w:tcPr>
            <w:tcW w:type="dxa" w:w="7228"/>
            <w:vAlign w:val="center"/>
          </w:tcPr>
          <w:p>
            <w:pPr>
              <w:keepNext/>
              <w:spacing w:line="320" w:lineRule="exact" w:after="0" w:before="0"/>
              <w:ind w:firstLine="0"/>
              <w:jc w:val="center"/>
            </w:pPr>
            <w:r>
              <w:rPr>
                <w:b w:val="0"/>
                <w:sz w:val="21"/>
              </w:rPr>
              <w:t>10</w:t>
            </w:r>
          </w:p>
        </w:tc>
      </w:tr>
      <w:tr>
        <w:trPr>
          <w:cantSplit/>
        </w:trPr>
        <w:tc>
          <w:tcPr>
            <w:tcW w:type="dxa" w:w="2409"/>
            <w:vAlign w:val="center"/>
          </w:tcPr>
          <w:p>
            <w:pPr>
              <w:keepNext/>
              <w:spacing w:line="320" w:lineRule="exact" w:after="0" w:before="0"/>
              <w:ind w:firstLine="0"/>
              <w:jc w:val="center"/>
            </w:pPr>
            <w:r>
              <w:rPr>
                <w:b w:val="0"/>
                <w:sz w:val="21"/>
              </w:rPr>
              <w:t>1</w:t>
            </w:r>
          </w:p>
        </w:tc>
        <w:tc>
          <w:tcPr>
            <w:tcW w:type="dxa" w:w="7228"/>
            <w:vAlign w:val="center"/>
          </w:tcPr>
          <w:p>
            <w:pPr>
              <w:keepNext/>
              <w:spacing w:line="320" w:lineRule="exact" w:after="0" w:before="0"/>
              <w:ind w:firstLine="0"/>
              <w:jc w:val="center"/>
            </w:pPr>
            <w:r>
              <w:rPr>
                <w:b w:val="0"/>
                <w:sz w:val="21"/>
              </w:rPr>
              <w:t>11</w:t>
            </w:r>
          </w:p>
        </w:tc>
      </w:tr>
      <w:tr>
        <w:trPr>
          <w:cantSplit/>
        </w:trPr>
        <w:tc>
          <w:tcPr>
            <w:tcW w:type="dxa" w:w="2409"/>
            <w:vAlign w:val="center"/>
          </w:tcPr>
          <w:p>
            <w:pPr>
              <w:keepNext/>
              <w:spacing w:line="320" w:lineRule="exact" w:after="0" w:before="0"/>
              <w:ind w:firstLine="0"/>
              <w:jc w:val="center"/>
            </w:pPr>
            <w:r>
              <w:rPr>
                <w:b w:val="0"/>
                <w:sz w:val="21"/>
              </w:rPr>
              <w:t>4</w:t>
            </w:r>
          </w:p>
        </w:tc>
        <w:tc>
          <w:tcPr>
            <w:tcW w:type="dxa" w:w="7228"/>
            <w:vAlign w:val="center"/>
          </w:tcPr>
          <w:p>
            <w:pPr>
              <w:keepNext/>
              <w:spacing w:line="320" w:lineRule="exact" w:after="0" w:before="0"/>
              <w:ind w:firstLine="0"/>
              <w:jc w:val="center"/>
            </w:pPr>
            <w:r>
              <w:rPr>
                <w:b w:val="0"/>
                <w:sz w:val="21"/>
              </w:rPr>
              <w:t>12</w:t>
            </w:r>
          </w:p>
        </w:tc>
      </w:tr>
      <w:tr>
        <w:trPr>
          <w:cantSplit/>
        </w:trPr>
        <w:tc>
          <w:tcPr>
            <w:tcW w:type="dxa" w:w="2409"/>
            <w:vAlign w:val="center"/>
          </w:tcPr>
          <w:p>
            <w:pPr>
              <w:keepNext w:val="0"/>
              <w:spacing w:line="320" w:lineRule="exact" w:after="0" w:before="0"/>
              <w:ind w:firstLine="0"/>
              <w:jc w:val="center"/>
            </w:pPr>
            <w:r>
              <w:rPr>
                <w:b w:val="0"/>
                <w:sz w:val="21"/>
              </w:rPr>
              <w:t>5</w:t>
            </w:r>
          </w:p>
        </w:tc>
        <w:tc>
          <w:tcPr>
            <w:tcW w:type="dxa" w:w="7228"/>
            <w:vAlign w:val="center"/>
          </w:tcPr>
          <w:p>
            <w:pPr>
              <w:keepNext w:val="0"/>
              <w:spacing w:line="320" w:lineRule="exact" w:after="0" w:before="0"/>
              <w:ind w:firstLine="0"/>
              <w:jc w:val="center"/>
            </w:pPr>
            <w:r>
              <w:rPr>
                <w:b w:val="0"/>
                <w:sz w:val="21"/>
              </w:rPr>
              <w:t>12</w:t>
            </w:r>
          </w:p>
        </w:tc>
      </w:tr>
    </w:tbl>
    <w:p>
      <w:pPr>
        <w:spacing w:after="40" w:line="240" w:lineRule="auto"/>
        <w:ind w:firstLine="0"/>
      </w:pPr>
      <w:r>
        <w:rPr>
          <w:sz w:val="4"/>
        </w:rPr>
      </w:r>
    </w:p>
    <w:p>
      <w:pPr>
        <w:jc w:val="both"/>
      </w:pPr>
      <w:r>
        <w:t>共同任务：如何记录缺口，能否把2、3秒填零后判定工艺下降？</w:t>
      </w:r>
    </w:p>
    <w:p>
      <w:pPr>
        <w:jc w:val="both"/>
      </w:pPr>
      <w:r>
        <w:t>候选甲：应记录2、3秒为采集缺口，并关联传输中断日志。缺口不代表真实测量值为零，不能据此判定工艺下降。应检查合法缓存或源端记录是否可以恢复；不能恢复时保留缺失标记，按任务所需连续性判断可用范围。</w:t>
      </w:r>
    </w:p>
    <w:p>
      <w:pPr>
        <w:jc w:val="both"/>
      </w:pPr>
      <w:r>
        <w:t>候选乙：缺少的点统一补零，曲线下降可以直接标为工艺故障。</w:t>
      </w:r>
    </w:p>
    <w:p>
      <w:pPr>
        <w:jc w:val="both"/>
      </w:pPr>
      <w:r>
        <w:t>偏好结论：候选甲优于候选乙。判断依据为缺口2和3秒、不填零冒充测量、区分采集与工艺、按真实恢复或保留缺失。候选乙的错误涉及事实或约束，不以字数、语气或展示位置决定偏好。实际比较时随机交换展示顺序，保留原候选标识及独立判断。</w:t>
      </w:r>
    </w:p>
    <w:p>
      <w:pPr>
        <w:keepNext/>
        <w:jc w:val="both"/>
      </w:pPr>
      <w:r>
        <w:t>规范样本2 焊缝影像与检验对象关联</w:t>
      </w:r>
    </w:p>
    <w:p>
      <w:pPr>
        <w:pStyle w:val="Caption"/>
        <w:keepNext/>
      </w:pPr>
      <w:r>
        <w:t>表5-44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EX-03-PREF-002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MP03、multimodal_alignment、identity_mismatch</w:t>
            </w:r>
          </w:p>
        </w:tc>
      </w:tr>
    </w:tbl>
    <w:p>
      <w:pPr>
        <w:spacing w:after="40" w:line="240" w:lineRule="auto"/>
        <w:ind w:firstLine="0"/>
      </w:pPr>
      <w:r>
        <w:rPr>
          <w:sz w:val="4"/>
        </w:rPr>
      </w:r>
    </w:p>
    <w:p>
      <w:pPr>
        <w:jc w:val="both"/>
      </w:pPr>
      <w:r>
        <w:t>输入内容：影像对象标识为产品P甲的焊缝W1，检验记录标识为同产品的焊缝W2，两者属于不同位置。仅有文件上传时间相近，无焊缝映射或位置一致证据。</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16" name="Picture 16"/>
            <wp:cNvGraphicFramePr>
              <a:graphicFrameLocks noChangeAspect="1"/>
            </wp:cNvGraphicFramePr>
            <a:graphic>
              <a:graphicData uri="http://schemas.openxmlformats.org/drawingml/2006/picture">
                <pic:pic>
                  <pic:nvPicPr>
                    <pic:cNvPr id="0" name="例图03_2.png"/>
                    <pic:cNvPicPr/>
                  </pic:nvPicPr>
                  <pic:blipFill>
                    <a:blip r:embed="rId18"/>
                    <a:stretch>
                      <a:fillRect/>
                    </a:stretch>
                  </pic:blipFill>
                  <pic:spPr>
                    <a:xfrm>
                      <a:off x="0" y="0"/>
                      <a:ext cx="6048000" cy="1422831"/>
                    </a:xfrm>
                    <a:prstGeom prst="rect"/>
                  </pic:spPr>
                </pic:pic>
              </a:graphicData>
            </a:graphic>
          </wp:inline>
        </w:drawing>
      </w:r>
    </w:p>
    <w:p>
      <w:pPr>
        <w:pStyle w:val="Caption"/>
        <w:jc w:val="center"/>
      </w:pPr>
      <w:r>
        <w:t>图5-4 焊缝影像与检验对象关联</w:t>
      </w:r>
    </w:p>
    <w:p>
      <w:pPr>
        <w:jc w:val="both"/>
      </w:pPr>
      <w:r>
        <w:t>共同任务：是否可以将该检验结论作为影像W1的监督标签？</w:t>
      </w:r>
    </w:p>
    <w:p>
      <w:pPr>
        <w:jc w:val="both"/>
      </w:pPr>
      <w:r>
        <w:t>候选甲：不能直接使用。应先核查焊缝位置、工序阶段、产品实例和映射证据；W1与W2为不同位置，上传时间相近不能证明对应。无法形成正确关联时，影像与检验记录分别保留身份，相关标签不进入合格监督样本。</w:t>
      </w:r>
    </w:p>
    <w:p>
      <w:pPr>
        <w:jc w:val="both"/>
      </w:pPr>
      <w:r>
        <w:t>候选乙：同一产品且上传时间相近，W2的检验结论可直接标注W1。</w:t>
      </w:r>
    </w:p>
    <w:p>
      <w:pPr>
        <w:jc w:val="both"/>
      </w:pPr>
      <w:r>
        <w:t>偏好结论：候选甲优于候选乙。判断依据为不能直接赋标签、核对位置与阶段、上传时间非关联依据、保留对象身份。候选乙的错误涉及事实或约束，不以字数、语气或展示位置决定偏好。实际比较时随机交换展示顺序，保留原候选标识及独立判断。</w:t>
      </w:r>
    </w:p>
    <w:p>
      <w:pPr>
        <w:keepNext/>
        <w:jc w:val="both"/>
      </w:pPr>
      <w:r>
        <w:t>规范样本3 预警与确认故障分层记录</w:t>
      </w:r>
    </w:p>
    <w:p>
      <w:pPr>
        <w:pStyle w:val="Caption"/>
        <w:keepNext/>
      </w:pPr>
      <w:r>
        <w:t>表5-45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EX-03-PREF-003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MP06、alarm_review、fault_unconfirmed</w:t>
            </w:r>
          </w:p>
        </w:tc>
      </w:tr>
    </w:tbl>
    <w:p>
      <w:pPr>
        <w:spacing w:after="40" w:line="240" w:lineRule="auto"/>
        <w:ind w:firstLine="0"/>
      </w:pPr>
      <w:r>
        <w:rPr>
          <w:sz w:val="4"/>
        </w:rPr>
      </w:r>
    </w:p>
    <w:p>
      <w:pPr>
        <w:jc w:val="both"/>
      </w:pPr>
      <w:r>
        <w:t>输入内容：设备E甲在事件窗口内产生一次模型预警。维修工单记录为检查未发现明确故障，随后恢复观察；尚无拆检或专业确认结果支持某一故障类型。</w:t>
      </w:r>
    </w:p>
    <w:p>
      <w:pPr>
        <w:jc w:val="both"/>
      </w:pPr>
      <w:r>
        <w:t>共同任务：该事件应如何进入健康管理数据集？</w:t>
      </w:r>
    </w:p>
    <w:p>
      <w:pPr>
        <w:jc w:val="both"/>
      </w:pPr>
      <w:r>
        <w:t>候选甲：分别记录预警事实、维修检查结果和后续观察状态。可以用于预警复核或证据不足判断任务，不能标为某类已确认故障，也不能由本次检查推断设备整个观察期无故障。后续证据形成时以新版本更新事件状态。</w:t>
      </w:r>
    </w:p>
    <w:p>
      <w:pPr>
        <w:jc w:val="both"/>
      </w:pPr>
      <w:r>
        <w:t>候选乙：凡有模型预警就标为已确认故障，便于增加故障样本。</w:t>
      </w:r>
    </w:p>
    <w:p>
      <w:pPr>
        <w:jc w:val="both"/>
      </w:pPr>
      <w:r>
        <w:t>偏好结论：候选甲优于候选乙。判断依据为预警与故障分开、保留检查结果、不扩展无故障结论、后继版本更新。候选乙的错误涉及事实或约束，不以字数、语气或展示位置决定偏好。实际比较时随机交换展示顺序，保留原候选标识及独立判断。</w:t>
      </w:r>
    </w:p>
    <w:p>
      <w:pPr>
        <w:pStyle w:val="Heading3"/>
      </w:pPr>
      <w:r>
        <w:t>5.3.10 生产与使用核验</w:t>
      </w:r>
    </w:p>
    <w:p>
      <w:pPr>
        <w:jc w:val="both"/>
      </w:pPr>
      <w:r>
        <w:t>统计专业偏好一致率、固定协议下的胜率及平局率、事实约束违反率；展示次序随机化，盲化候选来源并保留交换顺序复核。本领域同时检查事件与工序识别F1、时序片段定位误差、过程关联正确率、采集缺口识别召回率、异常解释证据正确率及设备切片稳定性。统计按任务类型、来源、模态、难度及关键业务对象分层，保留题目或记录级结果和失败对象。</w:t>
      </w:r>
    </w:p>
    <w:p>
      <w:pPr>
        <w:jc w:val="both"/>
      </w:pPr>
      <w:r>
        <w:t>生产检查从来源记录开始核对工单、产品实例、材料批次、工序、炉次、焊缝、设备、测点、事件及时间窗口，确认按设备实物身份与工单组织记录，固定原时钟和校正关系；以业务事件划定时序窗口；分开真实工艺异常、传感器异常和采集链路异常；图像视频与工序阶段、位置及批次对齐；过程结论连接实际检验或维修证据。专业分歧由生产、设备、工艺、能源、质量及现场采集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5.4 基准评测数据卡</w:t>
      </w:r>
    </w:p>
    <w:p>
      <w:pPr>
        <w:pStyle w:val="Heading3"/>
      </w:pPr>
      <w:r>
        <w:t>5.4.1 基本信息</w:t>
      </w:r>
    </w:p>
    <w:p>
      <w:pPr>
        <w:pStyle w:val="Caption"/>
        <w:keepNext/>
      </w:pPr>
      <w:r>
        <w:t>表5-46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GHY26691-DC-03-0004-V1.0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制造过程数据集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基准评测</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03 制造过程；关联对象为工单、产品实例、材料批次、工序、炉次、焊缝、设备、测点、事件及时间窗口</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有效交付净量2000条；以固定输入、必要资源、参考依据与判分规则构成的完整题目为计数单位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本用途规模按条验收；如统计输入输出Tokens，分开保存且不替代任务或比较组数量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采用第7章公共记录结构及本领域扩展字典；固定输入、必要资源、参考依据与判分规则构成的完整题目具有稳定标识、业务对象、来源家族、时间、内容、资源、标签与证据关系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根目录按03-EVAL及数据版本组织；data保存记录，resources保存模态载荷，metadata保存来源与关系，dictionary保存字段和标签，cards保存卡片，reports保存报告，tools保存解析程序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03-EVAL-数据版本-六位分片序号.jsonl；资源以稳定资源标识命名；卡片使用完整卡号；路径采用相对路径并拒绝越界和重名冲突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平台服务工单按卡号、数据版本及问题对象受理；由技术与生产、设备、工艺、能源、质量及现场采集专业岗位协同处理，服务时段和响应要求执行统一售后安排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工单执行、工序流转、板材备料、焊接、热处理、机加工、设备运行、能源关联、过程异常与维修活动。以工单、产品实例、材料批次、工序、炉次、焊缝、设备、测点、事件及时间窗口建立对象关系，来源范围包括MES中的工单和报工，SCADA中的过程采样，热处理群控中的炉次及曲线，EMS中的能源记录，EAM中的设备和维修，QMS中的过程检验，LMS、WMS中的物流与领退料记录。面向基准评测形成真实来源独立题目、固定判分依据和可复现实验结果，重点检查来源真实、家族隔离、答案正确、题目完整、判分稳定和答案保密。数据支持板材智能备料、热处理工艺优化、焊接工艺优化、刮板输送机健康管理、决策数据智能问答助手，结论依据实际输入、专业条件和验证范围使用。涉及生产节拍、设备状态、现场视频、人员影像、关键过程参数和运行位置时执行相应授权及安全处理。业务事实、推断与未知状态分别标记，数据版本与引用依据保持一致。</w:t>
      </w:r>
    </w:p>
    <w:p>
      <w:pPr>
        <w:pStyle w:val="Heading3"/>
      </w:pPr>
      <w:r>
        <w:t>5.4.2 内容特征</w:t>
      </w:r>
    </w:p>
    <w:p>
      <w:pPr>
        <w:pStyle w:val="Caption"/>
        <w:keepNext/>
      </w:pPr>
      <w:r>
        <w:t>表5-47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文本、图像、时序、视频按有效载荷统计；重点关联工单、产品实例、材料批次、工序、炉次、焊缝、设备、测点、事件及时间窗口；图纸、表格载体不独立增加模态数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以固定输入、必要资源、参考依据与判分规则构成的完整题目为分母，至少两种有效关联模态的记录为分子；分子、分母及互斥组合清单齐备，按1.4节满足40%要求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按MP01工单与工序、MP02备料与加工、MP03焊接过程、MP04热处理过程、MP05设备与能耗、MP06异常与维修统计；主主题互斥，辅助主题允许多选并另列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基础识读、关联计算、复杂条件与证据不足判断分别成层；稀缺题型独立报告，避免总体分数掩盖薄弱项</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合成占比为0%；不使用人为增强扩充题目数量</w:t>
            </w:r>
          </w:p>
        </w:tc>
      </w:tr>
    </w:tbl>
    <w:p>
      <w:pPr>
        <w:spacing w:after="40" w:line="240" w:lineRule="auto"/>
        <w:ind w:firstLine="0"/>
      </w:pPr>
      <w:r>
        <w:rPr>
          <w:sz w:val="4"/>
        </w:rPr>
      </w:r>
    </w:p>
    <w:p>
      <w:pPr>
        <w:pStyle w:val="Heading3"/>
      </w:pPr>
      <w:r>
        <w:t>5.4.3 建设过程</w:t>
      </w:r>
    </w:p>
    <w:p>
      <w:pPr>
        <w:pStyle w:val="Caption"/>
        <w:keepNext/>
      </w:pPr>
      <w:r>
        <w:t>表5-48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MES中的工单和报工，SCADA中的过程采样，热处理群控中的炉次及曲线，EMS中的能源记录，EAM中的设备和维修，QMS中的过程检验，LMS、WMS中的物流与领退料记录；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按设备实物身份与工单组织记录，固定原时钟和校正关系；以业务事件划定时序窗口；分开真实工艺异常、传感器异常和采集链路异常；图像视频与工序阶段、位置及批次对齐；过程结论连接实际检验或维修证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保存解析器、字典、切分、窗口、重叠、单位换算、时间校正和对齐配置；工单、产品实例、材料批次、工序、炉次、焊缝、设备、测点、事件及时间窗口为关联校验重点；参数经真实资料验证后冻结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题型、考核能力、参考答案、评分点、扣分条件、适用范围、难度及裁决依据；规范编号与实际生产记录绑定，不因预训练用途自动省略专业标记管理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由生产、设备、工艺、能源、质量及现场采集专业岗位承担专业定义与争议裁决，标注人员依规范执行；自检、交叉复核、专家仲裁分别保存原始结果及修订记录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正式基准不进行任何形式的合成；核查来源家族和派生记录，发现生成内容即退出有效基准并补足真实合格题目</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正式基准答案由真实证据和专业审核确定；辅助工具使用单独留痕，不把教师生成内容计作真实基准来源</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不以改写、扰动、裁剪派生或其他人为增强扩充正式题量；必要格式标准化保持原始题目身份与证据，不重复计数</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5.4.4 应用说明</w:t>
      </w:r>
    </w:p>
    <w:p>
      <w:pPr>
        <w:pStyle w:val="Caption"/>
        <w:keepNext/>
      </w:pPr>
      <w:r>
        <w:t>表5-49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板材智能备料、热处理工艺优化、焊接工艺优化、刮板输送机健康管理、决策数据智能问答助手；验证结论按实际场景、输入条件和版本形成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基准评测；输入接口须支持实际文本、图像、时序或视频载荷及对应关系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事件与工序识别F1、时序片段定位误差、过程关联正确率、采集缺口识别召回率、异常解释证据正确率及设备切片稳定性；各用途采用本卡评价协议并保留定义、方向和统计单位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5.4.5 质量验证</w:t>
      </w:r>
    </w:p>
    <w:p>
      <w:pPr>
        <w:pStyle w:val="Caption"/>
        <w:keepNext/>
      </w:pPr>
      <w:r>
        <w:t>表5-50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质检报告采用GHY26691-QC-03-0004并绑定实际版本、受检清单和内容根摘要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分别报告保真度、完备性、规整性、均衡性、可用性、可信性的方法、结果与问题；按工单、产品实例、材料批次、工序、炉次、焊缝、设备、测点、事件及时间窗口检查关键业务关联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验证报告采用GHY26691-VR-03-0004及实际版本；引用数据、模型、协议、实验和原始输出，汇总与子集范围分别标明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生产、设备、工艺、能源、质量及现场采集专业岗位结合板材智能备料、热处理工艺优化、焊接工艺优化、刮板输送机健康管理、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5.4.6 安全合规</w:t>
      </w:r>
    </w:p>
    <w:p>
      <w:pPr>
        <w:pStyle w:val="Caption"/>
        <w:keepNext/>
      </w:pPr>
      <w:r>
        <w:t>表5-51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生产经营数据中的制造过程相关数据；按工单执行、工序流转、板材备料、焊接、热处理、机加工、设备运行、能源关联、过程异常与维修活动细分并关联资产目录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生产节拍、设备状态、现场视频、人员影像、关键过程参数和运行位置；实际敏感要素由检测与人工复核确认，未知状态不按无敏感信息处理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人员影像和工号按用途遮蔽或替代；设备编号保持稳定受控映射；生产时间按授权用途处理并保持事件相对顺序；涉及参数的资料采用受控访问，避免变换破坏工艺含义</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生产、设备、工艺、能源、质量及现场采集专业岗位按业务必要性申请；加工、质量与评测岗位取得任务所需权限，基准答案、原始敏感资料和替代映射分别控制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按卡号GHY26691-DC-03-0004-V1.0、实际数据版本、对象标识和工单关联查询采集、加工、访问、下载、评测及发布审计；交付留存必要受控记录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5.4.7 指纹血缘</w:t>
      </w:r>
    </w:p>
    <w:p>
      <w:pPr>
        <w:pStyle w:val="Caption"/>
        <w:keepNext/>
      </w:pPr>
      <w:r>
        <w:t>表5-52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03-EVAL根目录内package.json登记身份、数据版本、结构版本、字典、卡片、资源和文件清单；脱离平台按第7章完成读取及核验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5.4.8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表5-53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work_order_id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工单稳定编号</w:t>
            </w:r>
          </w:p>
        </w:tc>
        <w:tc>
          <w:tcPr>
            <w:tcW w:type="dxa" w:w="3084"/>
            <w:vAlign w:val="center"/>
          </w:tcPr>
          <w:p>
            <w:pPr>
              <w:keepNext w:val="0"/>
              <w:spacing w:line="320" w:lineRule="exact" w:after="0" w:before="0"/>
              <w:ind w:firstLine="0"/>
              <w:jc w:val="left"/>
            </w:pPr>
            <w:r>
              <w:rPr>
                <w:b w:val="0"/>
                <w:sz w:val="21"/>
              </w:rPr>
              <w:t>分批与返工采用独立实例关系</w:t>
            </w:r>
          </w:p>
        </w:tc>
      </w:tr>
      <w:tr>
        <w:trPr>
          <w:cantSplit/>
        </w:trPr>
        <w:tc>
          <w:tcPr>
            <w:tcW w:type="dxa" w:w="2313"/>
            <w:vAlign w:val="center"/>
          </w:tcPr>
          <w:p>
            <w:pPr>
              <w:keepNext w:val="0"/>
              <w:spacing w:line="320" w:lineRule="exact" w:after="0" w:before="0"/>
              <w:ind w:firstLine="0"/>
              <w:jc w:val="left"/>
            </w:pPr>
            <w:r>
              <w:rPr>
                <w:b w:val="0"/>
                <w:sz w:val="21"/>
              </w:rPr>
              <w:t>equipment_instance</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设备及安装部件身份</w:t>
            </w:r>
          </w:p>
        </w:tc>
        <w:tc>
          <w:tcPr>
            <w:tcW w:type="dxa" w:w="3084"/>
            <w:vAlign w:val="center"/>
          </w:tcPr>
          <w:p>
            <w:pPr>
              <w:keepNext w:val="0"/>
              <w:spacing w:line="320" w:lineRule="exact" w:after="0" w:before="0"/>
              <w:ind w:firstLine="0"/>
              <w:jc w:val="left"/>
            </w:pPr>
            <w:r>
              <w:rPr>
                <w:b w:val="0"/>
                <w:sz w:val="21"/>
              </w:rPr>
              <w:t>换件前后保留安装期间</w:t>
            </w:r>
          </w:p>
        </w:tc>
      </w:tr>
      <w:tr>
        <w:trPr>
          <w:cantSplit/>
        </w:trPr>
        <w:tc>
          <w:tcPr>
            <w:tcW w:type="dxa" w:w="2313"/>
            <w:vAlign w:val="center"/>
          </w:tcPr>
          <w:p>
            <w:pPr>
              <w:keepNext w:val="0"/>
              <w:spacing w:line="320" w:lineRule="exact" w:after="0" w:before="0"/>
              <w:ind w:firstLine="0"/>
              <w:jc w:val="left"/>
            </w:pPr>
            <w:r>
              <w:rPr>
                <w:b w:val="0"/>
                <w:sz w:val="21"/>
              </w:rPr>
              <w:t>event_window</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起止时间、时区、闭合方式与事件编号</w:t>
            </w:r>
          </w:p>
        </w:tc>
        <w:tc>
          <w:tcPr>
            <w:tcW w:type="dxa" w:w="3084"/>
            <w:vAlign w:val="center"/>
          </w:tcPr>
          <w:p>
            <w:pPr>
              <w:keepNext w:val="0"/>
              <w:spacing w:line="320" w:lineRule="exact" w:after="0" w:before="0"/>
              <w:ind w:firstLine="0"/>
              <w:jc w:val="left"/>
            </w:pPr>
            <w:r>
              <w:rPr>
                <w:b w:val="0"/>
                <w:sz w:val="21"/>
              </w:rPr>
              <w:t>起止有序，跨边界片段保留前后文</w:t>
            </w:r>
          </w:p>
        </w:tc>
      </w:tr>
      <w:tr>
        <w:trPr>
          <w:cantSplit/>
        </w:trPr>
        <w:tc>
          <w:tcPr>
            <w:tcW w:type="dxa" w:w="2313"/>
            <w:vAlign w:val="center"/>
          </w:tcPr>
          <w:p>
            <w:pPr>
              <w:keepNext w:val="0"/>
              <w:spacing w:line="320" w:lineRule="exact" w:after="0" w:before="0"/>
              <w:ind w:firstLine="0"/>
              <w:jc w:val="left"/>
            </w:pPr>
            <w:r>
              <w:rPr>
                <w:b w:val="0"/>
                <w:sz w:val="21"/>
              </w:rPr>
              <w:t>sensor_id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测点及校准配置标识</w:t>
            </w:r>
          </w:p>
        </w:tc>
        <w:tc>
          <w:tcPr>
            <w:tcW w:type="dxa" w:w="3084"/>
            <w:vAlign w:val="center"/>
          </w:tcPr>
          <w:p>
            <w:pPr>
              <w:keepNext w:val="0"/>
              <w:spacing w:line="320" w:lineRule="exact" w:after="0" w:before="0"/>
              <w:ind w:firstLine="0"/>
              <w:jc w:val="left"/>
            </w:pPr>
            <w:r>
              <w:rPr>
                <w:b w:val="0"/>
                <w:sz w:val="21"/>
              </w:rPr>
              <w:t>原单位与换算配置可追溯</w:t>
            </w:r>
          </w:p>
        </w:tc>
      </w:tr>
      <w:tr>
        <w:trPr>
          <w:cantSplit/>
        </w:trPr>
        <w:tc>
          <w:tcPr>
            <w:tcW w:type="dxa" w:w="2313"/>
            <w:vAlign w:val="center"/>
          </w:tcPr>
          <w:p>
            <w:pPr>
              <w:keepNext w:val="0"/>
              <w:spacing w:line="320" w:lineRule="exact" w:after="0" w:before="0"/>
              <w:ind w:firstLine="0"/>
              <w:jc w:val="left"/>
            </w:pPr>
            <w:r>
              <w:rPr>
                <w:b w:val="0"/>
                <w:sz w:val="21"/>
              </w:rPr>
              <w:t>sample_time</w:t>
            </w:r>
          </w:p>
        </w:tc>
        <w:tc>
          <w:tcPr>
            <w:tcW w:type="dxa" w:w="1157"/>
            <w:vAlign w:val="center"/>
          </w:tcPr>
          <w:p>
            <w:pPr>
              <w:keepNext w:val="0"/>
              <w:spacing w:line="320" w:lineRule="exact" w:after="0" w:before="0"/>
              <w:ind w:firstLine="0"/>
              <w:jc w:val="left"/>
            </w:pPr>
            <w:r>
              <w:rPr>
                <w:b w:val="0"/>
                <w:sz w:val="21"/>
              </w:rPr>
              <w:t>时间数组</w:t>
            </w:r>
          </w:p>
        </w:tc>
        <w:tc>
          <w:tcPr>
            <w:tcW w:type="dxa" w:w="3084"/>
            <w:vAlign w:val="center"/>
          </w:tcPr>
          <w:p>
            <w:pPr>
              <w:keepNext w:val="0"/>
              <w:spacing w:line="320" w:lineRule="exact" w:after="0" w:before="0"/>
              <w:ind w:firstLine="0"/>
              <w:jc w:val="left"/>
            </w:pPr>
            <w:r>
              <w:rPr>
                <w:b w:val="0"/>
                <w:sz w:val="21"/>
              </w:rPr>
              <w:t>按观测顺序记录原采样时间</w:t>
            </w:r>
          </w:p>
        </w:tc>
        <w:tc>
          <w:tcPr>
            <w:tcW w:type="dxa" w:w="3084"/>
            <w:vAlign w:val="center"/>
          </w:tcPr>
          <w:p>
            <w:pPr>
              <w:keepNext w:val="0"/>
              <w:spacing w:line="320" w:lineRule="exact" w:after="0" w:before="0"/>
              <w:ind w:firstLine="0"/>
              <w:jc w:val="left"/>
            </w:pPr>
            <w:r>
              <w:rPr>
                <w:b w:val="0"/>
                <w:sz w:val="21"/>
              </w:rPr>
              <w:t>重复、缺口和校时处理有状态</w:t>
            </w:r>
          </w:p>
        </w:tc>
      </w:tr>
      <w:tr>
        <w:trPr>
          <w:cantSplit/>
        </w:trPr>
        <w:tc>
          <w:tcPr>
            <w:tcW w:type="dxa" w:w="2313"/>
            <w:vAlign w:val="center"/>
          </w:tcPr>
          <w:p>
            <w:pPr>
              <w:keepNext w:val="0"/>
              <w:spacing w:line="320" w:lineRule="exact" w:after="0" w:before="0"/>
              <w:ind w:firstLine="0"/>
              <w:jc w:val="left"/>
            </w:pPr>
            <w:r>
              <w:rPr>
                <w:b w:val="0"/>
                <w:sz w:val="21"/>
              </w:rPr>
              <w:t>process_state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running、stopped、maintenance、unknown</w:t>
            </w:r>
          </w:p>
        </w:tc>
        <w:tc>
          <w:tcPr>
            <w:tcW w:type="dxa" w:w="3084"/>
            <w:vAlign w:val="center"/>
          </w:tcPr>
          <w:p>
            <w:pPr>
              <w:keepNext w:val="0"/>
              <w:spacing w:line="320" w:lineRule="exact" w:after="0" w:before="0"/>
              <w:ind w:firstLine="0"/>
              <w:jc w:val="left"/>
            </w:pPr>
            <w:r>
              <w:rPr>
                <w:b w:val="0"/>
                <w:sz w:val="21"/>
              </w:rPr>
              <w:t>依据事件记录判断，不由空值自动推定停机</w:t>
            </w:r>
          </w:p>
        </w:tc>
      </w:tr>
    </w:tbl>
    <w:p>
      <w:pPr>
        <w:spacing w:after="40" w:line="240" w:lineRule="auto"/>
        <w:ind w:firstLine="0"/>
      </w:pPr>
      <w:r>
        <w:rPr>
          <w:sz w:val="4"/>
        </w:rPr>
      </w:r>
    </w:p>
    <w:p>
      <w:pPr>
        <w:pStyle w:val="Caption"/>
        <w:keepNext/>
      </w:pPr>
      <w:r>
        <w:t>表5-54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MP01</w:t>
            </w:r>
          </w:p>
        </w:tc>
        <w:tc>
          <w:tcPr>
            <w:tcW w:type="dxa" w:w="2891"/>
            <w:vAlign w:val="center"/>
          </w:tcPr>
          <w:p>
            <w:pPr>
              <w:keepNext w:val="0"/>
              <w:spacing w:line="320" w:lineRule="exact" w:after="0" w:before="0"/>
              <w:ind w:firstLine="0"/>
              <w:jc w:val="left"/>
            </w:pPr>
            <w:r>
              <w:rPr>
                <w:b w:val="0"/>
                <w:sz w:val="21"/>
              </w:rPr>
              <w:t>工单与工序</w:t>
            </w:r>
          </w:p>
        </w:tc>
        <w:tc>
          <w:tcPr>
            <w:tcW w:type="dxa" w:w="4433"/>
            <w:vAlign w:val="center"/>
          </w:tcPr>
          <w:p>
            <w:pPr>
              <w:keepNext w:val="0"/>
              <w:spacing w:line="320" w:lineRule="exact" w:after="0" w:before="0"/>
              <w:ind w:firstLine="0"/>
              <w:jc w:val="left"/>
            </w:pPr>
            <w:r>
              <w:rPr>
                <w:b w:val="0"/>
                <w:sz w:val="21"/>
              </w:rPr>
              <w:t>计划、开工、完工和检验关系</w:t>
            </w:r>
          </w:p>
        </w:tc>
      </w:tr>
      <w:tr>
        <w:trPr>
          <w:cantSplit/>
        </w:trPr>
        <w:tc>
          <w:tcPr>
            <w:tcW w:type="dxa" w:w="2313"/>
            <w:vAlign w:val="center"/>
          </w:tcPr>
          <w:p>
            <w:pPr>
              <w:keepNext w:val="0"/>
              <w:spacing w:line="320" w:lineRule="exact" w:after="0" w:before="0"/>
              <w:ind w:firstLine="0"/>
              <w:jc w:val="left"/>
            </w:pPr>
            <w:r>
              <w:rPr>
                <w:b w:val="0"/>
                <w:sz w:val="21"/>
              </w:rPr>
              <w:t>MP02</w:t>
            </w:r>
          </w:p>
        </w:tc>
        <w:tc>
          <w:tcPr>
            <w:tcW w:type="dxa" w:w="2891"/>
            <w:vAlign w:val="center"/>
          </w:tcPr>
          <w:p>
            <w:pPr>
              <w:keepNext w:val="0"/>
              <w:spacing w:line="320" w:lineRule="exact" w:after="0" w:before="0"/>
              <w:ind w:firstLine="0"/>
              <w:jc w:val="left"/>
            </w:pPr>
            <w:r>
              <w:rPr>
                <w:b w:val="0"/>
                <w:sz w:val="21"/>
              </w:rPr>
              <w:t>备料与加工</w:t>
            </w:r>
          </w:p>
        </w:tc>
        <w:tc>
          <w:tcPr>
            <w:tcW w:type="dxa" w:w="4433"/>
            <w:vAlign w:val="center"/>
          </w:tcPr>
          <w:p>
            <w:pPr>
              <w:keepNext w:val="0"/>
              <w:spacing w:line="320" w:lineRule="exact" w:after="0" w:before="0"/>
              <w:ind w:firstLine="0"/>
              <w:jc w:val="left"/>
            </w:pPr>
            <w:r>
              <w:rPr>
                <w:b w:val="0"/>
                <w:sz w:val="21"/>
              </w:rPr>
              <w:t>材料批次、领退料和工序输入输出</w:t>
            </w:r>
          </w:p>
        </w:tc>
      </w:tr>
      <w:tr>
        <w:trPr>
          <w:cantSplit/>
        </w:trPr>
        <w:tc>
          <w:tcPr>
            <w:tcW w:type="dxa" w:w="2313"/>
            <w:vAlign w:val="center"/>
          </w:tcPr>
          <w:p>
            <w:pPr>
              <w:keepNext w:val="0"/>
              <w:spacing w:line="320" w:lineRule="exact" w:after="0" w:before="0"/>
              <w:ind w:firstLine="0"/>
              <w:jc w:val="left"/>
            </w:pPr>
            <w:r>
              <w:rPr>
                <w:b w:val="0"/>
                <w:sz w:val="21"/>
              </w:rPr>
              <w:t>MP03</w:t>
            </w:r>
          </w:p>
        </w:tc>
        <w:tc>
          <w:tcPr>
            <w:tcW w:type="dxa" w:w="2891"/>
            <w:vAlign w:val="center"/>
          </w:tcPr>
          <w:p>
            <w:pPr>
              <w:keepNext w:val="0"/>
              <w:spacing w:line="320" w:lineRule="exact" w:after="0" w:before="0"/>
              <w:ind w:firstLine="0"/>
              <w:jc w:val="left"/>
            </w:pPr>
            <w:r>
              <w:rPr>
                <w:b w:val="0"/>
                <w:sz w:val="21"/>
              </w:rPr>
              <w:t>焊接过程</w:t>
            </w:r>
          </w:p>
        </w:tc>
        <w:tc>
          <w:tcPr>
            <w:tcW w:type="dxa" w:w="4433"/>
            <w:vAlign w:val="center"/>
          </w:tcPr>
          <w:p>
            <w:pPr>
              <w:keepNext w:val="0"/>
              <w:spacing w:line="320" w:lineRule="exact" w:after="0" w:before="0"/>
              <w:ind w:firstLine="0"/>
              <w:jc w:val="left"/>
            </w:pPr>
            <w:r>
              <w:rPr>
                <w:b w:val="0"/>
                <w:sz w:val="21"/>
              </w:rPr>
              <w:t>焊缝、位置、参数与检验关系</w:t>
            </w:r>
          </w:p>
        </w:tc>
      </w:tr>
      <w:tr>
        <w:trPr>
          <w:cantSplit/>
        </w:trPr>
        <w:tc>
          <w:tcPr>
            <w:tcW w:type="dxa" w:w="2313"/>
            <w:vAlign w:val="center"/>
          </w:tcPr>
          <w:p>
            <w:pPr>
              <w:keepNext w:val="0"/>
              <w:spacing w:line="320" w:lineRule="exact" w:after="0" w:before="0"/>
              <w:ind w:firstLine="0"/>
              <w:jc w:val="left"/>
            </w:pPr>
            <w:r>
              <w:rPr>
                <w:b w:val="0"/>
                <w:sz w:val="21"/>
              </w:rPr>
              <w:t>MP04</w:t>
            </w:r>
          </w:p>
        </w:tc>
        <w:tc>
          <w:tcPr>
            <w:tcW w:type="dxa" w:w="2891"/>
            <w:vAlign w:val="center"/>
          </w:tcPr>
          <w:p>
            <w:pPr>
              <w:keepNext w:val="0"/>
              <w:spacing w:line="320" w:lineRule="exact" w:after="0" w:before="0"/>
              <w:ind w:firstLine="0"/>
              <w:jc w:val="left"/>
            </w:pPr>
            <w:r>
              <w:rPr>
                <w:b w:val="0"/>
                <w:sz w:val="21"/>
              </w:rPr>
              <w:t>热处理过程</w:t>
            </w:r>
          </w:p>
        </w:tc>
        <w:tc>
          <w:tcPr>
            <w:tcW w:type="dxa" w:w="4433"/>
            <w:vAlign w:val="center"/>
          </w:tcPr>
          <w:p>
            <w:pPr>
              <w:keepNext w:val="0"/>
              <w:spacing w:line="320" w:lineRule="exact" w:after="0" w:before="0"/>
              <w:ind w:firstLine="0"/>
              <w:jc w:val="left"/>
            </w:pPr>
            <w:r>
              <w:rPr>
                <w:b w:val="0"/>
                <w:sz w:val="21"/>
              </w:rPr>
              <w:t>装炉、阶段、曲线和测点条件</w:t>
            </w:r>
          </w:p>
        </w:tc>
      </w:tr>
      <w:tr>
        <w:trPr>
          <w:cantSplit/>
        </w:trPr>
        <w:tc>
          <w:tcPr>
            <w:tcW w:type="dxa" w:w="2313"/>
            <w:vAlign w:val="center"/>
          </w:tcPr>
          <w:p>
            <w:pPr>
              <w:keepNext w:val="0"/>
              <w:spacing w:line="320" w:lineRule="exact" w:after="0" w:before="0"/>
              <w:ind w:firstLine="0"/>
              <w:jc w:val="left"/>
            </w:pPr>
            <w:r>
              <w:rPr>
                <w:b w:val="0"/>
                <w:sz w:val="21"/>
              </w:rPr>
              <w:t>MP05</w:t>
            </w:r>
          </w:p>
        </w:tc>
        <w:tc>
          <w:tcPr>
            <w:tcW w:type="dxa" w:w="2891"/>
            <w:vAlign w:val="center"/>
          </w:tcPr>
          <w:p>
            <w:pPr>
              <w:keepNext w:val="0"/>
              <w:spacing w:line="320" w:lineRule="exact" w:after="0" w:before="0"/>
              <w:ind w:firstLine="0"/>
              <w:jc w:val="left"/>
            </w:pPr>
            <w:r>
              <w:rPr>
                <w:b w:val="0"/>
                <w:sz w:val="21"/>
              </w:rPr>
              <w:t>设备与能耗</w:t>
            </w:r>
          </w:p>
        </w:tc>
        <w:tc>
          <w:tcPr>
            <w:tcW w:type="dxa" w:w="4433"/>
            <w:vAlign w:val="center"/>
          </w:tcPr>
          <w:p>
            <w:pPr>
              <w:keepNext w:val="0"/>
              <w:spacing w:line="320" w:lineRule="exact" w:after="0" w:before="0"/>
              <w:ind w:firstLine="0"/>
              <w:jc w:val="left"/>
            </w:pPr>
            <w:r>
              <w:rPr>
                <w:b w:val="0"/>
                <w:sz w:val="21"/>
              </w:rPr>
              <w:t>设备状态、观测窗口及能耗口径</w:t>
            </w:r>
          </w:p>
        </w:tc>
      </w:tr>
      <w:tr>
        <w:trPr>
          <w:cantSplit/>
        </w:trPr>
        <w:tc>
          <w:tcPr>
            <w:tcW w:type="dxa" w:w="2313"/>
            <w:vAlign w:val="center"/>
          </w:tcPr>
          <w:p>
            <w:pPr>
              <w:keepNext w:val="0"/>
              <w:spacing w:line="320" w:lineRule="exact" w:after="0" w:before="0"/>
              <w:ind w:firstLine="0"/>
              <w:jc w:val="left"/>
            </w:pPr>
            <w:r>
              <w:rPr>
                <w:b w:val="0"/>
                <w:sz w:val="21"/>
              </w:rPr>
              <w:t>MP06</w:t>
            </w:r>
          </w:p>
        </w:tc>
        <w:tc>
          <w:tcPr>
            <w:tcW w:type="dxa" w:w="2891"/>
            <w:vAlign w:val="center"/>
          </w:tcPr>
          <w:p>
            <w:pPr>
              <w:keepNext w:val="0"/>
              <w:spacing w:line="320" w:lineRule="exact" w:after="0" w:before="0"/>
              <w:ind w:firstLine="0"/>
              <w:jc w:val="left"/>
            </w:pPr>
            <w:r>
              <w:rPr>
                <w:b w:val="0"/>
                <w:sz w:val="21"/>
              </w:rPr>
              <w:t>异常与维修</w:t>
            </w:r>
          </w:p>
        </w:tc>
        <w:tc>
          <w:tcPr>
            <w:tcW w:type="dxa" w:w="4433"/>
            <w:vAlign w:val="center"/>
          </w:tcPr>
          <w:p>
            <w:pPr>
              <w:keepNext w:val="0"/>
              <w:spacing w:line="320" w:lineRule="exact" w:after="0" w:before="0"/>
              <w:ind w:firstLine="0"/>
              <w:jc w:val="left"/>
            </w:pPr>
            <w:r>
              <w:rPr>
                <w:b w:val="0"/>
                <w:sz w:val="21"/>
              </w:rPr>
              <w:t>事件证据、维修发现和恢复条件</w:t>
            </w:r>
          </w:p>
        </w:tc>
      </w:tr>
    </w:tbl>
    <w:p>
      <w:pPr>
        <w:spacing w:after="40" w:line="240" w:lineRule="auto"/>
        <w:ind w:firstLine="0"/>
      </w:pPr>
      <w:r>
        <w:rPr>
          <w:sz w:val="4"/>
        </w:rPr>
      </w:r>
    </w:p>
    <w:p>
      <w:pPr>
        <w:pStyle w:val="Caption"/>
        <w:keepNext/>
      </w:pPr>
      <w:r>
        <w:t>表5-55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表5-56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acquisition_failure</w:t>
            </w:r>
          </w:p>
        </w:tc>
        <w:tc>
          <w:tcPr>
            <w:tcW w:type="dxa" w:w="7228"/>
            <w:vAlign w:val="center"/>
          </w:tcPr>
          <w:p>
            <w:pPr>
              <w:keepNext w:val="0"/>
              <w:spacing w:line="320" w:lineRule="exact" w:after="0" w:before="0"/>
              <w:ind w:firstLine="0"/>
              <w:jc w:val="left"/>
            </w:pPr>
            <w:r>
              <w:rPr>
                <w:b w:val="0"/>
                <w:sz w:val="21"/>
              </w:rPr>
              <w:t>有采集或传输证据支持的数据链路异常，与真实工艺变化区分</w:t>
            </w:r>
          </w:p>
        </w:tc>
      </w:tr>
      <w:tr>
        <w:trPr>
          <w:cantSplit/>
        </w:trPr>
        <w:tc>
          <w:tcPr>
            <w:tcW w:type="dxa" w:w="2409"/>
            <w:vAlign w:val="center"/>
          </w:tcPr>
          <w:p>
            <w:pPr>
              <w:keepNext w:val="0"/>
              <w:spacing w:line="320" w:lineRule="exact" w:after="0" w:before="0"/>
              <w:ind w:firstLine="0"/>
              <w:jc w:val="left"/>
            </w:pPr>
            <w:r>
              <w:rPr>
                <w:b w:val="0"/>
                <w:sz w:val="21"/>
              </w:rPr>
              <w:t>alarm_review</w:t>
            </w:r>
          </w:p>
        </w:tc>
        <w:tc>
          <w:tcPr>
            <w:tcW w:type="dxa" w:w="7228"/>
            <w:vAlign w:val="center"/>
          </w:tcPr>
          <w:p>
            <w:pPr>
              <w:keepNext w:val="0"/>
              <w:spacing w:line="320" w:lineRule="exact" w:after="0" w:before="0"/>
              <w:ind w:firstLine="0"/>
              <w:jc w:val="left"/>
            </w:pPr>
            <w:r>
              <w:rPr>
                <w:b w:val="0"/>
                <w:sz w:val="21"/>
              </w:rPr>
              <w:t>对预警事实及后续检查分别记录并复核其证据关系</w:t>
            </w:r>
          </w:p>
        </w:tc>
      </w:tr>
      <w:tr>
        <w:trPr>
          <w:cantSplit/>
        </w:trPr>
        <w:tc>
          <w:tcPr>
            <w:tcW w:type="dxa" w:w="2409"/>
            <w:vAlign w:val="center"/>
          </w:tcPr>
          <w:p>
            <w:pPr>
              <w:keepNext w:val="0"/>
              <w:spacing w:line="320" w:lineRule="exact" w:after="0" w:before="0"/>
              <w:ind w:firstLine="0"/>
              <w:jc w:val="left"/>
            </w:pPr>
            <w:r>
              <w:rPr>
                <w:b w:val="0"/>
                <w:sz w:val="21"/>
              </w:rPr>
              <w:t>fault_unconfirmed</w:t>
            </w:r>
          </w:p>
        </w:tc>
        <w:tc>
          <w:tcPr>
            <w:tcW w:type="dxa" w:w="7228"/>
            <w:vAlign w:val="center"/>
          </w:tcPr>
          <w:p>
            <w:pPr>
              <w:keepNext w:val="0"/>
              <w:spacing w:line="320" w:lineRule="exact" w:after="0" w:before="0"/>
              <w:ind w:firstLine="0"/>
              <w:jc w:val="left"/>
            </w:pPr>
            <w:r>
              <w:rPr>
                <w:b w:val="0"/>
                <w:sz w:val="21"/>
              </w:rPr>
              <w:t>尚无足够专业证据确认故障类型，不能转成确定性故障监督标签</w:t>
            </w:r>
          </w:p>
        </w:tc>
      </w:tr>
      <w:tr>
        <w:trPr>
          <w:cantSplit/>
        </w:trPr>
        <w:tc>
          <w:tcPr>
            <w:tcW w:type="dxa" w:w="2409"/>
            <w:vAlign w:val="center"/>
          </w:tcPr>
          <w:p>
            <w:pPr>
              <w:keepNext w:val="0"/>
              <w:spacing w:line="320" w:lineRule="exact" w:after="0" w:before="0"/>
              <w:ind w:firstLine="0"/>
              <w:jc w:val="left"/>
            </w:pPr>
            <w:r>
              <w:rPr>
                <w:b w:val="0"/>
                <w:sz w:val="21"/>
              </w:rPr>
              <w:t>identity_mismatch</w:t>
            </w:r>
          </w:p>
        </w:tc>
        <w:tc>
          <w:tcPr>
            <w:tcW w:type="dxa" w:w="7228"/>
            <w:vAlign w:val="center"/>
          </w:tcPr>
          <w:p>
            <w:pPr>
              <w:keepNext w:val="0"/>
              <w:spacing w:line="320" w:lineRule="exact" w:after="0" w:before="0"/>
              <w:ind w:firstLine="0"/>
              <w:jc w:val="left"/>
            </w:pPr>
            <w:r>
              <w:rPr>
                <w:b w:val="0"/>
                <w:sz w:val="21"/>
              </w:rPr>
              <w:t>证据指向不同对象或部位，不能直接相互赋予标签或结论</w:t>
            </w:r>
          </w:p>
        </w:tc>
      </w:tr>
      <w:tr>
        <w:trPr>
          <w:cantSplit/>
        </w:trPr>
        <w:tc>
          <w:tcPr>
            <w:tcW w:type="dxa" w:w="2409"/>
            <w:vAlign w:val="center"/>
          </w:tcPr>
          <w:p>
            <w:pPr>
              <w:keepNext w:val="0"/>
              <w:spacing w:line="320" w:lineRule="exact" w:after="0" w:before="0"/>
              <w:ind w:firstLine="0"/>
              <w:jc w:val="left"/>
            </w:pPr>
            <w:r>
              <w:rPr>
                <w:b w:val="0"/>
                <w:sz w:val="21"/>
              </w:rPr>
              <w:t>multimodal_alignment</w:t>
            </w:r>
          </w:p>
        </w:tc>
        <w:tc>
          <w:tcPr>
            <w:tcW w:type="dxa" w:w="7228"/>
            <w:vAlign w:val="center"/>
          </w:tcPr>
          <w:p>
            <w:pPr>
              <w:keepNext w:val="0"/>
              <w:spacing w:line="320" w:lineRule="exact" w:after="0" w:before="0"/>
              <w:ind w:firstLine="0"/>
              <w:jc w:val="left"/>
            </w:pPr>
            <w:r>
              <w:rPr>
                <w:b w:val="0"/>
                <w:sz w:val="21"/>
              </w:rPr>
              <w:t>核对模态载荷在业务对象、位置、事件和版本上的对应关系</w:t>
            </w:r>
          </w:p>
        </w:tc>
      </w:tr>
      <w:tr>
        <w:trPr>
          <w:cantSplit/>
        </w:trPr>
        <w:tc>
          <w:tcPr>
            <w:tcW w:type="dxa" w:w="2409"/>
            <w:vAlign w:val="center"/>
          </w:tcPr>
          <w:p>
            <w:pPr>
              <w:keepNext w:val="0"/>
              <w:spacing w:line="320" w:lineRule="exact" w:after="0" w:before="0"/>
              <w:ind w:firstLine="0"/>
              <w:jc w:val="left"/>
            </w:pPr>
            <w:r>
              <w:rPr>
                <w:b w:val="0"/>
                <w:sz w:val="21"/>
              </w:rPr>
              <w:t>sampling_gap</w:t>
            </w:r>
          </w:p>
        </w:tc>
        <w:tc>
          <w:tcPr>
            <w:tcW w:type="dxa" w:w="7228"/>
            <w:vAlign w:val="center"/>
          </w:tcPr>
          <w:p>
            <w:pPr>
              <w:keepNext w:val="0"/>
              <w:spacing w:line="320" w:lineRule="exact" w:after="0" w:before="0"/>
              <w:ind w:firstLine="0"/>
              <w:jc w:val="left"/>
            </w:pPr>
            <w:r>
              <w:rPr>
                <w:b w:val="0"/>
                <w:sz w:val="21"/>
              </w:rPr>
              <w:t>依据采样策略确认应有而缺失的观测位置，缺失不同于真实零值</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5.4.9 规范样本</w:t>
      </w:r>
    </w:p>
    <w:p>
      <w:pPr>
        <w:keepNext/>
        <w:jc w:val="both"/>
      </w:pPr>
      <w:r>
        <w:t>规范样本1 采样缺口与工艺异常区分</w:t>
      </w:r>
    </w:p>
    <w:p>
      <w:pPr>
        <w:pStyle w:val="Caption"/>
        <w:keepNext/>
      </w:pPr>
      <w:r>
        <w:t>表5-57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EX-03-EVAL-001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MP04、sampling_gap、acquisition_failure</w:t>
            </w:r>
          </w:p>
        </w:tc>
      </w:tr>
    </w:tbl>
    <w:p>
      <w:pPr>
        <w:spacing w:after="40" w:line="240" w:lineRule="auto"/>
        <w:ind w:firstLine="0"/>
      </w:pPr>
      <w:r>
        <w:rPr>
          <w:sz w:val="4"/>
        </w:rPr>
      </w:r>
    </w:p>
    <w:p>
      <w:pPr>
        <w:jc w:val="both"/>
      </w:pPr>
      <w:r>
        <w:t>输入内容：某规范测点按相对秒0、1、2、3、4、5形成应采记录。实际存在0、1、4、5四个时间点；运行记录显示该区间设备持续运行，采集日志在2、3秒对应期间发生传输中断。未提供缓存补传结果。</w:t>
      </w:r>
    </w:p>
    <w:p>
      <w:pPr>
        <w:pStyle w:val="Caption"/>
        <w:keepNext/>
      </w:pPr>
      <w:r>
        <w:t>表5-58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center"/>
            </w:pPr>
            <w:r>
              <w:rPr>
                <w:b w:val="0"/>
                <w:sz w:val="21"/>
              </w:rPr>
              <w:t>0</w:t>
            </w:r>
          </w:p>
        </w:tc>
        <w:tc>
          <w:tcPr>
            <w:tcW w:type="dxa" w:w="7228"/>
            <w:vAlign w:val="center"/>
          </w:tcPr>
          <w:p>
            <w:pPr>
              <w:keepNext/>
              <w:spacing w:line="320" w:lineRule="exact" w:after="0" w:before="0"/>
              <w:ind w:firstLine="0"/>
              <w:jc w:val="center"/>
            </w:pPr>
            <w:r>
              <w:rPr>
                <w:b w:val="0"/>
                <w:sz w:val="21"/>
              </w:rPr>
              <w:t>10</w:t>
            </w:r>
          </w:p>
        </w:tc>
      </w:tr>
      <w:tr>
        <w:trPr>
          <w:cantSplit/>
        </w:trPr>
        <w:tc>
          <w:tcPr>
            <w:tcW w:type="dxa" w:w="2409"/>
            <w:vAlign w:val="center"/>
          </w:tcPr>
          <w:p>
            <w:pPr>
              <w:keepNext/>
              <w:spacing w:line="320" w:lineRule="exact" w:after="0" w:before="0"/>
              <w:ind w:firstLine="0"/>
              <w:jc w:val="center"/>
            </w:pPr>
            <w:r>
              <w:rPr>
                <w:b w:val="0"/>
                <w:sz w:val="21"/>
              </w:rPr>
              <w:t>1</w:t>
            </w:r>
          </w:p>
        </w:tc>
        <w:tc>
          <w:tcPr>
            <w:tcW w:type="dxa" w:w="7228"/>
            <w:vAlign w:val="center"/>
          </w:tcPr>
          <w:p>
            <w:pPr>
              <w:keepNext/>
              <w:spacing w:line="320" w:lineRule="exact" w:after="0" w:before="0"/>
              <w:ind w:firstLine="0"/>
              <w:jc w:val="center"/>
            </w:pPr>
            <w:r>
              <w:rPr>
                <w:b w:val="0"/>
                <w:sz w:val="21"/>
              </w:rPr>
              <w:t>11</w:t>
            </w:r>
          </w:p>
        </w:tc>
      </w:tr>
      <w:tr>
        <w:trPr>
          <w:cantSplit/>
        </w:trPr>
        <w:tc>
          <w:tcPr>
            <w:tcW w:type="dxa" w:w="2409"/>
            <w:vAlign w:val="center"/>
          </w:tcPr>
          <w:p>
            <w:pPr>
              <w:keepNext/>
              <w:spacing w:line="320" w:lineRule="exact" w:after="0" w:before="0"/>
              <w:ind w:firstLine="0"/>
              <w:jc w:val="center"/>
            </w:pPr>
            <w:r>
              <w:rPr>
                <w:b w:val="0"/>
                <w:sz w:val="21"/>
              </w:rPr>
              <w:t>4</w:t>
            </w:r>
          </w:p>
        </w:tc>
        <w:tc>
          <w:tcPr>
            <w:tcW w:type="dxa" w:w="7228"/>
            <w:vAlign w:val="center"/>
          </w:tcPr>
          <w:p>
            <w:pPr>
              <w:keepNext/>
              <w:spacing w:line="320" w:lineRule="exact" w:after="0" w:before="0"/>
              <w:ind w:firstLine="0"/>
              <w:jc w:val="center"/>
            </w:pPr>
            <w:r>
              <w:rPr>
                <w:b w:val="0"/>
                <w:sz w:val="21"/>
              </w:rPr>
              <w:t>12</w:t>
            </w:r>
          </w:p>
        </w:tc>
      </w:tr>
      <w:tr>
        <w:trPr>
          <w:cantSplit/>
        </w:trPr>
        <w:tc>
          <w:tcPr>
            <w:tcW w:type="dxa" w:w="2409"/>
            <w:vAlign w:val="center"/>
          </w:tcPr>
          <w:p>
            <w:pPr>
              <w:keepNext w:val="0"/>
              <w:spacing w:line="320" w:lineRule="exact" w:after="0" w:before="0"/>
              <w:ind w:firstLine="0"/>
              <w:jc w:val="center"/>
            </w:pPr>
            <w:r>
              <w:rPr>
                <w:b w:val="0"/>
                <w:sz w:val="21"/>
              </w:rPr>
              <w:t>5</w:t>
            </w:r>
          </w:p>
        </w:tc>
        <w:tc>
          <w:tcPr>
            <w:tcW w:type="dxa" w:w="7228"/>
            <w:vAlign w:val="center"/>
          </w:tcPr>
          <w:p>
            <w:pPr>
              <w:keepNext w:val="0"/>
              <w:spacing w:line="320" w:lineRule="exact" w:after="0" w:before="0"/>
              <w:ind w:firstLine="0"/>
              <w:jc w:val="center"/>
            </w:pPr>
            <w:r>
              <w:rPr>
                <w:b w:val="0"/>
                <w:sz w:val="21"/>
              </w:rPr>
              <w:t>12</w:t>
            </w:r>
          </w:p>
        </w:tc>
      </w:tr>
    </w:tbl>
    <w:p>
      <w:pPr>
        <w:spacing w:after="40" w:line="240" w:lineRule="auto"/>
        <w:ind w:firstLine="0"/>
      </w:pPr>
      <w:r>
        <w:rPr>
          <w:sz w:val="4"/>
        </w:rPr>
      </w:r>
    </w:p>
    <w:p>
      <w:pPr>
        <w:jc w:val="both"/>
      </w:pPr>
      <w:r>
        <w:t>评测问题：如何记录缺口，能否把2、3秒填零后判定工艺下降？</w:t>
      </w:r>
    </w:p>
    <w:p>
      <w:pPr>
        <w:jc w:val="both"/>
      </w:pPr>
      <w:r>
        <w:t>参考依据：应记录2、3秒为采集缺口，并关联传输中断日志。缺口不代表真实测量值为零，不能据此判定工艺下降。应检查合法缓存或源端记录是否可以恢复；不能恢复时保留缺失标记，按任务所需连续性判断可用范围。</w:t>
      </w:r>
    </w:p>
    <w:p>
      <w:pPr>
        <w:pStyle w:val="Caption"/>
        <w:keepNext/>
      </w:pPr>
      <w:r>
        <w:t>表5-59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缺口2和3秒</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不填零冒充测量</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区分采集与工艺</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按真实恢复或保留缺失</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keepNext/>
        <w:jc w:val="both"/>
      </w:pPr>
      <w:r>
        <w:t>规范样本2 焊缝影像与检验对象关联</w:t>
      </w:r>
    </w:p>
    <w:p>
      <w:pPr>
        <w:pStyle w:val="Caption"/>
        <w:keepNext/>
      </w:pPr>
      <w:r>
        <w:t>表5-60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EX-03-EVAL-002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MP03、multimodal_alignment、identity_mismatch</w:t>
            </w:r>
          </w:p>
        </w:tc>
      </w:tr>
    </w:tbl>
    <w:p>
      <w:pPr>
        <w:spacing w:after="40" w:line="240" w:lineRule="auto"/>
        <w:ind w:firstLine="0"/>
      </w:pPr>
      <w:r>
        <w:rPr>
          <w:sz w:val="4"/>
        </w:rPr>
      </w:r>
    </w:p>
    <w:p>
      <w:pPr>
        <w:jc w:val="both"/>
      </w:pPr>
      <w:r>
        <w:t>输入内容：影像对象标识为产品P甲的焊缝W1，检验记录标识为同产品的焊缝W2，两者属于不同位置。仅有文件上传时间相近，无焊缝映射或位置一致证据。</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17" name="Picture 17"/>
            <wp:cNvGraphicFramePr>
              <a:graphicFrameLocks noChangeAspect="1"/>
            </wp:cNvGraphicFramePr>
            <a:graphic>
              <a:graphicData uri="http://schemas.openxmlformats.org/drawingml/2006/picture">
                <pic:pic>
                  <pic:nvPicPr>
                    <pic:cNvPr id="0" name="例图03_2.png"/>
                    <pic:cNvPicPr/>
                  </pic:nvPicPr>
                  <pic:blipFill>
                    <a:blip r:embed="rId18"/>
                    <a:stretch>
                      <a:fillRect/>
                    </a:stretch>
                  </pic:blipFill>
                  <pic:spPr>
                    <a:xfrm>
                      <a:off x="0" y="0"/>
                      <a:ext cx="6048000" cy="1422831"/>
                    </a:xfrm>
                    <a:prstGeom prst="rect"/>
                  </pic:spPr>
                </pic:pic>
              </a:graphicData>
            </a:graphic>
          </wp:inline>
        </w:drawing>
      </w:r>
    </w:p>
    <w:p>
      <w:pPr>
        <w:pStyle w:val="Caption"/>
        <w:jc w:val="center"/>
      </w:pPr>
      <w:r>
        <w:t>图5-5 焊缝影像与检验对象关联</w:t>
      </w:r>
    </w:p>
    <w:p>
      <w:pPr>
        <w:jc w:val="both"/>
      </w:pPr>
      <w:r>
        <w:t>评测问题：是否可以将该检验结论作为影像W1的监督标签？</w:t>
      </w:r>
    </w:p>
    <w:p>
      <w:pPr>
        <w:jc w:val="both"/>
      </w:pPr>
      <w:r>
        <w:t>参考依据：不能直接使用。应先核查焊缝位置、工序阶段、产品实例和映射证据；W1与W2为不同位置，上传时间相近不能证明对应。无法形成正确关联时，影像与检验记录分别保留身份，相关标签不进入合格监督样本。</w:t>
      </w:r>
    </w:p>
    <w:p>
      <w:pPr>
        <w:pStyle w:val="Caption"/>
        <w:keepNext/>
      </w:pPr>
      <w:r>
        <w:t>表5-61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不能直接赋标签</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核对位置与阶段</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上传时间非关联依据</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保留对象身份</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keepNext/>
        <w:jc w:val="both"/>
      </w:pPr>
      <w:r>
        <w:t>规范样本3 预警与确认故障分层记录</w:t>
      </w:r>
    </w:p>
    <w:p>
      <w:pPr>
        <w:pStyle w:val="Caption"/>
        <w:keepNext/>
      </w:pPr>
      <w:r>
        <w:t>表5-62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EX-03-EVAL-003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MP06、alarm_review、fault_unconfirmed</w:t>
            </w:r>
          </w:p>
        </w:tc>
      </w:tr>
    </w:tbl>
    <w:p>
      <w:pPr>
        <w:spacing w:after="40" w:line="240" w:lineRule="auto"/>
        <w:ind w:firstLine="0"/>
      </w:pPr>
      <w:r>
        <w:rPr>
          <w:sz w:val="4"/>
        </w:rPr>
      </w:r>
    </w:p>
    <w:p>
      <w:pPr>
        <w:jc w:val="both"/>
      </w:pPr>
      <w:r>
        <w:t>输入内容：设备E甲在事件窗口内产生一次模型预警。维修工单记录为检查未发现明确故障，随后恢复观察；尚无拆检或专业确认结果支持某一故障类型。</w:t>
      </w:r>
    </w:p>
    <w:p>
      <w:pPr>
        <w:jc w:val="both"/>
      </w:pPr>
      <w:r>
        <w:t>评测问题：该事件应如何进入健康管理数据集？</w:t>
      </w:r>
    </w:p>
    <w:p>
      <w:pPr>
        <w:jc w:val="both"/>
      </w:pPr>
      <w:r>
        <w:t>参考依据：分别记录预警事实、维修检查结果和后续观察状态。可以用于预警复核或证据不足判断任务，不能标为某类已确认故障，也不能由本次检查推断设备整个观察期无故障。后续证据形成时以新版本更新事件状态。</w:t>
      </w:r>
    </w:p>
    <w:p>
      <w:pPr>
        <w:pStyle w:val="Caption"/>
        <w:keepNext/>
      </w:pPr>
      <w:r>
        <w:t>表5-63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预警与故障分开</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保留检查结果</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不扩展无故障结论</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后继版本更新</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pStyle w:val="Heading3"/>
      </w:pPr>
      <w:r>
        <w:t>5.4.10 生产与使用核验</w:t>
      </w:r>
    </w:p>
    <w:p>
      <w:pPr>
        <w:jc w:val="both"/>
      </w:pPr>
      <w:r>
        <w:t>对相同题目和协议比较招标指定基础模型、继续预训练模型、指令微调模型及偏好对齐模型；逐题保存输出、评分和切片统计，未完成题目及失败调用单独报告。本领域同时检查事件与工序识别F1、时序片段定位误差、过程关联正确率、采集缺口识别召回率、异常解释证据正确率及设备切片稳定性。统计按任务类型、来源、模态、难度及关键业务对象分层，保留题目或记录级结果和失败对象。</w:t>
      </w:r>
    </w:p>
    <w:p>
      <w:pPr>
        <w:jc w:val="both"/>
      </w:pPr>
      <w:r>
        <w:t>生产检查从来源记录开始核对工单、产品实例、材料批次、工序、炉次、焊缝、设备、测点、事件及时间窗口，确认按设备实物身份与工单组织记录，固定原时钟和校正关系；以业务事件划定时序窗口；分开真实工艺异常、传感器异常和采集链路异常；图像视频与工序阶段、位置及批次对齐；过程结论连接实际检验或维修证据。专业分歧由生产、设备、工艺、能源、质量及现场采集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1"/>
        <w:pageBreakBefore/>
      </w:pPr>
      <w:r>
        <w:t>6 产品质量用途子集数据卡</w:t>
      </w:r>
    </w:p>
    <w:p>
      <w:pPr>
        <w:jc w:val="both"/>
      </w:pPr>
      <w:r>
        <w:t>本领域以产品实例、零件、材料批次、检验批、项目、测量轮次、缺陷位置、不合格单与处置状态组织记录，覆盖来料、过程、成品和使用反馈质量，检验标准、测量记录、缺陷形态、不合格处置、复检、放行与质量追溯。四个用途分别建立任务、清单、卡片和质量证据，并按实际版本管理。</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18" name="Picture 18"/>
            <wp:cNvGraphicFramePr>
              <a:graphicFrameLocks noChangeAspect="1"/>
            </wp:cNvGraphicFramePr>
            <a:graphic>
              <a:graphicData uri="http://schemas.openxmlformats.org/drawingml/2006/picture">
                <pic:pic>
                  <pic:nvPicPr>
                    <pic:cNvPr id="0" name="图6_质量关系.png"/>
                    <pic:cNvPicPr/>
                  </pic:nvPicPr>
                  <pic:blipFill>
                    <a:blip r:embed="rId19"/>
                    <a:stretch>
                      <a:fillRect/>
                    </a:stretch>
                  </pic:blipFill>
                  <pic:spPr>
                    <a:xfrm>
                      <a:off x="0" y="0"/>
                      <a:ext cx="6048000" cy="2477354"/>
                    </a:xfrm>
                    <a:prstGeom prst="rect"/>
                  </pic:spPr>
                </pic:pic>
              </a:graphicData>
            </a:graphic>
          </wp:inline>
        </w:drawing>
      </w:r>
    </w:p>
    <w:p>
      <w:pPr>
        <w:pStyle w:val="Caption"/>
        <w:jc w:val="center"/>
      </w:pPr>
      <w:r>
        <w:t>图6-1 产品质量检查与处置关系</w:t>
      </w:r>
    </w:p>
    <w:p>
      <w:pPr>
        <w:pStyle w:val="Heading2"/>
      </w:pPr>
      <w:r>
        <w:t>6.1 预训练数据卡</w:t>
      </w:r>
    </w:p>
    <w:p>
      <w:pPr>
        <w:pStyle w:val="Heading3"/>
      </w:pPr>
      <w:r>
        <w:t>6.1.1 基本信息</w:t>
      </w:r>
    </w:p>
    <w:p>
      <w:pPr>
        <w:pStyle w:val="Caption"/>
        <w:keepNext/>
      </w:pPr>
      <w:r>
        <w:t>表6-1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GHY26691-DC-04-0001-V1.0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产品质量数据集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预训练</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04 产品质量；关联对象为产品实例、零件、材料批次、检验批、项目、测量轮次、缺陷位置、不合格单与处置状态</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预训练有效净量16400000000 Tokens；实际语义记录数由有效清单逐条统计</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预训练有效净量16400000000 Tokens，即164亿Tokens；保存分词器、配置和执行摘要</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采用第7章公共记录结构及本领域扩展字典；完整业务语义记录具有稳定标识、业务对象、来源家族、时间、内容、资源、标签与证据关系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根目录按04-PT及数据版本组织；data保存记录，resources保存模态载荷，metadata保存来源与关系，dictionary保存字段和标签，cards保存卡片，reports保存报告，tools保存解析程序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04-PT-数据版本-六位分片序号.jsonl；资源以稳定资源标识命名；卡片使用完整卡号；路径采用相对路径并拒绝越界和重名冲突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平台服务工单按卡号、数据版本及问题对象受理；由技术与质量、检验、工艺、材料、生产及售后专业岗位协同处理，服务时段和响应要求执行统一售后安排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来料、过程、成品和使用反馈质量，检验标准、测量记录、缺陷形态、不合格处置、复检、放行与质量追溯。以产品实例、零件、材料批次、检验批、项目、测量轮次、缺陷位置、不合格单与处置状态建立对象关系，来源范围包括QMS中的检验及不合格记录，MES中的工单和过程批次，PLM中的技术条件，ERP与WMS中的物料及质量状态，EAM中的设备和维修记录，以及经授权的客户质量反馈。面向预训练形成忠实保留原始事实、关系和适用条件的领域语料，重点检查原文保真、语义完整、有效Tokens及重复损耗。数据支持热处理工艺优化、焊接工艺优化、刮板输送机健康管理、标准规范智能问答助手、决策数据智能问答助手，结论依据实际输入、专业条件和验证范围使用。涉及检验报告、质量事件、客户反馈、产品追溯关系、工艺秘密和检验人员信息时执行相应授权及安全处理。业务事实、推断与未知状态分别标记，数据版本与引用依据保持一致。</w:t>
      </w:r>
    </w:p>
    <w:p>
      <w:pPr>
        <w:pStyle w:val="Heading3"/>
      </w:pPr>
      <w:r>
        <w:t>6.1.2 内容特征</w:t>
      </w:r>
    </w:p>
    <w:p>
      <w:pPr>
        <w:pStyle w:val="Caption"/>
        <w:keepNext/>
      </w:pPr>
      <w:r>
        <w:t>表6-2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文本、图像、时序、视频按有效载荷统计；重点关联产品实例、零件、材料批次、检验批、项目、测量轮次、缺陷位置、不合格单与处置状态；图纸、表格载体不独立增加模态数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以完整业务语义记录为分母，至少两种有效关联模态的记录为分子；分子、分母及互斥组合清单齐备，按1.4节满足40%要求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按PQ01来料质量、PQ02过程检验、PQ03成品检验、PQ04缺陷与不合格、PQ05处置与复检、PQ06追溯与反馈统计；主主题互斥，辅助主题允许多选并另列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按事实识读、跨段关系和条件组合区分语料复杂性，不把长度直接当作推理难度</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合成与增强来源内容的并集不超过有效Tokens的20%；交集去重计算</w:t>
            </w:r>
          </w:p>
        </w:tc>
      </w:tr>
    </w:tbl>
    <w:p>
      <w:pPr>
        <w:spacing w:after="40" w:line="240" w:lineRule="auto"/>
        <w:ind w:firstLine="0"/>
      </w:pPr>
      <w:r>
        <w:rPr>
          <w:sz w:val="4"/>
        </w:rPr>
      </w:r>
    </w:p>
    <w:p>
      <w:pPr>
        <w:pStyle w:val="Heading3"/>
      </w:pPr>
      <w:r>
        <w:t>6.1.3 建设过程</w:t>
      </w:r>
    </w:p>
    <w:p>
      <w:pPr>
        <w:pStyle w:val="Caption"/>
        <w:keepNext/>
      </w:pPr>
      <w:r>
        <w:t>表6-3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QMS中的检验及不合格记录，MES中的工单和过程批次，PLM中的技术条件，ERP与WMS中的物料及质量状态，EAM中的设备和维修记录，以及经授权的客户质量反馈；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检验结果绑定有效标准与测量条件；数值、单位、精度、上下限及边界条件共同解析；缺陷标签绑定位置和证据；处置、复检与放行按时序串联；质量结论沿材料、工序和产品关系追溯；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保存解析器、字典、切分、窗口、重叠、单位换算、时间校正和对齐配置；产品实例、零件、材料批次、检验批、项目、测量轮次、缺陷位置、不合格单与处置状态为关联校验重点；参数经真实资料验证后冻结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主题、实体、术语、版面、时间和模态关联元数据；发生专业语义标记时纳入对应标注规范；规范编号与实际生产记录绑定，不因预训练用途自动省略专业标记管理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由质量、检验、工艺、材料、生产及售后专业岗位承担专业定义与争议裁决，标注人员依规范执行；自检、交叉复核、专家仲裁分别保存原始结果及修订记录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6.1.4 应用说明</w:t>
      </w:r>
    </w:p>
    <w:p>
      <w:pPr>
        <w:pStyle w:val="Caption"/>
        <w:keepNext/>
      </w:pPr>
      <w:r>
        <w:t>表6-4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热处理工艺优化、焊接工艺优化、刮板输送机健康管理、标准规范智能问答助手、决策数据智能问答助手；验证结论按实际场景、输入条件和版本形成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继续预训练；输入接口须支持实际文本、图像、时序或视频载荷及对应关系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检验字段抽取正确率、数值与单位判定正确率、缺陷分类宏平均F1、缺陷定位指标、质量追溯证据召回率及处置建议依据正确率；各用途采用本卡评价协议并保留定义、方向和统计单位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6.1.5 质量验证</w:t>
      </w:r>
    </w:p>
    <w:p>
      <w:pPr>
        <w:pStyle w:val="Caption"/>
        <w:keepNext/>
      </w:pPr>
      <w:r>
        <w:t>表6-5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质检报告采用GHY26691-QC-04-0001并绑定实际版本、受检清单和内容根摘要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分别报告保真度、完备性、规整性、均衡性、可用性、可信性的方法、结果与问题；按产品实例、零件、材料批次、检验批、项目、测量轮次、缺陷位置、不合格单与处置状态检查关键业务关联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验证报告采用GHY26691-VR-04-0001及实际版本；引用数据、模型、协议、实验和原始输出，汇总与子集范围分别标明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质量、检验、工艺、材料、生产及售后专业岗位结合热处理工艺优化、焊接工艺优化、刮板输送机健康管理、标准规范智能问答助手、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6.1.6 安全合规</w:t>
      </w:r>
    </w:p>
    <w:p>
      <w:pPr>
        <w:pStyle w:val="Caption"/>
        <w:keepNext/>
      </w:pPr>
      <w:r>
        <w:t>表6-6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生产经营数据中的产品质量相关数据；按来料、过程、成品和使用反馈质量，检验标准、测量记录、缺陷形态、不合格处置、复检、放行与质量追溯细分并关联资产目录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检验报告、质量事件、客户反馈、产品追溯关系、工艺秘密和检验人员信息；实际敏感要素由检测与人工复核确认，未知状态不按无敏感信息处理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客户与人员采用稳定替代标识，报告中的签署和联系方式按授权处理；测量值、单位和判定依据在授权环境保真保留；图像遮蔽无关身份信息并复核缺陷区域完整性</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质量、检验、工艺、材料、生产及售后专业岗位按业务必要性申请；加工、质量与评测岗位取得任务所需权限，基准答案、原始敏感资料和替代映射分别控制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按卡号GHY26691-DC-04-0001-V1.0、实际数据版本、对象标识和工单关联查询采集、加工、访问、下载、评测及发布审计；交付留存必要受控记录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6.1.7 指纹血缘</w:t>
      </w:r>
    </w:p>
    <w:p>
      <w:pPr>
        <w:pStyle w:val="Caption"/>
        <w:keepNext/>
      </w:pPr>
      <w:r>
        <w:t>表6-7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04-PT根目录内package.json登记身份、数据版本、结构版本、字典、卡片、资源和文件清单；脱离平台按第7章完成读取及核验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6.1.8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表6-8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inspection_id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检验活动身份</w:t>
            </w:r>
          </w:p>
        </w:tc>
        <w:tc>
          <w:tcPr>
            <w:tcW w:type="dxa" w:w="3084"/>
            <w:vAlign w:val="center"/>
          </w:tcPr>
          <w:p>
            <w:pPr>
              <w:keepNext w:val="0"/>
              <w:spacing w:line="320" w:lineRule="exact" w:after="0" w:before="0"/>
              <w:ind w:firstLine="0"/>
              <w:jc w:val="left"/>
            </w:pPr>
            <w:r>
              <w:rPr>
                <w:b w:val="0"/>
                <w:sz w:val="21"/>
              </w:rPr>
              <w:t>与检验批及轮次共同唯一</w:t>
            </w:r>
          </w:p>
        </w:tc>
      </w:tr>
      <w:tr>
        <w:trPr>
          <w:cantSplit/>
        </w:trPr>
        <w:tc>
          <w:tcPr>
            <w:tcW w:type="dxa" w:w="2313"/>
            <w:vAlign w:val="center"/>
          </w:tcPr>
          <w:p>
            <w:pPr>
              <w:keepNext w:val="0"/>
              <w:spacing w:line="320" w:lineRule="exact" w:after="0" w:before="0"/>
              <w:ind w:firstLine="0"/>
              <w:jc w:val="left"/>
            </w:pPr>
            <w:r>
              <w:rPr>
                <w:b w:val="0"/>
                <w:sz w:val="21"/>
              </w:rPr>
              <w:t>characteristic_id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检验项目及适用标准项</w:t>
            </w:r>
          </w:p>
        </w:tc>
        <w:tc>
          <w:tcPr>
            <w:tcW w:type="dxa" w:w="3084"/>
            <w:vAlign w:val="center"/>
          </w:tcPr>
          <w:p>
            <w:pPr>
              <w:keepNext w:val="0"/>
              <w:spacing w:line="320" w:lineRule="exact" w:after="0" w:before="0"/>
              <w:ind w:firstLine="0"/>
              <w:jc w:val="left"/>
            </w:pPr>
            <w:r>
              <w:rPr>
                <w:b w:val="0"/>
                <w:sz w:val="21"/>
              </w:rPr>
              <w:t>同名不同方法分别识别</w:t>
            </w:r>
          </w:p>
        </w:tc>
      </w:tr>
      <w:tr>
        <w:trPr>
          <w:cantSplit/>
        </w:trPr>
        <w:tc>
          <w:tcPr>
            <w:tcW w:type="dxa" w:w="2313"/>
            <w:vAlign w:val="center"/>
          </w:tcPr>
          <w:p>
            <w:pPr>
              <w:keepNext w:val="0"/>
              <w:spacing w:line="320" w:lineRule="exact" w:after="0" w:before="0"/>
              <w:ind w:firstLine="0"/>
              <w:jc w:val="left"/>
            </w:pPr>
            <w:r>
              <w:rPr>
                <w:b w:val="0"/>
                <w:sz w:val="21"/>
              </w:rPr>
              <w:t>measurement</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值、单位、精度、方法及设备条件</w:t>
            </w:r>
          </w:p>
        </w:tc>
        <w:tc>
          <w:tcPr>
            <w:tcW w:type="dxa" w:w="3084"/>
            <w:vAlign w:val="center"/>
          </w:tcPr>
          <w:p>
            <w:pPr>
              <w:keepNext w:val="0"/>
              <w:spacing w:line="320" w:lineRule="exact" w:after="0" w:before="0"/>
              <w:ind w:firstLine="0"/>
              <w:jc w:val="left"/>
            </w:pPr>
            <w:r>
              <w:rPr>
                <w:b w:val="0"/>
                <w:sz w:val="21"/>
              </w:rPr>
              <w:t>原始值与换算值同时留痕</w:t>
            </w:r>
          </w:p>
        </w:tc>
      </w:tr>
      <w:tr>
        <w:trPr>
          <w:cantSplit/>
        </w:trPr>
        <w:tc>
          <w:tcPr>
            <w:tcW w:type="dxa" w:w="2313"/>
            <w:vAlign w:val="center"/>
          </w:tcPr>
          <w:p>
            <w:pPr>
              <w:keepNext w:val="0"/>
              <w:spacing w:line="320" w:lineRule="exact" w:after="0" w:before="0"/>
              <w:ind w:firstLine="0"/>
              <w:jc w:val="left"/>
            </w:pPr>
            <w:r>
              <w:rPr>
                <w:b w:val="0"/>
                <w:sz w:val="21"/>
              </w:rPr>
              <w:t>acceptance_rule</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上下限、边界及标准版本</w:t>
            </w:r>
          </w:p>
        </w:tc>
        <w:tc>
          <w:tcPr>
            <w:tcW w:type="dxa" w:w="3084"/>
            <w:vAlign w:val="center"/>
          </w:tcPr>
          <w:p>
            <w:pPr>
              <w:keepNext w:val="0"/>
              <w:spacing w:line="320" w:lineRule="exact" w:after="0" w:before="0"/>
              <w:ind w:firstLine="0"/>
              <w:jc w:val="left"/>
            </w:pPr>
            <w:r>
              <w:rPr>
                <w:b w:val="0"/>
                <w:sz w:val="21"/>
              </w:rPr>
              <w:t>与产品材料和业务时间匹配</w:t>
            </w:r>
          </w:p>
        </w:tc>
      </w:tr>
      <w:tr>
        <w:trPr>
          <w:cantSplit/>
        </w:trPr>
        <w:tc>
          <w:tcPr>
            <w:tcW w:type="dxa" w:w="2313"/>
            <w:vAlign w:val="center"/>
          </w:tcPr>
          <w:p>
            <w:pPr>
              <w:keepNext w:val="0"/>
              <w:spacing w:line="320" w:lineRule="exact" w:after="0" w:before="0"/>
              <w:ind w:firstLine="0"/>
              <w:jc w:val="left"/>
            </w:pPr>
            <w:r>
              <w:rPr>
                <w:b w:val="0"/>
                <w:sz w:val="21"/>
              </w:rPr>
              <w:t>defect_location</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产品部位、区域或坐标</w:t>
            </w:r>
          </w:p>
        </w:tc>
        <w:tc>
          <w:tcPr>
            <w:tcW w:type="dxa" w:w="3084"/>
            <w:vAlign w:val="center"/>
          </w:tcPr>
          <w:p>
            <w:pPr>
              <w:keepNext w:val="0"/>
              <w:spacing w:line="320" w:lineRule="exact" w:after="0" w:before="0"/>
              <w:ind w:firstLine="0"/>
              <w:jc w:val="left"/>
            </w:pPr>
            <w:r>
              <w:rPr>
                <w:b w:val="0"/>
                <w:sz w:val="21"/>
              </w:rPr>
              <w:t>坐标参照和影像版本明确</w:t>
            </w:r>
          </w:p>
        </w:tc>
      </w:tr>
      <w:tr>
        <w:trPr>
          <w:cantSplit/>
        </w:trPr>
        <w:tc>
          <w:tcPr>
            <w:tcW w:type="dxa" w:w="2313"/>
            <w:vAlign w:val="center"/>
          </w:tcPr>
          <w:p>
            <w:pPr>
              <w:keepNext w:val="0"/>
              <w:spacing w:line="320" w:lineRule="exact" w:after="0" w:before="0"/>
              <w:ind w:firstLine="0"/>
              <w:jc w:val="left"/>
            </w:pPr>
            <w:r>
              <w:rPr>
                <w:b w:val="0"/>
                <w:sz w:val="21"/>
              </w:rPr>
              <w:t>disposition_state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open、rework、reinspect、accepted、rejected</w:t>
            </w:r>
          </w:p>
        </w:tc>
        <w:tc>
          <w:tcPr>
            <w:tcW w:type="dxa" w:w="3084"/>
            <w:vAlign w:val="center"/>
          </w:tcPr>
          <w:p>
            <w:pPr>
              <w:keepNext w:val="0"/>
              <w:spacing w:line="320" w:lineRule="exact" w:after="0" w:before="0"/>
              <w:ind w:firstLine="0"/>
              <w:jc w:val="left"/>
            </w:pPr>
            <w:r>
              <w:rPr>
                <w:b w:val="0"/>
                <w:sz w:val="21"/>
              </w:rPr>
              <w:t>状态迁移有授权记录和实际依据</w:t>
            </w:r>
          </w:p>
        </w:tc>
      </w:tr>
    </w:tbl>
    <w:p>
      <w:pPr>
        <w:spacing w:after="40" w:line="240" w:lineRule="auto"/>
        <w:ind w:firstLine="0"/>
      </w:pPr>
      <w:r>
        <w:rPr>
          <w:sz w:val="4"/>
        </w:rPr>
      </w:r>
    </w:p>
    <w:p>
      <w:pPr>
        <w:pStyle w:val="Caption"/>
        <w:keepNext/>
      </w:pPr>
      <w:r>
        <w:t>表6-9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PQ01</w:t>
            </w:r>
          </w:p>
        </w:tc>
        <w:tc>
          <w:tcPr>
            <w:tcW w:type="dxa" w:w="2891"/>
            <w:vAlign w:val="center"/>
          </w:tcPr>
          <w:p>
            <w:pPr>
              <w:keepNext w:val="0"/>
              <w:spacing w:line="320" w:lineRule="exact" w:after="0" w:before="0"/>
              <w:ind w:firstLine="0"/>
              <w:jc w:val="left"/>
            </w:pPr>
            <w:r>
              <w:rPr>
                <w:b w:val="0"/>
                <w:sz w:val="21"/>
              </w:rPr>
              <w:t>来料质量</w:t>
            </w:r>
          </w:p>
        </w:tc>
        <w:tc>
          <w:tcPr>
            <w:tcW w:type="dxa" w:w="4433"/>
            <w:vAlign w:val="center"/>
          </w:tcPr>
          <w:p>
            <w:pPr>
              <w:keepNext w:val="0"/>
              <w:spacing w:line="320" w:lineRule="exact" w:after="0" w:before="0"/>
              <w:ind w:firstLine="0"/>
              <w:jc w:val="left"/>
            </w:pPr>
            <w:r>
              <w:rPr>
                <w:b w:val="0"/>
                <w:sz w:val="21"/>
              </w:rPr>
              <w:t>材质、批次、证明与入厂检验</w:t>
            </w:r>
          </w:p>
        </w:tc>
      </w:tr>
      <w:tr>
        <w:trPr>
          <w:cantSplit/>
        </w:trPr>
        <w:tc>
          <w:tcPr>
            <w:tcW w:type="dxa" w:w="2313"/>
            <w:vAlign w:val="center"/>
          </w:tcPr>
          <w:p>
            <w:pPr>
              <w:keepNext w:val="0"/>
              <w:spacing w:line="320" w:lineRule="exact" w:after="0" w:before="0"/>
              <w:ind w:firstLine="0"/>
              <w:jc w:val="left"/>
            </w:pPr>
            <w:r>
              <w:rPr>
                <w:b w:val="0"/>
                <w:sz w:val="21"/>
              </w:rPr>
              <w:t>PQ02</w:t>
            </w:r>
          </w:p>
        </w:tc>
        <w:tc>
          <w:tcPr>
            <w:tcW w:type="dxa" w:w="2891"/>
            <w:vAlign w:val="center"/>
          </w:tcPr>
          <w:p>
            <w:pPr>
              <w:keepNext w:val="0"/>
              <w:spacing w:line="320" w:lineRule="exact" w:after="0" w:before="0"/>
              <w:ind w:firstLine="0"/>
              <w:jc w:val="left"/>
            </w:pPr>
            <w:r>
              <w:rPr>
                <w:b w:val="0"/>
                <w:sz w:val="21"/>
              </w:rPr>
              <w:t>过程检验</w:t>
            </w:r>
          </w:p>
        </w:tc>
        <w:tc>
          <w:tcPr>
            <w:tcW w:type="dxa" w:w="4433"/>
            <w:vAlign w:val="center"/>
          </w:tcPr>
          <w:p>
            <w:pPr>
              <w:keepNext w:val="0"/>
              <w:spacing w:line="320" w:lineRule="exact" w:after="0" w:before="0"/>
              <w:ind w:firstLine="0"/>
              <w:jc w:val="left"/>
            </w:pPr>
            <w:r>
              <w:rPr>
                <w:b w:val="0"/>
                <w:sz w:val="21"/>
              </w:rPr>
              <w:t>工序、测量条件、结果及状态</w:t>
            </w:r>
          </w:p>
        </w:tc>
      </w:tr>
      <w:tr>
        <w:trPr>
          <w:cantSplit/>
        </w:trPr>
        <w:tc>
          <w:tcPr>
            <w:tcW w:type="dxa" w:w="2313"/>
            <w:vAlign w:val="center"/>
          </w:tcPr>
          <w:p>
            <w:pPr>
              <w:keepNext w:val="0"/>
              <w:spacing w:line="320" w:lineRule="exact" w:after="0" w:before="0"/>
              <w:ind w:firstLine="0"/>
              <w:jc w:val="left"/>
            </w:pPr>
            <w:r>
              <w:rPr>
                <w:b w:val="0"/>
                <w:sz w:val="21"/>
              </w:rPr>
              <w:t>PQ03</w:t>
            </w:r>
          </w:p>
        </w:tc>
        <w:tc>
          <w:tcPr>
            <w:tcW w:type="dxa" w:w="2891"/>
            <w:vAlign w:val="center"/>
          </w:tcPr>
          <w:p>
            <w:pPr>
              <w:keepNext w:val="0"/>
              <w:spacing w:line="320" w:lineRule="exact" w:after="0" w:before="0"/>
              <w:ind w:firstLine="0"/>
              <w:jc w:val="left"/>
            </w:pPr>
            <w:r>
              <w:rPr>
                <w:b w:val="0"/>
                <w:sz w:val="21"/>
              </w:rPr>
              <w:t>成品检验</w:t>
            </w:r>
          </w:p>
        </w:tc>
        <w:tc>
          <w:tcPr>
            <w:tcW w:type="dxa" w:w="4433"/>
            <w:vAlign w:val="center"/>
          </w:tcPr>
          <w:p>
            <w:pPr>
              <w:keepNext w:val="0"/>
              <w:spacing w:line="320" w:lineRule="exact" w:after="0" w:before="0"/>
              <w:ind w:firstLine="0"/>
              <w:jc w:val="left"/>
            </w:pPr>
            <w:r>
              <w:rPr>
                <w:b w:val="0"/>
                <w:sz w:val="21"/>
              </w:rPr>
              <w:t>产品配置、项目覆盖和放行</w:t>
            </w:r>
          </w:p>
        </w:tc>
      </w:tr>
      <w:tr>
        <w:trPr>
          <w:cantSplit/>
        </w:trPr>
        <w:tc>
          <w:tcPr>
            <w:tcW w:type="dxa" w:w="2313"/>
            <w:vAlign w:val="center"/>
          </w:tcPr>
          <w:p>
            <w:pPr>
              <w:keepNext w:val="0"/>
              <w:spacing w:line="320" w:lineRule="exact" w:after="0" w:before="0"/>
              <w:ind w:firstLine="0"/>
              <w:jc w:val="left"/>
            </w:pPr>
            <w:r>
              <w:rPr>
                <w:b w:val="0"/>
                <w:sz w:val="21"/>
              </w:rPr>
              <w:t>PQ04</w:t>
            </w:r>
          </w:p>
        </w:tc>
        <w:tc>
          <w:tcPr>
            <w:tcW w:type="dxa" w:w="2891"/>
            <w:vAlign w:val="center"/>
          </w:tcPr>
          <w:p>
            <w:pPr>
              <w:keepNext w:val="0"/>
              <w:spacing w:line="320" w:lineRule="exact" w:after="0" w:before="0"/>
              <w:ind w:firstLine="0"/>
              <w:jc w:val="left"/>
            </w:pPr>
            <w:r>
              <w:rPr>
                <w:b w:val="0"/>
                <w:sz w:val="21"/>
              </w:rPr>
              <w:t>缺陷与不合格</w:t>
            </w:r>
          </w:p>
        </w:tc>
        <w:tc>
          <w:tcPr>
            <w:tcW w:type="dxa" w:w="4433"/>
            <w:vAlign w:val="center"/>
          </w:tcPr>
          <w:p>
            <w:pPr>
              <w:keepNext w:val="0"/>
              <w:spacing w:line="320" w:lineRule="exact" w:after="0" w:before="0"/>
              <w:ind w:firstLine="0"/>
              <w:jc w:val="left"/>
            </w:pPr>
            <w:r>
              <w:rPr>
                <w:b w:val="0"/>
                <w:sz w:val="21"/>
              </w:rPr>
              <w:t>位置、形态、级别及专业依据</w:t>
            </w:r>
          </w:p>
        </w:tc>
      </w:tr>
      <w:tr>
        <w:trPr>
          <w:cantSplit/>
        </w:trPr>
        <w:tc>
          <w:tcPr>
            <w:tcW w:type="dxa" w:w="2313"/>
            <w:vAlign w:val="center"/>
          </w:tcPr>
          <w:p>
            <w:pPr>
              <w:keepNext w:val="0"/>
              <w:spacing w:line="320" w:lineRule="exact" w:after="0" w:before="0"/>
              <w:ind w:firstLine="0"/>
              <w:jc w:val="left"/>
            </w:pPr>
            <w:r>
              <w:rPr>
                <w:b w:val="0"/>
                <w:sz w:val="21"/>
              </w:rPr>
              <w:t>PQ05</w:t>
            </w:r>
          </w:p>
        </w:tc>
        <w:tc>
          <w:tcPr>
            <w:tcW w:type="dxa" w:w="2891"/>
            <w:vAlign w:val="center"/>
          </w:tcPr>
          <w:p>
            <w:pPr>
              <w:keepNext w:val="0"/>
              <w:spacing w:line="320" w:lineRule="exact" w:after="0" w:before="0"/>
              <w:ind w:firstLine="0"/>
              <w:jc w:val="left"/>
            </w:pPr>
            <w:r>
              <w:rPr>
                <w:b w:val="0"/>
                <w:sz w:val="21"/>
              </w:rPr>
              <w:t>处置与复检</w:t>
            </w:r>
          </w:p>
        </w:tc>
        <w:tc>
          <w:tcPr>
            <w:tcW w:type="dxa" w:w="4433"/>
            <w:vAlign w:val="center"/>
          </w:tcPr>
          <w:p>
            <w:pPr>
              <w:keepNext w:val="0"/>
              <w:spacing w:line="320" w:lineRule="exact" w:after="0" w:before="0"/>
              <w:ind w:firstLine="0"/>
              <w:jc w:val="left"/>
            </w:pPr>
            <w:r>
              <w:rPr>
                <w:b w:val="0"/>
                <w:sz w:val="21"/>
              </w:rPr>
              <w:t>返修、复检轮次和最终放行</w:t>
            </w:r>
          </w:p>
        </w:tc>
      </w:tr>
      <w:tr>
        <w:trPr>
          <w:cantSplit/>
        </w:trPr>
        <w:tc>
          <w:tcPr>
            <w:tcW w:type="dxa" w:w="2313"/>
            <w:vAlign w:val="center"/>
          </w:tcPr>
          <w:p>
            <w:pPr>
              <w:keepNext w:val="0"/>
              <w:spacing w:line="320" w:lineRule="exact" w:after="0" w:before="0"/>
              <w:ind w:firstLine="0"/>
              <w:jc w:val="left"/>
            </w:pPr>
            <w:r>
              <w:rPr>
                <w:b w:val="0"/>
                <w:sz w:val="21"/>
              </w:rPr>
              <w:t>PQ06</w:t>
            </w:r>
          </w:p>
        </w:tc>
        <w:tc>
          <w:tcPr>
            <w:tcW w:type="dxa" w:w="2891"/>
            <w:vAlign w:val="center"/>
          </w:tcPr>
          <w:p>
            <w:pPr>
              <w:keepNext w:val="0"/>
              <w:spacing w:line="320" w:lineRule="exact" w:after="0" w:before="0"/>
              <w:ind w:firstLine="0"/>
              <w:jc w:val="left"/>
            </w:pPr>
            <w:r>
              <w:rPr>
                <w:b w:val="0"/>
                <w:sz w:val="21"/>
              </w:rPr>
              <w:t>追溯与反馈</w:t>
            </w:r>
          </w:p>
        </w:tc>
        <w:tc>
          <w:tcPr>
            <w:tcW w:type="dxa" w:w="4433"/>
            <w:vAlign w:val="center"/>
          </w:tcPr>
          <w:p>
            <w:pPr>
              <w:keepNext w:val="0"/>
              <w:spacing w:line="320" w:lineRule="exact" w:after="0" w:before="0"/>
              <w:ind w:firstLine="0"/>
              <w:jc w:val="left"/>
            </w:pPr>
            <w:r>
              <w:rPr>
                <w:b w:val="0"/>
                <w:sz w:val="21"/>
              </w:rPr>
              <w:t>材料、过程、设备及客户事件关联</w:t>
            </w:r>
          </w:p>
        </w:tc>
      </w:tr>
    </w:tbl>
    <w:p>
      <w:pPr>
        <w:spacing w:after="40" w:line="240" w:lineRule="auto"/>
        <w:ind w:firstLine="0"/>
      </w:pPr>
      <w:r>
        <w:rPr>
          <w:sz w:val="4"/>
        </w:rPr>
      </w:r>
    </w:p>
    <w:p>
      <w:pPr>
        <w:pStyle w:val="Caption"/>
        <w:keepNext/>
      </w:pPr>
      <w:r>
        <w:t>表6-10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表6-11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boundary_check</w:t>
            </w:r>
          </w:p>
        </w:tc>
        <w:tc>
          <w:tcPr>
            <w:tcW w:type="dxa" w:w="7228"/>
            <w:vAlign w:val="center"/>
          </w:tcPr>
          <w:p>
            <w:pPr>
              <w:keepNext w:val="0"/>
              <w:spacing w:line="320" w:lineRule="exact" w:after="0" w:before="0"/>
              <w:ind w:firstLine="0"/>
              <w:jc w:val="left"/>
            </w:pPr>
            <w:r>
              <w:rPr>
                <w:b w:val="0"/>
                <w:sz w:val="21"/>
              </w:rPr>
              <w:t>按规定上下限及是否包含边界进行判断，保留单位和精度条件</w:t>
            </w:r>
          </w:p>
        </w:tc>
      </w:tr>
      <w:tr>
        <w:trPr>
          <w:cantSplit/>
        </w:trPr>
        <w:tc>
          <w:tcPr>
            <w:tcW w:type="dxa" w:w="2409"/>
            <w:vAlign w:val="center"/>
          </w:tcPr>
          <w:p>
            <w:pPr>
              <w:keepNext w:val="0"/>
              <w:spacing w:line="320" w:lineRule="exact" w:after="0" w:before="0"/>
              <w:ind w:firstLine="0"/>
              <w:jc w:val="left"/>
            </w:pPr>
            <w:r>
              <w:rPr>
                <w:b w:val="0"/>
                <w:sz w:val="21"/>
              </w:rPr>
              <w:t>candidate_defect</w:t>
            </w:r>
          </w:p>
        </w:tc>
        <w:tc>
          <w:tcPr>
            <w:tcW w:type="dxa" w:w="7228"/>
            <w:vAlign w:val="center"/>
          </w:tcPr>
          <w:p>
            <w:pPr>
              <w:keepNext w:val="0"/>
              <w:spacing w:line="320" w:lineRule="exact" w:after="0" w:before="0"/>
              <w:ind w:firstLine="0"/>
              <w:jc w:val="left"/>
            </w:pPr>
            <w:r>
              <w:rPr>
                <w:b w:val="0"/>
                <w:sz w:val="21"/>
              </w:rPr>
              <w:t>只确认候选区域或疑似现象，类型、级别与真实缺陷状态另行复核</w:t>
            </w:r>
          </w:p>
        </w:tc>
      </w:tr>
      <w:tr>
        <w:trPr>
          <w:cantSplit/>
        </w:trPr>
        <w:tc>
          <w:tcPr>
            <w:tcW w:type="dxa" w:w="2409"/>
            <w:vAlign w:val="center"/>
          </w:tcPr>
          <w:p>
            <w:pPr>
              <w:keepNext w:val="0"/>
              <w:spacing w:line="320" w:lineRule="exact" w:after="0" w:before="0"/>
              <w:ind w:firstLine="0"/>
              <w:jc w:val="left"/>
            </w:pPr>
            <w:r>
              <w:rPr>
                <w:b w:val="0"/>
                <w:sz w:val="21"/>
              </w:rPr>
              <w:t>coverage_limit</w:t>
            </w:r>
          </w:p>
        </w:tc>
        <w:tc>
          <w:tcPr>
            <w:tcW w:type="dxa" w:w="7228"/>
            <w:vAlign w:val="center"/>
          </w:tcPr>
          <w:p>
            <w:pPr>
              <w:keepNext w:val="0"/>
              <w:spacing w:line="320" w:lineRule="exact" w:after="0" w:before="0"/>
              <w:ind w:firstLine="0"/>
              <w:jc w:val="left"/>
            </w:pPr>
            <w:r>
              <w:rPr>
                <w:b w:val="0"/>
                <w:sz w:val="21"/>
              </w:rPr>
              <w:t>明确输入仅覆盖的区域、时间或对象，结论不扩展到未覆盖范围</w:t>
            </w:r>
          </w:p>
        </w:tc>
      </w:tr>
      <w:tr>
        <w:trPr>
          <w:cantSplit/>
        </w:trPr>
        <w:tc>
          <w:tcPr>
            <w:tcW w:type="dxa" w:w="2409"/>
            <w:vAlign w:val="center"/>
          </w:tcPr>
          <w:p>
            <w:pPr>
              <w:keepNext w:val="0"/>
              <w:spacing w:line="320" w:lineRule="exact" w:after="0" w:before="0"/>
              <w:ind w:firstLine="0"/>
              <w:jc w:val="left"/>
            </w:pPr>
            <w:r>
              <w:rPr>
                <w:b w:val="0"/>
                <w:sz w:val="21"/>
              </w:rPr>
              <w:t>incomplete_reinspection</w:t>
            </w:r>
          </w:p>
        </w:tc>
        <w:tc>
          <w:tcPr>
            <w:tcW w:type="dxa" w:w="7228"/>
            <w:vAlign w:val="center"/>
          </w:tcPr>
          <w:p>
            <w:pPr>
              <w:keepNext w:val="0"/>
              <w:spacing w:line="320" w:lineRule="exact" w:after="0" w:before="0"/>
              <w:ind w:firstLine="0"/>
              <w:jc w:val="left"/>
            </w:pPr>
            <w:r>
              <w:rPr>
                <w:b w:val="0"/>
                <w:sz w:val="21"/>
              </w:rPr>
              <w:t>复检项目或有效结论仍有缺口，返修完成不能替代复检通过</w:t>
            </w:r>
          </w:p>
        </w:tc>
      </w:tr>
      <w:tr>
        <w:trPr>
          <w:cantSplit/>
        </w:trPr>
        <w:tc>
          <w:tcPr>
            <w:tcW w:type="dxa" w:w="2409"/>
            <w:vAlign w:val="center"/>
          </w:tcPr>
          <w:p>
            <w:pPr>
              <w:keepNext w:val="0"/>
              <w:spacing w:line="320" w:lineRule="exact" w:after="0" w:before="0"/>
              <w:ind w:firstLine="0"/>
              <w:jc w:val="left"/>
            </w:pPr>
            <w:r>
              <w:rPr>
                <w:b w:val="0"/>
                <w:sz w:val="21"/>
              </w:rPr>
              <w:t>numeric_judgement</w:t>
            </w:r>
          </w:p>
        </w:tc>
        <w:tc>
          <w:tcPr>
            <w:tcW w:type="dxa" w:w="7228"/>
            <w:vAlign w:val="center"/>
          </w:tcPr>
          <w:p>
            <w:pPr>
              <w:keepNext w:val="0"/>
              <w:spacing w:line="320" w:lineRule="exact" w:after="0" w:before="0"/>
              <w:ind w:firstLine="0"/>
              <w:jc w:val="left"/>
            </w:pPr>
            <w:r>
              <w:rPr>
                <w:b w:val="0"/>
                <w:sz w:val="21"/>
              </w:rPr>
              <w:t>对题定数值及规则得出可复算结果，不外推未检查项目</w:t>
            </w:r>
          </w:p>
        </w:tc>
      </w:tr>
      <w:tr>
        <w:trPr>
          <w:cantSplit/>
        </w:trPr>
        <w:tc>
          <w:tcPr>
            <w:tcW w:type="dxa" w:w="2409"/>
            <w:vAlign w:val="center"/>
          </w:tcPr>
          <w:p>
            <w:pPr>
              <w:keepNext w:val="0"/>
              <w:spacing w:line="320" w:lineRule="exact" w:after="0" w:before="0"/>
              <w:ind w:firstLine="0"/>
              <w:jc w:val="left"/>
            </w:pPr>
            <w:r>
              <w:rPr>
                <w:b w:val="0"/>
                <w:sz w:val="21"/>
              </w:rPr>
              <w:t>release_condition</w:t>
            </w:r>
          </w:p>
        </w:tc>
        <w:tc>
          <w:tcPr>
            <w:tcW w:type="dxa" w:w="7228"/>
            <w:vAlign w:val="center"/>
          </w:tcPr>
          <w:p>
            <w:pPr>
              <w:keepNext w:val="0"/>
              <w:spacing w:line="320" w:lineRule="exact" w:after="0" w:before="0"/>
              <w:ind w:firstLine="0"/>
              <w:jc w:val="left"/>
            </w:pPr>
            <w:r>
              <w:rPr>
                <w:b w:val="0"/>
                <w:sz w:val="21"/>
              </w:rPr>
              <w:t>所有必要放行条件及授权流程满足后才能确认放行状态</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6.1.9 规范样本</w:t>
      </w:r>
    </w:p>
    <w:p>
      <w:pPr>
        <w:keepNext/>
        <w:jc w:val="both"/>
      </w:pPr>
      <w:r>
        <w:t>规范样本1 检验边界值与判定条件</w:t>
      </w:r>
    </w:p>
    <w:p>
      <w:pPr>
        <w:pStyle w:val="Caption"/>
        <w:keepNext/>
      </w:pPr>
      <w:r>
        <w:t>表6-12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EX-04-PT-001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PQ02、boundary_check、numeric_judgement</w:t>
            </w:r>
          </w:p>
        </w:tc>
      </w:tr>
    </w:tbl>
    <w:p>
      <w:pPr>
        <w:spacing w:after="40" w:line="240" w:lineRule="auto"/>
        <w:ind w:firstLine="0"/>
      </w:pPr>
      <w:r>
        <w:rPr>
          <w:sz w:val="4"/>
        </w:rPr>
      </w:r>
    </w:p>
    <w:p>
      <w:pPr>
        <w:jc w:val="both"/>
      </w:pPr>
      <w:r>
        <w:t>输入内容：规范实例的尺寸要求为10.00至10.20毫米，两个边界均允许取等号；测量方法与判定规则约定直接比较已给出的记录值。三次记录值依次为10.00、10.20、10.21毫米。本题不引入其他测量不确定度或复检规则。</w:t>
      </w:r>
    </w:p>
    <w:p>
      <w:pPr>
        <w:pStyle w:val="Caption"/>
        <w:keepNext/>
      </w:pPr>
      <w:r>
        <w:t>表6-13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left"/>
            </w:pPr>
            <w:r>
              <w:rPr>
                <w:b w:val="0"/>
                <w:sz w:val="21"/>
              </w:rPr>
              <w:t>m1</w:t>
            </w:r>
          </w:p>
        </w:tc>
        <w:tc>
          <w:tcPr>
            <w:tcW w:type="dxa" w:w="7228"/>
            <w:vAlign w:val="center"/>
          </w:tcPr>
          <w:p>
            <w:pPr>
              <w:keepNext/>
              <w:spacing w:line="320" w:lineRule="exact" w:after="0" w:before="0"/>
              <w:ind w:firstLine="0"/>
              <w:jc w:val="center"/>
            </w:pPr>
            <w:r>
              <w:rPr>
                <w:b w:val="0"/>
                <w:sz w:val="21"/>
              </w:rPr>
              <w:t>10.0</w:t>
            </w:r>
          </w:p>
        </w:tc>
      </w:tr>
      <w:tr>
        <w:trPr>
          <w:cantSplit/>
        </w:trPr>
        <w:tc>
          <w:tcPr>
            <w:tcW w:type="dxa" w:w="2409"/>
            <w:vAlign w:val="center"/>
          </w:tcPr>
          <w:p>
            <w:pPr>
              <w:keepNext/>
              <w:spacing w:line="320" w:lineRule="exact" w:after="0" w:before="0"/>
              <w:ind w:firstLine="0"/>
              <w:jc w:val="left"/>
            </w:pPr>
            <w:r>
              <w:rPr>
                <w:b w:val="0"/>
                <w:sz w:val="21"/>
              </w:rPr>
              <w:t>m2</w:t>
            </w:r>
          </w:p>
        </w:tc>
        <w:tc>
          <w:tcPr>
            <w:tcW w:type="dxa" w:w="7228"/>
            <w:vAlign w:val="center"/>
          </w:tcPr>
          <w:p>
            <w:pPr>
              <w:keepNext/>
              <w:spacing w:line="320" w:lineRule="exact" w:after="0" w:before="0"/>
              <w:ind w:firstLine="0"/>
              <w:jc w:val="center"/>
            </w:pPr>
            <w:r>
              <w:rPr>
                <w:b w:val="0"/>
                <w:sz w:val="21"/>
              </w:rPr>
              <w:t>10.2</w:t>
            </w:r>
          </w:p>
        </w:tc>
      </w:tr>
      <w:tr>
        <w:trPr>
          <w:cantSplit/>
        </w:trPr>
        <w:tc>
          <w:tcPr>
            <w:tcW w:type="dxa" w:w="2409"/>
            <w:vAlign w:val="center"/>
          </w:tcPr>
          <w:p>
            <w:pPr>
              <w:keepNext w:val="0"/>
              <w:spacing w:line="320" w:lineRule="exact" w:after="0" w:before="0"/>
              <w:ind w:firstLine="0"/>
              <w:jc w:val="left"/>
            </w:pPr>
            <w:r>
              <w:rPr>
                <w:b w:val="0"/>
                <w:sz w:val="21"/>
              </w:rPr>
              <w:t>m3</w:t>
            </w:r>
          </w:p>
        </w:tc>
        <w:tc>
          <w:tcPr>
            <w:tcW w:type="dxa" w:w="7228"/>
            <w:vAlign w:val="center"/>
          </w:tcPr>
          <w:p>
            <w:pPr>
              <w:keepNext w:val="0"/>
              <w:spacing w:line="320" w:lineRule="exact" w:after="0" w:before="0"/>
              <w:ind w:firstLine="0"/>
              <w:jc w:val="center"/>
            </w:pPr>
            <w:r>
              <w:rPr>
                <w:b w:val="0"/>
                <w:sz w:val="21"/>
              </w:rPr>
              <w:t>10.21</w:t>
            </w:r>
          </w:p>
        </w:tc>
      </w:tr>
    </w:tbl>
    <w:p>
      <w:pPr>
        <w:spacing w:after="40" w:line="240" w:lineRule="auto"/>
        <w:ind w:firstLine="0"/>
      </w:pPr>
      <w:r>
        <w:rPr>
          <w:sz w:val="4"/>
        </w:rPr>
      </w:r>
    </w:p>
    <w:p>
      <w:pPr>
        <w:jc w:val="both"/>
      </w:pPr>
      <w:r>
        <w:t>语料正文：10.00和10.20毫米均位于包含边界的允许区间内，满足题定区间；10.21毫米大于上限，不满足。结论仅针对该尺寸项目及题定判定规则，不能据此宣布整个产品合格。</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keepNext/>
        <w:jc w:val="both"/>
      </w:pPr>
      <w:r>
        <w:t>规范样本2 缺陷区域与完整产品结论</w:t>
      </w:r>
    </w:p>
    <w:p>
      <w:pPr>
        <w:pStyle w:val="Caption"/>
        <w:keepNext/>
      </w:pPr>
      <w:r>
        <w:t>表6-14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EX-04-PT-002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PQ04、candidate_defect、coverage_limit</w:t>
            </w:r>
          </w:p>
        </w:tc>
      </w:tr>
    </w:tbl>
    <w:p>
      <w:pPr>
        <w:spacing w:after="40" w:line="240" w:lineRule="auto"/>
        <w:ind w:firstLine="0"/>
      </w:pPr>
      <w:r>
        <w:rPr>
          <w:sz w:val="4"/>
        </w:rPr>
      </w:r>
    </w:p>
    <w:p>
      <w:pPr>
        <w:jc w:val="both"/>
      </w:pPr>
      <w:r>
        <w:t>输入内容：规范图像在坐标区域R甲标出一处疑似缺陷。记录只覆盖产品表面局部区域，未提供其他表面、内部检验或专业确认。图中区域标记为候选定位。</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19" name="Picture 19"/>
            <wp:cNvGraphicFramePr>
              <a:graphicFrameLocks noChangeAspect="1"/>
            </wp:cNvGraphicFramePr>
            <a:graphic>
              <a:graphicData uri="http://schemas.openxmlformats.org/drawingml/2006/picture">
                <pic:pic>
                  <pic:nvPicPr>
                    <pic:cNvPr id="0" name="例图04_2.png"/>
                    <pic:cNvPicPr/>
                  </pic:nvPicPr>
                  <pic:blipFill>
                    <a:blip r:embed="rId20"/>
                    <a:stretch>
                      <a:fillRect/>
                    </a:stretch>
                  </pic:blipFill>
                  <pic:spPr>
                    <a:xfrm>
                      <a:off x="0" y="0"/>
                      <a:ext cx="6048000" cy="1422831"/>
                    </a:xfrm>
                    <a:prstGeom prst="rect"/>
                  </pic:spPr>
                </pic:pic>
              </a:graphicData>
            </a:graphic>
          </wp:inline>
        </w:drawing>
      </w:r>
    </w:p>
    <w:p>
      <w:pPr>
        <w:pStyle w:val="Caption"/>
        <w:jc w:val="center"/>
      </w:pPr>
      <w:r>
        <w:t>图6-2 缺陷区域与完整产品结论</w:t>
      </w:r>
    </w:p>
    <w:p>
      <w:pPr>
        <w:jc w:val="both"/>
      </w:pPr>
      <w:r>
        <w:t>语料正文：标签应记录局部候选缺陷位置和疑似状态，保留图像版本及坐标参照。可以用于候选区域定位或待复核任务；缺陷类型及等级需要专业确认，局部影像也不足以判定产品其他区域无缺陷或整品合格。</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keepNext/>
        <w:jc w:val="both"/>
      </w:pPr>
      <w:r>
        <w:t>规范样本3 返修复检与放行链核验</w:t>
      </w:r>
    </w:p>
    <w:p>
      <w:pPr>
        <w:pStyle w:val="Caption"/>
        <w:keepNext/>
      </w:pPr>
      <w:r>
        <w:t>表6-15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EX-04-PT-003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PQ05、release_condition、incomplete_reinspection</w:t>
            </w:r>
          </w:p>
        </w:tc>
      </w:tr>
    </w:tbl>
    <w:p>
      <w:pPr>
        <w:spacing w:after="40" w:line="240" w:lineRule="auto"/>
        <w:ind w:firstLine="0"/>
      </w:pPr>
      <w:r>
        <w:rPr>
          <w:sz w:val="4"/>
        </w:rPr>
      </w:r>
    </w:p>
    <w:p>
      <w:pPr>
        <w:jc w:val="both"/>
      </w:pPr>
      <w:r>
        <w:t>输入内容：不合格单NC甲记录返修已完成，随后复检项目K1通过，项目K2结果尚未形成。批准处置要求K1与K2均通过后才能放行，目前无其他放行批准依据。</w:t>
      </w:r>
    </w:p>
    <w:p>
      <w:pPr>
        <w:jc w:val="both"/>
      </w:pPr>
      <w:r>
        <w:t>语料正文：不能改为放行。返修完成、K1通过与整体放行是不同状态，K2仍缺少结果。应保留NC甲、返修记录、两项复检及批准处置之间的关系，取得K2有效通过结果并满足授权放行流程后再变更状态。</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pStyle w:val="Heading3"/>
      </w:pPr>
      <w:r>
        <w:t>6.1.10 生产与使用核验</w:t>
      </w:r>
    </w:p>
    <w:p>
      <w:pPr>
        <w:jc w:val="both"/>
      </w:pPr>
      <w:r>
        <w:t>在固定保留语料上统计有效损失与困惑度，在独立业务探针上检查知识、关系和条件理解；不同分词器的困惑度不直接横比。本领域同时检查检验字段抽取正确率、数值与单位判定正确率、缺陷分类宏平均F1、缺陷定位指标、质量追溯证据召回率及处置建议依据正确率。统计按任务类型、来源、模态、难度及关键业务对象分层，保留题目或记录级结果和失败对象。</w:t>
      </w:r>
    </w:p>
    <w:p>
      <w:pPr>
        <w:jc w:val="both"/>
      </w:pPr>
      <w:r>
        <w:t>生产检查从来源记录开始核对产品实例、零件、材料批次、检验批、项目、测量轮次、缺陷位置、不合格单与处置状态，确认检验结果绑定有效标准与测量条件；数值、单位、精度、上下限及边界条件共同解析；缺陷标签绑定位置和证据；处置、复检与放行按时序串联；质量结论沿材料、工序和产品关系追溯。专业分歧由质量、检验、工艺、材料、生产及售后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6.2 有监督指令微调数据卡</w:t>
      </w:r>
    </w:p>
    <w:p>
      <w:pPr>
        <w:pStyle w:val="Heading3"/>
      </w:pPr>
      <w:r>
        <w:t>6.2.1 基本信息</w:t>
      </w:r>
    </w:p>
    <w:p>
      <w:pPr>
        <w:pStyle w:val="Caption"/>
        <w:keepNext/>
      </w:pPr>
      <w:r>
        <w:t>表6-16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GHY26691-DC-04-0002-V1.0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产品质量数据集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有监督指令微调</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04 产品质量；关联对象为产品实例、零件、材料批次、检验批、项目、测量轮次、缺陷位置、不合格单与处置状态</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有效交付净量240000条；以完整输入与合格目标输出构成的任务为计数单位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本用途规模按条验收；如统计输入输出Tokens，分开保存且不替代任务或比较组数量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采用第7章公共记录结构及本领域扩展字典；完整输入与合格目标输出构成的任务具有稳定标识、业务对象、来源家族、时间、内容、资源、标签与证据关系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根目录按04-SFT及数据版本组织；data保存记录，resources保存模态载荷，metadata保存来源与关系，dictionary保存字段和标签，cards保存卡片，reports保存报告，tools保存解析程序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04-SFT-数据版本-六位分片序号.jsonl；资源以稳定资源标识命名；卡片使用完整卡号；路径采用相对路径并拒绝越界和重名冲突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平台服务工单按卡号、数据版本及问题对象受理；由技术与质量、检验、工艺、材料、生产及售后专业岗位协同处理，服务时段和响应要求执行统一售后安排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来料、过程、成品和使用反馈质量，检验标准、测量记录、缺陷形态、不合格处置、复检、放行与质量追溯。以产品实例、零件、材料批次、检验批、项目、测量轮次、缺陷位置、不合格单与处置状态建立对象关系，来源范围包括QMS中的检验及不合格记录，MES中的工单和过程批次，PLM中的技术条件，ERP与WMS中的物料及质量状态，EAM中的设备和维修记录，以及经授权的客户质量反馈。面向有监督指令微调形成具有明确任务、证据、目标输出和边界条件的指令样本，重点检查指令明确、答案正确、证据充分、资源可读和任务完整。数据支持热处理工艺优化、焊接工艺优化、刮板输送机健康管理、标准规范智能问答助手、决策数据智能问答助手，结论依据实际输入、专业条件和验证范围使用。涉及检验报告、质量事件、客户反馈、产品追溯关系、工艺秘密和检验人员信息时执行相应授权及安全处理。业务事实、推断与未知状态分别标记，数据版本与引用依据保持一致。</w:t>
      </w:r>
    </w:p>
    <w:p>
      <w:pPr>
        <w:pStyle w:val="Heading3"/>
      </w:pPr>
      <w:r>
        <w:t>6.2.2 内容特征</w:t>
      </w:r>
    </w:p>
    <w:p>
      <w:pPr>
        <w:pStyle w:val="Caption"/>
        <w:keepNext/>
      </w:pPr>
      <w:r>
        <w:t>表6-17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文本、图像、时序、视频按有效载荷统计；重点关联产品实例、零件、材料批次、检验批、项目、测量轮次、缺陷位置、不合格单与处置状态；图纸、表格载体不独立增加模态数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以完整输入与合格目标输出构成的任务为分母，至少两种有效关联模态的记录为分子；分子、分母及互斥组合清单齐备，按1.4节满足40%要求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按PQ01来料质量、PQ02过程检验、PQ03成品检验、PQ04缺陷与不合格、PQ05处置与复检、PQ06追溯与反馈统计；主主题互斥，辅助主题允许多选并另列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单一证据直接识读为基础，跨对象关联或有限计算为组合，多条件判断及证据冲突为复杂；分类依据任务认知要求</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整体合成来源不超过45%；真实数据充足任务不超过30%，推理及长尾任务不超过60%，并服从整体45%上限</w:t>
            </w:r>
          </w:p>
        </w:tc>
      </w:tr>
    </w:tbl>
    <w:p>
      <w:pPr>
        <w:spacing w:after="40" w:line="240" w:lineRule="auto"/>
        <w:ind w:firstLine="0"/>
      </w:pPr>
      <w:r>
        <w:rPr>
          <w:sz w:val="4"/>
        </w:rPr>
      </w:r>
    </w:p>
    <w:p>
      <w:pPr>
        <w:pStyle w:val="Heading3"/>
      </w:pPr>
      <w:r>
        <w:t>6.2.3 建设过程</w:t>
      </w:r>
    </w:p>
    <w:p>
      <w:pPr>
        <w:pStyle w:val="Caption"/>
        <w:keepNext/>
      </w:pPr>
      <w:r>
        <w:t>表6-18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QMS中的检验及不合格记录，MES中的工单和过程批次，PLM中的技术条件，ERP与WMS中的物料及质量状态，EAM中的设备和维修记录，以及经授权的客户质量反馈；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检验结果绑定有效标准与测量条件；数值、单位、精度、上下限及边界条件共同解析；缺陷标签绑定位置和证据；处置、复检与放行按时序串联；质量结论沿材料、工序和产品关系追溯；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保存解析器、字典、切分、窗口、重叠、单位换算、时间校正和对齐配置；产品实例、零件、材料批次、检验批、项目、测量轮次、缺陷位置、不合格单与处置状态为关联校验重点；参数经真实资料验证后冻结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任务类型、输入条件、目标答案、证据定位、适用边界、难度及必要的多模态标签；规范编号与实际生产记录绑定，不因预训练用途自动省略专业标记管理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由质量、检验、工艺、材料、生产及售后专业岗位承担专业定义与争议裁决，标注人员依规范执行；自检、交叉复核、专家仲裁分别保存原始结果及修订记录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6.2.4 应用说明</w:t>
      </w:r>
    </w:p>
    <w:p>
      <w:pPr>
        <w:pStyle w:val="Caption"/>
        <w:keepNext/>
      </w:pPr>
      <w:r>
        <w:t>表6-19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热处理工艺优化、焊接工艺优化、刮板输送机健康管理、标准规范智能问答助手、决策数据智能问答助手；验证结论按实际场景、输入条件和版本形成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指令微调；输入接口须支持实际文本、图像、时序或视频载荷及对应关系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检验字段抽取正确率、数值与单位判定正确率、缺陷分类宏平均F1、缺陷定位指标、质量追溯证据召回率及处置建议依据正确率；各用途采用本卡评价协议并保留定义、方向和统计单位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6.2.5 质量验证</w:t>
      </w:r>
    </w:p>
    <w:p>
      <w:pPr>
        <w:pStyle w:val="Caption"/>
        <w:keepNext/>
      </w:pPr>
      <w:r>
        <w:t>表6-20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质检报告采用GHY26691-QC-04-0002并绑定实际版本、受检清单和内容根摘要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分别报告保真度、完备性、规整性、均衡性、可用性、可信性的方法、结果与问题；按产品实例、零件、材料批次、检验批、项目、测量轮次、缺陷位置、不合格单与处置状态检查关键业务关联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验证报告采用GHY26691-VR-04-0002及实际版本；引用数据、模型、协议、实验和原始输出，汇总与子集范围分别标明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质量、检验、工艺、材料、生产及售后专业岗位结合热处理工艺优化、焊接工艺优化、刮板输送机健康管理、标准规范智能问答助手、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6.2.6 安全合规</w:t>
      </w:r>
    </w:p>
    <w:p>
      <w:pPr>
        <w:pStyle w:val="Caption"/>
        <w:keepNext/>
      </w:pPr>
      <w:r>
        <w:t>表6-21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生产经营数据中的产品质量相关数据；按来料、过程、成品和使用反馈质量，检验标准、测量记录、缺陷形态、不合格处置、复检、放行与质量追溯细分并关联资产目录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检验报告、质量事件、客户反馈、产品追溯关系、工艺秘密和检验人员信息；实际敏感要素由检测与人工复核确认，未知状态不按无敏感信息处理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客户与人员采用稳定替代标识，报告中的签署和联系方式按授权处理；测量值、单位和判定依据在授权环境保真保留；图像遮蔽无关身份信息并复核缺陷区域完整性</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质量、检验、工艺、材料、生产及售后专业岗位按业务必要性申请；加工、质量与评测岗位取得任务所需权限，基准答案、原始敏感资料和替代映射分别控制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按卡号GHY26691-DC-04-0002-V1.0、实际数据版本、对象标识和工单关联查询采集、加工、访问、下载、评测及发布审计；交付留存必要受控记录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6.2.7 指纹血缘</w:t>
      </w:r>
    </w:p>
    <w:p>
      <w:pPr>
        <w:pStyle w:val="Caption"/>
        <w:keepNext/>
      </w:pPr>
      <w:r>
        <w:t>表6-22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04-SFT根目录内package.json登记身份、数据版本、结构版本、字典、卡片、资源和文件清单；脱离平台按第7章完成读取及核验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6.2.8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表6-23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inspection_id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检验活动身份</w:t>
            </w:r>
          </w:p>
        </w:tc>
        <w:tc>
          <w:tcPr>
            <w:tcW w:type="dxa" w:w="3084"/>
            <w:vAlign w:val="center"/>
          </w:tcPr>
          <w:p>
            <w:pPr>
              <w:keepNext w:val="0"/>
              <w:spacing w:line="320" w:lineRule="exact" w:after="0" w:before="0"/>
              <w:ind w:firstLine="0"/>
              <w:jc w:val="left"/>
            </w:pPr>
            <w:r>
              <w:rPr>
                <w:b w:val="0"/>
                <w:sz w:val="21"/>
              </w:rPr>
              <w:t>与检验批及轮次共同唯一</w:t>
            </w:r>
          </w:p>
        </w:tc>
      </w:tr>
      <w:tr>
        <w:trPr>
          <w:cantSplit/>
        </w:trPr>
        <w:tc>
          <w:tcPr>
            <w:tcW w:type="dxa" w:w="2313"/>
            <w:vAlign w:val="center"/>
          </w:tcPr>
          <w:p>
            <w:pPr>
              <w:keepNext w:val="0"/>
              <w:spacing w:line="320" w:lineRule="exact" w:after="0" w:before="0"/>
              <w:ind w:firstLine="0"/>
              <w:jc w:val="left"/>
            </w:pPr>
            <w:r>
              <w:rPr>
                <w:b w:val="0"/>
                <w:sz w:val="21"/>
              </w:rPr>
              <w:t>characteristic_id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检验项目及适用标准项</w:t>
            </w:r>
          </w:p>
        </w:tc>
        <w:tc>
          <w:tcPr>
            <w:tcW w:type="dxa" w:w="3084"/>
            <w:vAlign w:val="center"/>
          </w:tcPr>
          <w:p>
            <w:pPr>
              <w:keepNext w:val="0"/>
              <w:spacing w:line="320" w:lineRule="exact" w:after="0" w:before="0"/>
              <w:ind w:firstLine="0"/>
              <w:jc w:val="left"/>
            </w:pPr>
            <w:r>
              <w:rPr>
                <w:b w:val="0"/>
                <w:sz w:val="21"/>
              </w:rPr>
              <w:t>同名不同方法分别识别</w:t>
            </w:r>
          </w:p>
        </w:tc>
      </w:tr>
      <w:tr>
        <w:trPr>
          <w:cantSplit/>
        </w:trPr>
        <w:tc>
          <w:tcPr>
            <w:tcW w:type="dxa" w:w="2313"/>
            <w:vAlign w:val="center"/>
          </w:tcPr>
          <w:p>
            <w:pPr>
              <w:keepNext w:val="0"/>
              <w:spacing w:line="320" w:lineRule="exact" w:after="0" w:before="0"/>
              <w:ind w:firstLine="0"/>
              <w:jc w:val="left"/>
            </w:pPr>
            <w:r>
              <w:rPr>
                <w:b w:val="0"/>
                <w:sz w:val="21"/>
              </w:rPr>
              <w:t>measurement</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值、单位、精度、方法及设备条件</w:t>
            </w:r>
          </w:p>
        </w:tc>
        <w:tc>
          <w:tcPr>
            <w:tcW w:type="dxa" w:w="3084"/>
            <w:vAlign w:val="center"/>
          </w:tcPr>
          <w:p>
            <w:pPr>
              <w:keepNext w:val="0"/>
              <w:spacing w:line="320" w:lineRule="exact" w:after="0" w:before="0"/>
              <w:ind w:firstLine="0"/>
              <w:jc w:val="left"/>
            </w:pPr>
            <w:r>
              <w:rPr>
                <w:b w:val="0"/>
                <w:sz w:val="21"/>
              </w:rPr>
              <w:t>原始值与换算值同时留痕</w:t>
            </w:r>
          </w:p>
        </w:tc>
      </w:tr>
      <w:tr>
        <w:trPr>
          <w:cantSplit/>
        </w:trPr>
        <w:tc>
          <w:tcPr>
            <w:tcW w:type="dxa" w:w="2313"/>
            <w:vAlign w:val="center"/>
          </w:tcPr>
          <w:p>
            <w:pPr>
              <w:keepNext w:val="0"/>
              <w:spacing w:line="320" w:lineRule="exact" w:after="0" w:before="0"/>
              <w:ind w:firstLine="0"/>
              <w:jc w:val="left"/>
            </w:pPr>
            <w:r>
              <w:rPr>
                <w:b w:val="0"/>
                <w:sz w:val="21"/>
              </w:rPr>
              <w:t>acceptance_rule</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上下限、边界及标准版本</w:t>
            </w:r>
          </w:p>
        </w:tc>
        <w:tc>
          <w:tcPr>
            <w:tcW w:type="dxa" w:w="3084"/>
            <w:vAlign w:val="center"/>
          </w:tcPr>
          <w:p>
            <w:pPr>
              <w:keepNext w:val="0"/>
              <w:spacing w:line="320" w:lineRule="exact" w:after="0" w:before="0"/>
              <w:ind w:firstLine="0"/>
              <w:jc w:val="left"/>
            </w:pPr>
            <w:r>
              <w:rPr>
                <w:b w:val="0"/>
                <w:sz w:val="21"/>
              </w:rPr>
              <w:t>与产品材料和业务时间匹配</w:t>
            </w:r>
          </w:p>
        </w:tc>
      </w:tr>
      <w:tr>
        <w:trPr>
          <w:cantSplit/>
        </w:trPr>
        <w:tc>
          <w:tcPr>
            <w:tcW w:type="dxa" w:w="2313"/>
            <w:vAlign w:val="center"/>
          </w:tcPr>
          <w:p>
            <w:pPr>
              <w:keepNext w:val="0"/>
              <w:spacing w:line="320" w:lineRule="exact" w:after="0" w:before="0"/>
              <w:ind w:firstLine="0"/>
              <w:jc w:val="left"/>
            </w:pPr>
            <w:r>
              <w:rPr>
                <w:b w:val="0"/>
                <w:sz w:val="21"/>
              </w:rPr>
              <w:t>defect_location</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产品部位、区域或坐标</w:t>
            </w:r>
          </w:p>
        </w:tc>
        <w:tc>
          <w:tcPr>
            <w:tcW w:type="dxa" w:w="3084"/>
            <w:vAlign w:val="center"/>
          </w:tcPr>
          <w:p>
            <w:pPr>
              <w:keepNext w:val="0"/>
              <w:spacing w:line="320" w:lineRule="exact" w:after="0" w:before="0"/>
              <w:ind w:firstLine="0"/>
              <w:jc w:val="left"/>
            </w:pPr>
            <w:r>
              <w:rPr>
                <w:b w:val="0"/>
                <w:sz w:val="21"/>
              </w:rPr>
              <w:t>坐标参照和影像版本明确</w:t>
            </w:r>
          </w:p>
        </w:tc>
      </w:tr>
      <w:tr>
        <w:trPr>
          <w:cantSplit/>
        </w:trPr>
        <w:tc>
          <w:tcPr>
            <w:tcW w:type="dxa" w:w="2313"/>
            <w:vAlign w:val="center"/>
          </w:tcPr>
          <w:p>
            <w:pPr>
              <w:keepNext w:val="0"/>
              <w:spacing w:line="320" w:lineRule="exact" w:after="0" w:before="0"/>
              <w:ind w:firstLine="0"/>
              <w:jc w:val="left"/>
            </w:pPr>
            <w:r>
              <w:rPr>
                <w:b w:val="0"/>
                <w:sz w:val="21"/>
              </w:rPr>
              <w:t>disposition_state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open、rework、reinspect、accepted、rejected</w:t>
            </w:r>
          </w:p>
        </w:tc>
        <w:tc>
          <w:tcPr>
            <w:tcW w:type="dxa" w:w="3084"/>
            <w:vAlign w:val="center"/>
          </w:tcPr>
          <w:p>
            <w:pPr>
              <w:keepNext w:val="0"/>
              <w:spacing w:line="320" w:lineRule="exact" w:after="0" w:before="0"/>
              <w:ind w:firstLine="0"/>
              <w:jc w:val="left"/>
            </w:pPr>
            <w:r>
              <w:rPr>
                <w:b w:val="0"/>
                <w:sz w:val="21"/>
              </w:rPr>
              <w:t>状态迁移有授权记录和实际依据</w:t>
            </w:r>
          </w:p>
        </w:tc>
      </w:tr>
    </w:tbl>
    <w:p>
      <w:pPr>
        <w:spacing w:after="40" w:line="240" w:lineRule="auto"/>
        <w:ind w:firstLine="0"/>
      </w:pPr>
      <w:r>
        <w:rPr>
          <w:sz w:val="4"/>
        </w:rPr>
      </w:r>
    </w:p>
    <w:p>
      <w:pPr>
        <w:pStyle w:val="Caption"/>
        <w:keepNext/>
      </w:pPr>
      <w:r>
        <w:t>表6-24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PQ01</w:t>
            </w:r>
          </w:p>
        </w:tc>
        <w:tc>
          <w:tcPr>
            <w:tcW w:type="dxa" w:w="2891"/>
            <w:vAlign w:val="center"/>
          </w:tcPr>
          <w:p>
            <w:pPr>
              <w:keepNext w:val="0"/>
              <w:spacing w:line="320" w:lineRule="exact" w:after="0" w:before="0"/>
              <w:ind w:firstLine="0"/>
              <w:jc w:val="left"/>
            </w:pPr>
            <w:r>
              <w:rPr>
                <w:b w:val="0"/>
                <w:sz w:val="21"/>
              </w:rPr>
              <w:t>来料质量</w:t>
            </w:r>
          </w:p>
        </w:tc>
        <w:tc>
          <w:tcPr>
            <w:tcW w:type="dxa" w:w="4433"/>
            <w:vAlign w:val="center"/>
          </w:tcPr>
          <w:p>
            <w:pPr>
              <w:keepNext w:val="0"/>
              <w:spacing w:line="320" w:lineRule="exact" w:after="0" w:before="0"/>
              <w:ind w:firstLine="0"/>
              <w:jc w:val="left"/>
            </w:pPr>
            <w:r>
              <w:rPr>
                <w:b w:val="0"/>
                <w:sz w:val="21"/>
              </w:rPr>
              <w:t>材质、批次、证明与入厂检验</w:t>
            </w:r>
          </w:p>
        </w:tc>
      </w:tr>
      <w:tr>
        <w:trPr>
          <w:cantSplit/>
        </w:trPr>
        <w:tc>
          <w:tcPr>
            <w:tcW w:type="dxa" w:w="2313"/>
            <w:vAlign w:val="center"/>
          </w:tcPr>
          <w:p>
            <w:pPr>
              <w:keepNext w:val="0"/>
              <w:spacing w:line="320" w:lineRule="exact" w:after="0" w:before="0"/>
              <w:ind w:firstLine="0"/>
              <w:jc w:val="left"/>
            </w:pPr>
            <w:r>
              <w:rPr>
                <w:b w:val="0"/>
                <w:sz w:val="21"/>
              </w:rPr>
              <w:t>PQ02</w:t>
            </w:r>
          </w:p>
        </w:tc>
        <w:tc>
          <w:tcPr>
            <w:tcW w:type="dxa" w:w="2891"/>
            <w:vAlign w:val="center"/>
          </w:tcPr>
          <w:p>
            <w:pPr>
              <w:keepNext w:val="0"/>
              <w:spacing w:line="320" w:lineRule="exact" w:after="0" w:before="0"/>
              <w:ind w:firstLine="0"/>
              <w:jc w:val="left"/>
            </w:pPr>
            <w:r>
              <w:rPr>
                <w:b w:val="0"/>
                <w:sz w:val="21"/>
              </w:rPr>
              <w:t>过程检验</w:t>
            </w:r>
          </w:p>
        </w:tc>
        <w:tc>
          <w:tcPr>
            <w:tcW w:type="dxa" w:w="4433"/>
            <w:vAlign w:val="center"/>
          </w:tcPr>
          <w:p>
            <w:pPr>
              <w:keepNext w:val="0"/>
              <w:spacing w:line="320" w:lineRule="exact" w:after="0" w:before="0"/>
              <w:ind w:firstLine="0"/>
              <w:jc w:val="left"/>
            </w:pPr>
            <w:r>
              <w:rPr>
                <w:b w:val="0"/>
                <w:sz w:val="21"/>
              </w:rPr>
              <w:t>工序、测量条件、结果及状态</w:t>
            </w:r>
          </w:p>
        </w:tc>
      </w:tr>
      <w:tr>
        <w:trPr>
          <w:cantSplit/>
        </w:trPr>
        <w:tc>
          <w:tcPr>
            <w:tcW w:type="dxa" w:w="2313"/>
            <w:vAlign w:val="center"/>
          </w:tcPr>
          <w:p>
            <w:pPr>
              <w:keepNext w:val="0"/>
              <w:spacing w:line="320" w:lineRule="exact" w:after="0" w:before="0"/>
              <w:ind w:firstLine="0"/>
              <w:jc w:val="left"/>
            </w:pPr>
            <w:r>
              <w:rPr>
                <w:b w:val="0"/>
                <w:sz w:val="21"/>
              </w:rPr>
              <w:t>PQ03</w:t>
            </w:r>
          </w:p>
        </w:tc>
        <w:tc>
          <w:tcPr>
            <w:tcW w:type="dxa" w:w="2891"/>
            <w:vAlign w:val="center"/>
          </w:tcPr>
          <w:p>
            <w:pPr>
              <w:keepNext w:val="0"/>
              <w:spacing w:line="320" w:lineRule="exact" w:after="0" w:before="0"/>
              <w:ind w:firstLine="0"/>
              <w:jc w:val="left"/>
            </w:pPr>
            <w:r>
              <w:rPr>
                <w:b w:val="0"/>
                <w:sz w:val="21"/>
              </w:rPr>
              <w:t>成品检验</w:t>
            </w:r>
          </w:p>
        </w:tc>
        <w:tc>
          <w:tcPr>
            <w:tcW w:type="dxa" w:w="4433"/>
            <w:vAlign w:val="center"/>
          </w:tcPr>
          <w:p>
            <w:pPr>
              <w:keepNext w:val="0"/>
              <w:spacing w:line="320" w:lineRule="exact" w:after="0" w:before="0"/>
              <w:ind w:firstLine="0"/>
              <w:jc w:val="left"/>
            </w:pPr>
            <w:r>
              <w:rPr>
                <w:b w:val="0"/>
                <w:sz w:val="21"/>
              </w:rPr>
              <w:t>产品配置、项目覆盖和放行</w:t>
            </w:r>
          </w:p>
        </w:tc>
      </w:tr>
      <w:tr>
        <w:trPr>
          <w:cantSplit/>
        </w:trPr>
        <w:tc>
          <w:tcPr>
            <w:tcW w:type="dxa" w:w="2313"/>
            <w:vAlign w:val="center"/>
          </w:tcPr>
          <w:p>
            <w:pPr>
              <w:keepNext w:val="0"/>
              <w:spacing w:line="320" w:lineRule="exact" w:after="0" w:before="0"/>
              <w:ind w:firstLine="0"/>
              <w:jc w:val="left"/>
            </w:pPr>
            <w:r>
              <w:rPr>
                <w:b w:val="0"/>
                <w:sz w:val="21"/>
              </w:rPr>
              <w:t>PQ04</w:t>
            </w:r>
          </w:p>
        </w:tc>
        <w:tc>
          <w:tcPr>
            <w:tcW w:type="dxa" w:w="2891"/>
            <w:vAlign w:val="center"/>
          </w:tcPr>
          <w:p>
            <w:pPr>
              <w:keepNext w:val="0"/>
              <w:spacing w:line="320" w:lineRule="exact" w:after="0" w:before="0"/>
              <w:ind w:firstLine="0"/>
              <w:jc w:val="left"/>
            </w:pPr>
            <w:r>
              <w:rPr>
                <w:b w:val="0"/>
                <w:sz w:val="21"/>
              </w:rPr>
              <w:t>缺陷与不合格</w:t>
            </w:r>
          </w:p>
        </w:tc>
        <w:tc>
          <w:tcPr>
            <w:tcW w:type="dxa" w:w="4433"/>
            <w:vAlign w:val="center"/>
          </w:tcPr>
          <w:p>
            <w:pPr>
              <w:keepNext w:val="0"/>
              <w:spacing w:line="320" w:lineRule="exact" w:after="0" w:before="0"/>
              <w:ind w:firstLine="0"/>
              <w:jc w:val="left"/>
            </w:pPr>
            <w:r>
              <w:rPr>
                <w:b w:val="0"/>
                <w:sz w:val="21"/>
              </w:rPr>
              <w:t>位置、形态、级别及专业依据</w:t>
            </w:r>
          </w:p>
        </w:tc>
      </w:tr>
      <w:tr>
        <w:trPr>
          <w:cantSplit/>
        </w:trPr>
        <w:tc>
          <w:tcPr>
            <w:tcW w:type="dxa" w:w="2313"/>
            <w:vAlign w:val="center"/>
          </w:tcPr>
          <w:p>
            <w:pPr>
              <w:keepNext w:val="0"/>
              <w:spacing w:line="320" w:lineRule="exact" w:after="0" w:before="0"/>
              <w:ind w:firstLine="0"/>
              <w:jc w:val="left"/>
            </w:pPr>
            <w:r>
              <w:rPr>
                <w:b w:val="0"/>
                <w:sz w:val="21"/>
              </w:rPr>
              <w:t>PQ05</w:t>
            </w:r>
          </w:p>
        </w:tc>
        <w:tc>
          <w:tcPr>
            <w:tcW w:type="dxa" w:w="2891"/>
            <w:vAlign w:val="center"/>
          </w:tcPr>
          <w:p>
            <w:pPr>
              <w:keepNext w:val="0"/>
              <w:spacing w:line="320" w:lineRule="exact" w:after="0" w:before="0"/>
              <w:ind w:firstLine="0"/>
              <w:jc w:val="left"/>
            </w:pPr>
            <w:r>
              <w:rPr>
                <w:b w:val="0"/>
                <w:sz w:val="21"/>
              </w:rPr>
              <w:t>处置与复检</w:t>
            </w:r>
          </w:p>
        </w:tc>
        <w:tc>
          <w:tcPr>
            <w:tcW w:type="dxa" w:w="4433"/>
            <w:vAlign w:val="center"/>
          </w:tcPr>
          <w:p>
            <w:pPr>
              <w:keepNext w:val="0"/>
              <w:spacing w:line="320" w:lineRule="exact" w:after="0" w:before="0"/>
              <w:ind w:firstLine="0"/>
              <w:jc w:val="left"/>
            </w:pPr>
            <w:r>
              <w:rPr>
                <w:b w:val="0"/>
                <w:sz w:val="21"/>
              </w:rPr>
              <w:t>返修、复检轮次和最终放行</w:t>
            </w:r>
          </w:p>
        </w:tc>
      </w:tr>
      <w:tr>
        <w:trPr>
          <w:cantSplit/>
        </w:trPr>
        <w:tc>
          <w:tcPr>
            <w:tcW w:type="dxa" w:w="2313"/>
            <w:vAlign w:val="center"/>
          </w:tcPr>
          <w:p>
            <w:pPr>
              <w:keepNext w:val="0"/>
              <w:spacing w:line="320" w:lineRule="exact" w:after="0" w:before="0"/>
              <w:ind w:firstLine="0"/>
              <w:jc w:val="left"/>
            </w:pPr>
            <w:r>
              <w:rPr>
                <w:b w:val="0"/>
                <w:sz w:val="21"/>
              </w:rPr>
              <w:t>PQ06</w:t>
            </w:r>
          </w:p>
        </w:tc>
        <w:tc>
          <w:tcPr>
            <w:tcW w:type="dxa" w:w="2891"/>
            <w:vAlign w:val="center"/>
          </w:tcPr>
          <w:p>
            <w:pPr>
              <w:keepNext w:val="0"/>
              <w:spacing w:line="320" w:lineRule="exact" w:after="0" w:before="0"/>
              <w:ind w:firstLine="0"/>
              <w:jc w:val="left"/>
            </w:pPr>
            <w:r>
              <w:rPr>
                <w:b w:val="0"/>
                <w:sz w:val="21"/>
              </w:rPr>
              <w:t>追溯与反馈</w:t>
            </w:r>
          </w:p>
        </w:tc>
        <w:tc>
          <w:tcPr>
            <w:tcW w:type="dxa" w:w="4433"/>
            <w:vAlign w:val="center"/>
          </w:tcPr>
          <w:p>
            <w:pPr>
              <w:keepNext w:val="0"/>
              <w:spacing w:line="320" w:lineRule="exact" w:after="0" w:before="0"/>
              <w:ind w:firstLine="0"/>
              <w:jc w:val="left"/>
            </w:pPr>
            <w:r>
              <w:rPr>
                <w:b w:val="0"/>
                <w:sz w:val="21"/>
              </w:rPr>
              <w:t>材料、过程、设备及客户事件关联</w:t>
            </w:r>
          </w:p>
        </w:tc>
      </w:tr>
    </w:tbl>
    <w:p>
      <w:pPr>
        <w:spacing w:after="40" w:line="240" w:lineRule="auto"/>
        <w:ind w:firstLine="0"/>
      </w:pPr>
      <w:r>
        <w:rPr>
          <w:sz w:val="4"/>
        </w:rPr>
      </w:r>
    </w:p>
    <w:p>
      <w:pPr>
        <w:pStyle w:val="Caption"/>
        <w:keepNext/>
      </w:pPr>
      <w:r>
        <w:t>表6-25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表6-26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boundary_check</w:t>
            </w:r>
          </w:p>
        </w:tc>
        <w:tc>
          <w:tcPr>
            <w:tcW w:type="dxa" w:w="7228"/>
            <w:vAlign w:val="center"/>
          </w:tcPr>
          <w:p>
            <w:pPr>
              <w:keepNext w:val="0"/>
              <w:spacing w:line="320" w:lineRule="exact" w:after="0" w:before="0"/>
              <w:ind w:firstLine="0"/>
              <w:jc w:val="left"/>
            </w:pPr>
            <w:r>
              <w:rPr>
                <w:b w:val="0"/>
                <w:sz w:val="21"/>
              </w:rPr>
              <w:t>按规定上下限及是否包含边界进行判断，保留单位和精度条件</w:t>
            </w:r>
          </w:p>
        </w:tc>
      </w:tr>
      <w:tr>
        <w:trPr>
          <w:cantSplit/>
        </w:trPr>
        <w:tc>
          <w:tcPr>
            <w:tcW w:type="dxa" w:w="2409"/>
            <w:vAlign w:val="center"/>
          </w:tcPr>
          <w:p>
            <w:pPr>
              <w:keepNext w:val="0"/>
              <w:spacing w:line="320" w:lineRule="exact" w:after="0" w:before="0"/>
              <w:ind w:firstLine="0"/>
              <w:jc w:val="left"/>
            </w:pPr>
            <w:r>
              <w:rPr>
                <w:b w:val="0"/>
                <w:sz w:val="21"/>
              </w:rPr>
              <w:t>candidate_defect</w:t>
            </w:r>
          </w:p>
        </w:tc>
        <w:tc>
          <w:tcPr>
            <w:tcW w:type="dxa" w:w="7228"/>
            <w:vAlign w:val="center"/>
          </w:tcPr>
          <w:p>
            <w:pPr>
              <w:keepNext w:val="0"/>
              <w:spacing w:line="320" w:lineRule="exact" w:after="0" w:before="0"/>
              <w:ind w:firstLine="0"/>
              <w:jc w:val="left"/>
            </w:pPr>
            <w:r>
              <w:rPr>
                <w:b w:val="0"/>
                <w:sz w:val="21"/>
              </w:rPr>
              <w:t>只确认候选区域或疑似现象，类型、级别与真实缺陷状态另行复核</w:t>
            </w:r>
          </w:p>
        </w:tc>
      </w:tr>
      <w:tr>
        <w:trPr>
          <w:cantSplit/>
        </w:trPr>
        <w:tc>
          <w:tcPr>
            <w:tcW w:type="dxa" w:w="2409"/>
            <w:vAlign w:val="center"/>
          </w:tcPr>
          <w:p>
            <w:pPr>
              <w:keepNext w:val="0"/>
              <w:spacing w:line="320" w:lineRule="exact" w:after="0" w:before="0"/>
              <w:ind w:firstLine="0"/>
              <w:jc w:val="left"/>
            </w:pPr>
            <w:r>
              <w:rPr>
                <w:b w:val="0"/>
                <w:sz w:val="21"/>
              </w:rPr>
              <w:t>coverage_limit</w:t>
            </w:r>
          </w:p>
        </w:tc>
        <w:tc>
          <w:tcPr>
            <w:tcW w:type="dxa" w:w="7228"/>
            <w:vAlign w:val="center"/>
          </w:tcPr>
          <w:p>
            <w:pPr>
              <w:keepNext w:val="0"/>
              <w:spacing w:line="320" w:lineRule="exact" w:after="0" w:before="0"/>
              <w:ind w:firstLine="0"/>
              <w:jc w:val="left"/>
            </w:pPr>
            <w:r>
              <w:rPr>
                <w:b w:val="0"/>
                <w:sz w:val="21"/>
              </w:rPr>
              <w:t>明确输入仅覆盖的区域、时间或对象，结论不扩展到未覆盖范围</w:t>
            </w:r>
          </w:p>
        </w:tc>
      </w:tr>
      <w:tr>
        <w:trPr>
          <w:cantSplit/>
        </w:trPr>
        <w:tc>
          <w:tcPr>
            <w:tcW w:type="dxa" w:w="2409"/>
            <w:vAlign w:val="center"/>
          </w:tcPr>
          <w:p>
            <w:pPr>
              <w:keepNext w:val="0"/>
              <w:spacing w:line="320" w:lineRule="exact" w:after="0" w:before="0"/>
              <w:ind w:firstLine="0"/>
              <w:jc w:val="left"/>
            </w:pPr>
            <w:r>
              <w:rPr>
                <w:b w:val="0"/>
                <w:sz w:val="21"/>
              </w:rPr>
              <w:t>incomplete_reinspection</w:t>
            </w:r>
          </w:p>
        </w:tc>
        <w:tc>
          <w:tcPr>
            <w:tcW w:type="dxa" w:w="7228"/>
            <w:vAlign w:val="center"/>
          </w:tcPr>
          <w:p>
            <w:pPr>
              <w:keepNext w:val="0"/>
              <w:spacing w:line="320" w:lineRule="exact" w:after="0" w:before="0"/>
              <w:ind w:firstLine="0"/>
              <w:jc w:val="left"/>
            </w:pPr>
            <w:r>
              <w:rPr>
                <w:b w:val="0"/>
                <w:sz w:val="21"/>
              </w:rPr>
              <w:t>复检项目或有效结论仍有缺口，返修完成不能替代复检通过</w:t>
            </w:r>
          </w:p>
        </w:tc>
      </w:tr>
      <w:tr>
        <w:trPr>
          <w:cantSplit/>
        </w:trPr>
        <w:tc>
          <w:tcPr>
            <w:tcW w:type="dxa" w:w="2409"/>
            <w:vAlign w:val="center"/>
          </w:tcPr>
          <w:p>
            <w:pPr>
              <w:keepNext w:val="0"/>
              <w:spacing w:line="320" w:lineRule="exact" w:after="0" w:before="0"/>
              <w:ind w:firstLine="0"/>
              <w:jc w:val="left"/>
            </w:pPr>
            <w:r>
              <w:rPr>
                <w:b w:val="0"/>
                <w:sz w:val="21"/>
              </w:rPr>
              <w:t>numeric_judgement</w:t>
            </w:r>
          </w:p>
        </w:tc>
        <w:tc>
          <w:tcPr>
            <w:tcW w:type="dxa" w:w="7228"/>
            <w:vAlign w:val="center"/>
          </w:tcPr>
          <w:p>
            <w:pPr>
              <w:keepNext w:val="0"/>
              <w:spacing w:line="320" w:lineRule="exact" w:after="0" w:before="0"/>
              <w:ind w:firstLine="0"/>
              <w:jc w:val="left"/>
            </w:pPr>
            <w:r>
              <w:rPr>
                <w:b w:val="0"/>
                <w:sz w:val="21"/>
              </w:rPr>
              <w:t>对题定数值及规则得出可复算结果，不外推未检查项目</w:t>
            </w:r>
          </w:p>
        </w:tc>
      </w:tr>
      <w:tr>
        <w:trPr>
          <w:cantSplit/>
        </w:trPr>
        <w:tc>
          <w:tcPr>
            <w:tcW w:type="dxa" w:w="2409"/>
            <w:vAlign w:val="center"/>
          </w:tcPr>
          <w:p>
            <w:pPr>
              <w:keepNext w:val="0"/>
              <w:spacing w:line="320" w:lineRule="exact" w:after="0" w:before="0"/>
              <w:ind w:firstLine="0"/>
              <w:jc w:val="left"/>
            </w:pPr>
            <w:r>
              <w:rPr>
                <w:b w:val="0"/>
                <w:sz w:val="21"/>
              </w:rPr>
              <w:t>release_condition</w:t>
            </w:r>
          </w:p>
        </w:tc>
        <w:tc>
          <w:tcPr>
            <w:tcW w:type="dxa" w:w="7228"/>
            <w:vAlign w:val="center"/>
          </w:tcPr>
          <w:p>
            <w:pPr>
              <w:keepNext w:val="0"/>
              <w:spacing w:line="320" w:lineRule="exact" w:after="0" w:before="0"/>
              <w:ind w:firstLine="0"/>
              <w:jc w:val="left"/>
            </w:pPr>
            <w:r>
              <w:rPr>
                <w:b w:val="0"/>
                <w:sz w:val="21"/>
              </w:rPr>
              <w:t>所有必要放行条件及授权流程满足后才能确认放行状态</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6.2.9 规范样本</w:t>
      </w:r>
    </w:p>
    <w:p>
      <w:pPr>
        <w:keepNext/>
        <w:jc w:val="both"/>
      </w:pPr>
      <w:r>
        <w:t>规范样本1 检验边界值与判定条件</w:t>
      </w:r>
    </w:p>
    <w:p>
      <w:pPr>
        <w:pStyle w:val="Caption"/>
        <w:keepNext/>
      </w:pPr>
      <w:r>
        <w:t>表6-27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EX-04-SFT-001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PQ02、boundary_check、numeric_judgement</w:t>
            </w:r>
          </w:p>
        </w:tc>
      </w:tr>
    </w:tbl>
    <w:p>
      <w:pPr>
        <w:spacing w:after="40" w:line="240" w:lineRule="auto"/>
        <w:ind w:firstLine="0"/>
      </w:pPr>
      <w:r>
        <w:rPr>
          <w:sz w:val="4"/>
        </w:rPr>
      </w:r>
    </w:p>
    <w:p>
      <w:pPr>
        <w:jc w:val="both"/>
      </w:pPr>
      <w:r>
        <w:t>输入内容：规范实例的尺寸要求为10.00至10.20毫米，两个边界均允许取等号；测量方法与判定规则约定直接比较已给出的记录值。三次记录值依次为10.00、10.20、10.21毫米。本题不引入其他测量不确定度或复检规则。</w:t>
      </w:r>
    </w:p>
    <w:p>
      <w:pPr>
        <w:pStyle w:val="Caption"/>
        <w:keepNext/>
      </w:pPr>
      <w:r>
        <w:t>表6-28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left"/>
            </w:pPr>
            <w:r>
              <w:rPr>
                <w:b w:val="0"/>
                <w:sz w:val="21"/>
              </w:rPr>
              <w:t>m1</w:t>
            </w:r>
          </w:p>
        </w:tc>
        <w:tc>
          <w:tcPr>
            <w:tcW w:type="dxa" w:w="7228"/>
            <w:vAlign w:val="center"/>
          </w:tcPr>
          <w:p>
            <w:pPr>
              <w:keepNext/>
              <w:spacing w:line="320" w:lineRule="exact" w:after="0" w:before="0"/>
              <w:ind w:firstLine="0"/>
              <w:jc w:val="center"/>
            </w:pPr>
            <w:r>
              <w:rPr>
                <w:b w:val="0"/>
                <w:sz w:val="21"/>
              </w:rPr>
              <w:t>10.0</w:t>
            </w:r>
          </w:p>
        </w:tc>
      </w:tr>
      <w:tr>
        <w:trPr>
          <w:cantSplit/>
        </w:trPr>
        <w:tc>
          <w:tcPr>
            <w:tcW w:type="dxa" w:w="2409"/>
            <w:vAlign w:val="center"/>
          </w:tcPr>
          <w:p>
            <w:pPr>
              <w:keepNext/>
              <w:spacing w:line="320" w:lineRule="exact" w:after="0" w:before="0"/>
              <w:ind w:firstLine="0"/>
              <w:jc w:val="left"/>
            </w:pPr>
            <w:r>
              <w:rPr>
                <w:b w:val="0"/>
                <w:sz w:val="21"/>
              </w:rPr>
              <w:t>m2</w:t>
            </w:r>
          </w:p>
        </w:tc>
        <w:tc>
          <w:tcPr>
            <w:tcW w:type="dxa" w:w="7228"/>
            <w:vAlign w:val="center"/>
          </w:tcPr>
          <w:p>
            <w:pPr>
              <w:keepNext/>
              <w:spacing w:line="320" w:lineRule="exact" w:after="0" w:before="0"/>
              <w:ind w:firstLine="0"/>
              <w:jc w:val="center"/>
            </w:pPr>
            <w:r>
              <w:rPr>
                <w:b w:val="0"/>
                <w:sz w:val="21"/>
              </w:rPr>
              <w:t>10.2</w:t>
            </w:r>
          </w:p>
        </w:tc>
      </w:tr>
      <w:tr>
        <w:trPr>
          <w:cantSplit/>
        </w:trPr>
        <w:tc>
          <w:tcPr>
            <w:tcW w:type="dxa" w:w="2409"/>
            <w:vAlign w:val="center"/>
          </w:tcPr>
          <w:p>
            <w:pPr>
              <w:keepNext w:val="0"/>
              <w:spacing w:line="320" w:lineRule="exact" w:after="0" w:before="0"/>
              <w:ind w:firstLine="0"/>
              <w:jc w:val="left"/>
            </w:pPr>
            <w:r>
              <w:rPr>
                <w:b w:val="0"/>
                <w:sz w:val="21"/>
              </w:rPr>
              <w:t>m3</w:t>
            </w:r>
          </w:p>
        </w:tc>
        <w:tc>
          <w:tcPr>
            <w:tcW w:type="dxa" w:w="7228"/>
            <w:vAlign w:val="center"/>
          </w:tcPr>
          <w:p>
            <w:pPr>
              <w:keepNext w:val="0"/>
              <w:spacing w:line="320" w:lineRule="exact" w:after="0" w:before="0"/>
              <w:ind w:firstLine="0"/>
              <w:jc w:val="center"/>
            </w:pPr>
            <w:r>
              <w:rPr>
                <w:b w:val="0"/>
                <w:sz w:val="21"/>
              </w:rPr>
              <w:t>10.21</w:t>
            </w:r>
          </w:p>
        </w:tc>
      </w:tr>
    </w:tbl>
    <w:p>
      <w:pPr>
        <w:spacing w:after="40" w:line="240" w:lineRule="auto"/>
        <w:ind w:firstLine="0"/>
      </w:pPr>
      <w:r>
        <w:rPr>
          <w:sz w:val="4"/>
        </w:rPr>
      </w:r>
    </w:p>
    <w:p>
      <w:pPr>
        <w:jc w:val="both"/>
      </w:pPr>
      <w:r>
        <w:t>任务指令：分别判断三次记录是否满足题定尺寸区间。</w:t>
      </w:r>
    </w:p>
    <w:p>
      <w:pPr>
        <w:jc w:val="both"/>
      </w:pPr>
      <w:r>
        <w:t>目标输出：10.00和10.20毫米均位于包含边界的允许区间内，满足题定区间；10.21毫米大于上限，不满足。结论仅针对该尺寸项目及题定判定规则，不能据此宣布整个产品合格。</w:t>
      </w:r>
    </w:p>
    <w:p>
      <w:pPr>
        <w:jc w:val="both"/>
      </w:pPr>
      <w:r>
        <w:t>标注核验：下限包含；上限包含；10.21超上限；不外推整品合格。答案应包含结论及必要依据，不能用泛化建议代替题定判断。语义等价的表达可以接受，擅自添加未给出的事实应判为内容错误。</w:t>
      </w:r>
    </w:p>
    <w:p>
      <w:pPr>
        <w:keepNext/>
        <w:jc w:val="both"/>
      </w:pPr>
      <w:r>
        <w:t>规范样本2 缺陷区域与完整产品结论</w:t>
      </w:r>
    </w:p>
    <w:p>
      <w:pPr>
        <w:pStyle w:val="Caption"/>
        <w:keepNext/>
      </w:pPr>
      <w:r>
        <w:t>表6-29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EX-04-SFT-002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PQ04、candidate_defect、coverage_limit</w:t>
            </w:r>
          </w:p>
        </w:tc>
      </w:tr>
    </w:tbl>
    <w:p>
      <w:pPr>
        <w:spacing w:after="40" w:line="240" w:lineRule="auto"/>
        <w:ind w:firstLine="0"/>
      </w:pPr>
      <w:r>
        <w:rPr>
          <w:sz w:val="4"/>
        </w:rPr>
      </w:r>
    </w:p>
    <w:p>
      <w:pPr>
        <w:jc w:val="both"/>
      </w:pPr>
      <w:r>
        <w:t>输入内容：规范图像在坐标区域R甲标出一处疑似缺陷。记录只覆盖产品表面局部区域，未提供其他表面、内部检验或专业确认。图中区域标记为候选定位。</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20" name="Picture 20"/>
            <wp:cNvGraphicFramePr>
              <a:graphicFrameLocks noChangeAspect="1"/>
            </wp:cNvGraphicFramePr>
            <a:graphic>
              <a:graphicData uri="http://schemas.openxmlformats.org/drawingml/2006/picture">
                <pic:pic>
                  <pic:nvPicPr>
                    <pic:cNvPr id="0" name="例图04_2.png"/>
                    <pic:cNvPicPr/>
                  </pic:nvPicPr>
                  <pic:blipFill>
                    <a:blip r:embed="rId20"/>
                    <a:stretch>
                      <a:fillRect/>
                    </a:stretch>
                  </pic:blipFill>
                  <pic:spPr>
                    <a:xfrm>
                      <a:off x="0" y="0"/>
                      <a:ext cx="6048000" cy="1422831"/>
                    </a:xfrm>
                    <a:prstGeom prst="rect"/>
                  </pic:spPr>
                </pic:pic>
              </a:graphicData>
            </a:graphic>
          </wp:inline>
        </w:drawing>
      </w:r>
    </w:p>
    <w:p>
      <w:pPr>
        <w:pStyle w:val="Caption"/>
        <w:jc w:val="center"/>
      </w:pPr>
      <w:r>
        <w:t>图6-3 缺陷区域与完整产品结论</w:t>
      </w:r>
    </w:p>
    <w:p>
      <w:pPr>
        <w:jc w:val="both"/>
      </w:pPr>
      <w:r>
        <w:t>任务指令：应如何描述该图像标签及可用范围？</w:t>
      </w:r>
    </w:p>
    <w:p>
      <w:pPr>
        <w:jc w:val="both"/>
      </w:pPr>
      <w:r>
        <w:t>目标输出：标签应记录局部候选缺陷位置和疑似状态，保留图像版本及坐标参照。可以用于候选区域定位或待复核任务；缺陷类型及等级需要专业确认，局部影像也不足以判定产品其他区域无缺陷或整品合格。</w:t>
      </w:r>
    </w:p>
    <w:p>
      <w:pPr>
        <w:jc w:val="both"/>
      </w:pPr>
      <w:r>
        <w:t>标注核验：候选定位；疑似状态；需要专业确认；不外推未覆盖区域。答案应包含结论及必要依据，不能用泛化建议代替题定判断。语义等价的表达可以接受，擅自添加未给出的事实应判为内容错误。</w:t>
      </w:r>
    </w:p>
    <w:p>
      <w:pPr>
        <w:keepNext/>
        <w:jc w:val="both"/>
      </w:pPr>
      <w:r>
        <w:t>规范样本3 返修复检与放行链核验</w:t>
      </w:r>
    </w:p>
    <w:p>
      <w:pPr>
        <w:pStyle w:val="Caption"/>
        <w:keepNext/>
      </w:pPr>
      <w:r>
        <w:t>表6-30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EX-04-SFT-003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PQ05、release_condition、incomplete_reinspection</w:t>
            </w:r>
          </w:p>
        </w:tc>
      </w:tr>
    </w:tbl>
    <w:p>
      <w:pPr>
        <w:spacing w:after="40" w:line="240" w:lineRule="auto"/>
        <w:ind w:firstLine="0"/>
      </w:pPr>
      <w:r>
        <w:rPr>
          <w:sz w:val="4"/>
        </w:rPr>
      </w:r>
    </w:p>
    <w:p>
      <w:pPr>
        <w:jc w:val="both"/>
      </w:pPr>
      <w:r>
        <w:t>输入内容：不合格单NC甲记录返修已完成，随后复检项目K1通过，项目K2结果尚未形成。批准处置要求K1与K2均通过后才能放行，目前无其他放行批准依据。</w:t>
      </w:r>
    </w:p>
    <w:p>
      <w:pPr>
        <w:jc w:val="both"/>
      </w:pPr>
      <w:r>
        <w:t>任务指令：能否据此把产品状态改为放行？质量记录应保留哪些关系？</w:t>
      </w:r>
    </w:p>
    <w:p>
      <w:pPr>
        <w:jc w:val="both"/>
      </w:pPr>
      <w:r>
        <w:t>目标输出：不能改为放行。返修完成、K1通过与整体放行是不同状态，K2仍缺少结果。应保留NC甲、返修记录、两项复检及批准处置之间的关系，取得K2有效通过结果并满足授权放行流程后再变更状态。</w:t>
      </w:r>
    </w:p>
    <w:p>
      <w:pPr>
        <w:jc w:val="both"/>
      </w:pPr>
      <w:r>
        <w:t>标注核验：不放行；识别K2缺口；区分返修与放行；保留处置复检关系。答案应包含结论及必要依据，不能用泛化建议代替题定判断。语义等价的表达可以接受，擅自添加未给出的事实应判为内容错误。</w:t>
      </w:r>
    </w:p>
    <w:p>
      <w:pPr>
        <w:pStyle w:val="Heading3"/>
      </w:pPr>
      <w:r>
        <w:t>6.2.10 生产与使用核验</w:t>
      </w:r>
    </w:p>
    <w:p>
      <w:pPr>
        <w:jc w:val="both"/>
      </w:pPr>
      <w:r>
        <w:t>逐任务核查答案正确性、事实一致性、约束满足和证据引用，开放回答结合固定要点评分及Rouge-L等辅助指标；文字相似度不代替业务正确性。本领域同时检查检验字段抽取正确率、数值与单位判定正确率、缺陷分类宏平均F1、缺陷定位指标、质量追溯证据召回率及处置建议依据正确率。统计按任务类型、来源、模态、难度及关键业务对象分层，保留题目或记录级结果和失败对象。</w:t>
      </w:r>
    </w:p>
    <w:p>
      <w:pPr>
        <w:jc w:val="both"/>
      </w:pPr>
      <w:r>
        <w:t>生产检查从来源记录开始核对产品实例、零件、材料批次、检验批、项目、测量轮次、缺陷位置、不合格单与处置状态，确认检验结果绑定有效标准与测量条件；数值、单位、精度、上下限及边界条件共同解析；缺陷标签绑定位置和证据；处置、复检与放行按时序串联；质量结论沿材料、工序和产品关系追溯。专业分歧由质量、检验、工艺、材料、生产及售后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6.3 人类偏好对齐数据卡</w:t>
      </w:r>
    </w:p>
    <w:p>
      <w:pPr>
        <w:pStyle w:val="Heading3"/>
      </w:pPr>
      <w:r>
        <w:t>6.3.1 基本信息</w:t>
      </w:r>
    </w:p>
    <w:p>
      <w:pPr>
        <w:pStyle w:val="Caption"/>
        <w:keepNext/>
      </w:pPr>
      <w:r>
        <w:t>表6-31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GHY26691-DC-04-0003-V1.0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产品质量数据集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人类偏好对齐</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04 产品质量；关联对象为产品实例、零件、材料批次、检验批、项目、测量轮次、缺陷位置、不合格单与处置状态</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有效交付净量16000组；以同一输入下完整候选回答及偏好依据构成的比较组为计数单位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本用途规模按组验收；如统计输入输出Tokens，分开保存且不替代任务或比较组数量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采用第7章公共记录结构及本领域扩展字典；同一输入下完整候选回答及偏好依据构成的比较组具有稳定标识、业务对象、来源家族、时间、内容、资源、标签与证据关系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根目录按04-PREF及数据版本组织；data保存记录，resources保存模态载荷，metadata保存来源与关系，dictionary保存字段和标签，cards保存卡片，reports保存报告，tools保存解析程序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04-PREF-数据版本-六位分片序号.jsonl；资源以稳定资源标识命名；卡片使用完整卡号；路径采用相对路径并拒绝越界和重名冲突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平台服务工单按卡号、数据版本及问题对象受理；由技术与质量、检验、工艺、材料、生产及售后专业岗位协同处理，服务时段和响应要求执行统一售后安排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来料、过程、成品和使用反馈质量，检验标准、测量记录、缺陷形态、不合格处置、复检、放行与质量追溯。以产品实例、零件、材料批次、检验批、项目、测量轮次、缺陷位置、不合格单与处置状态建立对象关系，来源范围包括QMS中的检验及不合格记录，MES中的工单和过程批次，PLM中的技术条件，ERP与WMS中的物料及质量状态，EAM中的设备和维修记录，以及经授权的客户质量反馈。面向人类偏好对齐形成可比较的候选、独立判断结果、理由及仲裁记录，重点检查输入一致、候选可比、偏好依据有效、匿名展示和组完整性。数据支持热处理工艺优化、焊接工艺优化、刮板输送机健康管理、标准规范智能问答助手、决策数据智能问答助手，结论依据实际输入、专业条件和验证范围使用。涉及检验报告、质量事件、客户反馈、产品追溯关系、工艺秘密和检验人员信息时执行相应授权及安全处理。业务事实、推断与未知状态分别标记，数据版本与引用依据保持一致。</w:t>
      </w:r>
    </w:p>
    <w:p>
      <w:pPr>
        <w:pStyle w:val="Heading3"/>
      </w:pPr>
      <w:r>
        <w:t>6.3.2 内容特征</w:t>
      </w:r>
    </w:p>
    <w:p>
      <w:pPr>
        <w:pStyle w:val="Caption"/>
        <w:keepNext/>
      </w:pPr>
      <w:r>
        <w:t>表6-32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文本、图像、时序、视频按有效载荷统计；重点关联产品实例、零件、材料批次、检验批、项目、测量轮次、缺陷位置、不合格单与处置状态；图纸、表格载体不独立增加模态数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以同一输入下完整候选回答及偏好依据构成的比较组为分母，至少两种有效关联模态的记录为分子；分子、分母及互斥组合清单齐备，按1.4节满足40%要求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按PQ01来料质量、PQ02过程检验、PQ03成品检验、PQ04缺陷与不合格、PQ05处置与复检、PQ06追溯与反馈统计；主主题互斥，辅助主题允许多选并另列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按候选差异涉及的事实、约束、证据与风险判断复杂性分层，不能仅按回答长短或文风判优</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组内包含合成候选或其派生内容即计入合成来源组，比例不超过50%；纯真实增强另记加工属性</w:t>
            </w:r>
          </w:p>
        </w:tc>
      </w:tr>
    </w:tbl>
    <w:p>
      <w:pPr>
        <w:spacing w:after="40" w:line="240" w:lineRule="auto"/>
        <w:ind w:firstLine="0"/>
      </w:pPr>
      <w:r>
        <w:rPr>
          <w:sz w:val="4"/>
        </w:rPr>
      </w:r>
    </w:p>
    <w:p>
      <w:pPr>
        <w:pStyle w:val="Heading3"/>
      </w:pPr>
      <w:r>
        <w:t>6.3.3 建设过程</w:t>
      </w:r>
    </w:p>
    <w:p>
      <w:pPr>
        <w:pStyle w:val="Caption"/>
        <w:keepNext/>
      </w:pPr>
      <w:r>
        <w:t>表6-33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QMS中的检验及不合格记录，MES中的工单和过程批次，PLM中的技术条件，ERP与WMS中的物料及质量状态，EAM中的设备和维修记录，以及经授权的客户质量反馈；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检验结果绑定有效标准与测量条件；数值、单位、精度、上下限及边界条件共同解析；缺陷标签绑定位置和证据；处置、复检与放行按时序串联；质量结论沿材料、工序和产品关系追溯；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保存解析器、字典、切分、窗口、重叠、单位换算、时间校正和对齐配置；产品实例、零件、材料批次、检验批、项目、测量轮次、缺陷位置、不合格单与处置状态为关联校验重点；参数经真实资料验证后冻结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候选标识、展示顺序、优选结果、可并列状态、事实与约束判断、偏好理由和仲裁结果；规范编号与实际生产记录绑定，不因预训练用途自动省略专业标记管理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由质量、检验、工艺、材料、生产及售后专业岗位承担专业定义与争议裁决，标注人员依规范执行；自检、交叉复核、专家仲裁分别保存原始结果及修订记录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6.3.4 应用说明</w:t>
      </w:r>
    </w:p>
    <w:p>
      <w:pPr>
        <w:pStyle w:val="Caption"/>
        <w:keepNext/>
      </w:pPr>
      <w:r>
        <w:t>表6-34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热处理工艺优化、焊接工艺优化、刮板输送机健康管理、标准规范智能问答助手、决策数据智能问答助手；验证结论按实际场景、输入条件和版本形成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偏好对齐；输入接口须支持实际文本、图像、时序或视频载荷及对应关系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检验字段抽取正确率、数值与单位判定正确率、缺陷分类宏平均F1、缺陷定位指标、质量追溯证据召回率及处置建议依据正确率；各用途采用本卡评价协议并保留定义、方向和统计单位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6.3.5 质量验证</w:t>
      </w:r>
    </w:p>
    <w:p>
      <w:pPr>
        <w:pStyle w:val="Caption"/>
        <w:keepNext/>
      </w:pPr>
      <w:r>
        <w:t>表6-35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质检报告采用GHY26691-QC-04-0003并绑定实际版本、受检清单和内容根摘要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分别报告保真度、完备性、规整性、均衡性、可用性、可信性的方法、结果与问题；按产品实例、零件、材料批次、检验批、项目、测量轮次、缺陷位置、不合格单与处置状态检查关键业务关联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验证报告采用GHY26691-VR-04-0003及实际版本；引用数据、模型、协议、实验和原始输出，汇总与子集范围分别标明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质量、检验、工艺、材料、生产及售后专业岗位结合热处理工艺优化、焊接工艺优化、刮板输送机健康管理、标准规范智能问答助手、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6.3.6 安全合规</w:t>
      </w:r>
    </w:p>
    <w:p>
      <w:pPr>
        <w:pStyle w:val="Caption"/>
        <w:keepNext/>
      </w:pPr>
      <w:r>
        <w:t>表6-36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生产经营数据中的产品质量相关数据；按来料、过程、成品和使用反馈质量，检验标准、测量记录、缺陷形态、不合格处置、复检、放行与质量追溯细分并关联资产目录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检验报告、质量事件、客户反馈、产品追溯关系、工艺秘密和检验人员信息；实际敏感要素由检测与人工复核确认，未知状态不按无敏感信息处理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客户与人员采用稳定替代标识，报告中的签署和联系方式按授权处理；测量值、单位和判定依据在授权环境保真保留；图像遮蔽无关身份信息并复核缺陷区域完整性</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质量、检验、工艺、材料、生产及售后专业岗位按业务必要性申请；加工、质量与评测岗位取得任务所需权限，基准答案、原始敏感资料和替代映射分别控制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按卡号GHY26691-DC-04-0003-V1.0、实际数据版本、对象标识和工单关联查询采集、加工、访问、下载、评测及发布审计；交付留存必要受控记录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6.3.7 指纹血缘</w:t>
      </w:r>
    </w:p>
    <w:p>
      <w:pPr>
        <w:pStyle w:val="Caption"/>
        <w:keepNext/>
      </w:pPr>
      <w:r>
        <w:t>表6-37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04-PREF根目录内package.json登记身份、数据版本、结构版本、字典、卡片、资源和文件清单；脱离平台按第7章完成读取及核验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6.3.8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表6-38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inspection_id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检验活动身份</w:t>
            </w:r>
          </w:p>
        </w:tc>
        <w:tc>
          <w:tcPr>
            <w:tcW w:type="dxa" w:w="3084"/>
            <w:vAlign w:val="center"/>
          </w:tcPr>
          <w:p>
            <w:pPr>
              <w:keepNext w:val="0"/>
              <w:spacing w:line="320" w:lineRule="exact" w:after="0" w:before="0"/>
              <w:ind w:firstLine="0"/>
              <w:jc w:val="left"/>
            </w:pPr>
            <w:r>
              <w:rPr>
                <w:b w:val="0"/>
                <w:sz w:val="21"/>
              </w:rPr>
              <w:t>与检验批及轮次共同唯一</w:t>
            </w:r>
          </w:p>
        </w:tc>
      </w:tr>
      <w:tr>
        <w:trPr>
          <w:cantSplit/>
        </w:trPr>
        <w:tc>
          <w:tcPr>
            <w:tcW w:type="dxa" w:w="2313"/>
            <w:vAlign w:val="center"/>
          </w:tcPr>
          <w:p>
            <w:pPr>
              <w:keepNext w:val="0"/>
              <w:spacing w:line="320" w:lineRule="exact" w:after="0" w:before="0"/>
              <w:ind w:firstLine="0"/>
              <w:jc w:val="left"/>
            </w:pPr>
            <w:r>
              <w:rPr>
                <w:b w:val="0"/>
                <w:sz w:val="21"/>
              </w:rPr>
              <w:t>characteristic_id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检验项目及适用标准项</w:t>
            </w:r>
          </w:p>
        </w:tc>
        <w:tc>
          <w:tcPr>
            <w:tcW w:type="dxa" w:w="3084"/>
            <w:vAlign w:val="center"/>
          </w:tcPr>
          <w:p>
            <w:pPr>
              <w:keepNext w:val="0"/>
              <w:spacing w:line="320" w:lineRule="exact" w:after="0" w:before="0"/>
              <w:ind w:firstLine="0"/>
              <w:jc w:val="left"/>
            </w:pPr>
            <w:r>
              <w:rPr>
                <w:b w:val="0"/>
                <w:sz w:val="21"/>
              </w:rPr>
              <w:t>同名不同方法分别识别</w:t>
            </w:r>
          </w:p>
        </w:tc>
      </w:tr>
      <w:tr>
        <w:trPr>
          <w:cantSplit/>
        </w:trPr>
        <w:tc>
          <w:tcPr>
            <w:tcW w:type="dxa" w:w="2313"/>
            <w:vAlign w:val="center"/>
          </w:tcPr>
          <w:p>
            <w:pPr>
              <w:keepNext w:val="0"/>
              <w:spacing w:line="320" w:lineRule="exact" w:after="0" w:before="0"/>
              <w:ind w:firstLine="0"/>
              <w:jc w:val="left"/>
            </w:pPr>
            <w:r>
              <w:rPr>
                <w:b w:val="0"/>
                <w:sz w:val="21"/>
              </w:rPr>
              <w:t>measurement</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值、单位、精度、方法及设备条件</w:t>
            </w:r>
          </w:p>
        </w:tc>
        <w:tc>
          <w:tcPr>
            <w:tcW w:type="dxa" w:w="3084"/>
            <w:vAlign w:val="center"/>
          </w:tcPr>
          <w:p>
            <w:pPr>
              <w:keepNext w:val="0"/>
              <w:spacing w:line="320" w:lineRule="exact" w:after="0" w:before="0"/>
              <w:ind w:firstLine="0"/>
              <w:jc w:val="left"/>
            </w:pPr>
            <w:r>
              <w:rPr>
                <w:b w:val="0"/>
                <w:sz w:val="21"/>
              </w:rPr>
              <w:t>原始值与换算值同时留痕</w:t>
            </w:r>
          </w:p>
        </w:tc>
      </w:tr>
      <w:tr>
        <w:trPr>
          <w:cantSplit/>
        </w:trPr>
        <w:tc>
          <w:tcPr>
            <w:tcW w:type="dxa" w:w="2313"/>
            <w:vAlign w:val="center"/>
          </w:tcPr>
          <w:p>
            <w:pPr>
              <w:keepNext w:val="0"/>
              <w:spacing w:line="320" w:lineRule="exact" w:after="0" w:before="0"/>
              <w:ind w:firstLine="0"/>
              <w:jc w:val="left"/>
            </w:pPr>
            <w:r>
              <w:rPr>
                <w:b w:val="0"/>
                <w:sz w:val="21"/>
              </w:rPr>
              <w:t>acceptance_rule</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上下限、边界及标准版本</w:t>
            </w:r>
          </w:p>
        </w:tc>
        <w:tc>
          <w:tcPr>
            <w:tcW w:type="dxa" w:w="3084"/>
            <w:vAlign w:val="center"/>
          </w:tcPr>
          <w:p>
            <w:pPr>
              <w:keepNext w:val="0"/>
              <w:spacing w:line="320" w:lineRule="exact" w:after="0" w:before="0"/>
              <w:ind w:firstLine="0"/>
              <w:jc w:val="left"/>
            </w:pPr>
            <w:r>
              <w:rPr>
                <w:b w:val="0"/>
                <w:sz w:val="21"/>
              </w:rPr>
              <w:t>与产品材料和业务时间匹配</w:t>
            </w:r>
          </w:p>
        </w:tc>
      </w:tr>
      <w:tr>
        <w:trPr>
          <w:cantSplit/>
        </w:trPr>
        <w:tc>
          <w:tcPr>
            <w:tcW w:type="dxa" w:w="2313"/>
            <w:vAlign w:val="center"/>
          </w:tcPr>
          <w:p>
            <w:pPr>
              <w:keepNext w:val="0"/>
              <w:spacing w:line="320" w:lineRule="exact" w:after="0" w:before="0"/>
              <w:ind w:firstLine="0"/>
              <w:jc w:val="left"/>
            </w:pPr>
            <w:r>
              <w:rPr>
                <w:b w:val="0"/>
                <w:sz w:val="21"/>
              </w:rPr>
              <w:t>defect_location</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产品部位、区域或坐标</w:t>
            </w:r>
          </w:p>
        </w:tc>
        <w:tc>
          <w:tcPr>
            <w:tcW w:type="dxa" w:w="3084"/>
            <w:vAlign w:val="center"/>
          </w:tcPr>
          <w:p>
            <w:pPr>
              <w:keepNext w:val="0"/>
              <w:spacing w:line="320" w:lineRule="exact" w:after="0" w:before="0"/>
              <w:ind w:firstLine="0"/>
              <w:jc w:val="left"/>
            </w:pPr>
            <w:r>
              <w:rPr>
                <w:b w:val="0"/>
                <w:sz w:val="21"/>
              </w:rPr>
              <w:t>坐标参照和影像版本明确</w:t>
            </w:r>
          </w:p>
        </w:tc>
      </w:tr>
      <w:tr>
        <w:trPr>
          <w:cantSplit/>
        </w:trPr>
        <w:tc>
          <w:tcPr>
            <w:tcW w:type="dxa" w:w="2313"/>
            <w:vAlign w:val="center"/>
          </w:tcPr>
          <w:p>
            <w:pPr>
              <w:keepNext w:val="0"/>
              <w:spacing w:line="320" w:lineRule="exact" w:after="0" w:before="0"/>
              <w:ind w:firstLine="0"/>
              <w:jc w:val="left"/>
            </w:pPr>
            <w:r>
              <w:rPr>
                <w:b w:val="0"/>
                <w:sz w:val="21"/>
              </w:rPr>
              <w:t>disposition_state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open、rework、reinspect、accepted、rejected</w:t>
            </w:r>
          </w:p>
        </w:tc>
        <w:tc>
          <w:tcPr>
            <w:tcW w:type="dxa" w:w="3084"/>
            <w:vAlign w:val="center"/>
          </w:tcPr>
          <w:p>
            <w:pPr>
              <w:keepNext w:val="0"/>
              <w:spacing w:line="320" w:lineRule="exact" w:after="0" w:before="0"/>
              <w:ind w:firstLine="0"/>
              <w:jc w:val="left"/>
            </w:pPr>
            <w:r>
              <w:rPr>
                <w:b w:val="0"/>
                <w:sz w:val="21"/>
              </w:rPr>
              <w:t>状态迁移有授权记录和实际依据</w:t>
            </w:r>
          </w:p>
        </w:tc>
      </w:tr>
    </w:tbl>
    <w:p>
      <w:pPr>
        <w:spacing w:after="40" w:line="240" w:lineRule="auto"/>
        <w:ind w:firstLine="0"/>
      </w:pPr>
      <w:r>
        <w:rPr>
          <w:sz w:val="4"/>
        </w:rPr>
      </w:r>
    </w:p>
    <w:p>
      <w:pPr>
        <w:pStyle w:val="Caption"/>
        <w:keepNext/>
      </w:pPr>
      <w:r>
        <w:t>表6-39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PQ01</w:t>
            </w:r>
          </w:p>
        </w:tc>
        <w:tc>
          <w:tcPr>
            <w:tcW w:type="dxa" w:w="2891"/>
            <w:vAlign w:val="center"/>
          </w:tcPr>
          <w:p>
            <w:pPr>
              <w:keepNext w:val="0"/>
              <w:spacing w:line="320" w:lineRule="exact" w:after="0" w:before="0"/>
              <w:ind w:firstLine="0"/>
              <w:jc w:val="left"/>
            </w:pPr>
            <w:r>
              <w:rPr>
                <w:b w:val="0"/>
                <w:sz w:val="21"/>
              </w:rPr>
              <w:t>来料质量</w:t>
            </w:r>
          </w:p>
        </w:tc>
        <w:tc>
          <w:tcPr>
            <w:tcW w:type="dxa" w:w="4433"/>
            <w:vAlign w:val="center"/>
          </w:tcPr>
          <w:p>
            <w:pPr>
              <w:keepNext w:val="0"/>
              <w:spacing w:line="320" w:lineRule="exact" w:after="0" w:before="0"/>
              <w:ind w:firstLine="0"/>
              <w:jc w:val="left"/>
            </w:pPr>
            <w:r>
              <w:rPr>
                <w:b w:val="0"/>
                <w:sz w:val="21"/>
              </w:rPr>
              <w:t>材质、批次、证明与入厂检验</w:t>
            </w:r>
          </w:p>
        </w:tc>
      </w:tr>
      <w:tr>
        <w:trPr>
          <w:cantSplit/>
        </w:trPr>
        <w:tc>
          <w:tcPr>
            <w:tcW w:type="dxa" w:w="2313"/>
            <w:vAlign w:val="center"/>
          </w:tcPr>
          <w:p>
            <w:pPr>
              <w:keepNext w:val="0"/>
              <w:spacing w:line="320" w:lineRule="exact" w:after="0" w:before="0"/>
              <w:ind w:firstLine="0"/>
              <w:jc w:val="left"/>
            </w:pPr>
            <w:r>
              <w:rPr>
                <w:b w:val="0"/>
                <w:sz w:val="21"/>
              </w:rPr>
              <w:t>PQ02</w:t>
            </w:r>
          </w:p>
        </w:tc>
        <w:tc>
          <w:tcPr>
            <w:tcW w:type="dxa" w:w="2891"/>
            <w:vAlign w:val="center"/>
          </w:tcPr>
          <w:p>
            <w:pPr>
              <w:keepNext w:val="0"/>
              <w:spacing w:line="320" w:lineRule="exact" w:after="0" w:before="0"/>
              <w:ind w:firstLine="0"/>
              <w:jc w:val="left"/>
            </w:pPr>
            <w:r>
              <w:rPr>
                <w:b w:val="0"/>
                <w:sz w:val="21"/>
              </w:rPr>
              <w:t>过程检验</w:t>
            </w:r>
          </w:p>
        </w:tc>
        <w:tc>
          <w:tcPr>
            <w:tcW w:type="dxa" w:w="4433"/>
            <w:vAlign w:val="center"/>
          </w:tcPr>
          <w:p>
            <w:pPr>
              <w:keepNext w:val="0"/>
              <w:spacing w:line="320" w:lineRule="exact" w:after="0" w:before="0"/>
              <w:ind w:firstLine="0"/>
              <w:jc w:val="left"/>
            </w:pPr>
            <w:r>
              <w:rPr>
                <w:b w:val="0"/>
                <w:sz w:val="21"/>
              </w:rPr>
              <w:t>工序、测量条件、结果及状态</w:t>
            </w:r>
          </w:p>
        </w:tc>
      </w:tr>
      <w:tr>
        <w:trPr>
          <w:cantSplit/>
        </w:trPr>
        <w:tc>
          <w:tcPr>
            <w:tcW w:type="dxa" w:w="2313"/>
            <w:vAlign w:val="center"/>
          </w:tcPr>
          <w:p>
            <w:pPr>
              <w:keepNext w:val="0"/>
              <w:spacing w:line="320" w:lineRule="exact" w:after="0" w:before="0"/>
              <w:ind w:firstLine="0"/>
              <w:jc w:val="left"/>
            </w:pPr>
            <w:r>
              <w:rPr>
                <w:b w:val="0"/>
                <w:sz w:val="21"/>
              </w:rPr>
              <w:t>PQ03</w:t>
            </w:r>
          </w:p>
        </w:tc>
        <w:tc>
          <w:tcPr>
            <w:tcW w:type="dxa" w:w="2891"/>
            <w:vAlign w:val="center"/>
          </w:tcPr>
          <w:p>
            <w:pPr>
              <w:keepNext w:val="0"/>
              <w:spacing w:line="320" w:lineRule="exact" w:after="0" w:before="0"/>
              <w:ind w:firstLine="0"/>
              <w:jc w:val="left"/>
            </w:pPr>
            <w:r>
              <w:rPr>
                <w:b w:val="0"/>
                <w:sz w:val="21"/>
              </w:rPr>
              <w:t>成品检验</w:t>
            </w:r>
          </w:p>
        </w:tc>
        <w:tc>
          <w:tcPr>
            <w:tcW w:type="dxa" w:w="4433"/>
            <w:vAlign w:val="center"/>
          </w:tcPr>
          <w:p>
            <w:pPr>
              <w:keepNext w:val="0"/>
              <w:spacing w:line="320" w:lineRule="exact" w:after="0" w:before="0"/>
              <w:ind w:firstLine="0"/>
              <w:jc w:val="left"/>
            </w:pPr>
            <w:r>
              <w:rPr>
                <w:b w:val="0"/>
                <w:sz w:val="21"/>
              </w:rPr>
              <w:t>产品配置、项目覆盖和放行</w:t>
            </w:r>
          </w:p>
        </w:tc>
      </w:tr>
      <w:tr>
        <w:trPr>
          <w:cantSplit/>
        </w:trPr>
        <w:tc>
          <w:tcPr>
            <w:tcW w:type="dxa" w:w="2313"/>
            <w:vAlign w:val="center"/>
          </w:tcPr>
          <w:p>
            <w:pPr>
              <w:keepNext w:val="0"/>
              <w:spacing w:line="320" w:lineRule="exact" w:after="0" w:before="0"/>
              <w:ind w:firstLine="0"/>
              <w:jc w:val="left"/>
            </w:pPr>
            <w:r>
              <w:rPr>
                <w:b w:val="0"/>
                <w:sz w:val="21"/>
              </w:rPr>
              <w:t>PQ04</w:t>
            </w:r>
          </w:p>
        </w:tc>
        <w:tc>
          <w:tcPr>
            <w:tcW w:type="dxa" w:w="2891"/>
            <w:vAlign w:val="center"/>
          </w:tcPr>
          <w:p>
            <w:pPr>
              <w:keepNext w:val="0"/>
              <w:spacing w:line="320" w:lineRule="exact" w:after="0" w:before="0"/>
              <w:ind w:firstLine="0"/>
              <w:jc w:val="left"/>
            </w:pPr>
            <w:r>
              <w:rPr>
                <w:b w:val="0"/>
                <w:sz w:val="21"/>
              </w:rPr>
              <w:t>缺陷与不合格</w:t>
            </w:r>
          </w:p>
        </w:tc>
        <w:tc>
          <w:tcPr>
            <w:tcW w:type="dxa" w:w="4433"/>
            <w:vAlign w:val="center"/>
          </w:tcPr>
          <w:p>
            <w:pPr>
              <w:keepNext w:val="0"/>
              <w:spacing w:line="320" w:lineRule="exact" w:after="0" w:before="0"/>
              <w:ind w:firstLine="0"/>
              <w:jc w:val="left"/>
            </w:pPr>
            <w:r>
              <w:rPr>
                <w:b w:val="0"/>
                <w:sz w:val="21"/>
              </w:rPr>
              <w:t>位置、形态、级别及专业依据</w:t>
            </w:r>
          </w:p>
        </w:tc>
      </w:tr>
      <w:tr>
        <w:trPr>
          <w:cantSplit/>
        </w:trPr>
        <w:tc>
          <w:tcPr>
            <w:tcW w:type="dxa" w:w="2313"/>
            <w:vAlign w:val="center"/>
          </w:tcPr>
          <w:p>
            <w:pPr>
              <w:keepNext w:val="0"/>
              <w:spacing w:line="320" w:lineRule="exact" w:after="0" w:before="0"/>
              <w:ind w:firstLine="0"/>
              <w:jc w:val="left"/>
            </w:pPr>
            <w:r>
              <w:rPr>
                <w:b w:val="0"/>
                <w:sz w:val="21"/>
              </w:rPr>
              <w:t>PQ05</w:t>
            </w:r>
          </w:p>
        </w:tc>
        <w:tc>
          <w:tcPr>
            <w:tcW w:type="dxa" w:w="2891"/>
            <w:vAlign w:val="center"/>
          </w:tcPr>
          <w:p>
            <w:pPr>
              <w:keepNext w:val="0"/>
              <w:spacing w:line="320" w:lineRule="exact" w:after="0" w:before="0"/>
              <w:ind w:firstLine="0"/>
              <w:jc w:val="left"/>
            </w:pPr>
            <w:r>
              <w:rPr>
                <w:b w:val="0"/>
                <w:sz w:val="21"/>
              </w:rPr>
              <w:t>处置与复检</w:t>
            </w:r>
          </w:p>
        </w:tc>
        <w:tc>
          <w:tcPr>
            <w:tcW w:type="dxa" w:w="4433"/>
            <w:vAlign w:val="center"/>
          </w:tcPr>
          <w:p>
            <w:pPr>
              <w:keepNext w:val="0"/>
              <w:spacing w:line="320" w:lineRule="exact" w:after="0" w:before="0"/>
              <w:ind w:firstLine="0"/>
              <w:jc w:val="left"/>
            </w:pPr>
            <w:r>
              <w:rPr>
                <w:b w:val="0"/>
                <w:sz w:val="21"/>
              </w:rPr>
              <w:t>返修、复检轮次和最终放行</w:t>
            </w:r>
          </w:p>
        </w:tc>
      </w:tr>
      <w:tr>
        <w:trPr>
          <w:cantSplit/>
        </w:trPr>
        <w:tc>
          <w:tcPr>
            <w:tcW w:type="dxa" w:w="2313"/>
            <w:vAlign w:val="center"/>
          </w:tcPr>
          <w:p>
            <w:pPr>
              <w:keepNext w:val="0"/>
              <w:spacing w:line="320" w:lineRule="exact" w:after="0" w:before="0"/>
              <w:ind w:firstLine="0"/>
              <w:jc w:val="left"/>
            </w:pPr>
            <w:r>
              <w:rPr>
                <w:b w:val="0"/>
                <w:sz w:val="21"/>
              </w:rPr>
              <w:t>PQ06</w:t>
            </w:r>
          </w:p>
        </w:tc>
        <w:tc>
          <w:tcPr>
            <w:tcW w:type="dxa" w:w="2891"/>
            <w:vAlign w:val="center"/>
          </w:tcPr>
          <w:p>
            <w:pPr>
              <w:keepNext w:val="0"/>
              <w:spacing w:line="320" w:lineRule="exact" w:after="0" w:before="0"/>
              <w:ind w:firstLine="0"/>
              <w:jc w:val="left"/>
            </w:pPr>
            <w:r>
              <w:rPr>
                <w:b w:val="0"/>
                <w:sz w:val="21"/>
              </w:rPr>
              <w:t>追溯与反馈</w:t>
            </w:r>
          </w:p>
        </w:tc>
        <w:tc>
          <w:tcPr>
            <w:tcW w:type="dxa" w:w="4433"/>
            <w:vAlign w:val="center"/>
          </w:tcPr>
          <w:p>
            <w:pPr>
              <w:keepNext w:val="0"/>
              <w:spacing w:line="320" w:lineRule="exact" w:after="0" w:before="0"/>
              <w:ind w:firstLine="0"/>
              <w:jc w:val="left"/>
            </w:pPr>
            <w:r>
              <w:rPr>
                <w:b w:val="0"/>
                <w:sz w:val="21"/>
              </w:rPr>
              <w:t>材料、过程、设备及客户事件关联</w:t>
            </w:r>
          </w:p>
        </w:tc>
      </w:tr>
    </w:tbl>
    <w:p>
      <w:pPr>
        <w:spacing w:after="40" w:line="240" w:lineRule="auto"/>
        <w:ind w:firstLine="0"/>
      </w:pPr>
      <w:r>
        <w:rPr>
          <w:sz w:val="4"/>
        </w:rPr>
      </w:r>
    </w:p>
    <w:p>
      <w:pPr>
        <w:pStyle w:val="Caption"/>
        <w:keepNext/>
      </w:pPr>
      <w:r>
        <w:t>表6-40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表6-41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boundary_check</w:t>
            </w:r>
          </w:p>
        </w:tc>
        <w:tc>
          <w:tcPr>
            <w:tcW w:type="dxa" w:w="7228"/>
            <w:vAlign w:val="center"/>
          </w:tcPr>
          <w:p>
            <w:pPr>
              <w:keepNext w:val="0"/>
              <w:spacing w:line="320" w:lineRule="exact" w:after="0" w:before="0"/>
              <w:ind w:firstLine="0"/>
              <w:jc w:val="left"/>
            </w:pPr>
            <w:r>
              <w:rPr>
                <w:b w:val="0"/>
                <w:sz w:val="21"/>
              </w:rPr>
              <w:t>按规定上下限及是否包含边界进行判断，保留单位和精度条件</w:t>
            </w:r>
          </w:p>
        </w:tc>
      </w:tr>
      <w:tr>
        <w:trPr>
          <w:cantSplit/>
        </w:trPr>
        <w:tc>
          <w:tcPr>
            <w:tcW w:type="dxa" w:w="2409"/>
            <w:vAlign w:val="center"/>
          </w:tcPr>
          <w:p>
            <w:pPr>
              <w:keepNext w:val="0"/>
              <w:spacing w:line="320" w:lineRule="exact" w:after="0" w:before="0"/>
              <w:ind w:firstLine="0"/>
              <w:jc w:val="left"/>
            </w:pPr>
            <w:r>
              <w:rPr>
                <w:b w:val="0"/>
                <w:sz w:val="21"/>
              </w:rPr>
              <w:t>candidate_defect</w:t>
            </w:r>
          </w:p>
        </w:tc>
        <w:tc>
          <w:tcPr>
            <w:tcW w:type="dxa" w:w="7228"/>
            <w:vAlign w:val="center"/>
          </w:tcPr>
          <w:p>
            <w:pPr>
              <w:keepNext w:val="0"/>
              <w:spacing w:line="320" w:lineRule="exact" w:after="0" w:before="0"/>
              <w:ind w:firstLine="0"/>
              <w:jc w:val="left"/>
            </w:pPr>
            <w:r>
              <w:rPr>
                <w:b w:val="0"/>
                <w:sz w:val="21"/>
              </w:rPr>
              <w:t>只确认候选区域或疑似现象，类型、级别与真实缺陷状态另行复核</w:t>
            </w:r>
          </w:p>
        </w:tc>
      </w:tr>
      <w:tr>
        <w:trPr>
          <w:cantSplit/>
        </w:trPr>
        <w:tc>
          <w:tcPr>
            <w:tcW w:type="dxa" w:w="2409"/>
            <w:vAlign w:val="center"/>
          </w:tcPr>
          <w:p>
            <w:pPr>
              <w:keepNext w:val="0"/>
              <w:spacing w:line="320" w:lineRule="exact" w:after="0" w:before="0"/>
              <w:ind w:firstLine="0"/>
              <w:jc w:val="left"/>
            </w:pPr>
            <w:r>
              <w:rPr>
                <w:b w:val="0"/>
                <w:sz w:val="21"/>
              </w:rPr>
              <w:t>coverage_limit</w:t>
            </w:r>
          </w:p>
        </w:tc>
        <w:tc>
          <w:tcPr>
            <w:tcW w:type="dxa" w:w="7228"/>
            <w:vAlign w:val="center"/>
          </w:tcPr>
          <w:p>
            <w:pPr>
              <w:keepNext w:val="0"/>
              <w:spacing w:line="320" w:lineRule="exact" w:after="0" w:before="0"/>
              <w:ind w:firstLine="0"/>
              <w:jc w:val="left"/>
            </w:pPr>
            <w:r>
              <w:rPr>
                <w:b w:val="0"/>
                <w:sz w:val="21"/>
              </w:rPr>
              <w:t>明确输入仅覆盖的区域、时间或对象，结论不扩展到未覆盖范围</w:t>
            </w:r>
          </w:p>
        </w:tc>
      </w:tr>
      <w:tr>
        <w:trPr>
          <w:cantSplit/>
        </w:trPr>
        <w:tc>
          <w:tcPr>
            <w:tcW w:type="dxa" w:w="2409"/>
            <w:vAlign w:val="center"/>
          </w:tcPr>
          <w:p>
            <w:pPr>
              <w:keepNext w:val="0"/>
              <w:spacing w:line="320" w:lineRule="exact" w:after="0" w:before="0"/>
              <w:ind w:firstLine="0"/>
              <w:jc w:val="left"/>
            </w:pPr>
            <w:r>
              <w:rPr>
                <w:b w:val="0"/>
                <w:sz w:val="21"/>
              </w:rPr>
              <w:t>incomplete_reinspection</w:t>
            </w:r>
          </w:p>
        </w:tc>
        <w:tc>
          <w:tcPr>
            <w:tcW w:type="dxa" w:w="7228"/>
            <w:vAlign w:val="center"/>
          </w:tcPr>
          <w:p>
            <w:pPr>
              <w:keepNext w:val="0"/>
              <w:spacing w:line="320" w:lineRule="exact" w:after="0" w:before="0"/>
              <w:ind w:firstLine="0"/>
              <w:jc w:val="left"/>
            </w:pPr>
            <w:r>
              <w:rPr>
                <w:b w:val="0"/>
                <w:sz w:val="21"/>
              </w:rPr>
              <w:t>复检项目或有效结论仍有缺口，返修完成不能替代复检通过</w:t>
            </w:r>
          </w:p>
        </w:tc>
      </w:tr>
      <w:tr>
        <w:trPr>
          <w:cantSplit/>
        </w:trPr>
        <w:tc>
          <w:tcPr>
            <w:tcW w:type="dxa" w:w="2409"/>
            <w:vAlign w:val="center"/>
          </w:tcPr>
          <w:p>
            <w:pPr>
              <w:keepNext w:val="0"/>
              <w:spacing w:line="320" w:lineRule="exact" w:after="0" w:before="0"/>
              <w:ind w:firstLine="0"/>
              <w:jc w:val="left"/>
            </w:pPr>
            <w:r>
              <w:rPr>
                <w:b w:val="0"/>
                <w:sz w:val="21"/>
              </w:rPr>
              <w:t>numeric_judgement</w:t>
            </w:r>
          </w:p>
        </w:tc>
        <w:tc>
          <w:tcPr>
            <w:tcW w:type="dxa" w:w="7228"/>
            <w:vAlign w:val="center"/>
          </w:tcPr>
          <w:p>
            <w:pPr>
              <w:keepNext w:val="0"/>
              <w:spacing w:line="320" w:lineRule="exact" w:after="0" w:before="0"/>
              <w:ind w:firstLine="0"/>
              <w:jc w:val="left"/>
            </w:pPr>
            <w:r>
              <w:rPr>
                <w:b w:val="0"/>
                <w:sz w:val="21"/>
              </w:rPr>
              <w:t>对题定数值及规则得出可复算结果，不外推未检查项目</w:t>
            </w:r>
          </w:p>
        </w:tc>
      </w:tr>
      <w:tr>
        <w:trPr>
          <w:cantSplit/>
        </w:trPr>
        <w:tc>
          <w:tcPr>
            <w:tcW w:type="dxa" w:w="2409"/>
            <w:vAlign w:val="center"/>
          </w:tcPr>
          <w:p>
            <w:pPr>
              <w:keepNext w:val="0"/>
              <w:spacing w:line="320" w:lineRule="exact" w:after="0" w:before="0"/>
              <w:ind w:firstLine="0"/>
              <w:jc w:val="left"/>
            </w:pPr>
            <w:r>
              <w:rPr>
                <w:b w:val="0"/>
                <w:sz w:val="21"/>
              </w:rPr>
              <w:t>release_condition</w:t>
            </w:r>
          </w:p>
        </w:tc>
        <w:tc>
          <w:tcPr>
            <w:tcW w:type="dxa" w:w="7228"/>
            <w:vAlign w:val="center"/>
          </w:tcPr>
          <w:p>
            <w:pPr>
              <w:keepNext w:val="0"/>
              <w:spacing w:line="320" w:lineRule="exact" w:after="0" w:before="0"/>
              <w:ind w:firstLine="0"/>
              <w:jc w:val="left"/>
            </w:pPr>
            <w:r>
              <w:rPr>
                <w:b w:val="0"/>
                <w:sz w:val="21"/>
              </w:rPr>
              <w:t>所有必要放行条件及授权流程满足后才能确认放行状态</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6.3.9 规范样本</w:t>
      </w:r>
    </w:p>
    <w:p>
      <w:pPr>
        <w:keepNext/>
        <w:jc w:val="both"/>
      </w:pPr>
      <w:r>
        <w:t>规范样本1 检验边界值与判定条件</w:t>
      </w:r>
    </w:p>
    <w:p>
      <w:pPr>
        <w:pStyle w:val="Caption"/>
        <w:keepNext/>
      </w:pPr>
      <w:r>
        <w:t>表6-42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EX-04-PREF-001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PQ02、boundary_check、numeric_judgement</w:t>
            </w:r>
          </w:p>
        </w:tc>
      </w:tr>
    </w:tbl>
    <w:p>
      <w:pPr>
        <w:spacing w:after="40" w:line="240" w:lineRule="auto"/>
        <w:ind w:firstLine="0"/>
      </w:pPr>
      <w:r>
        <w:rPr>
          <w:sz w:val="4"/>
        </w:rPr>
      </w:r>
    </w:p>
    <w:p>
      <w:pPr>
        <w:jc w:val="both"/>
      </w:pPr>
      <w:r>
        <w:t>输入内容：规范实例的尺寸要求为10.00至10.20毫米，两个边界均允许取等号；测量方法与判定规则约定直接比较已给出的记录值。三次记录值依次为10.00、10.20、10.21毫米。本题不引入其他测量不确定度或复检规则。</w:t>
      </w:r>
    </w:p>
    <w:p>
      <w:pPr>
        <w:pStyle w:val="Caption"/>
        <w:keepNext/>
      </w:pPr>
      <w:r>
        <w:t>表6-43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left"/>
            </w:pPr>
            <w:r>
              <w:rPr>
                <w:b w:val="0"/>
                <w:sz w:val="21"/>
              </w:rPr>
              <w:t>m1</w:t>
            </w:r>
          </w:p>
        </w:tc>
        <w:tc>
          <w:tcPr>
            <w:tcW w:type="dxa" w:w="7228"/>
            <w:vAlign w:val="center"/>
          </w:tcPr>
          <w:p>
            <w:pPr>
              <w:keepNext/>
              <w:spacing w:line="320" w:lineRule="exact" w:after="0" w:before="0"/>
              <w:ind w:firstLine="0"/>
              <w:jc w:val="center"/>
            </w:pPr>
            <w:r>
              <w:rPr>
                <w:b w:val="0"/>
                <w:sz w:val="21"/>
              </w:rPr>
              <w:t>10.0</w:t>
            </w:r>
          </w:p>
        </w:tc>
      </w:tr>
      <w:tr>
        <w:trPr>
          <w:cantSplit/>
        </w:trPr>
        <w:tc>
          <w:tcPr>
            <w:tcW w:type="dxa" w:w="2409"/>
            <w:vAlign w:val="center"/>
          </w:tcPr>
          <w:p>
            <w:pPr>
              <w:keepNext/>
              <w:spacing w:line="320" w:lineRule="exact" w:after="0" w:before="0"/>
              <w:ind w:firstLine="0"/>
              <w:jc w:val="left"/>
            </w:pPr>
            <w:r>
              <w:rPr>
                <w:b w:val="0"/>
                <w:sz w:val="21"/>
              </w:rPr>
              <w:t>m2</w:t>
            </w:r>
          </w:p>
        </w:tc>
        <w:tc>
          <w:tcPr>
            <w:tcW w:type="dxa" w:w="7228"/>
            <w:vAlign w:val="center"/>
          </w:tcPr>
          <w:p>
            <w:pPr>
              <w:keepNext/>
              <w:spacing w:line="320" w:lineRule="exact" w:after="0" w:before="0"/>
              <w:ind w:firstLine="0"/>
              <w:jc w:val="center"/>
            </w:pPr>
            <w:r>
              <w:rPr>
                <w:b w:val="0"/>
                <w:sz w:val="21"/>
              </w:rPr>
              <w:t>10.2</w:t>
            </w:r>
          </w:p>
        </w:tc>
      </w:tr>
      <w:tr>
        <w:trPr>
          <w:cantSplit/>
        </w:trPr>
        <w:tc>
          <w:tcPr>
            <w:tcW w:type="dxa" w:w="2409"/>
            <w:vAlign w:val="center"/>
          </w:tcPr>
          <w:p>
            <w:pPr>
              <w:keepNext w:val="0"/>
              <w:spacing w:line="320" w:lineRule="exact" w:after="0" w:before="0"/>
              <w:ind w:firstLine="0"/>
              <w:jc w:val="left"/>
            </w:pPr>
            <w:r>
              <w:rPr>
                <w:b w:val="0"/>
                <w:sz w:val="21"/>
              </w:rPr>
              <w:t>m3</w:t>
            </w:r>
          </w:p>
        </w:tc>
        <w:tc>
          <w:tcPr>
            <w:tcW w:type="dxa" w:w="7228"/>
            <w:vAlign w:val="center"/>
          </w:tcPr>
          <w:p>
            <w:pPr>
              <w:keepNext w:val="0"/>
              <w:spacing w:line="320" w:lineRule="exact" w:after="0" w:before="0"/>
              <w:ind w:firstLine="0"/>
              <w:jc w:val="center"/>
            </w:pPr>
            <w:r>
              <w:rPr>
                <w:b w:val="0"/>
                <w:sz w:val="21"/>
              </w:rPr>
              <w:t>10.21</w:t>
            </w:r>
          </w:p>
        </w:tc>
      </w:tr>
    </w:tbl>
    <w:p>
      <w:pPr>
        <w:spacing w:after="40" w:line="240" w:lineRule="auto"/>
        <w:ind w:firstLine="0"/>
      </w:pPr>
      <w:r>
        <w:rPr>
          <w:sz w:val="4"/>
        </w:rPr>
      </w:r>
    </w:p>
    <w:p>
      <w:pPr>
        <w:jc w:val="both"/>
      </w:pPr>
      <w:r>
        <w:t>共同任务：分别判断三次记录是否满足题定尺寸区间。</w:t>
      </w:r>
    </w:p>
    <w:p>
      <w:pPr>
        <w:jc w:val="both"/>
      </w:pPr>
      <w:r>
        <w:t>候选甲：10.00和10.20毫米均位于包含边界的允许区间内，满足题定区间；10.21毫米大于上限，不满足。结论仅针对该尺寸项目及题定判定规则，不能据此宣布整个产品合格。</w:t>
      </w:r>
    </w:p>
    <w:p>
      <w:pPr>
        <w:jc w:val="both"/>
      </w:pPr>
      <w:r>
        <w:t>候选乙：上限值10.20也不合格，只有严格小于10.20才算合格。</w:t>
      </w:r>
    </w:p>
    <w:p>
      <w:pPr>
        <w:jc w:val="both"/>
      </w:pPr>
      <w:r>
        <w:t>偏好结论：候选甲优于候选乙。判断依据为下限包含、上限包含、10.21超上限、不外推整品合格。候选乙的错误涉及事实或约束，不以字数、语气或展示位置决定偏好。实际比较时随机交换展示顺序，保留原候选标识及独立判断。</w:t>
      </w:r>
    </w:p>
    <w:p>
      <w:pPr>
        <w:keepNext/>
        <w:jc w:val="both"/>
      </w:pPr>
      <w:r>
        <w:t>规范样本2 缺陷区域与完整产品结论</w:t>
      </w:r>
    </w:p>
    <w:p>
      <w:pPr>
        <w:pStyle w:val="Caption"/>
        <w:keepNext/>
      </w:pPr>
      <w:r>
        <w:t>表6-44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EX-04-PREF-002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PQ04、candidate_defect、coverage_limit</w:t>
            </w:r>
          </w:p>
        </w:tc>
      </w:tr>
    </w:tbl>
    <w:p>
      <w:pPr>
        <w:spacing w:after="40" w:line="240" w:lineRule="auto"/>
        <w:ind w:firstLine="0"/>
      </w:pPr>
      <w:r>
        <w:rPr>
          <w:sz w:val="4"/>
        </w:rPr>
      </w:r>
    </w:p>
    <w:p>
      <w:pPr>
        <w:jc w:val="both"/>
      </w:pPr>
      <w:r>
        <w:t>输入内容：规范图像在坐标区域R甲标出一处疑似缺陷。记录只覆盖产品表面局部区域，未提供其他表面、内部检验或专业确认。图中区域标记为候选定位。</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21" name="Picture 21"/>
            <wp:cNvGraphicFramePr>
              <a:graphicFrameLocks noChangeAspect="1"/>
            </wp:cNvGraphicFramePr>
            <a:graphic>
              <a:graphicData uri="http://schemas.openxmlformats.org/drawingml/2006/picture">
                <pic:pic>
                  <pic:nvPicPr>
                    <pic:cNvPr id="0" name="例图04_2.png"/>
                    <pic:cNvPicPr/>
                  </pic:nvPicPr>
                  <pic:blipFill>
                    <a:blip r:embed="rId20"/>
                    <a:stretch>
                      <a:fillRect/>
                    </a:stretch>
                  </pic:blipFill>
                  <pic:spPr>
                    <a:xfrm>
                      <a:off x="0" y="0"/>
                      <a:ext cx="6048000" cy="1422831"/>
                    </a:xfrm>
                    <a:prstGeom prst="rect"/>
                  </pic:spPr>
                </pic:pic>
              </a:graphicData>
            </a:graphic>
          </wp:inline>
        </w:drawing>
      </w:r>
    </w:p>
    <w:p>
      <w:pPr>
        <w:pStyle w:val="Caption"/>
        <w:jc w:val="center"/>
      </w:pPr>
      <w:r>
        <w:t>图6-4 缺陷区域与完整产品结论</w:t>
      </w:r>
    </w:p>
    <w:p>
      <w:pPr>
        <w:jc w:val="both"/>
      </w:pPr>
      <w:r>
        <w:t>共同任务：应如何描述该图像标签及可用范围？</w:t>
      </w:r>
    </w:p>
    <w:p>
      <w:pPr>
        <w:jc w:val="both"/>
      </w:pPr>
      <w:r>
        <w:t>候选甲：标签应记录局部候选缺陷位置和疑似状态，保留图像版本及坐标参照。可以用于候选区域定位或待复核任务；缺陷类型及等级需要专业确认，局部影像也不足以判定产品其他区域无缺陷或整品合格。</w:t>
      </w:r>
    </w:p>
    <w:p>
      <w:pPr>
        <w:jc w:val="both"/>
      </w:pPr>
      <w:r>
        <w:t>候选乙：图上只有一处标记，所以该产品只有一个缺陷，其他部位全部合格。</w:t>
      </w:r>
    </w:p>
    <w:p>
      <w:pPr>
        <w:jc w:val="both"/>
      </w:pPr>
      <w:r>
        <w:t>偏好结论：候选甲优于候选乙。判断依据为候选定位、疑似状态、需要专业确认、不外推未覆盖区域。候选乙的错误涉及事实或约束，不以字数、语气或展示位置决定偏好。实际比较时随机交换展示顺序，保留原候选标识及独立判断。</w:t>
      </w:r>
    </w:p>
    <w:p>
      <w:pPr>
        <w:keepNext/>
        <w:jc w:val="both"/>
      </w:pPr>
      <w:r>
        <w:t>规范样本3 返修复检与放行链核验</w:t>
      </w:r>
    </w:p>
    <w:p>
      <w:pPr>
        <w:pStyle w:val="Caption"/>
        <w:keepNext/>
      </w:pPr>
      <w:r>
        <w:t>表6-45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EX-04-PREF-003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PQ05、release_condition、incomplete_reinspection</w:t>
            </w:r>
          </w:p>
        </w:tc>
      </w:tr>
    </w:tbl>
    <w:p>
      <w:pPr>
        <w:spacing w:after="40" w:line="240" w:lineRule="auto"/>
        <w:ind w:firstLine="0"/>
      </w:pPr>
      <w:r>
        <w:rPr>
          <w:sz w:val="4"/>
        </w:rPr>
      </w:r>
    </w:p>
    <w:p>
      <w:pPr>
        <w:jc w:val="both"/>
      </w:pPr>
      <w:r>
        <w:t>输入内容：不合格单NC甲记录返修已完成，随后复检项目K1通过，项目K2结果尚未形成。批准处置要求K1与K2均通过后才能放行，目前无其他放行批准依据。</w:t>
      </w:r>
    </w:p>
    <w:p>
      <w:pPr>
        <w:jc w:val="both"/>
      </w:pPr>
      <w:r>
        <w:t>共同任务：能否据此把产品状态改为放行？质量记录应保留哪些关系？</w:t>
      </w:r>
    </w:p>
    <w:p>
      <w:pPr>
        <w:jc w:val="both"/>
      </w:pPr>
      <w:r>
        <w:t>候选甲：不能改为放行。返修完成、K1通过与整体放行是不同状态，K2仍缺少结果。应保留NC甲、返修记录、两项复检及批准处置之间的关系，取得K2有效通过结果并满足授权放行流程后再变更状态。</w:t>
      </w:r>
    </w:p>
    <w:p>
      <w:pPr>
        <w:jc w:val="both"/>
      </w:pPr>
      <w:r>
        <w:t>候选乙：返修已经完成且有一项复检通过，可以直接结束不合格单并放行。</w:t>
      </w:r>
    </w:p>
    <w:p>
      <w:pPr>
        <w:jc w:val="both"/>
      </w:pPr>
      <w:r>
        <w:t>偏好结论：候选甲优于候选乙。判断依据为不放行、识别K2缺口、区分返修与放行、保留处置复检关系。候选乙的错误涉及事实或约束，不以字数、语气或展示位置决定偏好。实际比较时随机交换展示顺序，保留原候选标识及独立判断。</w:t>
      </w:r>
    </w:p>
    <w:p>
      <w:pPr>
        <w:pStyle w:val="Heading3"/>
      </w:pPr>
      <w:r>
        <w:t>6.3.10 生产与使用核验</w:t>
      </w:r>
    </w:p>
    <w:p>
      <w:pPr>
        <w:jc w:val="both"/>
      </w:pPr>
      <w:r>
        <w:t>统计专业偏好一致率、固定协议下的胜率及平局率、事实约束违反率；展示次序随机化，盲化候选来源并保留交换顺序复核。本领域同时检查检验字段抽取正确率、数值与单位判定正确率、缺陷分类宏平均F1、缺陷定位指标、质量追溯证据召回率及处置建议依据正确率。统计按任务类型、来源、模态、难度及关键业务对象分层，保留题目或记录级结果和失败对象。</w:t>
      </w:r>
    </w:p>
    <w:p>
      <w:pPr>
        <w:jc w:val="both"/>
      </w:pPr>
      <w:r>
        <w:t>生产检查从来源记录开始核对产品实例、零件、材料批次、检验批、项目、测量轮次、缺陷位置、不合格单与处置状态，确认检验结果绑定有效标准与测量条件；数值、单位、精度、上下限及边界条件共同解析；缺陷标签绑定位置和证据；处置、复检与放行按时序串联；质量结论沿材料、工序和产品关系追溯。专业分歧由质量、检验、工艺、材料、生产及售后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6.4 基准评测数据卡</w:t>
      </w:r>
    </w:p>
    <w:p>
      <w:pPr>
        <w:pStyle w:val="Heading3"/>
      </w:pPr>
      <w:r>
        <w:t>6.4.1 基本信息</w:t>
      </w:r>
    </w:p>
    <w:p>
      <w:pPr>
        <w:pStyle w:val="Caption"/>
        <w:keepNext/>
      </w:pPr>
      <w:r>
        <w:t>表6-46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GHY26691-DC-04-0004-V1.0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产品质量数据集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基准评测</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04 产品质量；关联对象为产品实例、零件、材料批次、检验批、项目、测量轮次、缺陷位置、不合格单与处置状态</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有效交付净量2500条；以固定输入、必要资源、参考依据与判分规则构成的完整题目为计数单位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本用途规模按条验收；如统计输入输出Tokens，分开保存且不替代任务或比较组数量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采用第7章公共记录结构及本领域扩展字典；固定输入、必要资源、参考依据与判分规则构成的完整题目具有稳定标识、业务对象、来源家族、时间、内容、资源、标签与证据关系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根目录按04-EVAL及数据版本组织；data保存记录，resources保存模态载荷，metadata保存来源与关系，dictionary保存字段和标签，cards保存卡片，reports保存报告，tools保存解析程序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04-EVAL-数据版本-六位分片序号.jsonl；资源以稳定资源标识命名；卡片使用完整卡号；路径采用相对路径并拒绝越界和重名冲突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平台服务工单按卡号、数据版本及问题对象受理；由技术与质量、检验、工艺、材料、生产及售后专业岗位协同处理，服务时段和响应要求执行统一售后安排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来料、过程、成品和使用反馈质量，检验标准、测量记录、缺陷形态、不合格处置、复检、放行与质量追溯。以产品实例、零件、材料批次、检验批、项目、测量轮次、缺陷位置、不合格单与处置状态建立对象关系，来源范围包括QMS中的检验及不合格记录，MES中的工单和过程批次，PLM中的技术条件，ERP与WMS中的物料及质量状态，EAM中的设备和维修记录，以及经授权的客户质量反馈。面向基准评测形成真实来源独立题目、固定判分依据和可复现实验结果，重点检查来源真实、家族隔离、答案正确、题目完整、判分稳定和答案保密。数据支持热处理工艺优化、焊接工艺优化、刮板输送机健康管理、标准规范智能问答助手、决策数据智能问答助手，结论依据实际输入、专业条件和验证范围使用。涉及检验报告、质量事件、客户反馈、产品追溯关系、工艺秘密和检验人员信息时执行相应授权及安全处理。业务事实、推断与未知状态分别标记，数据版本与引用依据保持一致。</w:t>
      </w:r>
    </w:p>
    <w:p>
      <w:pPr>
        <w:pStyle w:val="Heading3"/>
      </w:pPr>
      <w:r>
        <w:t>6.4.2 内容特征</w:t>
      </w:r>
    </w:p>
    <w:p>
      <w:pPr>
        <w:pStyle w:val="Caption"/>
        <w:keepNext/>
      </w:pPr>
      <w:r>
        <w:t>表6-47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文本、图像、时序、视频按有效载荷统计；重点关联产品实例、零件、材料批次、检验批、项目、测量轮次、缺陷位置、不合格单与处置状态；图纸、表格载体不独立增加模态数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以固定输入、必要资源、参考依据与判分规则构成的完整题目为分母，至少两种有效关联模态的记录为分子；分子、分母及互斥组合清单齐备，按1.4节满足40%要求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按PQ01来料质量、PQ02过程检验、PQ03成品检验、PQ04缺陷与不合格、PQ05处置与复检、PQ06追溯与反馈统计；主主题互斥，辅助主题允许多选并另列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基础识读、关联计算、复杂条件与证据不足判断分别成层；稀缺题型独立报告，避免总体分数掩盖薄弱项</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合成占比为0%；不使用人为增强扩充题目数量</w:t>
            </w:r>
          </w:p>
        </w:tc>
      </w:tr>
    </w:tbl>
    <w:p>
      <w:pPr>
        <w:spacing w:after="40" w:line="240" w:lineRule="auto"/>
        <w:ind w:firstLine="0"/>
      </w:pPr>
      <w:r>
        <w:rPr>
          <w:sz w:val="4"/>
        </w:rPr>
      </w:r>
    </w:p>
    <w:p>
      <w:pPr>
        <w:pStyle w:val="Heading3"/>
      </w:pPr>
      <w:r>
        <w:t>6.4.3 建设过程</w:t>
      </w:r>
    </w:p>
    <w:p>
      <w:pPr>
        <w:pStyle w:val="Caption"/>
        <w:keepNext/>
      </w:pPr>
      <w:r>
        <w:t>表6-48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QMS中的检验及不合格记录，MES中的工单和过程批次，PLM中的技术条件，ERP与WMS中的物料及质量状态，EAM中的设备和维修记录，以及经授权的客户质量反馈；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检验结果绑定有效标准与测量条件；数值、单位、精度、上下限及边界条件共同解析；缺陷标签绑定位置和证据；处置、复检与放行按时序串联；质量结论沿材料、工序和产品关系追溯；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保存解析器、字典、切分、窗口、重叠、单位换算、时间校正和对齐配置；产品实例、零件、材料批次、检验批、项目、测量轮次、缺陷位置、不合格单与处置状态为关联校验重点；参数经真实资料验证后冻结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题型、考核能力、参考答案、评分点、扣分条件、适用范围、难度及裁决依据；规范编号与实际生产记录绑定，不因预训练用途自动省略专业标记管理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由质量、检验、工艺、材料、生产及售后专业岗位承担专业定义与争议裁决，标注人员依规范执行；自检、交叉复核、专家仲裁分别保存原始结果及修订记录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正式基准不进行任何形式的合成；核查来源家族和派生记录，发现生成内容即退出有效基准并补足真实合格题目</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正式基准答案由真实证据和专业审核确定；辅助工具使用单独留痕，不把教师生成内容计作真实基准来源</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不以改写、扰动、裁剪派生或其他人为增强扩充正式题量；必要格式标准化保持原始题目身份与证据，不重复计数</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6.4.4 应用说明</w:t>
      </w:r>
    </w:p>
    <w:p>
      <w:pPr>
        <w:pStyle w:val="Caption"/>
        <w:keepNext/>
      </w:pPr>
      <w:r>
        <w:t>表6-49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热处理工艺优化、焊接工艺优化、刮板输送机健康管理、标准规范智能问答助手、决策数据智能问答助手；验证结论按实际场景、输入条件和版本形成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基准评测；输入接口须支持实际文本、图像、时序或视频载荷及对应关系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检验字段抽取正确率、数值与单位判定正确率、缺陷分类宏平均F1、缺陷定位指标、质量追溯证据召回率及处置建议依据正确率；各用途采用本卡评价协议并保留定义、方向和统计单位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6.4.5 质量验证</w:t>
      </w:r>
    </w:p>
    <w:p>
      <w:pPr>
        <w:pStyle w:val="Caption"/>
        <w:keepNext/>
      </w:pPr>
      <w:r>
        <w:t>表6-50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质检报告采用GHY26691-QC-04-0004并绑定实际版本、受检清单和内容根摘要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分别报告保真度、完备性、规整性、均衡性、可用性、可信性的方法、结果与问题；按产品实例、零件、材料批次、检验批、项目、测量轮次、缺陷位置、不合格单与处置状态检查关键业务关联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验证报告采用GHY26691-VR-04-0004及实际版本；引用数据、模型、协议、实验和原始输出，汇总与子集范围分别标明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质量、检验、工艺、材料、生产及售后专业岗位结合热处理工艺优化、焊接工艺优化、刮板输送机健康管理、标准规范智能问答助手、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6.4.6 安全合规</w:t>
      </w:r>
    </w:p>
    <w:p>
      <w:pPr>
        <w:pStyle w:val="Caption"/>
        <w:keepNext/>
      </w:pPr>
      <w:r>
        <w:t>表6-51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生产经营数据中的产品质量相关数据；按来料、过程、成品和使用反馈质量，检验标准、测量记录、缺陷形态、不合格处置、复检、放行与质量追溯细分并关联资产目录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检验报告、质量事件、客户反馈、产品追溯关系、工艺秘密和检验人员信息；实际敏感要素由检测与人工复核确认，未知状态不按无敏感信息处理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客户与人员采用稳定替代标识，报告中的签署和联系方式按授权处理；测量值、单位和判定依据在授权环境保真保留；图像遮蔽无关身份信息并复核缺陷区域完整性</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质量、检验、工艺、材料、生产及售后专业岗位按业务必要性申请；加工、质量与评测岗位取得任务所需权限，基准答案、原始敏感资料和替代映射分别控制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按卡号GHY26691-DC-04-0004-V1.0、实际数据版本、对象标识和工单关联查询采集、加工、访问、下载、评测及发布审计；交付留存必要受控记录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6.4.7 指纹血缘</w:t>
      </w:r>
    </w:p>
    <w:p>
      <w:pPr>
        <w:pStyle w:val="Caption"/>
        <w:keepNext/>
      </w:pPr>
      <w:r>
        <w:t>表6-52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04-EVAL根目录内package.json登记身份、数据版本、结构版本、字典、卡片、资源和文件清单；脱离平台按第7章完成读取及核验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6.4.8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表6-53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inspection_id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检验活动身份</w:t>
            </w:r>
          </w:p>
        </w:tc>
        <w:tc>
          <w:tcPr>
            <w:tcW w:type="dxa" w:w="3084"/>
            <w:vAlign w:val="center"/>
          </w:tcPr>
          <w:p>
            <w:pPr>
              <w:keepNext w:val="0"/>
              <w:spacing w:line="320" w:lineRule="exact" w:after="0" w:before="0"/>
              <w:ind w:firstLine="0"/>
              <w:jc w:val="left"/>
            </w:pPr>
            <w:r>
              <w:rPr>
                <w:b w:val="0"/>
                <w:sz w:val="21"/>
              </w:rPr>
              <w:t>与检验批及轮次共同唯一</w:t>
            </w:r>
          </w:p>
        </w:tc>
      </w:tr>
      <w:tr>
        <w:trPr>
          <w:cantSplit/>
        </w:trPr>
        <w:tc>
          <w:tcPr>
            <w:tcW w:type="dxa" w:w="2313"/>
            <w:vAlign w:val="center"/>
          </w:tcPr>
          <w:p>
            <w:pPr>
              <w:keepNext w:val="0"/>
              <w:spacing w:line="320" w:lineRule="exact" w:after="0" w:before="0"/>
              <w:ind w:firstLine="0"/>
              <w:jc w:val="left"/>
            </w:pPr>
            <w:r>
              <w:rPr>
                <w:b w:val="0"/>
                <w:sz w:val="21"/>
              </w:rPr>
              <w:t>characteristic_id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检验项目及适用标准项</w:t>
            </w:r>
          </w:p>
        </w:tc>
        <w:tc>
          <w:tcPr>
            <w:tcW w:type="dxa" w:w="3084"/>
            <w:vAlign w:val="center"/>
          </w:tcPr>
          <w:p>
            <w:pPr>
              <w:keepNext w:val="0"/>
              <w:spacing w:line="320" w:lineRule="exact" w:after="0" w:before="0"/>
              <w:ind w:firstLine="0"/>
              <w:jc w:val="left"/>
            </w:pPr>
            <w:r>
              <w:rPr>
                <w:b w:val="0"/>
                <w:sz w:val="21"/>
              </w:rPr>
              <w:t>同名不同方法分别识别</w:t>
            </w:r>
          </w:p>
        </w:tc>
      </w:tr>
      <w:tr>
        <w:trPr>
          <w:cantSplit/>
        </w:trPr>
        <w:tc>
          <w:tcPr>
            <w:tcW w:type="dxa" w:w="2313"/>
            <w:vAlign w:val="center"/>
          </w:tcPr>
          <w:p>
            <w:pPr>
              <w:keepNext w:val="0"/>
              <w:spacing w:line="320" w:lineRule="exact" w:after="0" w:before="0"/>
              <w:ind w:firstLine="0"/>
              <w:jc w:val="left"/>
            </w:pPr>
            <w:r>
              <w:rPr>
                <w:b w:val="0"/>
                <w:sz w:val="21"/>
              </w:rPr>
              <w:t>measurement</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值、单位、精度、方法及设备条件</w:t>
            </w:r>
          </w:p>
        </w:tc>
        <w:tc>
          <w:tcPr>
            <w:tcW w:type="dxa" w:w="3084"/>
            <w:vAlign w:val="center"/>
          </w:tcPr>
          <w:p>
            <w:pPr>
              <w:keepNext w:val="0"/>
              <w:spacing w:line="320" w:lineRule="exact" w:after="0" w:before="0"/>
              <w:ind w:firstLine="0"/>
              <w:jc w:val="left"/>
            </w:pPr>
            <w:r>
              <w:rPr>
                <w:b w:val="0"/>
                <w:sz w:val="21"/>
              </w:rPr>
              <w:t>原始值与换算值同时留痕</w:t>
            </w:r>
          </w:p>
        </w:tc>
      </w:tr>
      <w:tr>
        <w:trPr>
          <w:cantSplit/>
        </w:trPr>
        <w:tc>
          <w:tcPr>
            <w:tcW w:type="dxa" w:w="2313"/>
            <w:vAlign w:val="center"/>
          </w:tcPr>
          <w:p>
            <w:pPr>
              <w:keepNext w:val="0"/>
              <w:spacing w:line="320" w:lineRule="exact" w:after="0" w:before="0"/>
              <w:ind w:firstLine="0"/>
              <w:jc w:val="left"/>
            </w:pPr>
            <w:r>
              <w:rPr>
                <w:b w:val="0"/>
                <w:sz w:val="21"/>
              </w:rPr>
              <w:t>acceptance_rule</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上下限、边界及标准版本</w:t>
            </w:r>
          </w:p>
        </w:tc>
        <w:tc>
          <w:tcPr>
            <w:tcW w:type="dxa" w:w="3084"/>
            <w:vAlign w:val="center"/>
          </w:tcPr>
          <w:p>
            <w:pPr>
              <w:keepNext w:val="0"/>
              <w:spacing w:line="320" w:lineRule="exact" w:after="0" w:before="0"/>
              <w:ind w:firstLine="0"/>
              <w:jc w:val="left"/>
            </w:pPr>
            <w:r>
              <w:rPr>
                <w:b w:val="0"/>
                <w:sz w:val="21"/>
              </w:rPr>
              <w:t>与产品材料和业务时间匹配</w:t>
            </w:r>
          </w:p>
        </w:tc>
      </w:tr>
      <w:tr>
        <w:trPr>
          <w:cantSplit/>
        </w:trPr>
        <w:tc>
          <w:tcPr>
            <w:tcW w:type="dxa" w:w="2313"/>
            <w:vAlign w:val="center"/>
          </w:tcPr>
          <w:p>
            <w:pPr>
              <w:keepNext w:val="0"/>
              <w:spacing w:line="320" w:lineRule="exact" w:after="0" w:before="0"/>
              <w:ind w:firstLine="0"/>
              <w:jc w:val="left"/>
            </w:pPr>
            <w:r>
              <w:rPr>
                <w:b w:val="0"/>
                <w:sz w:val="21"/>
              </w:rPr>
              <w:t>defect_location</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产品部位、区域或坐标</w:t>
            </w:r>
          </w:p>
        </w:tc>
        <w:tc>
          <w:tcPr>
            <w:tcW w:type="dxa" w:w="3084"/>
            <w:vAlign w:val="center"/>
          </w:tcPr>
          <w:p>
            <w:pPr>
              <w:keepNext w:val="0"/>
              <w:spacing w:line="320" w:lineRule="exact" w:after="0" w:before="0"/>
              <w:ind w:firstLine="0"/>
              <w:jc w:val="left"/>
            </w:pPr>
            <w:r>
              <w:rPr>
                <w:b w:val="0"/>
                <w:sz w:val="21"/>
              </w:rPr>
              <w:t>坐标参照和影像版本明确</w:t>
            </w:r>
          </w:p>
        </w:tc>
      </w:tr>
      <w:tr>
        <w:trPr>
          <w:cantSplit/>
        </w:trPr>
        <w:tc>
          <w:tcPr>
            <w:tcW w:type="dxa" w:w="2313"/>
            <w:vAlign w:val="center"/>
          </w:tcPr>
          <w:p>
            <w:pPr>
              <w:keepNext w:val="0"/>
              <w:spacing w:line="320" w:lineRule="exact" w:after="0" w:before="0"/>
              <w:ind w:firstLine="0"/>
              <w:jc w:val="left"/>
            </w:pPr>
            <w:r>
              <w:rPr>
                <w:b w:val="0"/>
                <w:sz w:val="21"/>
              </w:rPr>
              <w:t>disposition_state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open、rework、reinspect、accepted、rejected</w:t>
            </w:r>
          </w:p>
        </w:tc>
        <w:tc>
          <w:tcPr>
            <w:tcW w:type="dxa" w:w="3084"/>
            <w:vAlign w:val="center"/>
          </w:tcPr>
          <w:p>
            <w:pPr>
              <w:keepNext w:val="0"/>
              <w:spacing w:line="320" w:lineRule="exact" w:after="0" w:before="0"/>
              <w:ind w:firstLine="0"/>
              <w:jc w:val="left"/>
            </w:pPr>
            <w:r>
              <w:rPr>
                <w:b w:val="0"/>
                <w:sz w:val="21"/>
              </w:rPr>
              <w:t>状态迁移有授权记录和实际依据</w:t>
            </w:r>
          </w:p>
        </w:tc>
      </w:tr>
    </w:tbl>
    <w:p>
      <w:pPr>
        <w:spacing w:after="40" w:line="240" w:lineRule="auto"/>
        <w:ind w:firstLine="0"/>
      </w:pPr>
      <w:r>
        <w:rPr>
          <w:sz w:val="4"/>
        </w:rPr>
      </w:r>
    </w:p>
    <w:p>
      <w:pPr>
        <w:pStyle w:val="Caption"/>
        <w:keepNext/>
      </w:pPr>
      <w:r>
        <w:t>表6-54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PQ01</w:t>
            </w:r>
          </w:p>
        </w:tc>
        <w:tc>
          <w:tcPr>
            <w:tcW w:type="dxa" w:w="2891"/>
            <w:vAlign w:val="center"/>
          </w:tcPr>
          <w:p>
            <w:pPr>
              <w:keepNext w:val="0"/>
              <w:spacing w:line="320" w:lineRule="exact" w:after="0" w:before="0"/>
              <w:ind w:firstLine="0"/>
              <w:jc w:val="left"/>
            </w:pPr>
            <w:r>
              <w:rPr>
                <w:b w:val="0"/>
                <w:sz w:val="21"/>
              </w:rPr>
              <w:t>来料质量</w:t>
            </w:r>
          </w:p>
        </w:tc>
        <w:tc>
          <w:tcPr>
            <w:tcW w:type="dxa" w:w="4433"/>
            <w:vAlign w:val="center"/>
          </w:tcPr>
          <w:p>
            <w:pPr>
              <w:keepNext w:val="0"/>
              <w:spacing w:line="320" w:lineRule="exact" w:after="0" w:before="0"/>
              <w:ind w:firstLine="0"/>
              <w:jc w:val="left"/>
            </w:pPr>
            <w:r>
              <w:rPr>
                <w:b w:val="0"/>
                <w:sz w:val="21"/>
              </w:rPr>
              <w:t>材质、批次、证明与入厂检验</w:t>
            </w:r>
          </w:p>
        </w:tc>
      </w:tr>
      <w:tr>
        <w:trPr>
          <w:cantSplit/>
        </w:trPr>
        <w:tc>
          <w:tcPr>
            <w:tcW w:type="dxa" w:w="2313"/>
            <w:vAlign w:val="center"/>
          </w:tcPr>
          <w:p>
            <w:pPr>
              <w:keepNext w:val="0"/>
              <w:spacing w:line="320" w:lineRule="exact" w:after="0" w:before="0"/>
              <w:ind w:firstLine="0"/>
              <w:jc w:val="left"/>
            </w:pPr>
            <w:r>
              <w:rPr>
                <w:b w:val="0"/>
                <w:sz w:val="21"/>
              </w:rPr>
              <w:t>PQ02</w:t>
            </w:r>
          </w:p>
        </w:tc>
        <w:tc>
          <w:tcPr>
            <w:tcW w:type="dxa" w:w="2891"/>
            <w:vAlign w:val="center"/>
          </w:tcPr>
          <w:p>
            <w:pPr>
              <w:keepNext w:val="0"/>
              <w:spacing w:line="320" w:lineRule="exact" w:after="0" w:before="0"/>
              <w:ind w:firstLine="0"/>
              <w:jc w:val="left"/>
            </w:pPr>
            <w:r>
              <w:rPr>
                <w:b w:val="0"/>
                <w:sz w:val="21"/>
              </w:rPr>
              <w:t>过程检验</w:t>
            </w:r>
          </w:p>
        </w:tc>
        <w:tc>
          <w:tcPr>
            <w:tcW w:type="dxa" w:w="4433"/>
            <w:vAlign w:val="center"/>
          </w:tcPr>
          <w:p>
            <w:pPr>
              <w:keepNext w:val="0"/>
              <w:spacing w:line="320" w:lineRule="exact" w:after="0" w:before="0"/>
              <w:ind w:firstLine="0"/>
              <w:jc w:val="left"/>
            </w:pPr>
            <w:r>
              <w:rPr>
                <w:b w:val="0"/>
                <w:sz w:val="21"/>
              </w:rPr>
              <w:t>工序、测量条件、结果及状态</w:t>
            </w:r>
          </w:p>
        </w:tc>
      </w:tr>
      <w:tr>
        <w:trPr>
          <w:cantSplit/>
        </w:trPr>
        <w:tc>
          <w:tcPr>
            <w:tcW w:type="dxa" w:w="2313"/>
            <w:vAlign w:val="center"/>
          </w:tcPr>
          <w:p>
            <w:pPr>
              <w:keepNext w:val="0"/>
              <w:spacing w:line="320" w:lineRule="exact" w:after="0" w:before="0"/>
              <w:ind w:firstLine="0"/>
              <w:jc w:val="left"/>
            </w:pPr>
            <w:r>
              <w:rPr>
                <w:b w:val="0"/>
                <w:sz w:val="21"/>
              </w:rPr>
              <w:t>PQ03</w:t>
            </w:r>
          </w:p>
        </w:tc>
        <w:tc>
          <w:tcPr>
            <w:tcW w:type="dxa" w:w="2891"/>
            <w:vAlign w:val="center"/>
          </w:tcPr>
          <w:p>
            <w:pPr>
              <w:keepNext w:val="0"/>
              <w:spacing w:line="320" w:lineRule="exact" w:after="0" w:before="0"/>
              <w:ind w:firstLine="0"/>
              <w:jc w:val="left"/>
            </w:pPr>
            <w:r>
              <w:rPr>
                <w:b w:val="0"/>
                <w:sz w:val="21"/>
              </w:rPr>
              <w:t>成品检验</w:t>
            </w:r>
          </w:p>
        </w:tc>
        <w:tc>
          <w:tcPr>
            <w:tcW w:type="dxa" w:w="4433"/>
            <w:vAlign w:val="center"/>
          </w:tcPr>
          <w:p>
            <w:pPr>
              <w:keepNext w:val="0"/>
              <w:spacing w:line="320" w:lineRule="exact" w:after="0" w:before="0"/>
              <w:ind w:firstLine="0"/>
              <w:jc w:val="left"/>
            </w:pPr>
            <w:r>
              <w:rPr>
                <w:b w:val="0"/>
                <w:sz w:val="21"/>
              </w:rPr>
              <w:t>产品配置、项目覆盖和放行</w:t>
            </w:r>
          </w:p>
        </w:tc>
      </w:tr>
      <w:tr>
        <w:trPr>
          <w:cantSplit/>
        </w:trPr>
        <w:tc>
          <w:tcPr>
            <w:tcW w:type="dxa" w:w="2313"/>
            <w:vAlign w:val="center"/>
          </w:tcPr>
          <w:p>
            <w:pPr>
              <w:keepNext w:val="0"/>
              <w:spacing w:line="320" w:lineRule="exact" w:after="0" w:before="0"/>
              <w:ind w:firstLine="0"/>
              <w:jc w:val="left"/>
            </w:pPr>
            <w:r>
              <w:rPr>
                <w:b w:val="0"/>
                <w:sz w:val="21"/>
              </w:rPr>
              <w:t>PQ04</w:t>
            </w:r>
          </w:p>
        </w:tc>
        <w:tc>
          <w:tcPr>
            <w:tcW w:type="dxa" w:w="2891"/>
            <w:vAlign w:val="center"/>
          </w:tcPr>
          <w:p>
            <w:pPr>
              <w:keepNext w:val="0"/>
              <w:spacing w:line="320" w:lineRule="exact" w:after="0" w:before="0"/>
              <w:ind w:firstLine="0"/>
              <w:jc w:val="left"/>
            </w:pPr>
            <w:r>
              <w:rPr>
                <w:b w:val="0"/>
                <w:sz w:val="21"/>
              </w:rPr>
              <w:t>缺陷与不合格</w:t>
            </w:r>
          </w:p>
        </w:tc>
        <w:tc>
          <w:tcPr>
            <w:tcW w:type="dxa" w:w="4433"/>
            <w:vAlign w:val="center"/>
          </w:tcPr>
          <w:p>
            <w:pPr>
              <w:keepNext w:val="0"/>
              <w:spacing w:line="320" w:lineRule="exact" w:after="0" w:before="0"/>
              <w:ind w:firstLine="0"/>
              <w:jc w:val="left"/>
            </w:pPr>
            <w:r>
              <w:rPr>
                <w:b w:val="0"/>
                <w:sz w:val="21"/>
              </w:rPr>
              <w:t>位置、形态、级别及专业依据</w:t>
            </w:r>
          </w:p>
        </w:tc>
      </w:tr>
      <w:tr>
        <w:trPr>
          <w:cantSplit/>
        </w:trPr>
        <w:tc>
          <w:tcPr>
            <w:tcW w:type="dxa" w:w="2313"/>
            <w:vAlign w:val="center"/>
          </w:tcPr>
          <w:p>
            <w:pPr>
              <w:keepNext w:val="0"/>
              <w:spacing w:line="320" w:lineRule="exact" w:after="0" w:before="0"/>
              <w:ind w:firstLine="0"/>
              <w:jc w:val="left"/>
            </w:pPr>
            <w:r>
              <w:rPr>
                <w:b w:val="0"/>
                <w:sz w:val="21"/>
              </w:rPr>
              <w:t>PQ05</w:t>
            </w:r>
          </w:p>
        </w:tc>
        <w:tc>
          <w:tcPr>
            <w:tcW w:type="dxa" w:w="2891"/>
            <w:vAlign w:val="center"/>
          </w:tcPr>
          <w:p>
            <w:pPr>
              <w:keepNext w:val="0"/>
              <w:spacing w:line="320" w:lineRule="exact" w:after="0" w:before="0"/>
              <w:ind w:firstLine="0"/>
              <w:jc w:val="left"/>
            </w:pPr>
            <w:r>
              <w:rPr>
                <w:b w:val="0"/>
                <w:sz w:val="21"/>
              </w:rPr>
              <w:t>处置与复检</w:t>
            </w:r>
          </w:p>
        </w:tc>
        <w:tc>
          <w:tcPr>
            <w:tcW w:type="dxa" w:w="4433"/>
            <w:vAlign w:val="center"/>
          </w:tcPr>
          <w:p>
            <w:pPr>
              <w:keepNext w:val="0"/>
              <w:spacing w:line="320" w:lineRule="exact" w:after="0" w:before="0"/>
              <w:ind w:firstLine="0"/>
              <w:jc w:val="left"/>
            </w:pPr>
            <w:r>
              <w:rPr>
                <w:b w:val="0"/>
                <w:sz w:val="21"/>
              </w:rPr>
              <w:t>返修、复检轮次和最终放行</w:t>
            </w:r>
          </w:p>
        </w:tc>
      </w:tr>
      <w:tr>
        <w:trPr>
          <w:cantSplit/>
        </w:trPr>
        <w:tc>
          <w:tcPr>
            <w:tcW w:type="dxa" w:w="2313"/>
            <w:vAlign w:val="center"/>
          </w:tcPr>
          <w:p>
            <w:pPr>
              <w:keepNext w:val="0"/>
              <w:spacing w:line="320" w:lineRule="exact" w:after="0" w:before="0"/>
              <w:ind w:firstLine="0"/>
              <w:jc w:val="left"/>
            </w:pPr>
            <w:r>
              <w:rPr>
                <w:b w:val="0"/>
                <w:sz w:val="21"/>
              </w:rPr>
              <w:t>PQ06</w:t>
            </w:r>
          </w:p>
        </w:tc>
        <w:tc>
          <w:tcPr>
            <w:tcW w:type="dxa" w:w="2891"/>
            <w:vAlign w:val="center"/>
          </w:tcPr>
          <w:p>
            <w:pPr>
              <w:keepNext w:val="0"/>
              <w:spacing w:line="320" w:lineRule="exact" w:after="0" w:before="0"/>
              <w:ind w:firstLine="0"/>
              <w:jc w:val="left"/>
            </w:pPr>
            <w:r>
              <w:rPr>
                <w:b w:val="0"/>
                <w:sz w:val="21"/>
              </w:rPr>
              <w:t>追溯与反馈</w:t>
            </w:r>
          </w:p>
        </w:tc>
        <w:tc>
          <w:tcPr>
            <w:tcW w:type="dxa" w:w="4433"/>
            <w:vAlign w:val="center"/>
          </w:tcPr>
          <w:p>
            <w:pPr>
              <w:keepNext w:val="0"/>
              <w:spacing w:line="320" w:lineRule="exact" w:after="0" w:before="0"/>
              <w:ind w:firstLine="0"/>
              <w:jc w:val="left"/>
            </w:pPr>
            <w:r>
              <w:rPr>
                <w:b w:val="0"/>
                <w:sz w:val="21"/>
              </w:rPr>
              <w:t>材料、过程、设备及客户事件关联</w:t>
            </w:r>
          </w:p>
        </w:tc>
      </w:tr>
    </w:tbl>
    <w:p>
      <w:pPr>
        <w:spacing w:after="40" w:line="240" w:lineRule="auto"/>
        <w:ind w:firstLine="0"/>
      </w:pPr>
      <w:r>
        <w:rPr>
          <w:sz w:val="4"/>
        </w:rPr>
      </w:r>
    </w:p>
    <w:p>
      <w:pPr>
        <w:pStyle w:val="Caption"/>
        <w:keepNext/>
      </w:pPr>
      <w:r>
        <w:t>表6-55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表6-56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boundary_check</w:t>
            </w:r>
          </w:p>
        </w:tc>
        <w:tc>
          <w:tcPr>
            <w:tcW w:type="dxa" w:w="7228"/>
            <w:vAlign w:val="center"/>
          </w:tcPr>
          <w:p>
            <w:pPr>
              <w:keepNext w:val="0"/>
              <w:spacing w:line="320" w:lineRule="exact" w:after="0" w:before="0"/>
              <w:ind w:firstLine="0"/>
              <w:jc w:val="left"/>
            </w:pPr>
            <w:r>
              <w:rPr>
                <w:b w:val="0"/>
                <w:sz w:val="21"/>
              </w:rPr>
              <w:t>按规定上下限及是否包含边界进行判断，保留单位和精度条件</w:t>
            </w:r>
          </w:p>
        </w:tc>
      </w:tr>
      <w:tr>
        <w:trPr>
          <w:cantSplit/>
        </w:trPr>
        <w:tc>
          <w:tcPr>
            <w:tcW w:type="dxa" w:w="2409"/>
            <w:vAlign w:val="center"/>
          </w:tcPr>
          <w:p>
            <w:pPr>
              <w:keepNext w:val="0"/>
              <w:spacing w:line="320" w:lineRule="exact" w:after="0" w:before="0"/>
              <w:ind w:firstLine="0"/>
              <w:jc w:val="left"/>
            </w:pPr>
            <w:r>
              <w:rPr>
                <w:b w:val="0"/>
                <w:sz w:val="21"/>
              </w:rPr>
              <w:t>candidate_defect</w:t>
            </w:r>
          </w:p>
        </w:tc>
        <w:tc>
          <w:tcPr>
            <w:tcW w:type="dxa" w:w="7228"/>
            <w:vAlign w:val="center"/>
          </w:tcPr>
          <w:p>
            <w:pPr>
              <w:keepNext w:val="0"/>
              <w:spacing w:line="320" w:lineRule="exact" w:after="0" w:before="0"/>
              <w:ind w:firstLine="0"/>
              <w:jc w:val="left"/>
            </w:pPr>
            <w:r>
              <w:rPr>
                <w:b w:val="0"/>
                <w:sz w:val="21"/>
              </w:rPr>
              <w:t>只确认候选区域或疑似现象，类型、级别与真实缺陷状态另行复核</w:t>
            </w:r>
          </w:p>
        </w:tc>
      </w:tr>
      <w:tr>
        <w:trPr>
          <w:cantSplit/>
        </w:trPr>
        <w:tc>
          <w:tcPr>
            <w:tcW w:type="dxa" w:w="2409"/>
            <w:vAlign w:val="center"/>
          </w:tcPr>
          <w:p>
            <w:pPr>
              <w:keepNext w:val="0"/>
              <w:spacing w:line="320" w:lineRule="exact" w:after="0" w:before="0"/>
              <w:ind w:firstLine="0"/>
              <w:jc w:val="left"/>
            </w:pPr>
            <w:r>
              <w:rPr>
                <w:b w:val="0"/>
                <w:sz w:val="21"/>
              </w:rPr>
              <w:t>coverage_limit</w:t>
            </w:r>
          </w:p>
        </w:tc>
        <w:tc>
          <w:tcPr>
            <w:tcW w:type="dxa" w:w="7228"/>
            <w:vAlign w:val="center"/>
          </w:tcPr>
          <w:p>
            <w:pPr>
              <w:keepNext w:val="0"/>
              <w:spacing w:line="320" w:lineRule="exact" w:after="0" w:before="0"/>
              <w:ind w:firstLine="0"/>
              <w:jc w:val="left"/>
            </w:pPr>
            <w:r>
              <w:rPr>
                <w:b w:val="0"/>
                <w:sz w:val="21"/>
              </w:rPr>
              <w:t>明确输入仅覆盖的区域、时间或对象，结论不扩展到未覆盖范围</w:t>
            </w:r>
          </w:p>
        </w:tc>
      </w:tr>
      <w:tr>
        <w:trPr>
          <w:cantSplit/>
        </w:trPr>
        <w:tc>
          <w:tcPr>
            <w:tcW w:type="dxa" w:w="2409"/>
            <w:vAlign w:val="center"/>
          </w:tcPr>
          <w:p>
            <w:pPr>
              <w:keepNext w:val="0"/>
              <w:spacing w:line="320" w:lineRule="exact" w:after="0" w:before="0"/>
              <w:ind w:firstLine="0"/>
              <w:jc w:val="left"/>
            </w:pPr>
            <w:r>
              <w:rPr>
                <w:b w:val="0"/>
                <w:sz w:val="21"/>
              </w:rPr>
              <w:t>incomplete_reinspection</w:t>
            </w:r>
          </w:p>
        </w:tc>
        <w:tc>
          <w:tcPr>
            <w:tcW w:type="dxa" w:w="7228"/>
            <w:vAlign w:val="center"/>
          </w:tcPr>
          <w:p>
            <w:pPr>
              <w:keepNext w:val="0"/>
              <w:spacing w:line="320" w:lineRule="exact" w:after="0" w:before="0"/>
              <w:ind w:firstLine="0"/>
              <w:jc w:val="left"/>
            </w:pPr>
            <w:r>
              <w:rPr>
                <w:b w:val="0"/>
                <w:sz w:val="21"/>
              </w:rPr>
              <w:t>复检项目或有效结论仍有缺口，返修完成不能替代复检通过</w:t>
            </w:r>
          </w:p>
        </w:tc>
      </w:tr>
      <w:tr>
        <w:trPr>
          <w:cantSplit/>
        </w:trPr>
        <w:tc>
          <w:tcPr>
            <w:tcW w:type="dxa" w:w="2409"/>
            <w:vAlign w:val="center"/>
          </w:tcPr>
          <w:p>
            <w:pPr>
              <w:keepNext w:val="0"/>
              <w:spacing w:line="320" w:lineRule="exact" w:after="0" w:before="0"/>
              <w:ind w:firstLine="0"/>
              <w:jc w:val="left"/>
            </w:pPr>
            <w:r>
              <w:rPr>
                <w:b w:val="0"/>
                <w:sz w:val="21"/>
              </w:rPr>
              <w:t>numeric_judgement</w:t>
            </w:r>
          </w:p>
        </w:tc>
        <w:tc>
          <w:tcPr>
            <w:tcW w:type="dxa" w:w="7228"/>
            <w:vAlign w:val="center"/>
          </w:tcPr>
          <w:p>
            <w:pPr>
              <w:keepNext w:val="0"/>
              <w:spacing w:line="320" w:lineRule="exact" w:after="0" w:before="0"/>
              <w:ind w:firstLine="0"/>
              <w:jc w:val="left"/>
            </w:pPr>
            <w:r>
              <w:rPr>
                <w:b w:val="0"/>
                <w:sz w:val="21"/>
              </w:rPr>
              <w:t>对题定数值及规则得出可复算结果，不外推未检查项目</w:t>
            </w:r>
          </w:p>
        </w:tc>
      </w:tr>
      <w:tr>
        <w:trPr>
          <w:cantSplit/>
        </w:trPr>
        <w:tc>
          <w:tcPr>
            <w:tcW w:type="dxa" w:w="2409"/>
            <w:vAlign w:val="center"/>
          </w:tcPr>
          <w:p>
            <w:pPr>
              <w:keepNext w:val="0"/>
              <w:spacing w:line="320" w:lineRule="exact" w:after="0" w:before="0"/>
              <w:ind w:firstLine="0"/>
              <w:jc w:val="left"/>
            </w:pPr>
            <w:r>
              <w:rPr>
                <w:b w:val="0"/>
                <w:sz w:val="21"/>
              </w:rPr>
              <w:t>release_condition</w:t>
            </w:r>
          </w:p>
        </w:tc>
        <w:tc>
          <w:tcPr>
            <w:tcW w:type="dxa" w:w="7228"/>
            <w:vAlign w:val="center"/>
          </w:tcPr>
          <w:p>
            <w:pPr>
              <w:keepNext w:val="0"/>
              <w:spacing w:line="320" w:lineRule="exact" w:after="0" w:before="0"/>
              <w:ind w:firstLine="0"/>
              <w:jc w:val="left"/>
            </w:pPr>
            <w:r>
              <w:rPr>
                <w:b w:val="0"/>
                <w:sz w:val="21"/>
              </w:rPr>
              <w:t>所有必要放行条件及授权流程满足后才能确认放行状态</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6.4.9 规范样本</w:t>
      </w:r>
    </w:p>
    <w:p>
      <w:pPr>
        <w:keepNext/>
        <w:jc w:val="both"/>
      </w:pPr>
      <w:r>
        <w:t>规范样本1 检验边界值与判定条件</w:t>
      </w:r>
    </w:p>
    <w:p>
      <w:pPr>
        <w:pStyle w:val="Caption"/>
        <w:keepNext/>
      </w:pPr>
      <w:r>
        <w:t>表6-57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EX-04-EVAL-001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PQ02、boundary_check、numeric_judgement</w:t>
            </w:r>
          </w:p>
        </w:tc>
      </w:tr>
    </w:tbl>
    <w:p>
      <w:pPr>
        <w:spacing w:after="40" w:line="240" w:lineRule="auto"/>
        <w:ind w:firstLine="0"/>
      </w:pPr>
      <w:r>
        <w:rPr>
          <w:sz w:val="4"/>
        </w:rPr>
      </w:r>
    </w:p>
    <w:p>
      <w:pPr>
        <w:jc w:val="both"/>
      </w:pPr>
      <w:r>
        <w:t>输入内容：规范实例的尺寸要求为10.00至10.20毫米，两个边界均允许取等号；测量方法与判定规则约定直接比较已给出的记录值。三次记录值依次为10.00、10.20、10.21毫米。本题不引入其他测量不确定度或复检规则。</w:t>
      </w:r>
    </w:p>
    <w:p>
      <w:pPr>
        <w:pStyle w:val="Caption"/>
        <w:keepNext/>
      </w:pPr>
      <w:r>
        <w:t>表6-58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left"/>
            </w:pPr>
            <w:r>
              <w:rPr>
                <w:b w:val="0"/>
                <w:sz w:val="21"/>
              </w:rPr>
              <w:t>m1</w:t>
            </w:r>
          </w:p>
        </w:tc>
        <w:tc>
          <w:tcPr>
            <w:tcW w:type="dxa" w:w="7228"/>
            <w:vAlign w:val="center"/>
          </w:tcPr>
          <w:p>
            <w:pPr>
              <w:keepNext/>
              <w:spacing w:line="320" w:lineRule="exact" w:after="0" w:before="0"/>
              <w:ind w:firstLine="0"/>
              <w:jc w:val="center"/>
            </w:pPr>
            <w:r>
              <w:rPr>
                <w:b w:val="0"/>
                <w:sz w:val="21"/>
              </w:rPr>
              <w:t>10.0</w:t>
            </w:r>
          </w:p>
        </w:tc>
      </w:tr>
      <w:tr>
        <w:trPr>
          <w:cantSplit/>
        </w:trPr>
        <w:tc>
          <w:tcPr>
            <w:tcW w:type="dxa" w:w="2409"/>
            <w:vAlign w:val="center"/>
          </w:tcPr>
          <w:p>
            <w:pPr>
              <w:keepNext/>
              <w:spacing w:line="320" w:lineRule="exact" w:after="0" w:before="0"/>
              <w:ind w:firstLine="0"/>
              <w:jc w:val="left"/>
            </w:pPr>
            <w:r>
              <w:rPr>
                <w:b w:val="0"/>
                <w:sz w:val="21"/>
              </w:rPr>
              <w:t>m2</w:t>
            </w:r>
          </w:p>
        </w:tc>
        <w:tc>
          <w:tcPr>
            <w:tcW w:type="dxa" w:w="7228"/>
            <w:vAlign w:val="center"/>
          </w:tcPr>
          <w:p>
            <w:pPr>
              <w:keepNext/>
              <w:spacing w:line="320" w:lineRule="exact" w:after="0" w:before="0"/>
              <w:ind w:firstLine="0"/>
              <w:jc w:val="center"/>
            </w:pPr>
            <w:r>
              <w:rPr>
                <w:b w:val="0"/>
                <w:sz w:val="21"/>
              </w:rPr>
              <w:t>10.2</w:t>
            </w:r>
          </w:p>
        </w:tc>
      </w:tr>
      <w:tr>
        <w:trPr>
          <w:cantSplit/>
        </w:trPr>
        <w:tc>
          <w:tcPr>
            <w:tcW w:type="dxa" w:w="2409"/>
            <w:vAlign w:val="center"/>
          </w:tcPr>
          <w:p>
            <w:pPr>
              <w:keepNext w:val="0"/>
              <w:spacing w:line="320" w:lineRule="exact" w:after="0" w:before="0"/>
              <w:ind w:firstLine="0"/>
              <w:jc w:val="left"/>
            </w:pPr>
            <w:r>
              <w:rPr>
                <w:b w:val="0"/>
                <w:sz w:val="21"/>
              </w:rPr>
              <w:t>m3</w:t>
            </w:r>
          </w:p>
        </w:tc>
        <w:tc>
          <w:tcPr>
            <w:tcW w:type="dxa" w:w="7228"/>
            <w:vAlign w:val="center"/>
          </w:tcPr>
          <w:p>
            <w:pPr>
              <w:keepNext w:val="0"/>
              <w:spacing w:line="320" w:lineRule="exact" w:after="0" w:before="0"/>
              <w:ind w:firstLine="0"/>
              <w:jc w:val="center"/>
            </w:pPr>
            <w:r>
              <w:rPr>
                <w:b w:val="0"/>
                <w:sz w:val="21"/>
              </w:rPr>
              <w:t>10.21</w:t>
            </w:r>
          </w:p>
        </w:tc>
      </w:tr>
    </w:tbl>
    <w:p>
      <w:pPr>
        <w:spacing w:after="40" w:line="240" w:lineRule="auto"/>
        <w:ind w:firstLine="0"/>
      </w:pPr>
      <w:r>
        <w:rPr>
          <w:sz w:val="4"/>
        </w:rPr>
      </w:r>
    </w:p>
    <w:p>
      <w:pPr>
        <w:jc w:val="both"/>
      </w:pPr>
      <w:r>
        <w:t>评测问题：分别判断三次记录是否满足题定尺寸区间。</w:t>
      </w:r>
    </w:p>
    <w:p>
      <w:pPr>
        <w:jc w:val="both"/>
      </w:pPr>
      <w:r>
        <w:t>参考依据：10.00和10.20毫米均位于包含边界的允许区间内，满足题定区间；10.21毫米大于上限，不满足。结论仅针对该尺寸项目及题定判定规则，不能据此宣布整个产品合格。</w:t>
      </w:r>
    </w:p>
    <w:p>
      <w:pPr>
        <w:pStyle w:val="Caption"/>
        <w:keepNext/>
      </w:pPr>
      <w:r>
        <w:t>表6-59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下限包含</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上限包含</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10.21超上限</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不外推整品合格</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keepNext/>
        <w:jc w:val="both"/>
      </w:pPr>
      <w:r>
        <w:t>规范样本2 缺陷区域与完整产品结论</w:t>
      </w:r>
    </w:p>
    <w:p>
      <w:pPr>
        <w:pStyle w:val="Caption"/>
        <w:keepNext/>
      </w:pPr>
      <w:r>
        <w:t>表6-60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EX-04-EVAL-002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PQ04、candidate_defect、coverage_limit</w:t>
            </w:r>
          </w:p>
        </w:tc>
      </w:tr>
    </w:tbl>
    <w:p>
      <w:pPr>
        <w:spacing w:after="40" w:line="240" w:lineRule="auto"/>
        <w:ind w:firstLine="0"/>
      </w:pPr>
      <w:r>
        <w:rPr>
          <w:sz w:val="4"/>
        </w:rPr>
      </w:r>
    </w:p>
    <w:p>
      <w:pPr>
        <w:jc w:val="both"/>
      </w:pPr>
      <w:r>
        <w:t>输入内容：规范图像在坐标区域R甲标出一处疑似缺陷。记录只覆盖产品表面局部区域，未提供其他表面、内部检验或专业确认。图中区域标记为候选定位。</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22" name="Picture 22"/>
            <wp:cNvGraphicFramePr>
              <a:graphicFrameLocks noChangeAspect="1"/>
            </wp:cNvGraphicFramePr>
            <a:graphic>
              <a:graphicData uri="http://schemas.openxmlformats.org/drawingml/2006/picture">
                <pic:pic>
                  <pic:nvPicPr>
                    <pic:cNvPr id="0" name="例图04_2.png"/>
                    <pic:cNvPicPr/>
                  </pic:nvPicPr>
                  <pic:blipFill>
                    <a:blip r:embed="rId20"/>
                    <a:stretch>
                      <a:fillRect/>
                    </a:stretch>
                  </pic:blipFill>
                  <pic:spPr>
                    <a:xfrm>
                      <a:off x="0" y="0"/>
                      <a:ext cx="6048000" cy="1422831"/>
                    </a:xfrm>
                    <a:prstGeom prst="rect"/>
                  </pic:spPr>
                </pic:pic>
              </a:graphicData>
            </a:graphic>
          </wp:inline>
        </w:drawing>
      </w:r>
    </w:p>
    <w:p>
      <w:pPr>
        <w:pStyle w:val="Caption"/>
        <w:jc w:val="center"/>
      </w:pPr>
      <w:r>
        <w:t>图6-5 缺陷区域与完整产品结论</w:t>
      </w:r>
    </w:p>
    <w:p>
      <w:pPr>
        <w:jc w:val="both"/>
      </w:pPr>
      <w:r>
        <w:t>评测问题：应如何描述该图像标签及可用范围？</w:t>
      </w:r>
    </w:p>
    <w:p>
      <w:pPr>
        <w:jc w:val="both"/>
      </w:pPr>
      <w:r>
        <w:t>参考依据：标签应记录局部候选缺陷位置和疑似状态，保留图像版本及坐标参照。可以用于候选区域定位或待复核任务；缺陷类型及等级需要专业确认，局部影像也不足以判定产品其他区域无缺陷或整品合格。</w:t>
      </w:r>
    </w:p>
    <w:p>
      <w:pPr>
        <w:pStyle w:val="Caption"/>
        <w:keepNext/>
      </w:pPr>
      <w:r>
        <w:t>表6-61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候选定位</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疑似状态</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需要专业确认</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不外推未覆盖区域</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keepNext/>
        <w:jc w:val="both"/>
      </w:pPr>
      <w:r>
        <w:t>规范样本3 返修复检与放行链核验</w:t>
      </w:r>
    </w:p>
    <w:p>
      <w:pPr>
        <w:pStyle w:val="Caption"/>
        <w:keepNext/>
      </w:pPr>
      <w:r>
        <w:t>表6-62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EX-04-EVAL-003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PQ05、release_condition、incomplete_reinspection</w:t>
            </w:r>
          </w:p>
        </w:tc>
      </w:tr>
    </w:tbl>
    <w:p>
      <w:pPr>
        <w:spacing w:after="40" w:line="240" w:lineRule="auto"/>
        <w:ind w:firstLine="0"/>
      </w:pPr>
      <w:r>
        <w:rPr>
          <w:sz w:val="4"/>
        </w:rPr>
      </w:r>
    </w:p>
    <w:p>
      <w:pPr>
        <w:jc w:val="both"/>
      </w:pPr>
      <w:r>
        <w:t>输入内容：不合格单NC甲记录返修已完成，随后复检项目K1通过，项目K2结果尚未形成。批准处置要求K1与K2均通过后才能放行，目前无其他放行批准依据。</w:t>
      </w:r>
    </w:p>
    <w:p>
      <w:pPr>
        <w:jc w:val="both"/>
      </w:pPr>
      <w:r>
        <w:t>评测问题：能否据此把产品状态改为放行？质量记录应保留哪些关系？</w:t>
      </w:r>
    </w:p>
    <w:p>
      <w:pPr>
        <w:jc w:val="both"/>
      </w:pPr>
      <w:r>
        <w:t>参考依据：不能改为放行。返修完成、K1通过与整体放行是不同状态，K2仍缺少结果。应保留NC甲、返修记录、两项复检及批准处置之间的关系，取得K2有效通过结果并满足授权放行流程后再变更状态。</w:t>
      </w:r>
    </w:p>
    <w:p>
      <w:pPr>
        <w:pStyle w:val="Caption"/>
        <w:keepNext/>
      </w:pPr>
      <w:r>
        <w:t>表6-63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不放行</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识别K2缺口</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区分返修与放行</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保留处置复检关系</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pStyle w:val="Heading3"/>
      </w:pPr>
      <w:r>
        <w:t>6.4.10 生产与使用核验</w:t>
      </w:r>
    </w:p>
    <w:p>
      <w:pPr>
        <w:jc w:val="both"/>
      </w:pPr>
      <w:r>
        <w:t>对相同题目和协议比较招标指定基础模型、继续预训练模型、指令微调模型及偏好对齐模型；逐题保存输出、评分和切片统计，未完成题目及失败调用单独报告。本领域同时检查检验字段抽取正确率、数值与单位判定正确率、缺陷分类宏平均F1、缺陷定位指标、质量追溯证据召回率及处置建议依据正确率。统计按任务类型、来源、模态、难度及关键业务对象分层，保留题目或记录级结果和失败对象。</w:t>
      </w:r>
    </w:p>
    <w:p>
      <w:pPr>
        <w:jc w:val="both"/>
      </w:pPr>
      <w:r>
        <w:t>生产检查从来源记录开始核对产品实例、零件、材料批次、检验批、项目、测量轮次、缺陷位置、不合格单与处置状态，确认检验结果绑定有效标准与测量条件；数值、单位、精度、上下限及边界条件共同解析；缺陷标签绑定位置和证据；处置、复检与放行按时序串联；质量结论沿材料、工序和产品关系追溯。专业分歧由质量、检验、工艺、材料、生产及售后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1"/>
        <w:pageBreakBefore/>
      </w:pPr>
      <w:r>
        <w:t>7 公共记录结构与独立解析</w:t>
      </w:r>
    </w:p>
    <w:p>
      <w:pPr>
        <w:pStyle w:val="Heading2"/>
      </w:pPr>
      <w:r>
        <w:t>7.1 记录身份与来源字段</w:t>
      </w:r>
    </w:p>
    <w:p>
      <w:pPr>
        <w:jc w:val="both"/>
      </w:pPr>
      <w:r>
        <w:t>公共记录层描述四个领域共同使用的身份、来源、业务时间和版本关系。领域扩展字段保留各自专业含义，用途层再增加指令答案、偏好比较或基准判分结构。字段类型固定，数字不使用混合文字表达，时间包含精度和时区，资源通过稳定标识及相对路径引用。</w:t>
      </w:r>
    </w:p>
    <w:p>
      <w:pPr>
        <w:pStyle w:val="Caption"/>
        <w:keepNext/>
      </w:pPr>
      <w:r>
        <w:t>表7-1 记录身份与来源字段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内容及约束</w:t>
            </w:r>
          </w:p>
        </w:tc>
        <w:tc>
          <w:tcPr>
            <w:tcW w:type="dxa" w:w="3084"/>
            <w:vAlign w:val="center"/>
            <w:shd w:fill="EDF1F3"/>
          </w:tcPr>
          <w:p>
            <w:pPr>
              <w:keepNext/>
              <w:spacing w:line="320" w:lineRule="exact" w:after="0" w:before="0"/>
              <w:ind w:firstLine="0"/>
              <w:jc w:val="center"/>
            </w:pPr>
            <w:r>
              <w:rPr>
                <w:b/>
                <w:sz w:val="21"/>
              </w:rPr>
              <w:t>异常处理</w:t>
            </w:r>
          </w:p>
        </w:tc>
      </w:tr>
      <w:tr>
        <w:trPr>
          <w:cantSplit/>
        </w:trPr>
        <w:tc>
          <w:tcPr>
            <w:tcW w:type="dxa" w:w="2313"/>
            <w:vAlign w:val="center"/>
          </w:tcPr>
          <w:p>
            <w:pPr>
              <w:keepNext w:val="0"/>
              <w:spacing w:line="320" w:lineRule="exact" w:after="0" w:before="0"/>
              <w:ind w:firstLine="0"/>
              <w:jc w:val="left"/>
            </w:pPr>
            <w:r>
              <w:rPr>
                <w:b w:val="0"/>
                <w:sz w:val="21"/>
              </w:rPr>
              <w:t>record_id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同一发布版本内唯一，稳定识别完整语义记录、任务、比较组或题目</w:t>
            </w:r>
          </w:p>
        </w:tc>
        <w:tc>
          <w:tcPr>
            <w:tcW w:type="dxa" w:w="3084"/>
            <w:vAlign w:val="center"/>
          </w:tcPr>
          <w:p>
            <w:pPr>
              <w:keepNext w:val="0"/>
              <w:spacing w:line="320" w:lineRule="exact" w:after="0" w:before="0"/>
              <w:ind w:firstLine="0"/>
              <w:jc w:val="left"/>
            </w:pPr>
            <w:r>
              <w:rPr>
                <w:b w:val="0"/>
                <w:sz w:val="21"/>
              </w:rPr>
              <w:t>重复键隔离并核查来源，不自动覆盖前记录</w:t>
            </w:r>
          </w:p>
        </w:tc>
      </w:tr>
      <w:tr>
        <w:trPr>
          <w:cantSplit/>
        </w:trPr>
        <w:tc>
          <w:tcPr>
            <w:tcW w:type="dxa" w:w="2313"/>
            <w:vAlign w:val="center"/>
          </w:tcPr>
          <w:p>
            <w:pPr>
              <w:keepNext w:val="0"/>
              <w:spacing w:line="320" w:lineRule="exact" w:after="0" w:before="0"/>
              <w:ind w:firstLine="0"/>
              <w:jc w:val="left"/>
            </w:pPr>
            <w:r>
              <w:rPr>
                <w:b w:val="0"/>
                <w:sz w:val="21"/>
              </w:rPr>
              <w:t>domain</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01供需计划、02产品工艺设计、03制造过程、04产品质量</w:t>
            </w:r>
          </w:p>
        </w:tc>
        <w:tc>
          <w:tcPr>
            <w:tcW w:type="dxa" w:w="3084"/>
            <w:vAlign w:val="center"/>
          </w:tcPr>
          <w:p>
            <w:pPr>
              <w:keepNext w:val="0"/>
              <w:spacing w:line="320" w:lineRule="exact" w:after="0" w:before="0"/>
              <w:ind w:firstLine="0"/>
              <w:jc w:val="left"/>
            </w:pPr>
            <w:r>
              <w:rPr>
                <w:b w:val="0"/>
                <w:sz w:val="21"/>
              </w:rPr>
              <w:t>不在枚举或主归属不清时进入业务复核</w:t>
            </w:r>
          </w:p>
        </w:tc>
      </w:tr>
      <w:tr>
        <w:trPr>
          <w:cantSplit/>
        </w:trPr>
        <w:tc>
          <w:tcPr>
            <w:tcW w:type="dxa" w:w="2313"/>
            <w:vAlign w:val="center"/>
          </w:tcPr>
          <w:p>
            <w:pPr>
              <w:keepNext w:val="0"/>
              <w:spacing w:line="320" w:lineRule="exact" w:after="0" w:before="0"/>
              <w:ind w:firstLine="0"/>
              <w:jc w:val="left"/>
            </w:pPr>
            <w:r>
              <w:rPr>
                <w:b w:val="0"/>
                <w:sz w:val="21"/>
              </w:rPr>
              <w:t>purpose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PT、SFT、PREF、EVAL</w:t>
            </w:r>
          </w:p>
        </w:tc>
        <w:tc>
          <w:tcPr>
            <w:tcW w:type="dxa" w:w="3084"/>
            <w:vAlign w:val="center"/>
          </w:tcPr>
          <w:p>
            <w:pPr>
              <w:keepNext w:val="0"/>
              <w:spacing w:line="320" w:lineRule="exact" w:after="0" w:before="0"/>
              <w:ind w:firstLine="0"/>
              <w:jc w:val="left"/>
            </w:pPr>
            <w:r>
              <w:rPr>
                <w:b w:val="0"/>
                <w:sz w:val="21"/>
              </w:rPr>
              <w:t>与目录、卡片及实际结构不符时阻断封装</w:t>
            </w:r>
          </w:p>
        </w:tc>
      </w:tr>
      <w:tr>
        <w:trPr>
          <w:cantSplit/>
        </w:trPr>
        <w:tc>
          <w:tcPr>
            <w:tcW w:type="dxa" w:w="2313"/>
            <w:vAlign w:val="center"/>
          </w:tcPr>
          <w:p>
            <w:pPr>
              <w:keepNext w:val="0"/>
              <w:spacing w:line="320" w:lineRule="exact" w:after="0" w:before="0"/>
              <w:ind w:firstLine="0"/>
              <w:jc w:val="left"/>
            </w:pPr>
            <w:r>
              <w:rPr>
                <w:b w:val="0"/>
                <w:sz w:val="21"/>
              </w:rPr>
              <w:t>dataset_version</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与发布清单绑定的实际数据版本</w:t>
            </w:r>
          </w:p>
        </w:tc>
        <w:tc>
          <w:tcPr>
            <w:tcW w:type="dxa" w:w="3084"/>
            <w:vAlign w:val="center"/>
          </w:tcPr>
          <w:p>
            <w:pPr>
              <w:keepNext w:val="0"/>
              <w:spacing w:line="320" w:lineRule="exact" w:after="0" w:before="0"/>
              <w:ind w:firstLine="0"/>
              <w:jc w:val="left"/>
            </w:pPr>
            <w:r>
              <w:rPr>
                <w:b w:val="0"/>
                <w:sz w:val="21"/>
              </w:rPr>
              <w:t>版本混杂时重建清单并核查受影响报告</w:t>
            </w:r>
          </w:p>
        </w:tc>
      </w:tr>
      <w:tr>
        <w:trPr>
          <w:cantSplit/>
        </w:trPr>
        <w:tc>
          <w:tcPr>
            <w:tcW w:type="dxa" w:w="2313"/>
            <w:vAlign w:val="center"/>
          </w:tcPr>
          <w:p>
            <w:pPr>
              <w:keepNext w:val="0"/>
              <w:spacing w:line="320" w:lineRule="exact" w:after="0" w:before="0"/>
              <w:ind w:firstLine="0"/>
              <w:jc w:val="left"/>
            </w:pPr>
            <w:r>
              <w:rPr>
                <w:b w:val="0"/>
                <w:sz w:val="21"/>
              </w:rPr>
              <w:t>origin</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real、synthetic、specification_example</w:t>
            </w:r>
          </w:p>
        </w:tc>
        <w:tc>
          <w:tcPr>
            <w:tcW w:type="dxa" w:w="3084"/>
            <w:vAlign w:val="center"/>
          </w:tcPr>
          <w:p>
            <w:pPr>
              <w:keepNext w:val="0"/>
              <w:spacing w:line="320" w:lineRule="exact" w:after="0" w:before="0"/>
              <w:ind w:firstLine="0"/>
              <w:jc w:val="left"/>
            </w:pPr>
            <w:r>
              <w:rPr>
                <w:b w:val="0"/>
                <w:sz w:val="21"/>
              </w:rPr>
              <w:t>无来源证据的内容不能因填写real自动取得资格</w:t>
            </w:r>
          </w:p>
        </w:tc>
      </w:tr>
      <w:tr>
        <w:trPr>
          <w:cantSplit/>
        </w:trPr>
        <w:tc>
          <w:tcPr>
            <w:tcW w:type="dxa" w:w="2313"/>
            <w:vAlign w:val="center"/>
          </w:tcPr>
          <w:p>
            <w:pPr>
              <w:keepNext w:val="0"/>
              <w:spacing w:line="320" w:lineRule="exact" w:after="0" w:before="0"/>
              <w:ind w:firstLine="0"/>
              <w:jc w:val="left"/>
            </w:pPr>
            <w:r>
              <w:rPr>
                <w:b w:val="0"/>
                <w:sz w:val="21"/>
              </w:rPr>
              <w:t>release_eligible</w:t>
            </w:r>
          </w:p>
        </w:tc>
        <w:tc>
          <w:tcPr>
            <w:tcW w:type="dxa" w:w="1157"/>
            <w:vAlign w:val="center"/>
          </w:tcPr>
          <w:p>
            <w:pPr>
              <w:keepNext w:val="0"/>
              <w:spacing w:line="320" w:lineRule="exact" w:after="0" w:before="0"/>
              <w:ind w:firstLine="0"/>
              <w:jc w:val="left"/>
            </w:pPr>
            <w:r>
              <w:rPr>
                <w:b w:val="0"/>
                <w:sz w:val="21"/>
              </w:rPr>
              <w:t>布尔</w:t>
            </w:r>
          </w:p>
        </w:tc>
        <w:tc>
          <w:tcPr>
            <w:tcW w:type="dxa" w:w="3084"/>
            <w:vAlign w:val="center"/>
          </w:tcPr>
          <w:p>
            <w:pPr>
              <w:keepNext w:val="0"/>
              <w:spacing w:line="320" w:lineRule="exact" w:after="0" w:before="0"/>
              <w:ind w:firstLine="0"/>
              <w:jc w:val="left"/>
            </w:pPr>
            <w:r>
              <w:rPr>
                <w:b w:val="0"/>
                <w:sz w:val="21"/>
              </w:rPr>
              <w:t>规范实例为false；生产记录在全部条件满足后取得有效资格</w:t>
            </w:r>
          </w:p>
        </w:tc>
        <w:tc>
          <w:tcPr>
            <w:tcW w:type="dxa" w:w="3084"/>
            <w:vAlign w:val="center"/>
          </w:tcPr>
          <w:p>
            <w:pPr>
              <w:keepNext w:val="0"/>
              <w:spacing w:line="320" w:lineRule="exact" w:after="0" w:before="0"/>
              <w:ind w:firstLine="0"/>
              <w:jc w:val="left"/>
            </w:pPr>
            <w:r>
              <w:rPr>
                <w:b w:val="0"/>
                <w:sz w:val="21"/>
              </w:rPr>
              <w:t>未检查、失败或越权记录保持无交付资格</w:t>
            </w:r>
          </w:p>
        </w:tc>
      </w:tr>
      <w:tr>
        <w:trPr>
          <w:cantSplit/>
        </w:trPr>
        <w:tc>
          <w:tcPr>
            <w:tcW w:type="dxa" w:w="2313"/>
            <w:vAlign w:val="center"/>
          </w:tcPr>
          <w:p>
            <w:pPr>
              <w:keepNext w:val="0"/>
              <w:spacing w:line="320" w:lineRule="exact" w:after="0" w:before="0"/>
              <w:ind w:firstLine="0"/>
              <w:jc w:val="left"/>
            </w:pPr>
            <w:r>
              <w:rPr>
                <w:b w:val="0"/>
                <w:sz w:val="21"/>
              </w:rPr>
              <w:t>augmented</w:t>
            </w:r>
          </w:p>
        </w:tc>
        <w:tc>
          <w:tcPr>
            <w:tcW w:type="dxa" w:w="1157"/>
            <w:vAlign w:val="center"/>
          </w:tcPr>
          <w:p>
            <w:pPr>
              <w:keepNext w:val="0"/>
              <w:spacing w:line="320" w:lineRule="exact" w:after="0" w:before="0"/>
              <w:ind w:firstLine="0"/>
              <w:jc w:val="left"/>
            </w:pPr>
            <w:r>
              <w:rPr>
                <w:b w:val="0"/>
                <w:sz w:val="21"/>
              </w:rPr>
              <w:t>布尔</w:t>
            </w:r>
          </w:p>
        </w:tc>
        <w:tc>
          <w:tcPr>
            <w:tcW w:type="dxa" w:w="3084"/>
            <w:vAlign w:val="center"/>
          </w:tcPr>
          <w:p>
            <w:pPr>
              <w:keepNext w:val="0"/>
              <w:spacing w:line="320" w:lineRule="exact" w:after="0" w:before="0"/>
              <w:ind w:firstLine="0"/>
              <w:jc w:val="left"/>
            </w:pPr>
            <w:r>
              <w:rPr>
                <w:b w:val="0"/>
                <w:sz w:val="21"/>
              </w:rPr>
              <w:t>是否经过登记的增强操作，独立于来源性质</w:t>
            </w:r>
          </w:p>
        </w:tc>
        <w:tc>
          <w:tcPr>
            <w:tcW w:type="dxa" w:w="3084"/>
            <w:vAlign w:val="center"/>
          </w:tcPr>
          <w:p>
            <w:pPr>
              <w:keepNext w:val="0"/>
              <w:spacing w:line="320" w:lineRule="exact" w:after="0" w:before="0"/>
              <w:ind w:firstLine="0"/>
              <w:jc w:val="left"/>
            </w:pPr>
            <w:r>
              <w:rPr>
                <w:b w:val="0"/>
                <w:sz w:val="21"/>
              </w:rPr>
              <w:t>缺少加工记录时核查实际派生关系</w:t>
            </w:r>
          </w:p>
        </w:tc>
      </w:tr>
      <w:tr>
        <w:trPr>
          <w:cantSplit/>
        </w:trPr>
        <w:tc>
          <w:tcPr>
            <w:tcW w:type="dxa" w:w="2313"/>
            <w:vAlign w:val="center"/>
          </w:tcPr>
          <w:p>
            <w:pPr>
              <w:keepNext w:val="0"/>
              <w:spacing w:line="320" w:lineRule="exact" w:after="0" w:before="0"/>
              <w:ind w:firstLine="0"/>
              <w:jc w:val="left"/>
            </w:pPr>
            <w:r>
              <w:rPr>
                <w:b w:val="0"/>
                <w:sz w:val="21"/>
              </w:rPr>
              <w:t>source_family_id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真实来源及其翻译、改写、切片和派生内容的共同家族</w:t>
            </w:r>
          </w:p>
        </w:tc>
        <w:tc>
          <w:tcPr>
            <w:tcW w:type="dxa" w:w="3084"/>
            <w:vAlign w:val="center"/>
          </w:tcPr>
          <w:p>
            <w:pPr>
              <w:keepNext w:val="0"/>
              <w:spacing w:line="320" w:lineRule="exact" w:after="0" w:before="0"/>
              <w:ind w:firstLine="0"/>
              <w:jc w:val="left"/>
            </w:pPr>
            <w:r>
              <w:rPr>
                <w:b w:val="0"/>
                <w:sz w:val="21"/>
              </w:rPr>
              <w:t>缺失时不得执行正式训练基准划分</w:t>
            </w:r>
          </w:p>
        </w:tc>
      </w:tr>
      <w:tr>
        <w:trPr>
          <w:cantSplit/>
        </w:trPr>
        <w:tc>
          <w:tcPr>
            <w:tcW w:type="dxa" w:w="2313"/>
            <w:vAlign w:val="center"/>
          </w:tcPr>
          <w:p>
            <w:pPr>
              <w:keepNext w:val="0"/>
              <w:spacing w:line="320" w:lineRule="exact" w:after="0" w:before="0"/>
              <w:ind w:firstLine="0"/>
              <w:jc w:val="left"/>
            </w:pPr>
            <w:r>
              <w:rPr>
                <w:b w:val="0"/>
                <w:sz w:val="21"/>
              </w:rPr>
              <w:t>source_refs</w:t>
            </w:r>
          </w:p>
        </w:tc>
        <w:tc>
          <w:tcPr>
            <w:tcW w:type="dxa" w:w="1157"/>
            <w:vAlign w:val="center"/>
          </w:tcPr>
          <w:p>
            <w:pPr>
              <w:keepNext w:val="0"/>
              <w:spacing w:line="320" w:lineRule="exact" w:after="0" w:before="0"/>
              <w:ind w:firstLine="0"/>
              <w:jc w:val="left"/>
            </w:pPr>
            <w:r>
              <w:rPr>
                <w:b w:val="0"/>
                <w:sz w:val="21"/>
              </w:rPr>
              <w:t>对象数组</w:t>
            </w:r>
          </w:p>
        </w:tc>
        <w:tc>
          <w:tcPr>
            <w:tcW w:type="dxa" w:w="3084"/>
            <w:vAlign w:val="center"/>
          </w:tcPr>
          <w:p>
            <w:pPr>
              <w:keepNext w:val="0"/>
              <w:spacing w:line="320" w:lineRule="exact" w:after="0" w:before="0"/>
              <w:ind w:firstLine="0"/>
              <w:jc w:val="left"/>
            </w:pPr>
            <w:r>
              <w:rPr>
                <w:b w:val="0"/>
                <w:sz w:val="21"/>
              </w:rPr>
              <w:t>来源标识、批次、原位置、业务期间和授权引用</w:t>
            </w:r>
          </w:p>
        </w:tc>
        <w:tc>
          <w:tcPr>
            <w:tcW w:type="dxa" w:w="3084"/>
            <w:vAlign w:val="center"/>
          </w:tcPr>
          <w:p>
            <w:pPr>
              <w:keepNext w:val="0"/>
              <w:spacing w:line="320" w:lineRule="exact" w:after="0" w:before="0"/>
              <w:ind w:firstLine="0"/>
              <w:jc w:val="left"/>
            </w:pPr>
            <w:r>
              <w:rPr>
                <w:b w:val="0"/>
                <w:sz w:val="21"/>
              </w:rPr>
              <w:t>悬空来源进入补证或退出有效供给</w:t>
            </w:r>
          </w:p>
        </w:tc>
      </w:tr>
      <w:tr>
        <w:trPr>
          <w:cantSplit/>
        </w:trPr>
        <w:tc>
          <w:tcPr>
            <w:tcW w:type="dxa" w:w="2313"/>
            <w:vAlign w:val="center"/>
          </w:tcPr>
          <w:p>
            <w:pPr>
              <w:keepNext w:val="0"/>
              <w:spacing w:line="320" w:lineRule="exact" w:after="0" w:before="0"/>
              <w:ind w:firstLine="0"/>
              <w:jc w:val="left"/>
            </w:pPr>
            <w:r>
              <w:rPr>
                <w:b w:val="0"/>
                <w:sz w:val="21"/>
              </w:rPr>
              <w:t>business_objects</w:t>
            </w:r>
          </w:p>
        </w:tc>
        <w:tc>
          <w:tcPr>
            <w:tcW w:type="dxa" w:w="1157"/>
            <w:vAlign w:val="center"/>
          </w:tcPr>
          <w:p>
            <w:pPr>
              <w:keepNext w:val="0"/>
              <w:spacing w:line="320" w:lineRule="exact" w:after="0" w:before="0"/>
              <w:ind w:firstLine="0"/>
              <w:jc w:val="left"/>
            </w:pPr>
            <w:r>
              <w:rPr>
                <w:b w:val="0"/>
                <w:sz w:val="21"/>
              </w:rPr>
              <w:t>对象数组</w:t>
            </w:r>
          </w:p>
        </w:tc>
        <w:tc>
          <w:tcPr>
            <w:tcW w:type="dxa" w:w="3084"/>
            <w:vAlign w:val="center"/>
          </w:tcPr>
          <w:p>
            <w:pPr>
              <w:keepNext w:val="0"/>
              <w:spacing w:line="320" w:lineRule="exact" w:after="0" w:before="0"/>
              <w:ind w:firstLine="0"/>
              <w:jc w:val="left"/>
            </w:pPr>
            <w:r>
              <w:rPr>
                <w:b w:val="0"/>
                <w:sz w:val="21"/>
              </w:rPr>
              <w:t>对象类型、稳定键、源系统键与有效期间</w:t>
            </w:r>
          </w:p>
        </w:tc>
        <w:tc>
          <w:tcPr>
            <w:tcW w:type="dxa" w:w="3084"/>
            <w:vAlign w:val="center"/>
          </w:tcPr>
          <w:p>
            <w:pPr>
              <w:keepNext w:val="0"/>
              <w:spacing w:line="320" w:lineRule="exact" w:after="0" w:before="0"/>
              <w:ind w:firstLine="0"/>
              <w:jc w:val="left"/>
            </w:pPr>
            <w:r>
              <w:rPr>
                <w:b w:val="0"/>
                <w:sz w:val="21"/>
              </w:rPr>
              <w:t>标识映射有冲突时保留候选并专业确认</w:t>
            </w:r>
          </w:p>
        </w:tc>
      </w:tr>
      <w:tr>
        <w:trPr>
          <w:cantSplit/>
        </w:trPr>
        <w:tc>
          <w:tcPr>
            <w:tcW w:type="dxa" w:w="2313"/>
            <w:vAlign w:val="center"/>
          </w:tcPr>
          <w:p>
            <w:pPr>
              <w:keepNext w:val="0"/>
              <w:spacing w:line="320" w:lineRule="exact" w:after="0" w:before="0"/>
              <w:ind w:firstLine="0"/>
              <w:jc w:val="left"/>
            </w:pPr>
            <w:r>
              <w:rPr>
                <w:b w:val="0"/>
                <w:sz w:val="21"/>
              </w:rPr>
              <w:t>business_time</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原业务时间或时间区间、精度、时区与依据</w:t>
            </w:r>
          </w:p>
        </w:tc>
        <w:tc>
          <w:tcPr>
            <w:tcW w:type="dxa" w:w="3084"/>
            <w:vAlign w:val="center"/>
          </w:tcPr>
          <w:p>
            <w:pPr>
              <w:keepNext w:val="0"/>
              <w:spacing w:line="320" w:lineRule="exact" w:after="0" w:before="0"/>
              <w:ind w:firstLine="0"/>
              <w:jc w:val="left"/>
            </w:pPr>
            <w:r>
              <w:rPr>
                <w:b w:val="0"/>
                <w:sz w:val="21"/>
              </w:rPr>
              <w:t>未知单独标记，不用导入时间替换</w:t>
            </w:r>
          </w:p>
        </w:tc>
      </w:tr>
      <w:tr>
        <w:trPr>
          <w:cantSplit/>
        </w:trPr>
        <w:tc>
          <w:tcPr>
            <w:tcW w:type="dxa" w:w="2313"/>
            <w:vAlign w:val="center"/>
          </w:tcPr>
          <w:p>
            <w:pPr>
              <w:keepNext w:val="0"/>
              <w:spacing w:line="320" w:lineRule="exact" w:after="0" w:before="0"/>
              <w:ind w:firstLine="0"/>
              <w:jc w:val="left"/>
            </w:pPr>
            <w:r>
              <w:rPr>
                <w:b w:val="0"/>
                <w:sz w:val="21"/>
              </w:rPr>
              <w:t>collection_time</w:t>
            </w:r>
          </w:p>
        </w:tc>
        <w:tc>
          <w:tcPr>
            <w:tcW w:type="dxa" w:w="1157"/>
            <w:vAlign w:val="center"/>
          </w:tcPr>
          <w:p>
            <w:pPr>
              <w:keepNext w:val="0"/>
              <w:spacing w:line="320" w:lineRule="exact" w:after="0" w:before="0"/>
              <w:ind w:firstLine="0"/>
              <w:jc w:val="left"/>
            </w:pPr>
            <w:r>
              <w:rPr>
                <w:b w:val="0"/>
                <w:sz w:val="21"/>
              </w:rPr>
              <w:t>时间</w:t>
            </w:r>
          </w:p>
        </w:tc>
        <w:tc>
          <w:tcPr>
            <w:tcW w:type="dxa" w:w="3084"/>
            <w:vAlign w:val="center"/>
          </w:tcPr>
          <w:p>
            <w:pPr>
              <w:keepNext w:val="0"/>
              <w:spacing w:line="320" w:lineRule="exact" w:after="0" w:before="0"/>
              <w:ind w:firstLine="0"/>
              <w:jc w:val="left"/>
            </w:pPr>
            <w:r>
              <w:rPr>
                <w:b w:val="0"/>
                <w:sz w:val="21"/>
              </w:rPr>
              <w:t>实际接收或采集时间及来源批次</w:t>
            </w:r>
          </w:p>
        </w:tc>
        <w:tc>
          <w:tcPr>
            <w:tcW w:type="dxa" w:w="3084"/>
            <w:vAlign w:val="center"/>
          </w:tcPr>
          <w:p>
            <w:pPr>
              <w:keepNext w:val="0"/>
              <w:spacing w:line="320" w:lineRule="exact" w:after="0" w:before="0"/>
              <w:ind w:firstLine="0"/>
              <w:jc w:val="left"/>
            </w:pPr>
            <w:r>
              <w:rPr>
                <w:b w:val="0"/>
                <w:sz w:val="21"/>
              </w:rPr>
              <w:t>与业务时间分别保存并核查异常倒序</w:t>
            </w:r>
          </w:p>
        </w:tc>
      </w:tr>
      <w:tr>
        <w:trPr>
          <w:cantSplit/>
        </w:trPr>
        <w:tc>
          <w:tcPr>
            <w:tcW w:type="dxa" w:w="2313"/>
            <w:vAlign w:val="center"/>
          </w:tcPr>
          <w:p>
            <w:pPr>
              <w:keepNext w:val="0"/>
              <w:spacing w:line="320" w:lineRule="exact" w:after="0" w:before="0"/>
              <w:ind w:firstLine="0"/>
              <w:jc w:val="left"/>
            </w:pPr>
            <w:r>
              <w:rPr>
                <w:b w:val="0"/>
                <w:sz w:val="21"/>
              </w:rPr>
              <w:t>license_refs</w:t>
            </w:r>
          </w:p>
        </w:tc>
        <w:tc>
          <w:tcPr>
            <w:tcW w:type="dxa" w:w="1157"/>
            <w:vAlign w:val="center"/>
          </w:tcPr>
          <w:p>
            <w:pPr>
              <w:keepNext w:val="0"/>
              <w:spacing w:line="320" w:lineRule="exact" w:after="0" w:before="0"/>
              <w:ind w:firstLine="0"/>
              <w:jc w:val="left"/>
            </w:pPr>
            <w:r>
              <w:rPr>
                <w:b w:val="0"/>
                <w:sz w:val="21"/>
              </w:rPr>
              <w:t>字符串数组</w:t>
            </w:r>
          </w:p>
        </w:tc>
        <w:tc>
          <w:tcPr>
            <w:tcW w:type="dxa" w:w="3084"/>
            <w:vAlign w:val="center"/>
          </w:tcPr>
          <w:p>
            <w:pPr>
              <w:keepNext w:val="0"/>
              <w:spacing w:line="320" w:lineRule="exact" w:after="0" w:before="0"/>
              <w:ind w:firstLine="0"/>
              <w:jc w:val="left"/>
            </w:pPr>
            <w:r>
              <w:rPr>
                <w:b w:val="0"/>
                <w:sz w:val="21"/>
              </w:rPr>
              <w:t>当前用途所需授权及限制文件标识</w:t>
            </w:r>
          </w:p>
        </w:tc>
        <w:tc>
          <w:tcPr>
            <w:tcW w:type="dxa" w:w="3084"/>
            <w:vAlign w:val="center"/>
          </w:tcPr>
          <w:p>
            <w:pPr>
              <w:keepNext w:val="0"/>
              <w:spacing w:line="320" w:lineRule="exact" w:after="0" w:before="0"/>
              <w:ind w:firstLine="0"/>
              <w:jc w:val="left"/>
            </w:pPr>
            <w:r>
              <w:rPr>
                <w:b w:val="0"/>
                <w:sz w:val="21"/>
              </w:rPr>
              <w:t>权利不足时限制加工、使用与分发</w:t>
            </w:r>
          </w:p>
        </w:tc>
      </w:tr>
      <w:tr>
        <w:trPr>
          <w:cantSplit/>
        </w:trPr>
        <w:tc>
          <w:tcPr>
            <w:tcW w:type="dxa" w:w="2313"/>
            <w:vAlign w:val="center"/>
          </w:tcPr>
          <w:p>
            <w:pPr>
              <w:keepNext w:val="0"/>
              <w:spacing w:line="320" w:lineRule="exact" w:after="0" w:before="0"/>
              <w:ind w:firstLine="0"/>
              <w:jc w:val="left"/>
            </w:pPr>
            <w:r>
              <w:rPr>
                <w:b w:val="0"/>
                <w:sz w:val="21"/>
              </w:rPr>
              <w:t>classification</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数据类别、L1至L5级别、批准依据与适用范围</w:t>
            </w:r>
          </w:p>
        </w:tc>
        <w:tc>
          <w:tcPr>
            <w:tcW w:type="dxa" w:w="3084"/>
            <w:vAlign w:val="center"/>
          </w:tcPr>
          <w:p>
            <w:pPr>
              <w:keepNext w:val="0"/>
              <w:spacing w:line="320" w:lineRule="exact" w:after="0" w:before="0"/>
              <w:ind w:firstLine="0"/>
              <w:jc w:val="left"/>
            </w:pPr>
            <w:r>
              <w:rPr>
                <w:b w:val="0"/>
                <w:sz w:val="21"/>
              </w:rPr>
              <w:t>混合敏感度按资源和字段实际管控</w:t>
            </w:r>
          </w:p>
        </w:tc>
      </w:tr>
      <w:tr>
        <w:trPr>
          <w:cantSplit/>
        </w:trPr>
        <w:tc>
          <w:tcPr>
            <w:tcW w:type="dxa" w:w="2313"/>
            <w:vAlign w:val="center"/>
          </w:tcPr>
          <w:p>
            <w:pPr>
              <w:keepNext w:val="0"/>
              <w:spacing w:line="320" w:lineRule="exact" w:after="0" w:before="0"/>
              <w:ind w:firstLine="0"/>
              <w:jc w:val="left"/>
            </w:pPr>
            <w:r>
              <w:rPr>
                <w:b w:val="0"/>
                <w:sz w:val="21"/>
              </w:rPr>
              <w:t>lineage_refs</w:t>
            </w:r>
          </w:p>
        </w:tc>
        <w:tc>
          <w:tcPr>
            <w:tcW w:type="dxa" w:w="1157"/>
            <w:vAlign w:val="center"/>
          </w:tcPr>
          <w:p>
            <w:pPr>
              <w:keepNext w:val="0"/>
              <w:spacing w:line="320" w:lineRule="exact" w:after="0" w:before="0"/>
              <w:ind w:firstLine="0"/>
              <w:jc w:val="left"/>
            </w:pPr>
            <w:r>
              <w:rPr>
                <w:b w:val="0"/>
                <w:sz w:val="21"/>
              </w:rPr>
              <w:t>对象数组</w:t>
            </w:r>
          </w:p>
        </w:tc>
        <w:tc>
          <w:tcPr>
            <w:tcW w:type="dxa" w:w="3084"/>
            <w:vAlign w:val="center"/>
          </w:tcPr>
          <w:p>
            <w:pPr>
              <w:keepNext w:val="0"/>
              <w:spacing w:line="320" w:lineRule="exact" w:after="0" w:before="0"/>
              <w:ind w:firstLine="0"/>
              <w:jc w:val="left"/>
            </w:pPr>
            <w:r>
              <w:rPr>
                <w:b w:val="0"/>
                <w:sz w:val="21"/>
              </w:rPr>
              <w:t>直接上游记录、作业、配置和前序版本</w:t>
            </w:r>
          </w:p>
        </w:tc>
        <w:tc>
          <w:tcPr>
            <w:tcW w:type="dxa" w:w="3084"/>
            <w:vAlign w:val="center"/>
          </w:tcPr>
          <w:p>
            <w:pPr>
              <w:keepNext w:val="0"/>
              <w:spacing w:line="320" w:lineRule="exact" w:after="0" w:before="0"/>
              <w:ind w:firstLine="0"/>
              <w:jc w:val="left"/>
            </w:pPr>
            <w:r>
              <w:rPr>
                <w:b w:val="0"/>
                <w:sz w:val="21"/>
              </w:rPr>
              <w:t>冻结节点禁止回写；修复建立后继关系</w:t>
            </w:r>
          </w:p>
        </w:tc>
      </w:tr>
      <w:tr>
        <w:trPr>
          <w:cantSplit/>
        </w:trPr>
        <w:tc>
          <w:tcPr>
            <w:tcW w:type="dxa" w:w="2313"/>
            <w:vAlign w:val="center"/>
          </w:tcPr>
          <w:p>
            <w:pPr>
              <w:keepNext w:val="0"/>
              <w:spacing w:line="320" w:lineRule="exact" w:after="0" w:before="0"/>
              <w:ind w:firstLine="0"/>
              <w:jc w:val="left"/>
            </w:pPr>
            <w:r>
              <w:rPr>
                <w:b w:val="0"/>
                <w:sz w:val="21"/>
              </w:rPr>
              <w:t>quality_state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unchecked、checking、failed、passed</w:t>
            </w:r>
          </w:p>
        </w:tc>
        <w:tc>
          <w:tcPr>
            <w:tcW w:type="dxa" w:w="3084"/>
            <w:vAlign w:val="center"/>
          </w:tcPr>
          <w:p>
            <w:pPr>
              <w:keepNext w:val="0"/>
              <w:spacing w:line="320" w:lineRule="exact" w:after="0" w:before="0"/>
              <w:ind w:firstLine="0"/>
              <w:jc w:val="left"/>
            </w:pPr>
            <w:r>
              <w:rPr>
                <w:b w:val="0"/>
                <w:sz w:val="21"/>
              </w:rPr>
              <w:t>技术执行成功与业务质量通过分别确认</w:t>
            </w:r>
          </w:p>
        </w:tc>
      </w:tr>
      <w:tr>
        <w:trPr>
          <w:cantSplit/>
        </w:trPr>
        <w:tc>
          <w:tcPr>
            <w:tcW w:type="dxa" w:w="2313"/>
            <w:vAlign w:val="center"/>
          </w:tcPr>
          <w:p>
            <w:pPr>
              <w:keepNext w:val="0"/>
              <w:spacing w:line="320" w:lineRule="exact" w:after="0" w:before="0"/>
              <w:ind w:firstLine="0"/>
              <w:jc w:val="left"/>
            </w:pPr>
            <w:r>
              <w:rPr>
                <w:b w:val="0"/>
                <w:sz w:val="21"/>
              </w:rPr>
              <w:t>defect_refs</w:t>
            </w:r>
          </w:p>
        </w:tc>
        <w:tc>
          <w:tcPr>
            <w:tcW w:type="dxa" w:w="1157"/>
            <w:vAlign w:val="center"/>
          </w:tcPr>
          <w:p>
            <w:pPr>
              <w:keepNext w:val="0"/>
              <w:spacing w:line="320" w:lineRule="exact" w:after="0" w:before="0"/>
              <w:ind w:firstLine="0"/>
              <w:jc w:val="left"/>
            </w:pPr>
            <w:r>
              <w:rPr>
                <w:b w:val="0"/>
                <w:sz w:val="21"/>
              </w:rPr>
              <w:t>字符串数组</w:t>
            </w:r>
          </w:p>
        </w:tc>
        <w:tc>
          <w:tcPr>
            <w:tcW w:type="dxa" w:w="3084"/>
            <w:vAlign w:val="center"/>
          </w:tcPr>
          <w:p>
            <w:pPr>
              <w:keepNext w:val="0"/>
              <w:spacing w:line="320" w:lineRule="exact" w:after="0" w:before="0"/>
              <w:ind w:firstLine="0"/>
              <w:jc w:val="left"/>
            </w:pPr>
            <w:r>
              <w:rPr>
                <w:b w:val="0"/>
                <w:sz w:val="21"/>
              </w:rPr>
              <w:t>关联问题、风险和整改记录</w:t>
            </w:r>
          </w:p>
        </w:tc>
        <w:tc>
          <w:tcPr>
            <w:tcW w:type="dxa" w:w="3084"/>
            <w:vAlign w:val="center"/>
          </w:tcPr>
          <w:p>
            <w:pPr>
              <w:keepNext w:val="0"/>
              <w:spacing w:line="320" w:lineRule="exact" w:after="0" w:before="0"/>
              <w:ind w:firstLine="0"/>
              <w:jc w:val="left"/>
            </w:pPr>
            <w:r>
              <w:rPr>
                <w:b w:val="0"/>
                <w:sz w:val="21"/>
              </w:rPr>
              <w:t>已知问题保持可追溯，不因换版本丢失</w:t>
            </w:r>
          </w:p>
        </w:tc>
      </w:tr>
      <w:tr>
        <w:trPr>
          <w:cantSplit/>
        </w:trPr>
        <w:tc>
          <w:tcPr>
            <w:tcW w:type="dxa" w:w="2313"/>
            <w:vAlign w:val="center"/>
          </w:tcPr>
          <w:p>
            <w:pPr>
              <w:keepNext w:val="0"/>
              <w:spacing w:line="320" w:lineRule="exact" w:after="0" w:before="0"/>
              <w:ind w:firstLine="0"/>
              <w:jc w:val="left"/>
            </w:pPr>
            <w:r>
              <w:rPr>
                <w:b w:val="0"/>
                <w:sz w:val="21"/>
              </w:rPr>
              <w:t>evidence_refs</w:t>
            </w:r>
          </w:p>
        </w:tc>
        <w:tc>
          <w:tcPr>
            <w:tcW w:type="dxa" w:w="1157"/>
            <w:vAlign w:val="center"/>
          </w:tcPr>
          <w:p>
            <w:pPr>
              <w:keepNext w:val="0"/>
              <w:spacing w:line="320" w:lineRule="exact" w:after="0" w:before="0"/>
              <w:ind w:firstLine="0"/>
              <w:jc w:val="left"/>
            </w:pPr>
            <w:r>
              <w:rPr>
                <w:b w:val="0"/>
                <w:sz w:val="21"/>
              </w:rPr>
              <w:t>对象数组</w:t>
            </w:r>
          </w:p>
        </w:tc>
        <w:tc>
          <w:tcPr>
            <w:tcW w:type="dxa" w:w="3084"/>
            <w:vAlign w:val="center"/>
          </w:tcPr>
          <w:p>
            <w:pPr>
              <w:keepNext w:val="0"/>
              <w:spacing w:line="320" w:lineRule="exact" w:after="0" w:before="0"/>
              <w:ind w:firstLine="0"/>
              <w:jc w:val="left"/>
            </w:pPr>
            <w:r>
              <w:rPr>
                <w:b w:val="0"/>
                <w:sz w:val="21"/>
              </w:rPr>
              <w:t>业务依据、标签依据、复核与正式报告引用</w:t>
            </w:r>
          </w:p>
        </w:tc>
        <w:tc>
          <w:tcPr>
            <w:tcW w:type="dxa" w:w="3084"/>
            <w:vAlign w:val="center"/>
          </w:tcPr>
          <w:p>
            <w:pPr>
              <w:keepNext w:val="0"/>
              <w:spacing w:line="320" w:lineRule="exact" w:after="0" w:before="0"/>
              <w:ind w:firstLine="0"/>
              <w:jc w:val="left"/>
            </w:pPr>
            <w:r>
              <w:rPr>
                <w:b w:val="0"/>
                <w:sz w:val="21"/>
              </w:rPr>
              <w:t>关键结论无依据时不能形成正式通过状态</w:t>
            </w:r>
          </w:p>
        </w:tc>
      </w:tr>
    </w:tbl>
    <w:p>
      <w:pPr>
        <w:spacing w:after="40" w:line="240" w:lineRule="auto"/>
        <w:ind w:firstLine="0"/>
      </w:pPr>
      <w:r>
        <w:rPr>
          <w:sz w:val="4"/>
        </w:rPr>
      </w:r>
    </w:p>
    <w:p>
      <w:pPr>
        <w:jc w:val="both"/>
      </w:pPr>
      <w:r>
        <w:t>字符串空白不视为有效标识。数组为空时应能解释为空的业务条件，缺少必要来源、资源或证据属于失败，不能统一转换为空数组后通过。时间型字段区分精确时刻、日期、月份、区间与未知；跨月、跨时区及夏令时条件由明确业务时区规则处理，原值始终保留。</w:t>
      </w:r>
    </w:p>
    <w:p>
      <w:pPr>
        <w:jc w:val="both"/>
      </w:pPr>
      <w:r>
        <w:t>业务对象的粒度由实际事实决定。同一合同可以包含多个订单行，同一图号可以有多个有效版次，同一设备可以经历多次部件安装，同一检验项目可以有多轮复检。对象键需要包含足以区分实例的条件，不以名称相同判定同一对象，也不以记录数量增加推断业务规模增加。</w:t>
      </w:r>
    </w:p>
    <w:p>
      <w:pPr>
        <w:pStyle w:val="Heading2"/>
      </w:pPr>
      <w:r>
        <w:t>7.2 内容与模态资源字段</w:t>
      </w:r>
    </w:p>
    <w:p>
      <w:pPr>
        <w:pStyle w:val="Caption"/>
        <w:keepNext/>
      </w:pPr>
      <w:r>
        <w:t>表7-2 内容与模态资源字段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内容及约束</w:t>
            </w:r>
          </w:p>
        </w:tc>
        <w:tc>
          <w:tcPr>
            <w:tcW w:type="dxa" w:w="3084"/>
            <w:vAlign w:val="center"/>
            <w:shd w:fill="EDF1F3"/>
          </w:tcPr>
          <w:p>
            <w:pPr>
              <w:keepNext/>
              <w:spacing w:line="320" w:lineRule="exact" w:after="0" w:before="0"/>
              <w:ind w:firstLine="0"/>
              <w:jc w:val="center"/>
            </w:pPr>
            <w:r>
              <w:rPr>
                <w:b/>
                <w:sz w:val="21"/>
              </w:rPr>
              <w:t>核验方法</w:t>
            </w:r>
          </w:p>
        </w:tc>
      </w:tr>
      <w:tr>
        <w:trPr>
          <w:cantSplit/>
        </w:trPr>
        <w:tc>
          <w:tcPr>
            <w:tcW w:type="dxa" w:w="2313"/>
            <w:vAlign w:val="center"/>
          </w:tcPr>
          <w:p>
            <w:pPr>
              <w:keepNext w:val="0"/>
              <w:spacing w:line="320" w:lineRule="exact" w:after="0" w:before="0"/>
              <w:ind w:firstLine="0"/>
              <w:jc w:val="left"/>
            </w:pPr>
            <w:r>
              <w:rPr>
                <w:b w:val="0"/>
                <w:sz w:val="21"/>
              </w:rPr>
              <w:t>content.text</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当前用途所需正文，保留必要上下文及专业符号</w:t>
            </w:r>
          </w:p>
        </w:tc>
        <w:tc>
          <w:tcPr>
            <w:tcW w:type="dxa" w:w="3084"/>
            <w:vAlign w:val="center"/>
          </w:tcPr>
          <w:p>
            <w:pPr>
              <w:keepNext w:val="0"/>
              <w:spacing w:line="320" w:lineRule="exact" w:after="0" w:before="0"/>
              <w:ind w:firstLine="0"/>
              <w:jc w:val="left"/>
            </w:pPr>
            <w:r>
              <w:rPr>
                <w:b w:val="0"/>
                <w:sz w:val="21"/>
              </w:rPr>
              <w:t>对照原文、结构和语义边界复核</w:t>
            </w:r>
          </w:p>
        </w:tc>
      </w:tr>
      <w:tr>
        <w:trPr>
          <w:cantSplit/>
        </w:trPr>
        <w:tc>
          <w:tcPr>
            <w:tcW w:type="dxa" w:w="2313"/>
            <w:vAlign w:val="center"/>
          </w:tcPr>
          <w:p>
            <w:pPr>
              <w:keepNext w:val="0"/>
              <w:spacing w:line="320" w:lineRule="exact" w:after="0" w:before="0"/>
              <w:ind w:firstLine="0"/>
              <w:jc w:val="left"/>
            </w:pPr>
            <w:r>
              <w:rPr>
                <w:b w:val="0"/>
                <w:sz w:val="21"/>
              </w:rPr>
              <w:t>resources</w:t>
            </w:r>
          </w:p>
        </w:tc>
        <w:tc>
          <w:tcPr>
            <w:tcW w:type="dxa" w:w="1157"/>
            <w:vAlign w:val="center"/>
          </w:tcPr>
          <w:p>
            <w:pPr>
              <w:keepNext w:val="0"/>
              <w:spacing w:line="320" w:lineRule="exact" w:after="0" w:before="0"/>
              <w:ind w:firstLine="0"/>
              <w:jc w:val="left"/>
            </w:pPr>
            <w:r>
              <w:rPr>
                <w:b w:val="0"/>
                <w:sz w:val="21"/>
              </w:rPr>
              <w:t>对象数组</w:t>
            </w:r>
          </w:p>
        </w:tc>
        <w:tc>
          <w:tcPr>
            <w:tcW w:type="dxa" w:w="3084"/>
            <w:vAlign w:val="center"/>
          </w:tcPr>
          <w:p>
            <w:pPr>
              <w:keepNext w:val="0"/>
              <w:spacing w:line="320" w:lineRule="exact" w:after="0" w:before="0"/>
              <w:ind w:firstLine="0"/>
              <w:jc w:val="left"/>
            </w:pPr>
            <w:r>
              <w:rPr>
                <w:b w:val="0"/>
                <w:sz w:val="21"/>
              </w:rPr>
              <w:t>资源标识、模态、相对路径、媒体类型、字节数与摘要</w:t>
            </w:r>
          </w:p>
        </w:tc>
        <w:tc>
          <w:tcPr>
            <w:tcW w:type="dxa" w:w="3084"/>
            <w:vAlign w:val="center"/>
          </w:tcPr>
          <w:p>
            <w:pPr>
              <w:keepNext w:val="0"/>
              <w:spacing w:line="320" w:lineRule="exact" w:after="0" w:before="0"/>
              <w:ind w:firstLine="0"/>
              <w:jc w:val="left"/>
            </w:pPr>
            <w:r>
              <w:rPr>
                <w:b w:val="0"/>
                <w:sz w:val="21"/>
              </w:rPr>
              <w:t>逐资源检查存在、可读、身份和引用一致</w:t>
            </w:r>
          </w:p>
        </w:tc>
      </w:tr>
      <w:tr>
        <w:trPr>
          <w:cantSplit/>
        </w:trPr>
        <w:tc>
          <w:tcPr>
            <w:tcW w:type="dxa" w:w="2313"/>
            <w:vAlign w:val="center"/>
          </w:tcPr>
          <w:p>
            <w:pPr>
              <w:keepNext w:val="0"/>
              <w:spacing w:line="320" w:lineRule="exact" w:after="0" w:before="0"/>
              <w:ind w:firstLine="0"/>
              <w:jc w:val="left"/>
            </w:pPr>
            <w:r>
              <w:rPr>
                <w:b w:val="0"/>
                <w:sz w:val="21"/>
              </w:rPr>
              <w:t>resources.image</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图像尺寸、坐标参照、方向、色彩及必要版面位置</w:t>
            </w:r>
          </w:p>
        </w:tc>
        <w:tc>
          <w:tcPr>
            <w:tcW w:type="dxa" w:w="3084"/>
            <w:vAlign w:val="center"/>
          </w:tcPr>
          <w:p>
            <w:pPr>
              <w:keepNext w:val="0"/>
              <w:spacing w:line="320" w:lineRule="exact" w:after="0" w:before="0"/>
              <w:ind w:firstLine="0"/>
              <w:jc w:val="left"/>
            </w:pPr>
            <w:r>
              <w:rPr>
                <w:b w:val="0"/>
                <w:sz w:val="21"/>
              </w:rPr>
              <w:t>坐标位于实际画布内，旋转缩放同步标签</w:t>
            </w:r>
          </w:p>
        </w:tc>
      </w:tr>
      <w:tr>
        <w:trPr>
          <w:cantSplit/>
        </w:trPr>
        <w:tc>
          <w:tcPr>
            <w:tcW w:type="dxa" w:w="2313"/>
            <w:vAlign w:val="center"/>
          </w:tcPr>
          <w:p>
            <w:pPr>
              <w:keepNext w:val="0"/>
              <w:spacing w:line="320" w:lineRule="exact" w:after="0" w:before="0"/>
              <w:ind w:firstLine="0"/>
              <w:jc w:val="left"/>
            </w:pPr>
            <w:r>
              <w:rPr>
                <w:b w:val="0"/>
                <w:sz w:val="21"/>
              </w:rPr>
              <w:t>resources.timeseries</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测点、时间数组、值数组、单位、采样方式、缺口及质量标记</w:t>
            </w:r>
          </w:p>
        </w:tc>
        <w:tc>
          <w:tcPr>
            <w:tcW w:type="dxa" w:w="3084"/>
            <w:vAlign w:val="center"/>
          </w:tcPr>
          <w:p>
            <w:pPr>
              <w:keepNext w:val="0"/>
              <w:spacing w:line="320" w:lineRule="exact" w:after="0" w:before="0"/>
              <w:ind w:firstLine="0"/>
              <w:jc w:val="left"/>
            </w:pPr>
            <w:r>
              <w:rPr>
                <w:b w:val="0"/>
                <w:sz w:val="21"/>
              </w:rPr>
              <w:t>时间和值长度一致，时间有序，缺口不伪装测量值</w:t>
            </w:r>
          </w:p>
        </w:tc>
      </w:tr>
      <w:tr>
        <w:trPr>
          <w:cantSplit/>
        </w:trPr>
        <w:tc>
          <w:tcPr>
            <w:tcW w:type="dxa" w:w="2313"/>
            <w:vAlign w:val="center"/>
          </w:tcPr>
          <w:p>
            <w:pPr>
              <w:keepNext w:val="0"/>
              <w:spacing w:line="320" w:lineRule="exact" w:after="0" w:before="0"/>
              <w:ind w:firstLine="0"/>
              <w:jc w:val="left"/>
            </w:pPr>
            <w:r>
              <w:rPr>
                <w:b w:val="0"/>
                <w:sz w:val="21"/>
              </w:rPr>
              <w:t>resources.video</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编码、时基、帧率、总时长、片段起止及帧索引</w:t>
            </w:r>
          </w:p>
        </w:tc>
        <w:tc>
          <w:tcPr>
            <w:tcW w:type="dxa" w:w="3084"/>
            <w:vAlign w:val="center"/>
          </w:tcPr>
          <w:p>
            <w:pPr>
              <w:keepNext w:val="0"/>
              <w:spacing w:line="320" w:lineRule="exact" w:after="0" w:before="0"/>
              <w:ind w:firstLine="0"/>
              <w:jc w:val="left"/>
            </w:pPr>
            <w:r>
              <w:rPr>
                <w:b w:val="0"/>
                <w:sz w:val="21"/>
              </w:rPr>
              <w:t>按真实时基定位，检查片段与业务事件对应</w:t>
            </w:r>
          </w:p>
        </w:tc>
      </w:tr>
      <w:tr>
        <w:trPr>
          <w:cantSplit/>
        </w:trPr>
        <w:tc>
          <w:tcPr>
            <w:tcW w:type="dxa" w:w="2313"/>
            <w:vAlign w:val="center"/>
          </w:tcPr>
          <w:p>
            <w:pPr>
              <w:keepNext w:val="0"/>
              <w:spacing w:line="320" w:lineRule="exact" w:after="0" w:before="0"/>
              <w:ind w:firstLine="0"/>
              <w:jc w:val="left"/>
            </w:pPr>
            <w:r>
              <w:rPr>
                <w:b w:val="0"/>
                <w:sz w:val="21"/>
              </w:rPr>
              <w:t>alignments</w:t>
            </w:r>
          </w:p>
        </w:tc>
        <w:tc>
          <w:tcPr>
            <w:tcW w:type="dxa" w:w="1157"/>
            <w:vAlign w:val="center"/>
          </w:tcPr>
          <w:p>
            <w:pPr>
              <w:keepNext w:val="0"/>
              <w:spacing w:line="320" w:lineRule="exact" w:after="0" w:before="0"/>
              <w:ind w:firstLine="0"/>
              <w:jc w:val="left"/>
            </w:pPr>
            <w:r>
              <w:rPr>
                <w:b w:val="0"/>
                <w:sz w:val="21"/>
              </w:rPr>
              <w:t>对象数组</w:t>
            </w:r>
          </w:p>
        </w:tc>
        <w:tc>
          <w:tcPr>
            <w:tcW w:type="dxa" w:w="3084"/>
            <w:vAlign w:val="center"/>
          </w:tcPr>
          <w:p>
            <w:pPr>
              <w:keepNext w:val="0"/>
              <w:spacing w:line="320" w:lineRule="exact" w:after="0" w:before="0"/>
              <w:ind w:firstLine="0"/>
              <w:jc w:val="left"/>
            </w:pPr>
            <w:r>
              <w:rPr>
                <w:b w:val="0"/>
                <w:sz w:val="21"/>
              </w:rPr>
              <w:t>文本段、图像区域、时序窗口、视频区间之间的对象与事件对应</w:t>
            </w:r>
          </w:p>
        </w:tc>
        <w:tc>
          <w:tcPr>
            <w:tcW w:type="dxa" w:w="3084"/>
            <w:vAlign w:val="center"/>
          </w:tcPr>
          <w:p>
            <w:pPr>
              <w:keepNext w:val="0"/>
              <w:spacing w:line="320" w:lineRule="exact" w:after="0" w:before="0"/>
              <w:ind w:firstLine="0"/>
              <w:jc w:val="left"/>
            </w:pPr>
            <w:r>
              <w:rPr>
                <w:b w:val="0"/>
                <w:sz w:val="21"/>
              </w:rPr>
              <w:t>同时核对身份、时间、位置及版本</w:t>
            </w:r>
          </w:p>
        </w:tc>
      </w:tr>
      <w:tr>
        <w:trPr>
          <w:cantSplit/>
        </w:trPr>
        <w:tc>
          <w:tcPr>
            <w:tcW w:type="dxa" w:w="2313"/>
            <w:vAlign w:val="center"/>
          </w:tcPr>
          <w:p>
            <w:pPr>
              <w:keepNext w:val="0"/>
              <w:spacing w:line="320" w:lineRule="exact" w:after="0" w:before="0"/>
              <w:ind w:firstLine="0"/>
              <w:jc w:val="left"/>
            </w:pPr>
            <w:r>
              <w:rPr>
                <w:b w:val="0"/>
                <w:sz w:val="21"/>
              </w:rPr>
              <w:t>labels</w:t>
            </w:r>
          </w:p>
        </w:tc>
        <w:tc>
          <w:tcPr>
            <w:tcW w:type="dxa" w:w="1157"/>
            <w:vAlign w:val="center"/>
          </w:tcPr>
          <w:p>
            <w:pPr>
              <w:keepNext w:val="0"/>
              <w:spacing w:line="320" w:lineRule="exact" w:after="0" w:before="0"/>
              <w:ind w:firstLine="0"/>
              <w:jc w:val="left"/>
            </w:pPr>
            <w:r>
              <w:rPr>
                <w:b w:val="0"/>
                <w:sz w:val="21"/>
              </w:rPr>
              <w:t>字符串数组</w:t>
            </w:r>
          </w:p>
        </w:tc>
        <w:tc>
          <w:tcPr>
            <w:tcW w:type="dxa" w:w="3084"/>
            <w:vAlign w:val="center"/>
          </w:tcPr>
          <w:p>
            <w:pPr>
              <w:keepNext w:val="0"/>
              <w:spacing w:line="320" w:lineRule="exact" w:after="0" w:before="0"/>
              <w:ind w:firstLine="0"/>
              <w:jc w:val="left"/>
            </w:pPr>
            <w:r>
              <w:rPr>
                <w:b w:val="0"/>
                <w:sz w:val="21"/>
              </w:rPr>
              <w:t>主题、任务、状态及专业标签</w:t>
            </w:r>
          </w:p>
        </w:tc>
        <w:tc>
          <w:tcPr>
            <w:tcW w:type="dxa" w:w="3084"/>
            <w:vAlign w:val="center"/>
          </w:tcPr>
          <w:p>
            <w:pPr>
              <w:keepNext w:val="0"/>
              <w:spacing w:line="320" w:lineRule="exact" w:after="0" w:before="0"/>
              <w:ind w:firstLine="0"/>
              <w:jc w:val="left"/>
            </w:pPr>
            <w:r>
              <w:rPr>
                <w:b w:val="0"/>
                <w:sz w:val="21"/>
              </w:rPr>
              <w:t>所有取值可回到当前标签字典</w:t>
            </w:r>
          </w:p>
        </w:tc>
      </w:tr>
      <w:tr>
        <w:trPr>
          <w:cantSplit/>
        </w:trPr>
        <w:tc>
          <w:tcPr>
            <w:tcW w:type="dxa" w:w="2313"/>
            <w:vAlign w:val="center"/>
          </w:tcPr>
          <w:p>
            <w:pPr>
              <w:keepNext w:val="0"/>
              <w:spacing w:line="320" w:lineRule="exact" w:after="0" w:before="0"/>
              <w:ind w:firstLine="0"/>
              <w:jc w:val="left"/>
            </w:pPr>
            <w:r>
              <w:rPr>
                <w:b w:val="0"/>
                <w:sz w:val="21"/>
              </w:rPr>
              <w:t>primary_theme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每条记录一个主主题</w:t>
            </w:r>
          </w:p>
        </w:tc>
        <w:tc>
          <w:tcPr>
            <w:tcW w:type="dxa" w:w="3084"/>
            <w:vAlign w:val="center"/>
          </w:tcPr>
          <w:p>
            <w:pPr>
              <w:keepNext w:val="0"/>
              <w:spacing w:line="320" w:lineRule="exact" w:after="0" w:before="0"/>
              <w:ind w:firstLine="0"/>
              <w:jc w:val="left"/>
            </w:pPr>
            <w:r>
              <w:rPr>
                <w:b w:val="0"/>
                <w:sz w:val="21"/>
              </w:rPr>
              <w:t>主主题分布之和等于相应有效记录数</w:t>
            </w:r>
          </w:p>
        </w:tc>
      </w:tr>
      <w:tr>
        <w:trPr>
          <w:cantSplit/>
        </w:trPr>
        <w:tc>
          <w:tcPr>
            <w:tcW w:type="dxa" w:w="2313"/>
            <w:vAlign w:val="center"/>
          </w:tcPr>
          <w:p>
            <w:pPr>
              <w:keepNext w:val="0"/>
              <w:spacing w:line="320" w:lineRule="exact" w:after="0" w:before="0"/>
              <w:ind w:firstLine="0"/>
              <w:jc w:val="left"/>
            </w:pPr>
            <w:r>
              <w:rPr>
                <w:b w:val="0"/>
                <w:sz w:val="21"/>
              </w:rPr>
              <w:t>difficulty</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层级、定义版本、判定理由及复核</w:t>
            </w:r>
          </w:p>
        </w:tc>
        <w:tc>
          <w:tcPr>
            <w:tcW w:type="dxa" w:w="3084"/>
            <w:vAlign w:val="center"/>
          </w:tcPr>
          <w:p>
            <w:pPr>
              <w:keepNext w:val="0"/>
              <w:spacing w:line="320" w:lineRule="exact" w:after="0" w:before="0"/>
              <w:ind w:firstLine="0"/>
              <w:jc w:val="left"/>
            </w:pPr>
            <w:r>
              <w:rPr>
                <w:b w:val="0"/>
                <w:sz w:val="21"/>
              </w:rPr>
              <w:t>不以文本长度或标签稀少程度单独判难度</w:t>
            </w:r>
          </w:p>
        </w:tc>
      </w:tr>
      <w:tr>
        <w:trPr>
          <w:cantSplit/>
        </w:trPr>
        <w:tc>
          <w:tcPr>
            <w:tcW w:type="dxa" w:w="2313"/>
            <w:vAlign w:val="center"/>
          </w:tcPr>
          <w:p>
            <w:pPr>
              <w:keepNext w:val="0"/>
              <w:spacing w:line="320" w:lineRule="exact" w:after="0" w:before="0"/>
              <w:ind w:firstLine="0"/>
              <w:jc w:val="left"/>
            </w:pPr>
            <w:r>
              <w:rPr>
                <w:b w:val="0"/>
                <w:sz w:val="21"/>
              </w:rPr>
              <w:t>annotation</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规范版本、作业、人员角色、独立结果、仲裁和修订</w:t>
            </w:r>
          </w:p>
        </w:tc>
        <w:tc>
          <w:tcPr>
            <w:tcW w:type="dxa" w:w="3084"/>
            <w:vAlign w:val="center"/>
          </w:tcPr>
          <w:p>
            <w:pPr>
              <w:keepNext w:val="0"/>
              <w:spacing w:line="320" w:lineRule="exact" w:after="0" w:before="0"/>
              <w:ind w:firstLine="0"/>
              <w:jc w:val="left"/>
            </w:pPr>
            <w:r>
              <w:rPr>
                <w:b w:val="0"/>
                <w:sz w:val="21"/>
              </w:rPr>
              <w:t>原始独立判断保留，实际修改可追溯</w:t>
            </w:r>
          </w:p>
        </w:tc>
      </w:tr>
      <w:tr>
        <w:trPr>
          <w:cantSplit/>
        </w:trPr>
        <w:tc>
          <w:tcPr>
            <w:tcW w:type="dxa" w:w="2313"/>
            <w:vAlign w:val="center"/>
          </w:tcPr>
          <w:p>
            <w:pPr>
              <w:keepNext w:val="0"/>
              <w:spacing w:line="320" w:lineRule="exact" w:after="0" w:before="0"/>
              <w:ind w:firstLine="0"/>
              <w:jc w:val="left"/>
            </w:pPr>
            <w:r>
              <w:rPr>
                <w:b w:val="0"/>
                <w:sz w:val="21"/>
              </w:rPr>
              <w:t>applicability</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适用产品、工况、时间、标准及限制</w:t>
            </w:r>
          </w:p>
        </w:tc>
        <w:tc>
          <w:tcPr>
            <w:tcW w:type="dxa" w:w="3084"/>
            <w:vAlign w:val="center"/>
          </w:tcPr>
          <w:p>
            <w:pPr>
              <w:keepNext w:val="0"/>
              <w:spacing w:line="320" w:lineRule="exact" w:after="0" w:before="0"/>
              <w:ind w:firstLine="0"/>
              <w:jc w:val="left"/>
            </w:pPr>
            <w:r>
              <w:rPr>
                <w:b w:val="0"/>
                <w:sz w:val="21"/>
              </w:rPr>
              <w:t>不能将历史合法条件扩大为当前通用条件</w:t>
            </w:r>
          </w:p>
        </w:tc>
      </w:tr>
    </w:tbl>
    <w:p>
      <w:pPr>
        <w:spacing w:after="40" w:line="240" w:lineRule="auto"/>
        <w:ind w:firstLine="0"/>
      </w:pPr>
      <w:r>
        <w:rPr>
          <w:sz w:val="4"/>
        </w:rPr>
      </w:r>
    </w:p>
    <w:p>
      <w:pPr>
        <w:jc w:val="both"/>
      </w:pPr>
      <w:r>
        <w:t>图像的OCR文本与原图建立关系，OCR结果本身不证明多模态关联正确。图纸上的尺寸、公差与单位应关联对应特征，不能只抽取数字后丢失基准。视频抽帧保留帧的实际时间位置；帧数和视频数分别统计，不能把相邻帧当作互相独立的业务事件扩充题量。</w:t>
      </w:r>
    </w:p>
    <w:p>
      <w:pPr>
        <w:jc w:val="both"/>
      </w:pPr>
      <w:r>
        <w:t>时序连续性核查基于真实采样策略，固定周期、事件触发、变频采样分别处理。缺失标记与真实零值区分，设备停机与传输失败分别取证。重采样、滤波和插值属于受控加工，登记方法及参数，不能据插值结果声称缺失期间存在真实观测。用于专业判断时保留原始数据和转换后数据的可比关系。</w:t>
      </w:r>
    </w:p>
    <w:p>
      <w:pPr>
        <w:jc w:val="both"/>
      </w:pPr>
      <w:r>
        <w:t>多模态对齐采用业务对象与事件联合校验。相近上传时间、相同文件夹或相同产品型号只能作为查找线索，不能直接替代关联证据。模态缺少必要上下文时标明可用范围，进入下游前检查实际模型是否支持相应模态及资源解析方式。</w:t>
      </w:r>
    </w:p>
    <w:p>
      <w:pPr>
        <w:pStyle w:val="Heading2"/>
      </w:pPr>
      <w:r>
        <w:t>7.3 四种用途的记录结构</w:t>
      </w:r>
    </w:p>
    <w:p>
      <w:pPr>
        <w:jc w:val="both"/>
      </w:pPr>
      <w:r>
        <w:t>预训练记录在公共字段基础上保存语料内容、文档结构、片段位置、父文档、相邻片段、有效Tokens和分词配置。切分遵循标题、条款、表头与数据行、工序和业务事件边界。跨片段引用保留上下文定位，重叠内容计量依据固定规则去重。结构化记录转为自然语言时保存字段到语句的对应，不能在转述中补造因果或业务判断。</w:t>
      </w:r>
    </w:p>
    <w:p>
      <w:pPr>
        <w:jc w:val="both"/>
      </w:pPr>
      <w:r>
        <w:t>指令微调记录增加instruction、context、target、evidence和answer_constraints。instruction明确任务，context包含完成任务所需条件，target给出正确输出，evidence定位支持结论的依据，answer_constraints约束单位、精度、格式与使用边界。缺少必要输入的任务应提供合理澄清或证据不足回答，不编造缺失参数。抽取任务、计算任务和专业判断任务采用不同判分条件。</w:t>
      </w:r>
    </w:p>
    <w:p>
      <w:pPr>
        <w:pStyle w:val="Caption"/>
        <w:keepNext/>
      </w:pPr>
      <w:r>
        <w:t>表7-3 四种用途的记录结构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用途</w:t>
            </w:r>
          </w:p>
        </w:tc>
        <w:tc>
          <w:tcPr>
            <w:tcW w:type="dxa" w:w="2699"/>
            <w:vAlign w:val="center"/>
            <w:shd w:fill="EDF1F3"/>
          </w:tcPr>
          <w:p>
            <w:pPr>
              <w:keepNext/>
              <w:spacing w:line="320" w:lineRule="exact" w:after="0" w:before="0"/>
              <w:ind w:firstLine="0"/>
              <w:jc w:val="center"/>
            </w:pPr>
            <w:r>
              <w:rPr>
                <w:b/>
                <w:sz w:val="21"/>
              </w:rPr>
              <w:t>必要结构</w:t>
            </w:r>
          </w:p>
        </w:tc>
        <w:tc>
          <w:tcPr>
            <w:tcW w:type="dxa" w:w="2409"/>
            <w:vAlign w:val="center"/>
            <w:shd w:fill="EDF1F3"/>
          </w:tcPr>
          <w:p>
            <w:pPr>
              <w:keepNext/>
              <w:spacing w:line="320" w:lineRule="exact" w:after="0" w:before="0"/>
              <w:ind w:firstLine="0"/>
              <w:jc w:val="center"/>
            </w:pPr>
            <w:r>
              <w:rPr>
                <w:b/>
                <w:sz w:val="21"/>
              </w:rPr>
              <w:t>完整性条件</w:t>
            </w:r>
          </w:p>
        </w:tc>
        <w:tc>
          <w:tcPr>
            <w:tcW w:type="dxa" w:w="2891"/>
            <w:vAlign w:val="center"/>
            <w:shd w:fill="EDF1F3"/>
          </w:tcPr>
          <w:p>
            <w:pPr>
              <w:keepNext/>
              <w:spacing w:line="320" w:lineRule="exact" w:after="0" w:before="0"/>
              <w:ind w:firstLine="0"/>
              <w:jc w:val="center"/>
            </w:pPr>
            <w:r>
              <w:rPr>
                <w:b/>
                <w:sz w:val="21"/>
              </w:rPr>
              <w:t>主要失败情形</w:t>
            </w:r>
          </w:p>
        </w:tc>
      </w:tr>
      <w:tr>
        <w:trPr>
          <w:cantSplit/>
        </w:trPr>
        <w:tc>
          <w:tcPr>
            <w:tcW w:type="dxa" w:w="1638"/>
            <w:vAlign w:val="center"/>
          </w:tcPr>
          <w:p>
            <w:pPr>
              <w:keepNext w:val="0"/>
              <w:spacing w:line="320" w:lineRule="exact" w:after="0" w:before="0"/>
              <w:ind w:firstLine="0"/>
              <w:jc w:val="left"/>
            </w:pPr>
            <w:r>
              <w:rPr>
                <w:b w:val="0"/>
                <w:sz w:val="21"/>
              </w:rPr>
              <w:t>PT</w:t>
            </w:r>
          </w:p>
        </w:tc>
        <w:tc>
          <w:tcPr>
            <w:tcW w:type="dxa" w:w="2699"/>
            <w:vAlign w:val="center"/>
          </w:tcPr>
          <w:p>
            <w:pPr>
              <w:keepNext w:val="0"/>
              <w:spacing w:line="320" w:lineRule="exact" w:after="0" w:before="0"/>
              <w:ind w:firstLine="0"/>
              <w:jc w:val="left"/>
            </w:pPr>
            <w:r>
              <w:rPr>
                <w:b w:val="0"/>
                <w:sz w:val="21"/>
              </w:rPr>
              <w:t>text、structure、source_location、effective_tokens、tokenizer_ref</w:t>
            </w:r>
          </w:p>
        </w:tc>
        <w:tc>
          <w:tcPr>
            <w:tcW w:type="dxa" w:w="2409"/>
            <w:vAlign w:val="center"/>
          </w:tcPr>
          <w:p>
            <w:pPr>
              <w:keepNext w:val="0"/>
              <w:spacing w:line="320" w:lineRule="exact" w:after="0" w:before="0"/>
              <w:ind w:firstLine="0"/>
              <w:jc w:val="left"/>
            </w:pPr>
            <w:r>
              <w:rPr>
                <w:b w:val="0"/>
                <w:sz w:val="21"/>
              </w:rPr>
              <w:t>语义完整，来源及分词配置固定</w:t>
            </w:r>
          </w:p>
        </w:tc>
        <w:tc>
          <w:tcPr>
            <w:tcW w:type="dxa" w:w="2891"/>
            <w:vAlign w:val="center"/>
          </w:tcPr>
          <w:p>
            <w:pPr>
              <w:keepNext w:val="0"/>
              <w:spacing w:line="320" w:lineRule="exact" w:after="0" w:before="0"/>
              <w:ind w:firstLine="0"/>
              <w:jc w:val="left"/>
            </w:pPr>
            <w:r>
              <w:rPr>
                <w:b w:val="0"/>
                <w:sz w:val="21"/>
              </w:rPr>
              <w:t>切分截断条件、重复重叠计量、转换新增事实</w:t>
            </w:r>
          </w:p>
        </w:tc>
      </w:tr>
      <w:tr>
        <w:trPr>
          <w:cantSplit/>
        </w:trPr>
        <w:tc>
          <w:tcPr>
            <w:tcW w:type="dxa" w:w="1638"/>
            <w:vAlign w:val="center"/>
          </w:tcPr>
          <w:p>
            <w:pPr>
              <w:keepNext w:val="0"/>
              <w:spacing w:line="320" w:lineRule="exact" w:after="0" w:before="0"/>
              <w:ind w:firstLine="0"/>
              <w:jc w:val="left"/>
            </w:pPr>
            <w:r>
              <w:rPr>
                <w:b w:val="0"/>
                <w:sz w:val="21"/>
              </w:rPr>
              <w:t>SFT</w:t>
            </w:r>
          </w:p>
        </w:tc>
        <w:tc>
          <w:tcPr>
            <w:tcW w:type="dxa" w:w="2699"/>
            <w:vAlign w:val="center"/>
          </w:tcPr>
          <w:p>
            <w:pPr>
              <w:keepNext w:val="0"/>
              <w:spacing w:line="320" w:lineRule="exact" w:after="0" w:before="0"/>
              <w:ind w:firstLine="0"/>
              <w:jc w:val="left"/>
            </w:pPr>
            <w:r>
              <w:rPr>
                <w:b w:val="0"/>
                <w:sz w:val="21"/>
              </w:rPr>
              <w:t>instruction、context、target、evidence、answer_constraints</w:t>
            </w:r>
          </w:p>
        </w:tc>
        <w:tc>
          <w:tcPr>
            <w:tcW w:type="dxa" w:w="2409"/>
            <w:vAlign w:val="center"/>
          </w:tcPr>
          <w:p>
            <w:pPr>
              <w:keepNext w:val="0"/>
              <w:spacing w:line="320" w:lineRule="exact" w:after="0" w:before="0"/>
              <w:ind w:firstLine="0"/>
              <w:jc w:val="left"/>
            </w:pPr>
            <w:r>
              <w:rPr>
                <w:b w:val="0"/>
                <w:sz w:val="21"/>
              </w:rPr>
              <w:t>输入与目标输出成对且答案有依据</w:t>
            </w:r>
          </w:p>
        </w:tc>
        <w:tc>
          <w:tcPr>
            <w:tcW w:type="dxa" w:w="2891"/>
            <w:vAlign w:val="center"/>
          </w:tcPr>
          <w:p>
            <w:pPr>
              <w:keepNext w:val="0"/>
              <w:spacing w:line="320" w:lineRule="exact" w:after="0" w:before="0"/>
              <w:ind w:firstLine="0"/>
              <w:jc w:val="left"/>
            </w:pPr>
            <w:r>
              <w:rPr>
                <w:b w:val="0"/>
                <w:sz w:val="21"/>
              </w:rPr>
              <w:t>答非所问、单位错误、资源缺失、无证据结论</w:t>
            </w:r>
          </w:p>
        </w:tc>
      </w:tr>
      <w:tr>
        <w:trPr>
          <w:cantSplit/>
        </w:trPr>
        <w:tc>
          <w:tcPr>
            <w:tcW w:type="dxa" w:w="1638"/>
            <w:vAlign w:val="center"/>
          </w:tcPr>
          <w:p>
            <w:pPr>
              <w:keepNext w:val="0"/>
              <w:spacing w:line="320" w:lineRule="exact" w:after="0" w:before="0"/>
              <w:ind w:firstLine="0"/>
              <w:jc w:val="left"/>
            </w:pPr>
            <w:r>
              <w:rPr>
                <w:b w:val="0"/>
                <w:sz w:val="21"/>
              </w:rPr>
              <w:t>PREF</w:t>
            </w:r>
          </w:p>
        </w:tc>
        <w:tc>
          <w:tcPr>
            <w:tcW w:type="dxa" w:w="2699"/>
            <w:vAlign w:val="center"/>
          </w:tcPr>
          <w:p>
            <w:pPr>
              <w:keepNext w:val="0"/>
              <w:spacing w:line="320" w:lineRule="exact" w:after="0" w:before="0"/>
              <w:ind w:firstLine="0"/>
              <w:jc w:val="left"/>
            </w:pPr>
            <w:r>
              <w:rPr>
                <w:b w:val="0"/>
                <w:sz w:val="21"/>
              </w:rPr>
              <w:t>prompt、context、candidates、preference、reasons、review</w:t>
            </w:r>
          </w:p>
        </w:tc>
        <w:tc>
          <w:tcPr>
            <w:tcW w:type="dxa" w:w="2409"/>
            <w:vAlign w:val="center"/>
          </w:tcPr>
          <w:p>
            <w:pPr>
              <w:keepNext w:val="0"/>
              <w:spacing w:line="320" w:lineRule="exact" w:after="0" w:before="0"/>
              <w:ind w:firstLine="0"/>
              <w:jc w:val="left"/>
            </w:pPr>
            <w:r>
              <w:rPr>
                <w:b w:val="0"/>
                <w:sz w:val="21"/>
              </w:rPr>
              <w:t>候选共享同一输入，比较有效，理由可核验</w:t>
            </w:r>
          </w:p>
        </w:tc>
        <w:tc>
          <w:tcPr>
            <w:tcW w:type="dxa" w:w="2891"/>
            <w:vAlign w:val="center"/>
          </w:tcPr>
          <w:p>
            <w:pPr>
              <w:keepNext w:val="0"/>
              <w:spacing w:line="320" w:lineRule="exact" w:after="0" w:before="0"/>
              <w:ind w:firstLine="0"/>
              <w:jc w:val="left"/>
            </w:pPr>
            <w:r>
              <w:rPr>
                <w:b w:val="0"/>
                <w:sz w:val="21"/>
              </w:rPr>
              <w:t>输入不一致、仅按文风判优、候选来源漏记</w:t>
            </w:r>
          </w:p>
        </w:tc>
      </w:tr>
      <w:tr>
        <w:trPr>
          <w:cantSplit/>
        </w:trPr>
        <w:tc>
          <w:tcPr>
            <w:tcW w:type="dxa" w:w="1638"/>
            <w:vAlign w:val="center"/>
          </w:tcPr>
          <w:p>
            <w:pPr>
              <w:keepNext w:val="0"/>
              <w:spacing w:line="320" w:lineRule="exact" w:after="0" w:before="0"/>
              <w:ind w:firstLine="0"/>
              <w:jc w:val="left"/>
            </w:pPr>
            <w:r>
              <w:rPr>
                <w:b w:val="0"/>
                <w:sz w:val="21"/>
              </w:rPr>
              <w:t>EVAL</w:t>
            </w:r>
          </w:p>
        </w:tc>
        <w:tc>
          <w:tcPr>
            <w:tcW w:type="dxa" w:w="2699"/>
            <w:vAlign w:val="center"/>
          </w:tcPr>
          <w:p>
            <w:pPr>
              <w:keepNext w:val="0"/>
              <w:spacing w:line="320" w:lineRule="exact" w:after="0" w:before="0"/>
              <w:ind w:firstLine="0"/>
              <w:jc w:val="left"/>
            </w:pPr>
            <w:r>
              <w:rPr>
                <w:b w:val="0"/>
                <w:sz w:val="21"/>
              </w:rPr>
              <w:t>question、context、reference、rubric、split、secrecy</w:t>
            </w:r>
          </w:p>
        </w:tc>
        <w:tc>
          <w:tcPr>
            <w:tcW w:type="dxa" w:w="2409"/>
            <w:vAlign w:val="center"/>
          </w:tcPr>
          <w:p>
            <w:pPr>
              <w:keepNext w:val="0"/>
              <w:spacing w:line="320" w:lineRule="exact" w:after="0" w:before="0"/>
              <w:ind w:firstLine="0"/>
              <w:jc w:val="left"/>
            </w:pPr>
            <w:r>
              <w:rPr>
                <w:b w:val="0"/>
                <w:sz w:val="21"/>
              </w:rPr>
              <w:t>题目完整，真实来源，隔离和判分条件齐备</w:t>
            </w:r>
          </w:p>
        </w:tc>
        <w:tc>
          <w:tcPr>
            <w:tcW w:type="dxa" w:w="2891"/>
            <w:vAlign w:val="center"/>
          </w:tcPr>
          <w:p>
            <w:pPr>
              <w:keepNext w:val="0"/>
              <w:spacing w:line="320" w:lineRule="exact" w:after="0" w:before="0"/>
              <w:ind w:firstLine="0"/>
              <w:jc w:val="left"/>
            </w:pPr>
            <w:r>
              <w:rPr>
                <w:b w:val="0"/>
                <w:sz w:val="21"/>
              </w:rPr>
              <w:t>答案泄漏、参考答案错误、家族跨界、伪造来源</w:t>
            </w:r>
          </w:p>
        </w:tc>
      </w:tr>
    </w:tbl>
    <w:p>
      <w:pPr>
        <w:spacing w:after="40" w:line="240" w:lineRule="auto"/>
        <w:ind w:firstLine="0"/>
      </w:pPr>
      <w:r>
        <w:rPr>
          <w:sz w:val="4"/>
        </w:rPr>
      </w:r>
    </w:p>
    <w:p>
      <w:pPr>
        <w:jc w:val="both"/>
      </w:pPr>
      <w:r>
        <w:t>偏好记录的候选数组保存候选标识、正文、来源性质、生成或取得方式及派生关系。展示顺序与原始候选顺序分开，盲评人员不见候选来源。preference可以表示确定优选、并列或证据不足，但用于要求明确优选的生产目标时须满足相应入集规则。争议保留原始判断，由专业岗位按事实、约束与证据裁决。候选中事实错误不得因表达流畅取得优选。</w:t>
      </w:r>
    </w:p>
    <w:p>
      <w:pPr>
        <w:jc w:val="both"/>
      </w:pPr>
      <w:r>
        <w:t>基准记录保存固定参考依据与评分点，公开题干和受限答案分层提供。选择、抽取、数值、开放回答和多模态定位采用不同评价方法。数值任务给出单位、允许精度、边界是否包含及合法等价表达；开放回答列明必要事实与严重错误条件；定位任务固定坐标或时间参照。重复试跑不得根据当前模型输出随意修改题目或答案，发现真实错误按基准版本变更流程处理。</w:t>
      </w:r>
    </w:p>
    <w:p>
      <w:pPr>
        <w:pStyle w:val="Heading2"/>
      </w:pPr>
      <w:r>
        <w:t>7.4 标签定义与专业标注</w:t>
      </w:r>
    </w:p>
    <w:p>
      <w:pPr>
        <w:jc w:val="both"/>
      </w:pPr>
      <w:r>
        <w:t>标签字典包含编码、名称、定义、适用对象、判断依据、合法取值、排他关系、父子关系、示例与反例、版本和生效范围。业务主题与任务类型分开，质量状态与业务状态分开。一个记录可以同时属于库存主题、数量计算任务和待补证状态，但不能因此把未核验记录标为质量通过。</w:t>
      </w:r>
    </w:p>
    <w:p>
      <w:pPr>
        <w:pStyle w:val="Caption"/>
        <w:keepNext/>
      </w:pPr>
      <w:r>
        <w:t>表7-4 标签定义与专业标注</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标签层</w:t>
            </w:r>
          </w:p>
        </w:tc>
        <w:tc>
          <w:tcPr>
            <w:tcW w:type="dxa" w:w="2699"/>
            <w:vAlign w:val="center"/>
            <w:shd w:fill="EDF1F3"/>
          </w:tcPr>
          <w:p>
            <w:pPr>
              <w:keepNext/>
              <w:spacing w:line="320" w:lineRule="exact" w:after="0" w:before="0"/>
              <w:ind w:firstLine="0"/>
              <w:jc w:val="center"/>
            </w:pPr>
            <w:r>
              <w:rPr>
                <w:b/>
                <w:sz w:val="21"/>
              </w:rPr>
              <w:t>判定内容</w:t>
            </w:r>
          </w:p>
        </w:tc>
        <w:tc>
          <w:tcPr>
            <w:tcW w:type="dxa" w:w="2409"/>
            <w:vAlign w:val="center"/>
            <w:shd w:fill="EDF1F3"/>
          </w:tcPr>
          <w:p>
            <w:pPr>
              <w:keepNext/>
              <w:spacing w:line="320" w:lineRule="exact" w:after="0" w:before="0"/>
              <w:ind w:firstLine="0"/>
              <w:jc w:val="center"/>
            </w:pPr>
            <w:r>
              <w:rPr>
                <w:b/>
                <w:sz w:val="21"/>
              </w:rPr>
              <w:t>典型边界</w:t>
            </w:r>
          </w:p>
        </w:tc>
        <w:tc>
          <w:tcPr>
            <w:tcW w:type="dxa" w:w="2891"/>
            <w:vAlign w:val="center"/>
            <w:shd w:fill="EDF1F3"/>
          </w:tcPr>
          <w:p>
            <w:pPr>
              <w:keepNext/>
              <w:spacing w:line="320" w:lineRule="exact" w:after="0" w:before="0"/>
              <w:ind w:firstLine="0"/>
              <w:jc w:val="center"/>
            </w:pPr>
            <w:r>
              <w:rPr>
                <w:b/>
                <w:sz w:val="21"/>
              </w:rPr>
              <w:t>复核责任</w:t>
            </w:r>
          </w:p>
        </w:tc>
      </w:tr>
      <w:tr>
        <w:trPr>
          <w:cantSplit/>
        </w:trPr>
        <w:tc>
          <w:tcPr>
            <w:tcW w:type="dxa" w:w="1638"/>
            <w:vAlign w:val="center"/>
          </w:tcPr>
          <w:p>
            <w:pPr>
              <w:keepNext w:val="0"/>
              <w:spacing w:line="320" w:lineRule="exact" w:after="0" w:before="0"/>
              <w:ind w:firstLine="0"/>
              <w:jc w:val="left"/>
            </w:pPr>
            <w:r>
              <w:rPr>
                <w:b w:val="0"/>
                <w:sz w:val="21"/>
              </w:rPr>
              <w:t>业务主题</w:t>
            </w:r>
          </w:p>
        </w:tc>
        <w:tc>
          <w:tcPr>
            <w:tcW w:type="dxa" w:w="2699"/>
            <w:vAlign w:val="center"/>
          </w:tcPr>
          <w:p>
            <w:pPr>
              <w:keepNext w:val="0"/>
              <w:spacing w:line="320" w:lineRule="exact" w:after="0" w:before="0"/>
              <w:ind w:firstLine="0"/>
              <w:jc w:val="left"/>
            </w:pPr>
            <w:r>
              <w:rPr>
                <w:b w:val="0"/>
                <w:sz w:val="21"/>
              </w:rPr>
              <w:t>内容主要讨论的业务对象</w:t>
            </w:r>
          </w:p>
        </w:tc>
        <w:tc>
          <w:tcPr>
            <w:tcW w:type="dxa" w:w="2409"/>
            <w:vAlign w:val="center"/>
          </w:tcPr>
          <w:p>
            <w:pPr>
              <w:keepNext w:val="0"/>
              <w:spacing w:line="320" w:lineRule="exact" w:after="0" w:before="0"/>
              <w:ind w:firstLine="0"/>
              <w:jc w:val="left"/>
            </w:pPr>
            <w:r>
              <w:rPr>
                <w:b w:val="0"/>
                <w:sz w:val="21"/>
              </w:rPr>
              <w:t>主主题唯一，辅助主题允许重叠</w:t>
            </w:r>
          </w:p>
        </w:tc>
        <w:tc>
          <w:tcPr>
            <w:tcW w:type="dxa" w:w="2891"/>
            <w:vAlign w:val="center"/>
          </w:tcPr>
          <w:p>
            <w:pPr>
              <w:keepNext w:val="0"/>
              <w:spacing w:line="320" w:lineRule="exact" w:after="0" w:before="0"/>
              <w:ind w:firstLine="0"/>
              <w:jc w:val="left"/>
            </w:pPr>
            <w:r>
              <w:rPr>
                <w:b w:val="0"/>
                <w:sz w:val="21"/>
              </w:rPr>
              <w:t>领域业务岗位</w:t>
            </w:r>
          </w:p>
        </w:tc>
      </w:tr>
      <w:tr>
        <w:trPr>
          <w:cantSplit/>
        </w:trPr>
        <w:tc>
          <w:tcPr>
            <w:tcW w:type="dxa" w:w="1638"/>
            <w:vAlign w:val="center"/>
          </w:tcPr>
          <w:p>
            <w:pPr>
              <w:keepNext w:val="0"/>
              <w:spacing w:line="320" w:lineRule="exact" w:after="0" w:before="0"/>
              <w:ind w:firstLine="0"/>
              <w:jc w:val="left"/>
            </w:pPr>
            <w:r>
              <w:rPr>
                <w:b w:val="0"/>
                <w:sz w:val="21"/>
              </w:rPr>
              <w:t>任务类型</w:t>
            </w:r>
          </w:p>
        </w:tc>
        <w:tc>
          <w:tcPr>
            <w:tcW w:type="dxa" w:w="2699"/>
            <w:vAlign w:val="center"/>
          </w:tcPr>
          <w:p>
            <w:pPr>
              <w:keepNext w:val="0"/>
              <w:spacing w:line="320" w:lineRule="exact" w:after="0" w:before="0"/>
              <w:ind w:firstLine="0"/>
              <w:jc w:val="left"/>
            </w:pPr>
            <w:r>
              <w:rPr>
                <w:b w:val="0"/>
                <w:sz w:val="21"/>
              </w:rPr>
              <w:t>模型或使用方需要完成的动作</w:t>
            </w:r>
          </w:p>
        </w:tc>
        <w:tc>
          <w:tcPr>
            <w:tcW w:type="dxa" w:w="2409"/>
            <w:vAlign w:val="center"/>
          </w:tcPr>
          <w:p>
            <w:pPr>
              <w:keepNext w:val="0"/>
              <w:spacing w:line="320" w:lineRule="exact" w:after="0" w:before="0"/>
              <w:ind w:firstLine="0"/>
              <w:jc w:val="left"/>
            </w:pPr>
            <w:r>
              <w:rPr>
                <w:b w:val="0"/>
                <w:sz w:val="21"/>
              </w:rPr>
              <w:t>抽取、计算、关联、判断及澄清分别登记</w:t>
            </w:r>
          </w:p>
        </w:tc>
        <w:tc>
          <w:tcPr>
            <w:tcW w:type="dxa" w:w="2891"/>
            <w:vAlign w:val="center"/>
          </w:tcPr>
          <w:p>
            <w:pPr>
              <w:keepNext w:val="0"/>
              <w:spacing w:line="320" w:lineRule="exact" w:after="0" w:before="0"/>
              <w:ind w:firstLine="0"/>
              <w:jc w:val="left"/>
            </w:pPr>
            <w:r>
              <w:rPr>
                <w:b w:val="0"/>
                <w:sz w:val="21"/>
              </w:rPr>
              <w:t>任务设计与专业岗位</w:t>
            </w:r>
          </w:p>
        </w:tc>
      </w:tr>
      <w:tr>
        <w:trPr>
          <w:cantSplit/>
        </w:trPr>
        <w:tc>
          <w:tcPr>
            <w:tcW w:type="dxa" w:w="1638"/>
            <w:vAlign w:val="center"/>
          </w:tcPr>
          <w:p>
            <w:pPr>
              <w:keepNext w:val="0"/>
              <w:spacing w:line="320" w:lineRule="exact" w:after="0" w:before="0"/>
              <w:ind w:firstLine="0"/>
              <w:jc w:val="left"/>
            </w:pPr>
            <w:r>
              <w:rPr>
                <w:b w:val="0"/>
                <w:sz w:val="21"/>
              </w:rPr>
              <w:t>事实状态</w:t>
            </w:r>
          </w:p>
        </w:tc>
        <w:tc>
          <w:tcPr>
            <w:tcW w:type="dxa" w:w="2699"/>
            <w:vAlign w:val="center"/>
          </w:tcPr>
          <w:p>
            <w:pPr>
              <w:keepNext w:val="0"/>
              <w:spacing w:line="320" w:lineRule="exact" w:after="0" w:before="0"/>
              <w:ind w:firstLine="0"/>
              <w:jc w:val="left"/>
            </w:pPr>
            <w:r>
              <w:rPr>
                <w:b w:val="0"/>
                <w:sz w:val="21"/>
              </w:rPr>
              <w:t>信息是否已经获得证据支持</w:t>
            </w:r>
          </w:p>
        </w:tc>
        <w:tc>
          <w:tcPr>
            <w:tcW w:type="dxa" w:w="2409"/>
            <w:vAlign w:val="center"/>
          </w:tcPr>
          <w:p>
            <w:pPr>
              <w:keepNext w:val="0"/>
              <w:spacing w:line="320" w:lineRule="exact" w:after="0" w:before="0"/>
              <w:ind w:firstLine="0"/>
              <w:jc w:val="left"/>
            </w:pPr>
            <w:r>
              <w:rPr>
                <w:b w:val="0"/>
                <w:sz w:val="21"/>
              </w:rPr>
              <w:t>候选、疑似、确认、未知分别记录</w:t>
            </w:r>
          </w:p>
        </w:tc>
        <w:tc>
          <w:tcPr>
            <w:tcW w:type="dxa" w:w="2891"/>
            <w:vAlign w:val="center"/>
          </w:tcPr>
          <w:p>
            <w:pPr>
              <w:keepNext w:val="0"/>
              <w:spacing w:line="320" w:lineRule="exact" w:after="0" w:before="0"/>
              <w:ind w:firstLine="0"/>
              <w:jc w:val="left"/>
            </w:pPr>
            <w:r>
              <w:rPr>
                <w:b w:val="0"/>
                <w:sz w:val="21"/>
              </w:rPr>
              <w:t>专业审核岗位</w:t>
            </w:r>
          </w:p>
        </w:tc>
      </w:tr>
      <w:tr>
        <w:trPr>
          <w:cantSplit/>
        </w:trPr>
        <w:tc>
          <w:tcPr>
            <w:tcW w:type="dxa" w:w="1638"/>
            <w:vAlign w:val="center"/>
          </w:tcPr>
          <w:p>
            <w:pPr>
              <w:keepNext w:val="0"/>
              <w:spacing w:line="320" w:lineRule="exact" w:after="0" w:before="0"/>
              <w:ind w:firstLine="0"/>
              <w:jc w:val="left"/>
            </w:pPr>
            <w:r>
              <w:rPr>
                <w:b w:val="0"/>
                <w:sz w:val="21"/>
              </w:rPr>
              <w:t>专业类别</w:t>
            </w:r>
          </w:p>
        </w:tc>
        <w:tc>
          <w:tcPr>
            <w:tcW w:type="dxa" w:w="2699"/>
            <w:vAlign w:val="center"/>
          </w:tcPr>
          <w:p>
            <w:pPr>
              <w:keepNext w:val="0"/>
              <w:spacing w:line="320" w:lineRule="exact" w:after="0" w:before="0"/>
              <w:ind w:firstLine="0"/>
              <w:jc w:val="left"/>
            </w:pPr>
            <w:r>
              <w:rPr>
                <w:b w:val="0"/>
                <w:sz w:val="21"/>
              </w:rPr>
              <w:t>工艺、缺陷、材料及设备等类别</w:t>
            </w:r>
          </w:p>
        </w:tc>
        <w:tc>
          <w:tcPr>
            <w:tcW w:type="dxa" w:w="2409"/>
            <w:vAlign w:val="center"/>
          </w:tcPr>
          <w:p>
            <w:pPr>
              <w:keepNext w:val="0"/>
              <w:spacing w:line="320" w:lineRule="exact" w:after="0" w:before="0"/>
              <w:ind w:firstLine="0"/>
              <w:jc w:val="left"/>
            </w:pPr>
            <w:r>
              <w:rPr>
                <w:b w:val="0"/>
                <w:sz w:val="21"/>
              </w:rPr>
              <w:t>依据实际适用标准及对象条件</w:t>
            </w:r>
          </w:p>
        </w:tc>
        <w:tc>
          <w:tcPr>
            <w:tcW w:type="dxa" w:w="2891"/>
            <w:vAlign w:val="center"/>
          </w:tcPr>
          <w:p>
            <w:pPr>
              <w:keepNext w:val="0"/>
              <w:spacing w:line="320" w:lineRule="exact" w:after="0" w:before="0"/>
              <w:ind w:firstLine="0"/>
              <w:jc w:val="left"/>
            </w:pPr>
            <w:r>
              <w:rPr>
                <w:b w:val="0"/>
                <w:sz w:val="21"/>
              </w:rPr>
              <w:t>对应专业岗位</w:t>
            </w:r>
          </w:p>
        </w:tc>
      </w:tr>
      <w:tr>
        <w:trPr>
          <w:cantSplit/>
        </w:trPr>
        <w:tc>
          <w:tcPr>
            <w:tcW w:type="dxa" w:w="1638"/>
            <w:vAlign w:val="center"/>
          </w:tcPr>
          <w:p>
            <w:pPr>
              <w:keepNext w:val="0"/>
              <w:spacing w:line="320" w:lineRule="exact" w:after="0" w:before="0"/>
              <w:ind w:firstLine="0"/>
              <w:jc w:val="left"/>
            </w:pPr>
            <w:r>
              <w:rPr>
                <w:b w:val="0"/>
                <w:sz w:val="21"/>
              </w:rPr>
              <w:t>质量标记</w:t>
            </w:r>
          </w:p>
        </w:tc>
        <w:tc>
          <w:tcPr>
            <w:tcW w:type="dxa" w:w="2699"/>
            <w:vAlign w:val="center"/>
          </w:tcPr>
          <w:p>
            <w:pPr>
              <w:keepNext w:val="0"/>
              <w:spacing w:line="320" w:lineRule="exact" w:after="0" w:before="0"/>
              <w:ind w:firstLine="0"/>
              <w:jc w:val="left"/>
            </w:pPr>
            <w:r>
              <w:rPr>
                <w:b w:val="0"/>
                <w:sz w:val="21"/>
              </w:rPr>
              <w:t>加工和校验发现的状态</w:t>
            </w:r>
          </w:p>
        </w:tc>
        <w:tc>
          <w:tcPr>
            <w:tcW w:type="dxa" w:w="2409"/>
            <w:vAlign w:val="center"/>
          </w:tcPr>
          <w:p>
            <w:pPr>
              <w:keepNext w:val="0"/>
              <w:spacing w:line="320" w:lineRule="exact" w:after="0" w:before="0"/>
              <w:ind w:firstLine="0"/>
              <w:jc w:val="left"/>
            </w:pPr>
            <w:r>
              <w:rPr>
                <w:b w:val="0"/>
                <w:sz w:val="21"/>
              </w:rPr>
              <w:t>缺口、冲突与已修复有具体证据</w:t>
            </w:r>
          </w:p>
        </w:tc>
        <w:tc>
          <w:tcPr>
            <w:tcW w:type="dxa" w:w="2891"/>
            <w:vAlign w:val="center"/>
          </w:tcPr>
          <w:p>
            <w:pPr>
              <w:keepNext w:val="0"/>
              <w:spacing w:line="320" w:lineRule="exact" w:after="0" w:before="0"/>
              <w:ind w:firstLine="0"/>
              <w:jc w:val="left"/>
            </w:pPr>
            <w:r>
              <w:rPr>
                <w:b w:val="0"/>
                <w:sz w:val="21"/>
              </w:rPr>
              <w:t>数据质量岗位</w:t>
            </w:r>
          </w:p>
        </w:tc>
      </w:tr>
      <w:tr>
        <w:trPr>
          <w:cantSplit/>
        </w:trPr>
        <w:tc>
          <w:tcPr>
            <w:tcW w:type="dxa" w:w="1638"/>
            <w:vAlign w:val="center"/>
          </w:tcPr>
          <w:p>
            <w:pPr>
              <w:keepNext w:val="0"/>
              <w:spacing w:line="320" w:lineRule="exact" w:after="0" w:before="0"/>
              <w:ind w:firstLine="0"/>
              <w:jc w:val="left"/>
            </w:pPr>
            <w:r>
              <w:rPr>
                <w:b w:val="0"/>
                <w:sz w:val="21"/>
              </w:rPr>
              <w:t>用途限制</w:t>
            </w:r>
          </w:p>
        </w:tc>
        <w:tc>
          <w:tcPr>
            <w:tcW w:type="dxa" w:w="2699"/>
            <w:vAlign w:val="center"/>
          </w:tcPr>
          <w:p>
            <w:pPr>
              <w:keepNext w:val="0"/>
              <w:spacing w:line="320" w:lineRule="exact" w:after="0" w:before="0"/>
              <w:ind w:firstLine="0"/>
              <w:jc w:val="left"/>
            </w:pPr>
            <w:r>
              <w:rPr>
                <w:b w:val="0"/>
                <w:sz w:val="21"/>
              </w:rPr>
              <w:t>许可、场景和输入条件</w:t>
            </w:r>
          </w:p>
        </w:tc>
        <w:tc>
          <w:tcPr>
            <w:tcW w:type="dxa" w:w="2409"/>
            <w:vAlign w:val="center"/>
          </w:tcPr>
          <w:p>
            <w:pPr>
              <w:keepNext w:val="0"/>
              <w:spacing w:line="320" w:lineRule="exact" w:after="0" w:before="0"/>
              <w:ind w:firstLine="0"/>
              <w:jc w:val="left"/>
            </w:pPr>
            <w:r>
              <w:rPr>
                <w:b w:val="0"/>
                <w:sz w:val="21"/>
              </w:rPr>
              <w:t>可读取不等于可训练或可再分发</w:t>
            </w:r>
          </w:p>
        </w:tc>
        <w:tc>
          <w:tcPr>
            <w:tcW w:type="dxa" w:w="2891"/>
            <w:vAlign w:val="center"/>
          </w:tcPr>
          <w:p>
            <w:pPr>
              <w:keepNext w:val="0"/>
              <w:spacing w:line="320" w:lineRule="exact" w:after="0" w:before="0"/>
              <w:ind w:firstLine="0"/>
              <w:jc w:val="left"/>
            </w:pPr>
            <w:r>
              <w:rPr>
                <w:b w:val="0"/>
                <w:sz w:val="21"/>
              </w:rPr>
              <w:t>权限与业务岗位</w:t>
            </w:r>
          </w:p>
        </w:tc>
      </w:tr>
    </w:tbl>
    <w:p>
      <w:pPr>
        <w:spacing w:after="40" w:line="240" w:lineRule="auto"/>
        <w:ind w:firstLine="0"/>
      </w:pPr>
      <w:r>
        <w:rPr>
          <w:sz w:val="4"/>
        </w:rPr>
      </w:r>
    </w:p>
    <w:p>
      <w:pPr>
        <w:jc w:val="both"/>
      </w:pPr>
      <w:r>
        <w:t>标注前使用黄金样本校准概念及边界。独立重叠标注先分别完成，再统计一致性，不能先讨论形成共识后将结果称为独立一致率。类别任务保留混淆矩阵，区间与定位任务保留偏差或重叠指标，多标签任务保留逐类及组合结果。样本类别高度不均衡时同时报告各类表现，不能只给一个掩盖长尾错误的总体值。</w:t>
      </w:r>
    </w:p>
    <w:p>
      <w:pPr>
        <w:jc w:val="both"/>
      </w:pPr>
      <w:r>
        <w:t>争议处理记录问题样本、原独立结果、争议理由、所用依据和最终裁决。规范确有歧义时修订规则并回查已完成对象；个别标注错误则修正对象并检查同类作业。专业阈值、材料适用性和检验放行条件由有效标准及批准工艺确定，不为增加自动通过率自行放宽。正式基准答案的改动由独立复核确认，并影响后续版本可比性记录。</w:t>
      </w:r>
    </w:p>
    <w:p>
      <w:pPr>
        <w:pStyle w:val="Heading2"/>
      </w:pPr>
      <w:r>
        <w:t>7.5 分布统计与计量复算</w:t>
      </w:r>
    </w:p>
    <w:p>
      <w:pPr>
        <w:jc w:val="both"/>
      </w:pPr>
      <w:r>
        <w:t>规模统计固定对象集合及版本，先剔除无交付资格记录，再按用途计数。预训练Tokens来自实际分词执行，其他用途计数对应完整任务、比较组和题目。重复检测可能改变有效集合，统计必须在处置完成后重算。统计输出包含执行程序及版本、配置、起止时间、输入清单摘要、有效数量、剔除分类和异常结果。</w:t>
      </w:r>
    </w:p>
    <w:p>
      <w:pPr>
        <w:pStyle w:val="Caption"/>
        <w:keepNext/>
      </w:pPr>
      <w:r>
        <w:t>表7-5 分布统计与计量复算</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统计项目</w:t>
            </w:r>
          </w:p>
        </w:tc>
        <w:tc>
          <w:tcPr>
            <w:tcW w:type="dxa" w:w="2699"/>
            <w:vAlign w:val="center"/>
            <w:shd w:fill="EDF1F3"/>
          </w:tcPr>
          <w:p>
            <w:pPr>
              <w:keepNext/>
              <w:spacing w:line="320" w:lineRule="exact" w:after="0" w:before="0"/>
              <w:ind w:firstLine="0"/>
              <w:jc w:val="center"/>
            </w:pPr>
            <w:r>
              <w:rPr>
                <w:b/>
                <w:sz w:val="21"/>
              </w:rPr>
              <w:t>分子或数值</w:t>
            </w:r>
          </w:p>
        </w:tc>
        <w:tc>
          <w:tcPr>
            <w:tcW w:type="dxa" w:w="2409"/>
            <w:vAlign w:val="center"/>
            <w:shd w:fill="EDF1F3"/>
          </w:tcPr>
          <w:p>
            <w:pPr>
              <w:keepNext/>
              <w:spacing w:line="320" w:lineRule="exact" w:after="0" w:before="0"/>
              <w:ind w:firstLine="0"/>
              <w:jc w:val="center"/>
            </w:pPr>
            <w:r>
              <w:rPr>
                <w:b/>
                <w:sz w:val="21"/>
              </w:rPr>
              <w:t>分母与范围</w:t>
            </w:r>
          </w:p>
        </w:tc>
        <w:tc>
          <w:tcPr>
            <w:tcW w:type="dxa" w:w="2891"/>
            <w:vAlign w:val="center"/>
            <w:shd w:fill="EDF1F3"/>
          </w:tcPr>
          <w:p>
            <w:pPr>
              <w:keepNext/>
              <w:spacing w:line="320" w:lineRule="exact" w:after="0" w:before="0"/>
              <w:ind w:firstLine="0"/>
              <w:jc w:val="center"/>
            </w:pPr>
            <w:r>
              <w:rPr>
                <w:b/>
                <w:sz w:val="21"/>
              </w:rPr>
              <w:t>应保存的核验材料</w:t>
            </w:r>
          </w:p>
        </w:tc>
      </w:tr>
      <w:tr>
        <w:trPr>
          <w:cantSplit/>
        </w:trPr>
        <w:tc>
          <w:tcPr>
            <w:tcW w:type="dxa" w:w="1638"/>
            <w:vAlign w:val="center"/>
          </w:tcPr>
          <w:p>
            <w:pPr>
              <w:keepNext w:val="0"/>
              <w:spacing w:line="320" w:lineRule="exact" w:after="0" w:before="0"/>
              <w:ind w:firstLine="0"/>
              <w:jc w:val="left"/>
            </w:pPr>
            <w:r>
              <w:rPr>
                <w:b w:val="0"/>
                <w:sz w:val="21"/>
              </w:rPr>
              <w:t>预训练净量</w:t>
            </w:r>
          </w:p>
        </w:tc>
        <w:tc>
          <w:tcPr>
            <w:tcW w:type="dxa" w:w="2699"/>
            <w:vAlign w:val="center"/>
          </w:tcPr>
          <w:p>
            <w:pPr>
              <w:keepNext w:val="0"/>
              <w:spacing w:line="320" w:lineRule="exact" w:after="0" w:before="0"/>
              <w:ind w:firstLine="0"/>
              <w:jc w:val="left"/>
            </w:pPr>
            <w:r>
              <w:rPr>
                <w:b w:val="0"/>
                <w:sz w:val="21"/>
              </w:rPr>
              <w:t>合格有效Tokens整数</w:t>
            </w:r>
          </w:p>
        </w:tc>
        <w:tc>
          <w:tcPr>
            <w:tcW w:type="dxa" w:w="2409"/>
            <w:vAlign w:val="center"/>
          </w:tcPr>
          <w:p>
            <w:pPr>
              <w:keepNext w:val="0"/>
              <w:spacing w:line="320" w:lineRule="exact" w:after="0" w:before="0"/>
              <w:ind w:firstLine="0"/>
              <w:jc w:val="left"/>
            </w:pPr>
            <w:r>
              <w:rPr>
                <w:b w:val="0"/>
                <w:sz w:val="21"/>
              </w:rPr>
              <w:t>本领域预训练有效内容</w:t>
            </w:r>
          </w:p>
        </w:tc>
        <w:tc>
          <w:tcPr>
            <w:tcW w:type="dxa" w:w="2891"/>
            <w:vAlign w:val="center"/>
          </w:tcPr>
          <w:p>
            <w:pPr>
              <w:keepNext w:val="0"/>
              <w:spacing w:line="320" w:lineRule="exact" w:after="0" w:before="0"/>
              <w:ind w:firstLine="0"/>
              <w:jc w:val="left"/>
            </w:pPr>
            <w:r>
              <w:rPr>
                <w:b w:val="0"/>
                <w:sz w:val="21"/>
              </w:rPr>
              <w:t>分词配置、去重清单及执行输出</w:t>
            </w:r>
          </w:p>
        </w:tc>
      </w:tr>
      <w:tr>
        <w:trPr>
          <w:cantSplit/>
        </w:trPr>
        <w:tc>
          <w:tcPr>
            <w:tcW w:type="dxa" w:w="1638"/>
            <w:vAlign w:val="center"/>
          </w:tcPr>
          <w:p>
            <w:pPr>
              <w:keepNext w:val="0"/>
              <w:spacing w:line="320" w:lineRule="exact" w:after="0" w:before="0"/>
              <w:ind w:firstLine="0"/>
              <w:jc w:val="left"/>
            </w:pPr>
            <w:r>
              <w:rPr>
                <w:b w:val="0"/>
                <w:sz w:val="21"/>
              </w:rPr>
              <w:t>指令净量</w:t>
            </w:r>
          </w:p>
        </w:tc>
        <w:tc>
          <w:tcPr>
            <w:tcW w:type="dxa" w:w="2699"/>
            <w:vAlign w:val="center"/>
          </w:tcPr>
          <w:p>
            <w:pPr>
              <w:keepNext w:val="0"/>
              <w:spacing w:line="320" w:lineRule="exact" w:after="0" w:before="0"/>
              <w:ind w:firstLine="0"/>
              <w:jc w:val="left"/>
            </w:pPr>
            <w:r>
              <w:rPr>
                <w:b w:val="0"/>
                <w:sz w:val="21"/>
              </w:rPr>
              <w:t>完整合格任务数</w:t>
            </w:r>
          </w:p>
        </w:tc>
        <w:tc>
          <w:tcPr>
            <w:tcW w:type="dxa" w:w="2409"/>
            <w:vAlign w:val="center"/>
          </w:tcPr>
          <w:p>
            <w:pPr>
              <w:keepNext w:val="0"/>
              <w:spacing w:line="320" w:lineRule="exact" w:after="0" w:before="0"/>
              <w:ind w:firstLine="0"/>
              <w:jc w:val="left"/>
            </w:pPr>
            <w:r>
              <w:rPr>
                <w:b w:val="0"/>
                <w:sz w:val="21"/>
              </w:rPr>
              <w:t>本领域指令用途</w:t>
            </w:r>
          </w:p>
        </w:tc>
        <w:tc>
          <w:tcPr>
            <w:tcW w:type="dxa" w:w="2891"/>
            <w:vAlign w:val="center"/>
          </w:tcPr>
          <w:p>
            <w:pPr>
              <w:keepNext w:val="0"/>
              <w:spacing w:line="320" w:lineRule="exact" w:after="0" w:before="0"/>
              <w:ind w:firstLine="0"/>
              <w:jc w:val="left"/>
            </w:pPr>
            <w:r>
              <w:rPr>
                <w:b w:val="0"/>
                <w:sz w:val="21"/>
              </w:rPr>
              <w:t>任务标识与质量状态清单</w:t>
            </w:r>
          </w:p>
        </w:tc>
      </w:tr>
      <w:tr>
        <w:trPr>
          <w:cantSplit/>
        </w:trPr>
        <w:tc>
          <w:tcPr>
            <w:tcW w:type="dxa" w:w="1638"/>
            <w:vAlign w:val="center"/>
          </w:tcPr>
          <w:p>
            <w:pPr>
              <w:keepNext w:val="0"/>
              <w:spacing w:line="320" w:lineRule="exact" w:after="0" w:before="0"/>
              <w:ind w:firstLine="0"/>
              <w:jc w:val="left"/>
            </w:pPr>
            <w:r>
              <w:rPr>
                <w:b w:val="0"/>
                <w:sz w:val="21"/>
              </w:rPr>
              <w:t>偏好净量</w:t>
            </w:r>
          </w:p>
        </w:tc>
        <w:tc>
          <w:tcPr>
            <w:tcW w:type="dxa" w:w="2699"/>
            <w:vAlign w:val="center"/>
          </w:tcPr>
          <w:p>
            <w:pPr>
              <w:keepNext w:val="0"/>
              <w:spacing w:line="320" w:lineRule="exact" w:after="0" w:before="0"/>
              <w:ind w:firstLine="0"/>
              <w:jc w:val="left"/>
            </w:pPr>
            <w:r>
              <w:rPr>
                <w:b w:val="0"/>
                <w:sz w:val="21"/>
              </w:rPr>
              <w:t>完整有效比较组数</w:t>
            </w:r>
          </w:p>
        </w:tc>
        <w:tc>
          <w:tcPr>
            <w:tcW w:type="dxa" w:w="2409"/>
            <w:vAlign w:val="center"/>
          </w:tcPr>
          <w:p>
            <w:pPr>
              <w:keepNext w:val="0"/>
              <w:spacing w:line="320" w:lineRule="exact" w:after="0" w:before="0"/>
              <w:ind w:firstLine="0"/>
              <w:jc w:val="left"/>
            </w:pPr>
            <w:r>
              <w:rPr>
                <w:b w:val="0"/>
                <w:sz w:val="21"/>
              </w:rPr>
              <w:t>本领域偏好用途</w:t>
            </w:r>
          </w:p>
        </w:tc>
        <w:tc>
          <w:tcPr>
            <w:tcW w:type="dxa" w:w="2891"/>
            <w:vAlign w:val="center"/>
          </w:tcPr>
          <w:p>
            <w:pPr>
              <w:keepNext w:val="0"/>
              <w:spacing w:line="320" w:lineRule="exact" w:after="0" w:before="0"/>
              <w:ind w:firstLine="0"/>
              <w:jc w:val="left"/>
            </w:pPr>
            <w:r>
              <w:rPr>
                <w:b w:val="0"/>
                <w:sz w:val="21"/>
              </w:rPr>
              <w:t>候选、判断及组资格清单</w:t>
            </w:r>
          </w:p>
        </w:tc>
      </w:tr>
      <w:tr>
        <w:trPr>
          <w:cantSplit/>
        </w:trPr>
        <w:tc>
          <w:tcPr>
            <w:tcW w:type="dxa" w:w="1638"/>
            <w:vAlign w:val="center"/>
          </w:tcPr>
          <w:p>
            <w:pPr>
              <w:keepNext w:val="0"/>
              <w:spacing w:line="320" w:lineRule="exact" w:after="0" w:before="0"/>
              <w:ind w:firstLine="0"/>
              <w:jc w:val="left"/>
            </w:pPr>
            <w:r>
              <w:rPr>
                <w:b w:val="0"/>
                <w:sz w:val="21"/>
              </w:rPr>
              <w:t>基准净量</w:t>
            </w:r>
          </w:p>
        </w:tc>
        <w:tc>
          <w:tcPr>
            <w:tcW w:type="dxa" w:w="2699"/>
            <w:vAlign w:val="center"/>
          </w:tcPr>
          <w:p>
            <w:pPr>
              <w:keepNext w:val="0"/>
              <w:spacing w:line="320" w:lineRule="exact" w:after="0" w:before="0"/>
              <w:ind w:firstLine="0"/>
              <w:jc w:val="left"/>
            </w:pPr>
            <w:r>
              <w:rPr>
                <w:b w:val="0"/>
                <w:sz w:val="21"/>
              </w:rPr>
              <w:t>完整真实独立题目数</w:t>
            </w:r>
          </w:p>
        </w:tc>
        <w:tc>
          <w:tcPr>
            <w:tcW w:type="dxa" w:w="2409"/>
            <w:vAlign w:val="center"/>
          </w:tcPr>
          <w:p>
            <w:pPr>
              <w:keepNext w:val="0"/>
              <w:spacing w:line="320" w:lineRule="exact" w:after="0" w:before="0"/>
              <w:ind w:firstLine="0"/>
              <w:jc w:val="left"/>
            </w:pPr>
            <w:r>
              <w:rPr>
                <w:b w:val="0"/>
                <w:sz w:val="21"/>
              </w:rPr>
              <w:t>本领域基准用途</w:t>
            </w:r>
          </w:p>
        </w:tc>
        <w:tc>
          <w:tcPr>
            <w:tcW w:type="dxa" w:w="2891"/>
            <w:vAlign w:val="center"/>
          </w:tcPr>
          <w:p>
            <w:pPr>
              <w:keepNext w:val="0"/>
              <w:spacing w:line="320" w:lineRule="exact" w:after="0" w:before="0"/>
              <w:ind w:firstLine="0"/>
              <w:jc w:val="left"/>
            </w:pPr>
            <w:r>
              <w:rPr>
                <w:b w:val="0"/>
                <w:sz w:val="21"/>
              </w:rPr>
              <w:t>真实来源、隔离与答案复核记录</w:t>
            </w:r>
          </w:p>
        </w:tc>
      </w:tr>
      <w:tr>
        <w:trPr>
          <w:cantSplit/>
        </w:trPr>
        <w:tc>
          <w:tcPr>
            <w:tcW w:type="dxa" w:w="1638"/>
            <w:vAlign w:val="center"/>
          </w:tcPr>
          <w:p>
            <w:pPr>
              <w:keepNext w:val="0"/>
              <w:spacing w:line="320" w:lineRule="exact" w:after="0" w:before="0"/>
              <w:ind w:firstLine="0"/>
              <w:jc w:val="left"/>
            </w:pPr>
            <w:r>
              <w:rPr>
                <w:b w:val="0"/>
                <w:sz w:val="21"/>
              </w:rPr>
              <w:t>多模态比例</w:t>
            </w:r>
          </w:p>
        </w:tc>
        <w:tc>
          <w:tcPr>
            <w:tcW w:type="dxa" w:w="2699"/>
            <w:vAlign w:val="center"/>
          </w:tcPr>
          <w:p>
            <w:pPr>
              <w:keepNext w:val="0"/>
              <w:spacing w:line="320" w:lineRule="exact" w:after="0" w:before="0"/>
              <w:ind w:firstLine="0"/>
              <w:jc w:val="left"/>
            </w:pPr>
            <w:r>
              <w:rPr>
                <w:b w:val="0"/>
                <w:sz w:val="21"/>
              </w:rPr>
              <w:t>至少两种有效关联模态的完整记录数</w:t>
            </w:r>
          </w:p>
        </w:tc>
        <w:tc>
          <w:tcPr>
            <w:tcW w:type="dxa" w:w="2409"/>
            <w:vAlign w:val="center"/>
          </w:tcPr>
          <w:p>
            <w:pPr>
              <w:keepNext w:val="0"/>
              <w:spacing w:line="320" w:lineRule="exact" w:after="0" w:before="0"/>
              <w:ind w:firstLine="0"/>
              <w:jc w:val="left"/>
            </w:pPr>
            <w:r>
              <w:rPr>
                <w:b w:val="0"/>
                <w:sz w:val="21"/>
              </w:rPr>
              <w:t>同范围全部有效完整记录数</w:t>
            </w:r>
          </w:p>
        </w:tc>
        <w:tc>
          <w:tcPr>
            <w:tcW w:type="dxa" w:w="2891"/>
            <w:vAlign w:val="center"/>
          </w:tcPr>
          <w:p>
            <w:pPr>
              <w:keepNext w:val="0"/>
              <w:spacing w:line="320" w:lineRule="exact" w:after="0" w:before="0"/>
              <w:ind w:firstLine="0"/>
              <w:jc w:val="left"/>
            </w:pPr>
            <w:r>
              <w:rPr>
                <w:b w:val="0"/>
                <w:sz w:val="21"/>
              </w:rPr>
              <w:t>资源及关联检查明细</w:t>
            </w:r>
          </w:p>
        </w:tc>
      </w:tr>
      <w:tr>
        <w:trPr>
          <w:cantSplit/>
        </w:trPr>
        <w:tc>
          <w:tcPr>
            <w:tcW w:type="dxa" w:w="1638"/>
            <w:vAlign w:val="center"/>
          </w:tcPr>
          <w:p>
            <w:pPr>
              <w:keepNext w:val="0"/>
              <w:spacing w:line="320" w:lineRule="exact" w:after="0" w:before="0"/>
              <w:ind w:firstLine="0"/>
              <w:jc w:val="left"/>
            </w:pPr>
            <w:r>
              <w:rPr>
                <w:b w:val="0"/>
                <w:sz w:val="21"/>
              </w:rPr>
              <w:t>近三年比例</w:t>
            </w:r>
          </w:p>
        </w:tc>
        <w:tc>
          <w:tcPr>
            <w:tcW w:type="dxa" w:w="2699"/>
            <w:vAlign w:val="center"/>
          </w:tcPr>
          <w:p>
            <w:pPr>
              <w:keepNext w:val="0"/>
              <w:spacing w:line="320" w:lineRule="exact" w:after="0" w:before="0"/>
              <w:ind w:firstLine="0"/>
              <w:jc w:val="left"/>
            </w:pPr>
            <w:r>
              <w:rPr>
                <w:b w:val="0"/>
                <w:sz w:val="21"/>
              </w:rPr>
              <w:t>可确定落入36个月窗口的完整记录数</w:t>
            </w:r>
          </w:p>
        </w:tc>
        <w:tc>
          <w:tcPr>
            <w:tcW w:type="dxa" w:w="2409"/>
            <w:vAlign w:val="center"/>
          </w:tcPr>
          <w:p>
            <w:pPr>
              <w:keepNext w:val="0"/>
              <w:spacing w:line="320" w:lineRule="exact" w:after="0" w:before="0"/>
              <w:ind w:firstLine="0"/>
              <w:jc w:val="left"/>
            </w:pPr>
            <w:r>
              <w:rPr>
                <w:b w:val="0"/>
                <w:sz w:val="21"/>
              </w:rPr>
              <w:t>同范围全部有效完整记录数</w:t>
            </w:r>
          </w:p>
        </w:tc>
        <w:tc>
          <w:tcPr>
            <w:tcW w:type="dxa" w:w="2891"/>
            <w:vAlign w:val="center"/>
          </w:tcPr>
          <w:p>
            <w:pPr>
              <w:keepNext w:val="0"/>
              <w:spacing w:line="320" w:lineRule="exact" w:after="0" w:before="0"/>
              <w:ind w:firstLine="0"/>
              <w:jc w:val="left"/>
            </w:pPr>
            <w:r>
              <w:rPr>
                <w:b w:val="0"/>
                <w:sz w:val="21"/>
              </w:rPr>
              <w:t>业务时间、精度、窗口和未知分布</w:t>
            </w:r>
          </w:p>
        </w:tc>
      </w:tr>
      <w:tr>
        <w:trPr>
          <w:cantSplit/>
        </w:trPr>
        <w:tc>
          <w:tcPr>
            <w:tcW w:type="dxa" w:w="1638"/>
            <w:vAlign w:val="center"/>
          </w:tcPr>
          <w:p>
            <w:pPr>
              <w:keepNext w:val="0"/>
              <w:spacing w:line="320" w:lineRule="exact" w:after="0" w:before="0"/>
              <w:ind w:firstLine="0"/>
              <w:jc w:val="left"/>
            </w:pPr>
            <w:r>
              <w:rPr>
                <w:b w:val="0"/>
                <w:sz w:val="21"/>
              </w:rPr>
              <w:t>预训练来源比例</w:t>
            </w:r>
          </w:p>
        </w:tc>
        <w:tc>
          <w:tcPr>
            <w:tcW w:type="dxa" w:w="2699"/>
            <w:vAlign w:val="center"/>
          </w:tcPr>
          <w:p>
            <w:pPr>
              <w:keepNext w:val="0"/>
              <w:spacing w:line="320" w:lineRule="exact" w:after="0" w:before="0"/>
              <w:ind w:firstLine="0"/>
              <w:jc w:val="left"/>
            </w:pPr>
            <w:r>
              <w:rPr>
                <w:b w:val="0"/>
                <w:sz w:val="21"/>
              </w:rPr>
              <w:t>合成或增强来源有效Tokens的并集</w:t>
            </w:r>
          </w:p>
        </w:tc>
        <w:tc>
          <w:tcPr>
            <w:tcW w:type="dxa" w:w="2409"/>
            <w:vAlign w:val="center"/>
          </w:tcPr>
          <w:p>
            <w:pPr>
              <w:keepNext w:val="0"/>
              <w:spacing w:line="320" w:lineRule="exact" w:after="0" w:before="0"/>
              <w:ind w:firstLine="0"/>
              <w:jc w:val="left"/>
            </w:pPr>
            <w:r>
              <w:rPr>
                <w:b w:val="0"/>
                <w:sz w:val="21"/>
              </w:rPr>
              <w:t>同范围有效Tokens</w:t>
            </w:r>
          </w:p>
        </w:tc>
        <w:tc>
          <w:tcPr>
            <w:tcW w:type="dxa" w:w="2891"/>
            <w:vAlign w:val="center"/>
          </w:tcPr>
          <w:p>
            <w:pPr>
              <w:keepNext w:val="0"/>
              <w:spacing w:line="320" w:lineRule="exact" w:after="0" w:before="0"/>
              <w:ind w:firstLine="0"/>
              <w:jc w:val="left"/>
            </w:pPr>
            <w:r>
              <w:rPr>
                <w:b w:val="0"/>
                <w:sz w:val="21"/>
              </w:rPr>
              <w:t>四类互斥来源及Tokens统计</w:t>
            </w:r>
          </w:p>
        </w:tc>
      </w:tr>
      <w:tr>
        <w:trPr>
          <w:cantSplit/>
        </w:trPr>
        <w:tc>
          <w:tcPr>
            <w:tcW w:type="dxa" w:w="1638"/>
            <w:vAlign w:val="center"/>
          </w:tcPr>
          <w:p>
            <w:pPr>
              <w:keepNext w:val="0"/>
              <w:spacing w:line="320" w:lineRule="exact" w:after="0" w:before="0"/>
              <w:ind w:firstLine="0"/>
              <w:jc w:val="left"/>
            </w:pPr>
            <w:r>
              <w:rPr>
                <w:b w:val="0"/>
                <w:sz w:val="21"/>
              </w:rPr>
              <w:t>指令来源比例</w:t>
            </w:r>
          </w:p>
        </w:tc>
        <w:tc>
          <w:tcPr>
            <w:tcW w:type="dxa" w:w="2699"/>
            <w:vAlign w:val="center"/>
          </w:tcPr>
          <w:p>
            <w:pPr>
              <w:keepNext w:val="0"/>
              <w:spacing w:line="320" w:lineRule="exact" w:after="0" w:before="0"/>
              <w:ind w:firstLine="0"/>
              <w:jc w:val="left"/>
            </w:pPr>
            <w:r>
              <w:rPr>
                <w:b w:val="0"/>
                <w:sz w:val="21"/>
              </w:rPr>
              <w:t>含合成来源的完整任务数</w:t>
            </w:r>
          </w:p>
        </w:tc>
        <w:tc>
          <w:tcPr>
            <w:tcW w:type="dxa" w:w="2409"/>
            <w:vAlign w:val="center"/>
          </w:tcPr>
          <w:p>
            <w:pPr>
              <w:keepNext w:val="0"/>
              <w:spacing w:line="320" w:lineRule="exact" w:after="0" w:before="0"/>
              <w:ind w:firstLine="0"/>
              <w:jc w:val="left"/>
            </w:pPr>
            <w:r>
              <w:rPr>
                <w:b w:val="0"/>
                <w:sz w:val="21"/>
              </w:rPr>
              <w:t>同范围完整任务数</w:t>
            </w:r>
          </w:p>
        </w:tc>
        <w:tc>
          <w:tcPr>
            <w:tcW w:type="dxa" w:w="2891"/>
            <w:vAlign w:val="center"/>
          </w:tcPr>
          <w:p>
            <w:pPr>
              <w:keepNext w:val="0"/>
              <w:spacing w:line="320" w:lineRule="exact" w:after="0" w:before="0"/>
              <w:ind w:firstLine="0"/>
              <w:jc w:val="left"/>
            </w:pPr>
            <w:r>
              <w:rPr>
                <w:b w:val="0"/>
                <w:sz w:val="21"/>
              </w:rPr>
              <w:t>整体及任务类别分层统计</w:t>
            </w:r>
          </w:p>
        </w:tc>
      </w:tr>
      <w:tr>
        <w:trPr>
          <w:cantSplit/>
        </w:trPr>
        <w:tc>
          <w:tcPr>
            <w:tcW w:type="dxa" w:w="1638"/>
            <w:vAlign w:val="center"/>
          </w:tcPr>
          <w:p>
            <w:pPr>
              <w:keepNext w:val="0"/>
              <w:spacing w:line="320" w:lineRule="exact" w:after="0" w:before="0"/>
              <w:ind w:firstLine="0"/>
              <w:jc w:val="left"/>
            </w:pPr>
            <w:r>
              <w:rPr>
                <w:b w:val="0"/>
                <w:sz w:val="21"/>
              </w:rPr>
              <w:t>偏好来源比例</w:t>
            </w:r>
          </w:p>
        </w:tc>
        <w:tc>
          <w:tcPr>
            <w:tcW w:type="dxa" w:w="2699"/>
            <w:vAlign w:val="center"/>
          </w:tcPr>
          <w:p>
            <w:pPr>
              <w:keepNext w:val="0"/>
              <w:spacing w:line="320" w:lineRule="exact" w:after="0" w:before="0"/>
              <w:ind w:firstLine="0"/>
              <w:jc w:val="left"/>
            </w:pPr>
            <w:r>
              <w:rPr>
                <w:b w:val="0"/>
                <w:sz w:val="21"/>
              </w:rPr>
              <w:t>含合成候选及其派生的完整组数</w:t>
            </w:r>
          </w:p>
        </w:tc>
        <w:tc>
          <w:tcPr>
            <w:tcW w:type="dxa" w:w="2409"/>
            <w:vAlign w:val="center"/>
          </w:tcPr>
          <w:p>
            <w:pPr>
              <w:keepNext w:val="0"/>
              <w:spacing w:line="320" w:lineRule="exact" w:after="0" w:before="0"/>
              <w:ind w:firstLine="0"/>
              <w:jc w:val="left"/>
            </w:pPr>
            <w:r>
              <w:rPr>
                <w:b w:val="0"/>
                <w:sz w:val="21"/>
              </w:rPr>
              <w:t>同范围完整组数</w:t>
            </w:r>
          </w:p>
        </w:tc>
        <w:tc>
          <w:tcPr>
            <w:tcW w:type="dxa" w:w="2891"/>
            <w:vAlign w:val="center"/>
          </w:tcPr>
          <w:p>
            <w:pPr>
              <w:keepNext w:val="0"/>
              <w:spacing w:line="320" w:lineRule="exact" w:after="0" w:before="0"/>
              <w:ind w:firstLine="0"/>
              <w:jc w:val="left"/>
            </w:pPr>
            <w:r>
              <w:rPr>
                <w:b w:val="0"/>
                <w:sz w:val="21"/>
              </w:rPr>
              <w:t>候选性质到组性质的归并记录</w:t>
            </w:r>
          </w:p>
        </w:tc>
      </w:tr>
      <w:tr>
        <w:trPr>
          <w:cantSplit/>
        </w:trPr>
        <w:tc>
          <w:tcPr>
            <w:tcW w:type="dxa" w:w="1638"/>
            <w:vAlign w:val="center"/>
          </w:tcPr>
          <w:p>
            <w:pPr>
              <w:keepNext w:val="0"/>
              <w:spacing w:line="320" w:lineRule="exact" w:after="0" w:before="0"/>
              <w:ind w:firstLine="0"/>
              <w:jc w:val="left"/>
            </w:pPr>
            <w:r>
              <w:rPr>
                <w:b w:val="0"/>
                <w:sz w:val="21"/>
              </w:rPr>
              <w:t>基准来源比例</w:t>
            </w:r>
          </w:p>
        </w:tc>
        <w:tc>
          <w:tcPr>
            <w:tcW w:type="dxa" w:w="2699"/>
            <w:vAlign w:val="center"/>
          </w:tcPr>
          <w:p>
            <w:pPr>
              <w:keepNext w:val="0"/>
              <w:spacing w:line="320" w:lineRule="exact" w:after="0" w:before="0"/>
              <w:ind w:firstLine="0"/>
              <w:jc w:val="left"/>
            </w:pPr>
            <w:r>
              <w:rPr>
                <w:b w:val="0"/>
                <w:sz w:val="21"/>
              </w:rPr>
              <w:t>合成题目数为0</w:t>
            </w:r>
          </w:p>
        </w:tc>
        <w:tc>
          <w:tcPr>
            <w:tcW w:type="dxa" w:w="2409"/>
            <w:vAlign w:val="center"/>
          </w:tcPr>
          <w:p>
            <w:pPr>
              <w:keepNext w:val="0"/>
              <w:spacing w:line="320" w:lineRule="exact" w:after="0" w:before="0"/>
              <w:ind w:firstLine="0"/>
              <w:jc w:val="left"/>
            </w:pPr>
            <w:r>
              <w:rPr>
                <w:b w:val="0"/>
                <w:sz w:val="21"/>
              </w:rPr>
              <w:t>全部正式有效题目</w:t>
            </w:r>
          </w:p>
        </w:tc>
        <w:tc>
          <w:tcPr>
            <w:tcW w:type="dxa" w:w="2891"/>
            <w:vAlign w:val="center"/>
          </w:tcPr>
          <w:p>
            <w:pPr>
              <w:keepNext w:val="0"/>
              <w:spacing w:line="320" w:lineRule="exact" w:after="0" w:before="0"/>
              <w:ind w:firstLine="0"/>
              <w:jc w:val="left"/>
            </w:pPr>
            <w:r>
              <w:rPr>
                <w:b w:val="0"/>
                <w:sz w:val="21"/>
              </w:rPr>
              <w:t>来源与派生关系逐项核查记录</w:t>
            </w:r>
          </w:p>
        </w:tc>
      </w:tr>
    </w:tbl>
    <w:p>
      <w:pPr>
        <w:spacing w:after="40" w:line="240" w:lineRule="auto"/>
        <w:ind w:firstLine="0"/>
      </w:pPr>
      <w:r>
        <w:rPr>
          <w:sz w:val="4"/>
        </w:rPr>
      </w:r>
    </w:p>
    <w:p>
      <w:pPr>
        <w:jc w:val="both"/>
      </w:pPr>
      <w:r>
        <w:t>比例判定优先使用整数关系，避免显示百分数四舍五入造成边界误判。40%判断采用分子乘100与分母乘40比较；分母为零时记录不可计算并判定未满足交付条件，不能输出100%。来源并集由记录或内容段的来源性质及增强标记合并，交集不重复计算，不能将合成占比和增强占比直接相加。</w:t>
      </w:r>
    </w:p>
    <w:p>
      <w:pPr>
        <w:jc w:val="both"/>
      </w:pPr>
      <w:r>
        <w:t>长度分布报告适用的最小值、最大值、分位数及区间频数。文本单位为Tokens，视频单位为秒，时序分别报告时间跨度与采样点数。分位数方法固定；不同长度单位不能拼入一个分布。类别比例列出实际分母，多标签占比之和可以超过100%，互斥类别占比则核查总量守恒。</w:t>
      </w:r>
    </w:p>
    <w:p>
      <w:pPr>
        <w:jc w:val="both"/>
      </w:pPr>
      <w:r>
        <w:t>数据修复后保留前后两次统计。因剔除某类记录导致其他比例变化时同步处理，例如去除重复近期样本可能降低近期占比，清除无效图像可能降低多模态占比。统计改善须能够回到实际内容变更，不能通过更换分母、修改标签或隐藏未知状态完成。</w:t>
      </w:r>
    </w:p>
    <w:p>
      <w:pPr>
        <w:pStyle w:val="Heading2"/>
      </w:pPr>
      <w:r>
        <w:t>7.6 目录与文件清单</w:t>
      </w:r>
    </w:p>
    <w:p>
      <w:pPr>
        <w:jc w:val="both"/>
      </w:pPr>
      <w:r>
        <w:t>封装以package.json为唯一根入口，卡片、数据、元数据、字典和报告通过相对路径连接。根入口登记数据集身份、领域、用途、数据版本、结构版本、卡片位置、数据文件清单、资源索引、字典、内容根摘要及最终封装校验信息。目录中不使用临时下载地址或本机绝对路径作为必要依赖。</w:t>
      </w:r>
    </w:p>
    <w:p>
      <w:pPr>
        <w:pStyle w:val="Caption"/>
        <w:keepNext/>
      </w:pPr>
      <w:r>
        <w:t>表7-6 目录与文件清单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相对位置</w:t>
            </w:r>
          </w:p>
        </w:tc>
        <w:tc>
          <w:tcPr>
            <w:tcW w:type="dxa" w:w="2891"/>
            <w:vAlign w:val="center"/>
            <w:shd w:fill="EDF1F3"/>
          </w:tcPr>
          <w:p>
            <w:pPr>
              <w:keepNext/>
              <w:spacing w:line="320" w:lineRule="exact" w:after="0" w:before="0"/>
              <w:ind w:firstLine="0"/>
              <w:jc w:val="center"/>
            </w:pPr>
            <w:r>
              <w:rPr>
                <w:b/>
                <w:sz w:val="21"/>
              </w:rPr>
              <w:t>内容</w:t>
            </w:r>
          </w:p>
        </w:tc>
        <w:tc>
          <w:tcPr>
            <w:tcW w:type="dxa" w:w="4433"/>
            <w:vAlign w:val="center"/>
            <w:shd w:fill="EDF1F3"/>
          </w:tcPr>
          <w:p>
            <w:pPr>
              <w:keepNext/>
              <w:spacing w:line="320" w:lineRule="exact" w:after="0" w:before="0"/>
              <w:ind w:firstLine="0"/>
              <w:jc w:val="center"/>
            </w:pPr>
            <w:r>
              <w:rPr>
                <w:b/>
                <w:sz w:val="21"/>
              </w:rPr>
              <w:t>核验重点</w:t>
            </w:r>
          </w:p>
        </w:tc>
      </w:tr>
      <w:tr>
        <w:trPr>
          <w:cantSplit/>
        </w:trPr>
        <w:tc>
          <w:tcPr>
            <w:tcW w:type="dxa" w:w="2313"/>
            <w:vAlign w:val="center"/>
          </w:tcPr>
          <w:p>
            <w:pPr>
              <w:keepNext w:val="0"/>
              <w:spacing w:line="320" w:lineRule="exact" w:after="0" w:before="0"/>
              <w:ind w:firstLine="0"/>
              <w:jc w:val="left"/>
            </w:pPr>
            <w:r>
              <w:rPr>
                <w:b w:val="0"/>
                <w:sz w:val="21"/>
              </w:rPr>
              <w:t>package.json</w:t>
            </w:r>
          </w:p>
        </w:tc>
        <w:tc>
          <w:tcPr>
            <w:tcW w:type="dxa" w:w="2891"/>
            <w:vAlign w:val="center"/>
          </w:tcPr>
          <w:p>
            <w:pPr>
              <w:keepNext w:val="0"/>
              <w:spacing w:line="320" w:lineRule="exact" w:after="0" w:before="0"/>
              <w:ind w:firstLine="0"/>
              <w:jc w:val="left"/>
            </w:pPr>
            <w:r>
              <w:rPr>
                <w:b w:val="0"/>
                <w:sz w:val="21"/>
              </w:rPr>
              <w:t>封装根描述及入口引用</w:t>
            </w:r>
          </w:p>
        </w:tc>
        <w:tc>
          <w:tcPr>
            <w:tcW w:type="dxa" w:w="4433"/>
            <w:vAlign w:val="center"/>
          </w:tcPr>
          <w:p>
            <w:pPr>
              <w:keepNext w:val="0"/>
              <w:spacing w:line="320" w:lineRule="exact" w:after="0" w:before="0"/>
              <w:ind w:firstLine="0"/>
              <w:jc w:val="left"/>
            </w:pPr>
            <w:r>
              <w:rPr>
                <w:b w:val="0"/>
                <w:sz w:val="21"/>
              </w:rPr>
              <w:t>身份、版本、结构与卡片一致</w:t>
            </w:r>
          </w:p>
        </w:tc>
      </w:tr>
      <w:tr>
        <w:trPr>
          <w:cantSplit/>
        </w:trPr>
        <w:tc>
          <w:tcPr>
            <w:tcW w:type="dxa" w:w="2313"/>
            <w:vAlign w:val="center"/>
          </w:tcPr>
          <w:p>
            <w:pPr>
              <w:keepNext w:val="0"/>
              <w:spacing w:line="320" w:lineRule="exact" w:after="0" w:before="0"/>
              <w:ind w:firstLine="0"/>
              <w:jc w:val="left"/>
            </w:pPr>
            <w:r>
              <w:rPr>
                <w:b w:val="0"/>
                <w:sz w:val="21"/>
              </w:rPr>
              <w:t>data/</w:t>
            </w:r>
          </w:p>
        </w:tc>
        <w:tc>
          <w:tcPr>
            <w:tcW w:type="dxa" w:w="2891"/>
            <w:vAlign w:val="center"/>
          </w:tcPr>
          <w:p>
            <w:pPr>
              <w:keepNext w:val="0"/>
              <w:spacing w:line="320" w:lineRule="exact" w:after="0" w:before="0"/>
              <w:ind w:firstLine="0"/>
              <w:jc w:val="left"/>
            </w:pPr>
            <w:r>
              <w:rPr>
                <w:b w:val="0"/>
                <w:sz w:val="21"/>
              </w:rPr>
              <w:t>用途记录及分片文件</w:t>
            </w:r>
          </w:p>
        </w:tc>
        <w:tc>
          <w:tcPr>
            <w:tcW w:type="dxa" w:w="4433"/>
            <w:vAlign w:val="center"/>
          </w:tcPr>
          <w:p>
            <w:pPr>
              <w:keepNext w:val="0"/>
              <w:spacing w:line="320" w:lineRule="exact" w:after="0" w:before="0"/>
              <w:ind w:firstLine="0"/>
              <w:jc w:val="left"/>
            </w:pPr>
            <w:r>
              <w:rPr>
                <w:b w:val="0"/>
                <w:sz w:val="21"/>
              </w:rPr>
              <w:t>可解析、数量正确、无重复记录键</w:t>
            </w:r>
          </w:p>
        </w:tc>
      </w:tr>
      <w:tr>
        <w:trPr>
          <w:cantSplit/>
        </w:trPr>
        <w:tc>
          <w:tcPr>
            <w:tcW w:type="dxa" w:w="2313"/>
            <w:vAlign w:val="center"/>
          </w:tcPr>
          <w:p>
            <w:pPr>
              <w:keepNext w:val="0"/>
              <w:spacing w:line="320" w:lineRule="exact" w:after="0" w:before="0"/>
              <w:ind w:firstLine="0"/>
              <w:jc w:val="left"/>
            </w:pPr>
            <w:r>
              <w:rPr>
                <w:b w:val="0"/>
                <w:sz w:val="21"/>
              </w:rPr>
              <w:t>resources/images/</w:t>
            </w:r>
          </w:p>
        </w:tc>
        <w:tc>
          <w:tcPr>
            <w:tcW w:type="dxa" w:w="2891"/>
            <w:vAlign w:val="center"/>
          </w:tcPr>
          <w:p>
            <w:pPr>
              <w:keepNext w:val="0"/>
              <w:spacing w:line="320" w:lineRule="exact" w:after="0" w:before="0"/>
              <w:ind w:firstLine="0"/>
              <w:jc w:val="left"/>
            </w:pPr>
            <w:r>
              <w:rPr>
                <w:b w:val="0"/>
                <w:sz w:val="21"/>
              </w:rPr>
              <w:t>图像及版面资源</w:t>
            </w:r>
          </w:p>
        </w:tc>
        <w:tc>
          <w:tcPr>
            <w:tcW w:type="dxa" w:w="4433"/>
            <w:vAlign w:val="center"/>
          </w:tcPr>
          <w:p>
            <w:pPr>
              <w:keepNext w:val="0"/>
              <w:spacing w:line="320" w:lineRule="exact" w:after="0" w:before="0"/>
              <w:ind w:firstLine="0"/>
              <w:jc w:val="left"/>
            </w:pPr>
            <w:r>
              <w:rPr>
                <w:b w:val="0"/>
                <w:sz w:val="21"/>
              </w:rPr>
              <w:t>字节摘要、尺寸、坐标与记录对应</w:t>
            </w:r>
          </w:p>
        </w:tc>
      </w:tr>
      <w:tr>
        <w:trPr>
          <w:cantSplit/>
        </w:trPr>
        <w:tc>
          <w:tcPr>
            <w:tcW w:type="dxa" w:w="2313"/>
            <w:vAlign w:val="center"/>
          </w:tcPr>
          <w:p>
            <w:pPr>
              <w:keepNext w:val="0"/>
              <w:spacing w:line="320" w:lineRule="exact" w:after="0" w:before="0"/>
              <w:ind w:firstLine="0"/>
              <w:jc w:val="left"/>
            </w:pPr>
            <w:r>
              <w:rPr>
                <w:b w:val="0"/>
                <w:sz w:val="21"/>
              </w:rPr>
              <w:t>resources/timeseries/</w:t>
            </w:r>
          </w:p>
        </w:tc>
        <w:tc>
          <w:tcPr>
            <w:tcW w:type="dxa" w:w="2891"/>
            <w:vAlign w:val="center"/>
          </w:tcPr>
          <w:p>
            <w:pPr>
              <w:keepNext w:val="0"/>
              <w:spacing w:line="320" w:lineRule="exact" w:after="0" w:before="0"/>
              <w:ind w:firstLine="0"/>
              <w:jc w:val="left"/>
            </w:pPr>
            <w:r>
              <w:rPr>
                <w:b w:val="0"/>
                <w:sz w:val="21"/>
              </w:rPr>
              <w:t>时序载荷及配置</w:t>
            </w:r>
          </w:p>
        </w:tc>
        <w:tc>
          <w:tcPr>
            <w:tcW w:type="dxa" w:w="4433"/>
            <w:vAlign w:val="center"/>
          </w:tcPr>
          <w:p>
            <w:pPr>
              <w:keepNext w:val="0"/>
              <w:spacing w:line="320" w:lineRule="exact" w:after="0" w:before="0"/>
              <w:ind w:firstLine="0"/>
              <w:jc w:val="left"/>
            </w:pPr>
            <w:r>
              <w:rPr>
                <w:b w:val="0"/>
                <w:sz w:val="21"/>
              </w:rPr>
              <w:t>测点、时间、单位、缺口与窗口</w:t>
            </w:r>
          </w:p>
        </w:tc>
      </w:tr>
      <w:tr>
        <w:trPr>
          <w:cantSplit/>
        </w:trPr>
        <w:tc>
          <w:tcPr>
            <w:tcW w:type="dxa" w:w="2313"/>
            <w:vAlign w:val="center"/>
          </w:tcPr>
          <w:p>
            <w:pPr>
              <w:keepNext w:val="0"/>
              <w:spacing w:line="320" w:lineRule="exact" w:after="0" w:before="0"/>
              <w:ind w:firstLine="0"/>
              <w:jc w:val="left"/>
            </w:pPr>
            <w:r>
              <w:rPr>
                <w:b w:val="0"/>
                <w:sz w:val="21"/>
              </w:rPr>
              <w:t>resources/video/</w:t>
            </w:r>
          </w:p>
        </w:tc>
        <w:tc>
          <w:tcPr>
            <w:tcW w:type="dxa" w:w="2891"/>
            <w:vAlign w:val="center"/>
          </w:tcPr>
          <w:p>
            <w:pPr>
              <w:keepNext w:val="0"/>
              <w:spacing w:line="320" w:lineRule="exact" w:after="0" w:before="0"/>
              <w:ind w:firstLine="0"/>
              <w:jc w:val="left"/>
            </w:pPr>
            <w:r>
              <w:rPr>
                <w:b w:val="0"/>
                <w:sz w:val="21"/>
              </w:rPr>
              <w:t>视频及片段索引</w:t>
            </w:r>
          </w:p>
        </w:tc>
        <w:tc>
          <w:tcPr>
            <w:tcW w:type="dxa" w:w="4433"/>
            <w:vAlign w:val="center"/>
          </w:tcPr>
          <w:p>
            <w:pPr>
              <w:keepNext w:val="0"/>
              <w:spacing w:line="320" w:lineRule="exact" w:after="0" w:before="0"/>
              <w:ind w:firstLine="0"/>
              <w:jc w:val="left"/>
            </w:pPr>
            <w:r>
              <w:rPr>
                <w:b w:val="0"/>
                <w:sz w:val="21"/>
              </w:rPr>
              <w:t>时基、片段位置与业务事件</w:t>
            </w:r>
          </w:p>
        </w:tc>
      </w:tr>
      <w:tr>
        <w:trPr>
          <w:cantSplit/>
        </w:trPr>
        <w:tc>
          <w:tcPr>
            <w:tcW w:type="dxa" w:w="2313"/>
            <w:vAlign w:val="center"/>
          </w:tcPr>
          <w:p>
            <w:pPr>
              <w:keepNext w:val="0"/>
              <w:spacing w:line="320" w:lineRule="exact" w:after="0" w:before="0"/>
              <w:ind w:firstLine="0"/>
              <w:jc w:val="left"/>
            </w:pPr>
            <w:r>
              <w:rPr>
                <w:b w:val="0"/>
                <w:sz w:val="21"/>
              </w:rPr>
              <w:t>metadata/</w:t>
            </w:r>
          </w:p>
        </w:tc>
        <w:tc>
          <w:tcPr>
            <w:tcW w:type="dxa" w:w="2891"/>
            <w:vAlign w:val="center"/>
          </w:tcPr>
          <w:p>
            <w:pPr>
              <w:keepNext w:val="0"/>
              <w:spacing w:line="320" w:lineRule="exact" w:after="0" w:before="0"/>
              <w:ind w:firstLine="0"/>
              <w:jc w:val="left"/>
            </w:pPr>
            <w:r>
              <w:rPr>
                <w:b w:val="0"/>
                <w:sz w:val="21"/>
              </w:rPr>
              <w:t>来源、对象、许可及血缘引用</w:t>
            </w:r>
          </w:p>
        </w:tc>
        <w:tc>
          <w:tcPr>
            <w:tcW w:type="dxa" w:w="4433"/>
            <w:vAlign w:val="center"/>
          </w:tcPr>
          <w:p>
            <w:pPr>
              <w:keepNext w:val="0"/>
              <w:spacing w:line="320" w:lineRule="exact" w:after="0" w:before="0"/>
              <w:ind w:firstLine="0"/>
              <w:jc w:val="left"/>
            </w:pPr>
            <w:r>
              <w:rPr>
                <w:b w:val="0"/>
                <w:sz w:val="21"/>
              </w:rPr>
              <w:t>全部必要关系可解析</w:t>
            </w:r>
          </w:p>
        </w:tc>
      </w:tr>
      <w:tr>
        <w:trPr>
          <w:cantSplit/>
        </w:trPr>
        <w:tc>
          <w:tcPr>
            <w:tcW w:type="dxa" w:w="2313"/>
            <w:vAlign w:val="center"/>
          </w:tcPr>
          <w:p>
            <w:pPr>
              <w:keepNext w:val="0"/>
              <w:spacing w:line="320" w:lineRule="exact" w:after="0" w:before="0"/>
              <w:ind w:firstLine="0"/>
              <w:jc w:val="left"/>
            </w:pPr>
            <w:r>
              <w:rPr>
                <w:b w:val="0"/>
                <w:sz w:val="21"/>
              </w:rPr>
              <w:t>dictionary/</w:t>
            </w:r>
          </w:p>
        </w:tc>
        <w:tc>
          <w:tcPr>
            <w:tcW w:type="dxa" w:w="2891"/>
            <w:vAlign w:val="center"/>
          </w:tcPr>
          <w:p>
            <w:pPr>
              <w:keepNext w:val="0"/>
              <w:spacing w:line="320" w:lineRule="exact" w:after="0" w:before="0"/>
              <w:ind w:firstLine="0"/>
              <w:jc w:val="left"/>
            </w:pPr>
            <w:r>
              <w:rPr>
                <w:b w:val="0"/>
                <w:sz w:val="21"/>
              </w:rPr>
              <w:t>公共字段、领域扩展与标签字典</w:t>
            </w:r>
          </w:p>
        </w:tc>
        <w:tc>
          <w:tcPr>
            <w:tcW w:type="dxa" w:w="4433"/>
            <w:vAlign w:val="center"/>
          </w:tcPr>
          <w:p>
            <w:pPr>
              <w:keepNext w:val="0"/>
              <w:spacing w:line="320" w:lineRule="exact" w:after="0" w:before="0"/>
              <w:ind w:firstLine="0"/>
              <w:jc w:val="left"/>
            </w:pPr>
            <w:r>
              <w:rPr>
                <w:b w:val="0"/>
                <w:sz w:val="21"/>
              </w:rPr>
              <w:t>类型、枚举、单位、版本及空值语义</w:t>
            </w:r>
          </w:p>
        </w:tc>
      </w:tr>
      <w:tr>
        <w:trPr>
          <w:cantSplit/>
        </w:trPr>
        <w:tc>
          <w:tcPr>
            <w:tcW w:type="dxa" w:w="2313"/>
            <w:vAlign w:val="center"/>
          </w:tcPr>
          <w:p>
            <w:pPr>
              <w:keepNext w:val="0"/>
              <w:spacing w:line="320" w:lineRule="exact" w:after="0" w:before="0"/>
              <w:ind w:firstLine="0"/>
              <w:jc w:val="left"/>
            </w:pPr>
            <w:r>
              <w:rPr>
                <w:b w:val="0"/>
                <w:sz w:val="21"/>
              </w:rPr>
              <w:t>cards/</w:t>
            </w:r>
          </w:p>
        </w:tc>
        <w:tc>
          <w:tcPr>
            <w:tcW w:type="dxa" w:w="2891"/>
            <w:vAlign w:val="center"/>
          </w:tcPr>
          <w:p>
            <w:pPr>
              <w:keepNext w:val="0"/>
              <w:spacing w:line="320" w:lineRule="exact" w:after="0" w:before="0"/>
              <w:ind w:firstLine="0"/>
              <w:jc w:val="left"/>
            </w:pPr>
            <w:r>
              <w:rPr>
                <w:b w:val="0"/>
                <w:sz w:val="21"/>
              </w:rPr>
              <w:t>汇总卡、子集卡及机器记录</w:t>
            </w:r>
          </w:p>
        </w:tc>
        <w:tc>
          <w:tcPr>
            <w:tcW w:type="dxa" w:w="4433"/>
            <w:vAlign w:val="center"/>
          </w:tcPr>
          <w:p>
            <w:pPr>
              <w:keepNext w:val="0"/>
              <w:spacing w:line="320" w:lineRule="exact" w:after="0" w:before="0"/>
              <w:ind w:firstLine="0"/>
              <w:jc w:val="left"/>
            </w:pPr>
            <w:r>
              <w:rPr>
                <w:b w:val="0"/>
                <w:sz w:val="21"/>
              </w:rPr>
              <w:t>84字段完整、与统计和报告同版</w:t>
            </w:r>
          </w:p>
        </w:tc>
      </w:tr>
      <w:tr>
        <w:trPr>
          <w:cantSplit/>
        </w:trPr>
        <w:tc>
          <w:tcPr>
            <w:tcW w:type="dxa" w:w="2313"/>
            <w:vAlign w:val="center"/>
          </w:tcPr>
          <w:p>
            <w:pPr>
              <w:keepNext w:val="0"/>
              <w:spacing w:line="320" w:lineRule="exact" w:after="0" w:before="0"/>
              <w:ind w:firstLine="0"/>
              <w:jc w:val="left"/>
            </w:pPr>
            <w:r>
              <w:rPr>
                <w:b w:val="0"/>
                <w:sz w:val="21"/>
              </w:rPr>
              <w:t>reports/</w:t>
            </w:r>
          </w:p>
        </w:tc>
        <w:tc>
          <w:tcPr>
            <w:tcW w:type="dxa" w:w="2891"/>
            <w:vAlign w:val="center"/>
          </w:tcPr>
          <w:p>
            <w:pPr>
              <w:keepNext w:val="0"/>
              <w:spacing w:line="320" w:lineRule="exact" w:after="0" w:before="0"/>
              <w:ind w:firstLine="0"/>
              <w:jc w:val="left"/>
            </w:pPr>
            <w:r>
              <w:rPr>
                <w:b w:val="0"/>
                <w:sz w:val="21"/>
              </w:rPr>
              <w:t>质检、验证、评测与复测档案</w:t>
            </w:r>
          </w:p>
        </w:tc>
        <w:tc>
          <w:tcPr>
            <w:tcW w:type="dxa" w:w="4433"/>
            <w:vAlign w:val="center"/>
          </w:tcPr>
          <w:p>
            <w:pPr>
              <w:keepNext w:val="0"/>
              <w:spacing w:line="320" w:lineRule="exact" w:after="0" w:before="0"/>
              <w:ind w:firstLine="0"/>
              <w:jc w:val="left"/>
            </w:pPr>
            <w:r>
              <w:rPr>
                <w:b w:val="0"/>
                <w:sz w:val="21"/>
              </w:rPr>
              <w:t>内容根摘要与受检对象一致</w:t>
            </w:r>
          </w:p>
        </w:tc>
      </w:tr>
      <w:tr>
        <w:trPr>
          <w:cantSplit/>
        </w:trPr>
        <w:tc>
          <w:tcPr>
            <w:tcW w:type="dxa" w:w="2313"/>
            <w:vAlign w:val="center"/>
          </w:tcPr>
          <w:p>
            <w:pPr>
              <w:keepNext w:val="0"/>
              <w:spacing w:line="320" w:lineRule="exact" w:after="0" w:before="0"/>
              <w:ind w:firstLine="0"/>
              <w:jc w:val="left"/>
            </w:pPr>
            <w:r>
              <w:rPr>
                <w:b w:val="0"/>
                <w:sz w:val="21"/>
              </w:rPr>
              <w:t>examples/</w:t>
            </w:r>
          </w:p>
        </w:tc>
        <w:tc>
          <w:tcPr>
            <w:tcW w:type="dxa" w:w="2891"/>
            <w:vAlign w:val="center"/>
          </w:tcPr>
          <w:p>
            <w:pPr>
              <w:keepNext w:val="0"/>
              <w:spacing w:line="320" w:lineRule="exact" w:after="0" w:before="0"/>
              <w:ind w:firstLine="0"/>
              <w:jc w:val="left"/>
            </w:pPr>
            <w:r>
              <w:rPr>
                <w:b w:val="0"/>
                <w:sz w:val="21"/>
              </w:rPr>
              <w:t>规范实例与批准的使用示例</w:t>
            </w:r>
          </w:p>
        </w:tc>
        <w:tc>
          <w:tcPr>
            <w:tcW w:type="dxa" w:w="4433"/>
            <w:vAlign w:val="center"/>
          </w:tcPr>
          <w:p>
            <w:pPr>
              <w:keepNext w:val="0"/>
              <w:spacing w:line="320" w:lineRule="exact" w:after="0" w:before="0"/>
              <w:ind w:firstLine="0"/>
              <w:jc w:val="left"/>
            </w:pPr>
            <w:r>
              <w:rPr>
                <w:b w:val="0"/>
                <w:sz w:val="21"/>
              </w:rPr>
              <w:t>规范实例不进入生产净量或正式划分</w:t>
            </w:r>
          </w:p>
        </w:tc>
      </w:tr>
      <w:tr>
        <w:trPr>
          <w:cantSplit/>
        </w:trPr>
        <w:tc>
          <w:tcPr>
            <w:tcW w:type="dxa" w:w="2313"/>
            <w:vAlign w:val="center"/>
          </w:tcPr>
          <w:p>
            <w:pPr>
              <w:keepNext w:val="0"/>
              <w:spacing w:line="320" w:lineRule="exact" w:after="0" w:before="0"/>
              <w:ind w:firstLine="0"/>
              <w:jc w:val="left"/>
            </w:pPr>
            <w:r>
              <w:rPr>
                <w:b w:val="0"/>
                <w:sz w:val="21"/>
              </w:rPr>
              <w:t>tools/</w:t>
            </w:r>
          </w:p>
        </w:tc>
        <w:tc>
          <w:tcPr>
            <w:tcW w:type="dxa" w:w="2891"/>
            <w:vAlign w:val="center"/>
          </w:tcPr>
          <w:p>
            <w:pPr>
              <w:keepNext w:val="0"/>
              <w:spacing w:line="320" w:lineRule="exact" w:after="0" w:before="0"/>
              <w:ind w:firstLine="0"/>
              <w:jc w:val="left"/>
            </w:pPr>
            <w:r>
              <w:rPr>
                <w:b w:val="0"/>
                <w:sz w:val="21"/>
              </w:rPr>
              <w:t>读取、校验、统计与业务评价程序</w:t>
            </w:r>
          </w:p>
        </w:tc>
        <w:tc>
          <w:tcPr>
            <w:tcW w:type="dxa" w:w="4433"/>
            <w:vAlign w:val="center"/>
          </w:tcPr>
          <w:p>
            <w:pPr>
              <w:keepNext w:val="0"/>
              <w:spacing w:line="320" w:lineRule="exact" w:after="0" w:before="0"/>
              <w:ind w:firstLine="0"/>
              <w:jc w:val="left"/>
            </w:pPr>
            <w:r>
              <w:rPr>
                <w:b w:val="0"/>
                <w:sz w:val="21"/>
              </w:rPr>
              <w:t>依赖、配置及运行条件明确</w:t>
            </w:r>
          </w:p>
        </w:tc>
      </w:tr>
      <w:tr>
        <w:trPr>
          <w:cantSplit/>
        </w:trPr>
        <w:tc>
          <w:tcPr>
            <w:tcW w:type="dxa" w:w="2313"/>
            <w:vAlign w:val="center"/>
          </w:tcPr>
          <w:p>
            <w:pPr>
              <w:keepNext w:val="0"/>
              <w:spacing w:line="320" w:lineRule="exact" w:after="0" w:before="0"/>
              <w:ind w:firstLine="0"/>
              <w:jc w:val="left"/>
            </w:pPr>
            <w:r>
              <w:rPr>
                <w:b w:val="0"/>
                <w:sz w:val="21"/>
              </w:rPr>
              <w:t>integrity/</w:t>
            </w:r>
          </w:p>
        </w:tc>
        <w:tc>
          <w:tcPr>
            <w:tcW w:type="dxa" w:w="2891"/>
            <w:vAlign w:val="center"/>
          </w:tcPr>
          <w:p>
            <w:pPr>
              <w:keepNext w:val="0"/>
              <w:spacing w:line="320" w:lineRule="exact" w:after="0" w:before="0"/>
              <w:ind w:firstLine="0"/>
              <w:jc w:val="left"/>
            </w:pPr>
            <w:r>
              <w:rPr>
                <w:b w:val="0"/>
                <w:sz w:val="21"/>
              </w:rPr>
              <w:t>文件清单、摘要及签名验证资料</w:t>
            </w:r>
          </w:p>
        </w:tc>
        <w:tc>
          <w:tcPr>
            <w:tcW w:type="dxa" w:w="4433"/>
            <w:vAlign w:val="center"/>
          </w:tcPr>
          <w:p>
            <w:pPr>
              <w:keepNext w:val="0"/>
              <w:spacing w:line="320" w:lineRule="exact" w:after="0" w:before="0"/>
              <w:ind w:firstLine="0"/>
              <w:jc w:val="left"/>
            </w:pPr>
            <w:r>
              <w:rPr>
                <w:b w:val="0"/>
                <w:sz w:val="21"/>
              </w:rPr>
              <w:t>计算对象固定，无循环引用</w:t>
            </w:r>
          </w:p>
        </w:tc>
      </w:tr>
    </w:tbl>
    <w:p>
      <w:pPr>
        <w:spacing w:after="40" w:line="240" w:lineRule="auto"/>
        <w:ind w:firstLine="0"/>
      </w:pPr>
      <w:r>
        <w:rPr>
          <w:sz w:val="4"/>
        </w:rPr>
      </w:r>
    </w:p>
    <w:p>
      <w:pPr>
        <w:jc w:val="both"/>
      </w:pPr>
      <w:r>
        <w:t>文件清单记录每个文件的相对路径、用途、实际字节数、媒体类型和摘要。共享资源可以被多个记录引用，清单中只保留同一文件身份的一次登记；不能用相同路径指向不同内容。路径大小写、Unicode规范化、路径分隔符及排序规则在封装规范中固定，跨环境读取保持一致。</w:t>
      </w:r>
    </w:p>
    <w:p>
      <w:pPr>
        <w:jc w:val="both"/>
      </w:pPr>
      <w:r>
        <w:t>内容根摘要只绑定数据内容、必要元数据及字典，质检和验证报告引用该摘要。最终封装清单再绑定正式卡片、报告、程序及其他配套文件，清单自身摘要和签名单独保存。采用项目密码方案规定的算法和签名配置，签名与摘要的计算对象、排除项、规范化方法和验证材料保持明确，避免卡片与清单相互引用导致无法确定计算值。</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23" name="Picture 23"/>
            <wp:cNvGraphicFramePr>
              <a:graphicFrameLocks noChangeAspect="1"/>
            </wp:cNvGraphicFramePr>
            <a:graphic>
              <a:graphicData uri="http://schemas.openxmlformats.org/drawingml/2006/picture">
                <pic:pic>
                  <pic:nvPicPr>
                    <pic:cNvPr id="0" name="图7_封装核验.png"/>
                    <pic:cNvPicPr/>
                  </pic:nvPicPr>
                  <pic:blipFill>
                    <a:blip r:embed="rId21"/>
                    <a:stretch>
                      <a:fillRect/>
                    </a:stretch>
                  </pic:blipFill>
                  <pic:spPr>
                    <a:xfrm>
                      <a:off x="0" y="0"/>
                      <a:ext cx="6048000" cy="1942338"/>
                    </a:xfrm>
                    <a:prstGeom prst="rect"/>
                  </pic:spPr>
                </pic:pic>
              </a:graphicData>
            </a:graphic>
          </wp:inline>
        </w:drawing>
      </w:r>
    </w:p>
    <w:p>
      <w:pPr>
        <w:pStyle w:val="Caption"/>
        <w:jc w:val="center"/>
      </w:pPr>
      <w:r>
        <w:t>图7-1 独立解析与接收核验</w:t>
      </w:r>
    </w:p>
    <w:p>
      <w:pPr>
        <w:pStyle w:val="Heading2"/>
      </w:pPr>
      <w:r>
        <w:t>7.7 读取与结构校验</w:t>
      </w:r>
    </w:p>
    <w:p>
      <w:pPr>
        <w:jc w:val="both"/>
      </w:pPr>
      <w:r>
        <w:t>独立读取先解析根入口并检查结构版本，再按清单读取实际文件。路径解析拒绝绝对路径、父目录越界及解析后指向封装外的符号链接。每个数据文件严格按UTF-8及规定行结构解析，错误行报告文件、行号和原因，不静默跳过。结构检查通过后才能进行计量复算和业务校验。</w:t>
      </w:r>
    </w:p>
    <w:p>
      <w:pPr>
        <w:jc w:val="both"/>
      </w:pPr>
      <w:r>
        <w:t>记录唯一性按整个用途子集检查，跨分片重复仍属于重复。类型检查区分布尔与整数，避免将true误当数量1。数值拒绝非有限值；空字符串、空数组、null和字段缺失分别处理。嵌套对象及数组逐项校验，JSON重复键应判为结构错误，不能由解析器悄悄保留最后一个值。</w:t>
      </w:r>
    </w:p>
    <w:p>
      <w:pPr>
        <w:jc w:val="both"/>
      </w:pPr>
      <w:r>
        <w:t>对正式基准检查origin为real、augmented为false、来源家族及授权证据存在、题干与参考依据完整，并验证与训练用途的家族集合无交集。该结构检查只证明字段满足规定形态，真实来源及隔离有效性仍由来源资料、派生关系和专业复核证明。无法访问的证据保持失败状态，不以存在一个字符串替代实际证据。</w:t>
      </w:r>
    </w:p>
    <w:p>
      <w:pPr>
        <w:jc w:val="both"/>
      </w:pPr>
      <w:r>
        <w:t>读取程序输出结构检查报告、有效记录计数、资源失败明细和重复键清单，保留执行环境及程序版本。示例程序在受控规范实例上验证正常和异常路径；正式规模数据采用分片、外部排序或受控索引处理，保持与小规模校验相同的业务判定含义，不因性能限制缩小应检范围。</w:t>
      </w:r>
    </w:p>
    <w:p>
      <w:pPr>
        <w:pStyle w:val="Heading2"/>
      </w:pPr>
      <w:r>
        <w:t>7.8 业务评价与基线复现</w:t>
      </w:r>
    </w:p>
    <w:p>
      <w:pPr>
        <w:jc w:val="both"/>
      </w:pPr>
      <w:r>
        <w:t>供需计划评价按订单行、物料状态及同一截止时点复算数量，判断约束是否被完整引用。产品工艺设计评价同时核对配置、版次、生效范围、工序前置条件和批准技术依据。制造过程评价区分采集失败、传感器异常和真实工艺异常，按设备和事件窗口检查定位。产品质量评价同时检查测量值、单位、标准边界、检验覆盖及处置状态。</w:t>
      </w:r>
    </w:p>
    <w:p>
      <w:pPr>
        <w:jc w:val="both"/>
      </w:pPr>
      <w:r>
        <w:t>评价程序按固定问题及输入运行，保存模型版本、实际参数、输入资源、原始输出和评分结果。自动评分只处理可确定的结构、数值、选择与明确匹配项；开放判断由专业盲评及固定要点补充。每一评分点对应实际输出位置和依据，争议进入独立裁决，不以评价模型的单次意见直接替代专业确认。</w:t>
      </w:r>
    </w:p>
    <w:p>
      <w:pPr>
        <w:jc w:val="both"/>
      </w:pPr>
      <w:r>
        <w:t>四阶段模型比较使用相同数据版本及协议，分别保留招标指定基础模型、继续预训练模型、指令微调模型、偏好对齐模型的结果。超时、调用失败、资源解析失败和无答案分别计数，重试条件及次数在试验前固定；不能只删除失败样本后比较剩余结果。多次运行结果报告变动范围，发现部分领域退化时保留实际结论及改进措施。</w:t>
      </w:r>
    </w:p>
    <w:p>
      <w:pPr>
        <w:jc w:val="both"/>
      </w:pPr>
      <w:r>
        <w:t>基线复现材料包括输入清单、依赖版本、模型访问或运行条件、参数、随机种子、程序、评分配置和运行日志。受限模型或资源按授权环境复现，不能以不可访问的外部链接冒充可复现实现。正式场景案例保存业务输入、处理结果、专业审核、实际使用条件和效果证据，单个规范题的正确回答不替代场景验证报告。</w:t>
      </w:r>
    </w:p>
    <w:p>
      <w:pPr>
        <w:pStyle w:val="Heading2"/>
      </w:pPr>
      <w:r>
        <w:t>7.9 说明文档要求对应</w:t>
      </w:r>
    </w:p>
    <w:p>
      <w:pPr>
        <w:pStyle w:val="Caption"/>
        <w:keepNext/>
      </w:pPr>
      <w:r>
        <w:t>表7-7 说明文档要求对应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要求</w:t>
            </w:r>
          </w:p>
        </w:tc>
        <w:tc>
          <w:tcPr>
            <w:tcW w:type="dxa" w:w="2891"/>
            <w:vAlign w:val="center"/>
            <w:shd w:fill="EDF1F3"/>
          </w:tcPr>
          <w:p>
            <w:pPr>
              <w:keepNext/>
              <w:spacing w:line="320" w:lineRule="exact" w:after="0" w:before="0"/>
              <w:ind w:firstLine="0"/>
              <w:jc w:val="center"/>
            </w:pPr>
            <w:r>
              <w:rPr>
                <w:b/>
                <w:sz w:val="21"/>
              </w:rPr>
              <w:t>卡片字段</w:t>
            </w:r>
          </w:p>
        </w:tc>
        <w:tc>
          <w:tcPr>
            <w:tcW w:type="dxa" w:w="4433"/>
            <w:vAlign w:val="center"/>
            <w:shd w:fill="EDF1F3"/>
          </w:tcPr>
          <w:p>
            <w:pPr>
              <w:keepNext/>
              <w:spacing w:line="320" w:lineRule="exact" w:after="0" w:before="0"/>
              <w:ind w:firstLine="0"/>
              <w:jc w:val="center"/>
            </w:pPr>
            <w:r>
              <w:rPr>
                <w:b/>
                <w:sz w:val="21"/>
              </w:rPr>
              <w:t>配套内容与核验</w:t>
            </w:r>
          </w:p>
        </w:tc>
      </w:tr>
      <w:tr>
        <w:trPr>
          <w:cantSplit/>
        </w:trPr>
        <w:tc>
          <w:tcPr>
            <w:tcW w:type="dxa" w:w="2313"/>
            <w:vAlign w:val="center"/>
          </w:tcPr>
          <w:p>
            <w:pPr>
              <w:keepNext w:val="0"/>
              <w:spacing w:line="320" w:lineRule="exact" w:after="0" w:before="0"/>
              <w:ind w:firstLine="0"/>
              <w:jc w:val="left"/>
            </w:pPr>
            <w:r>
              <w:rPr>
                <w:b w:val="0"/>
                <w:sz w:val="21"/>
              </w:rPr>
              <w:t>数据集规模</w:t>
            </w:r>
          </w:p>
        </w:tc>
        <w:tc>
          <w:tcPr>
            <w:tcW w:type="dxa" w:w="2891"/>
            <w:vAlign w:val="center"/>
          </w:tcPr>
          <w:p>
            <w:pPr>
              <w:keepNext w:val="0"/>
              <w:spacing w:line="320" w:lineRule="exact" w:after="0" w:before="0"/>
              <w:ind w:firstLine="0"/>
              <w:jc w:val="left"/>
            </w:pPr>
            <w:r>
              <w:rPr>
                <w:b w:val="0"/>
                <w:sz w:val="21"/>
              </w:rPr>
              <w:t>A08、A09、A10</w:t>
            </w:r>
          </w:p>
        </w:tc>
        <w:tc>
          <w:tcPr>
            <w:tcW w:type="dxa" w:w="4433"/>
            <w:vAlign w:val="center"/>
          </w:tcPr>
          <w:p>
            <w:pPr>
              <w:keepNext w:val="0"/>
              <w:spacing w:line="320" w:lineRule="exact" w:after="0" w:before="0"/>
              <w:ind w:firstLine="0"/>
              <w:jc w:val="left"/>
            </w:pPr>
            <w:r>
              <w:rPr>
                <w:b w:val="0"/>
                <w:sz w:val="21"/>
              </w:rPr>
              <w:t>实际有效清单、计量程序与分用途净量</w:t>
            </w:r>
          </w:p>
        </w:tc>
      </w:tr>
      <w:tr>
        <w:trPr>
          <w:cantSplit/>
        </w:trPr>
        <w:tc>
          <w:tcPr>
            <w:tcW w:type="dxa" w:w="2313"/>
            <w:vAlign w:val="center"/>
          </w:tcPr>
          <w:p>
            <w:pPr>
              <w:keepNext w:val="0"/>
              <w:spacing w:line="320" w:lineRule="exact" w:after="0" w:before="0"/>
              <w:ind w:firstLine="0"/>
              <w:jc w:val="left"/>
            </w:pPr>
            <w:r>
              <w:rPr>
                <w:b w:val="0"/>
                <w:sz w:val="21"/>
              </w:rPr>
              <w:t>格式规范</w:t>
            </w:r>
          </w:p>
        </w:tc>
        <w:tc>
          <w:tcPr>
            <w:tcW w:type="dxa" w:w="2891"/>
            <w:vAlign w:val="center"/>
          </w:tcPr>
          <w:p>
            <w:pPr>
              <w:keepNext w:val="0"/>
              <w:spacing w:line="320" w:lineRule="exact" w:after="0" w:before="0"/>
              <w:ind w:firstLine="0"/>
              <w:jc w:val="left"/>
            </w:pPr>
            <w:r>
              <w:rPr>
                <w:b w:val="0"/>
                <w:sz w:val="21"/>
              </w:rPr>
              <w:t>A11、A12</w:t>
            </w:r>
          </w:p>
        </w:tc>
        <w:tc>
          <w:tcPr>
            <w:tcW w:type="dxa" w:w="4433"/>
            <w:vAlign w:val="center"/>
          </w:tcPr>
          <w:p>
            <w:pPr>
              <w:keepNext w:val="0"/>
              <w:spacing w:line="320" w:lineRule="exact" w:after="0" w:before="0"/>
              <w:ind w:firstLine="0"/>
              <w:jc w:val="left"/>
            </w:pPr>
            <w:r>
              <w:rPr>
                <w:b w:val="0"/>
                <w:sz w:val="21"/>
              </w:rPr>
              <w:t>公共及领域字典、类型、编码和资源参数</w:t>
            </w:r>
          </w:p>
        </w:tc>
      </w:tr>
      <w:tr>
        <w:trPr>
          <w:cantSplit/>
        </w:trPr>
        <w:tc>
          <w:tcPr>
            <w:tcW w:type="dxa" w:w="2313"/>
            <w:vAlign w:val="center"/>
          </w:tcPr>
          <w:p>
            <w:pPr>
              <w:keepNext w:val="0"/>
              <w:spacing w:line="320" w:lineRule="exact" w:after="0" w:before="0"/>
              <w:ind w:firstLine="0"/>
              <w:jc w:val="left"/>
            </w:pPr>
            <w:r>
              <w:rPr>
                <w:b w:val="0"/>
                <w:sz w:val="21"/>
              </w:rPr>
              <w:t>文件结构</w:t>
            </w:r>
          </w:p>
        </w:tc>
        <w:tc>
          <w:tcPr>
            <w:tcW w:type="dxa" w:w="2891"/>
            <w:vAlign w:val="center"/>
          </w:tcPr>
          <w:p>
            <w:pPr>
              <w:keepNext w:val="0"/>
              <w:spacing w:line="320" w:lineRule="exact" w:after="0" w:before="0"/>
              <w:ind w:firstLine="0"/>
              <w:jc w:val="left"/>
            </w:pPr>
            <w:r>
              <w:rPr>
                <w:b w:val="0"/>
                <w:sz w:val="21"/>
              </w:rPr>
              <w:t>A13、A14</w:t>
            </w:r>
          </w:p>
        </w:tc>
        <w:tc>
          <w:tcPr>
            <w:tcW w:type="dxa" w:w="4433"/>
            <w:vAlign w:val="center"/>
          </w:tcPr>
          <w:p>
            <w:pPr>
              <w:keepNext w:val="0"/>
              <w:spacing w:line="320" w:lineRule="exact" w:after="0" w:before="0"/>
              <w:ind w:firstLine="0"/>
              <w:jc w:val="left"/>
            </w:pPr>
            <w:r>
              <w:rPr>
                <w:b w:val="0"/>
                <w:sz w:val="21"/>
              </w:rPr>
              <w:t>根入口、目录、命名及文件清单</w:t>
            </w:r>
          </w:p>
        </w:tc>
      </w:tr>
      <w:tr>
        <w:trPr>
          <w:cantSplit/>
        </w:trPr>
        <w:tc>
          <w:tcPr>
            <w:tcW w:type="dxa" w:w="2313"/>
            <w:vAlign w:val="center"/>
          </w:tcPr>
          <w:p>
            <w:pPr>
              <w:keepNext w:val="0"/>
              <w:spacing w:line="320" w:lineRule="exact" w:after="0" w:before="0"/>
              <w:ind w:firstLine="0"/>
              <w:jc w:val="left"/>
            </w:pPr>
            <w:r>
              <w:rPr>
                <w:b w:val="0"/>
                <w:sz w:val="21"/>
              </w:rPr>
              <w:t>获取渠道</w:t>
            </w:r>
          </w:p>
        </w:tc>
        <w:tc>
          <w:tcPr>
            <w:tcW w:type="dxa" w:w="2891"/>
            <w:vAlign w:val="center"/>
          </w:tcPr>
          <w:p>
            <w:pPr>
              <w:keepNext w:val="0"/>
              <w:spacing w:line="320" w:lineRule="exact" w:after="0" w:before="0"/>
              <w:ind w:firstLine="0"/>
              <w:jc w:val="left"/>
            </w:pPr>
            <w:r>
              <w:rPr>
                <w:b w:val="0"/>
                <w:sz w:val="21"/>
              </w:rPr>
              <w:t>A15、F08</w:t>
            </w:r>
          </w:p>
        </w:tc>
        <w:tc>
          <w:tcPr>
            <w:tcW w:type="dxa" w:w="4433"/>
            <w:vAlign w:val="center"/>
          </w:tcPr>
          <w:p>
            <w:pPr>
              <w:keepNext w:val="0"/>
              <w:spacing w:line="320" w:lineRule="exact" w:after="0" w:before="0"/>
              <w:ind w:firstLine="0"/>
              <w:jc w:val="left"/>
            </w:pPr>
            <w:r>
              <w:rPr>
                <w:b w:val="0"/>
                <w:sz w:val="21"/>
              </w:rPr>
              <w:t>申请、审核、授权、获取及接收流程</w:t>
            </w:r>
          </w:p>
        </w:tc>
      </w:tr>
      <w:tr>
        <w:trPr>
          <w:cantSplit/>
        </w:trPr>
        <w:tc>
          <w:tcPr>
            <w:tcW w:type="dxa" w:w="2313"/>
            <w:vAlign w:val="center"/>
          </w:tcPr>
          <w:p>
            <w:pPr>
              <w:keepNext w:val="0"/>
              <w:spacing w:line="320" w:lineRule="exact" w:after="0" w:before="0"/>
              <w:ind w:firstLine="0"/>
              <w:jc w:val="left"/>
            </w:pPr>
            <w:r>
              <w:rPr>
                <w:b w:val="0"/>
                <w:sz w:val="21"/>
              </w:rPr>
              <w:t>技术支持</w:t>
            </w:r>
          </w:p>
        </w:tc>
        <w:tc>
          <w:tcPr>
            <w:tcW w:type="dxa" w:w="2891"/>
            <w:vAlign w:val="center"/>
          </w:tcPr>
          <w:p>
            <w:pPr>
              <w:keepNext w:val="0"/>
              <w:spacing w:line="320" w:lineRule="exact" w:after="0" w:before="0"/>
              <w:ind w:firstLine="0"/>
              <w:jc w:val="left"/>
            </w:pPr>
            <w:r>
              <w:rPr>
                <w:b w:val="0"/>
                <w:sz w:val="21"/>
              </w:rPr>
              <w:t>A16、F09</w:t>
            </w:r>
          </w:p>
        </w:tc>
        <w:tc>
          <w:tcPr>
            <w:tcW w:type="dxa" w:w="4433"/>
            <w:vAlign w:val="center"/>
          </w:tcPr>
          <w:p>
            <w:pPr>
              <w:keepNext w:val="0"/>
              <w:spacing w:line="320" w:lineRule="exact" w:after="0" w:before="0"/>
              <w:ind w:firstLine="0"/>
              <w:jc w:val="left"/>
            </w:pPr>
            <w:r>
              <w:rPr>
                <w:b w:val="0"/>
                <w:sz w:val="21"/>
              </w:rPr>
              <w:t>工单、对象定位、复现及服务安排</w:t>
            </w:r>
          </w:p>
        </w:tc>
      </w:tr>
      <w:tr>
        <w:trPr>
          <w:cantSplit/>
        </w:trPr>
        <w:tc>
          <w:tcPr>
            <w:tcW w:type="dxa" w:w="2313"/>
            <w:vAlign w:val="center"/>
          </w:tcPr>
          <w:p>
            <w:pPr>
              <w:keepNext w:val="0"/>
              <w:spacing w:line="320" w:lineRule="exact" w:after="0" w:before="0"/>
              <w:ind w:firstLine="0"/>
              <w:jc w:val="left"/>
            </w:pPr>
            <w:r>
              <w:rPr>
                <w:b w:val="0"/>
                <w:sz w:val="21"/>
              </w:rPr>
              <w:t>使用便捷性</w:t>
            </w:r>
          </w:p>
        </w:tc>
        <w:tc>
          <w:tcPr>
            <w:tcW w:type="dxa" w:w="2891"/>
            <w:vAlign w:val="center"/>
          </w:tcPr>
          <w:p>
            <w:pPr>
              <w:keepNext w:val="0"/>
              <w:spacing w:line="320" w:lineRule="exact" w:after="0" w:before="0"/>
              <w:ind w:firstLine="0"/>
              <w:jc w:val="left"/>
            </w:pPr>
            <w:r>
              <w:rPr>
                <w:b w:val="0"/>
                <w:sz w:val="21"/>
              </w:rPr>
              <w:t>A17、D07</w:t>
            </w:r>
          </w:p>
        </w:tc>
        <w:tc>
          <w:tcPr>
            <w:tcW w:type="dxa" w:w="4433"/>
            <w:vAlign w:val="center"/>
          </w:tcPr>
          <w:p>
            <w:pPr>
              <w:keepNext w:val="0"/>
              <w:spacing w:line="320" w:lineRule="exact" w:after="0" w:before="0"/>
              <w:ind w:firstLine="0"/>
              <w:jc w:val="left"/>
            </w:pPr>
            <w:r>
              <w:rPr>
                <w:b w:val="0"/>
                <w:sz w:val="21"/>
              </w:rPr>
              <w:t>读取程序、运行条件、结构样本和独立解析</w:t>
            </w:r>
          </w:p>
        </w:tc>
      </w:tr>
      <w:tr>
        <w:trPr>
          <w:cantSplit/>
        </w:trPr>
        <w:tc>
          <w:tcPr>
            <w:tcW w:type="dxa" w:w="2313"/>
            <w:vAlign w:val="center"/>
          </w:tcPr>
          <w:p>
            <w:pPr>
              <w:keepNext w:val="0"/>
              <w:spacing w:line="320" w:lineRule="exact" w:after="0" w:before="0"/>
              <w:ind w:firstLine="0"/>
              <w:jc w:val="left"/>
            </w:pPr>
            <w:r>
              <w:rPr>
                <w:b w:val="0"/>
                <w:sz w:val="21"/>
              </w:rPr>
              <w:t>模态类型</w:t>
            </w:r>
          </w:p>
        </w:tc>
        <w:tc>
          <w:tcPr>
            <w:tcW w:type="dxa" w:w="2891"/>
            <w:vAlign w:val="center"/>
          </w:tcPr>
          <w:p>
            <w:pPr>
              <w:keepNext w:val="0"/>
              <w:spacing w:line="320" w:lineRule="exact" w:after="0" w:before="0"/>
              <w:ind w:firstLine="0"/>
              <w:jc w:val="left"/>
            </w:pPr>
            <w:r>
              <w:rPr>
                <w:b w:val="0"/>
                <w:sz w:val="21"/>
              </w:rPr>
              <w:t>B01、B02</w:t>
            </w:r>
          </w:p>
        </w:tc>
        <w:tc>
          <w:tcPr>
            <w:tcW w:type="dxa" w:w="4433"/>
            <w:vAlign w:val="center"/>
          </w:tcPr>
          <w:p>
            <w:pPr>
              <w:keepNext w:val="0"/>
              <w:spacing w:line="320" w:lineRule="exact" w:after="0" w:before="0"/>
              <w:ind w:firstLine="0"/>
              <w:jc w:val="left"/>
            </w:pPr>
            <w:r>
              <w:rPr>
                <w:b w:val="0"/>
                <w:sz w:val="21"/>
              </w:rPr>
              <w:t>实际载荷、模态关系和互斥组合</w:t>
            </w:r>
          </w:p>
        </w:tc>
      </w:tr>
      <w:tr>
        <w:trPr>
          <w:cantSplit/>
        </w:trPr>
        <w:tc>
          <w:tcPr>
            <w:tcW w:type="dxa" w:w="2313"/>
            <w:vAlign w:val="center"/>
          </w:tcPr>
          <w:p>
            <w:pPr>
              <w:keepNext w:val="0"/>
              <w:spacing w:line="320" w:lineRule="exact" w:after="0" w:before="0"/>
              <w:ind w:firstLine="0"/>
              <w:jc w:val="left"/>
            </w:pPr>
            <w:r>
              <w:rPr>
                <w:b w:val="0"/>
                <w:sz w:val="21"/>
              </w:rPr>
              <w:t>数据分布</w:t>
            </w:r>
          </w:p>
        </w:tc>
        <w:tc>
          <w:tcPr>
            <w:tcW w:type="dxa" w:w="2891"/>
            <w:vAlign w:val="center"/>
          </w:tcPr>
          <w:p>
            <w:pPr>
              <w:keepNext w:val="0"/>
              <w:spacing w:line="320" w:lineRule="exact" w:after="0" w:before="0"/>
              <w:ind w:firstLine="0"/>
              <w:jc w:val="left"/>
            </w:pPr>
            <w:r>
              <w:rPr>
                <w:b w:val="0"/>
                <w:sz w:val="21"/>
              </w:rPr>
              <w:t>B05至B08、B10、B13</w:t>
            </w:r>
          </w:p>
        </w:tc>
        <w:tc>
          <w:tcPr>
            <w:tcW w:type="dxa" w:w="4433"/>
            <w:vAlign w:val="center"/>
          </w:tcPr>
          <w:p>
            <w:pPr>
              <w:keepNext w:val="0"/>
              <w:spacing w:line="320" w:lineRule="exact" w:after="0" w:before="0"/>
              <w:ind w:firstLine="0"/>
              <w:jc w:val="left"/>
            </w:pPr>
            <w:r>
              <w:rPr>
                <w:b w:val="0"/>
                <w:sz w:val="21"/>
              </w:rPr>
              <w:t>主题、来源、长度、难度、标签及时间分布</w:t>
            </w:r>
          </w:p>
        </w:tc>
      </w:tr>
      <w:tr>
        <w:trPr>
          <w:cantSplit/>
        </w:trPr>
        <w:tc>
          <w:tcPr>
            <w:tcW w:type="dxa" w:w="2313"/>
            <w:vAlign w:val="center"/>
          </w:tcPr>
          <w:p>
            <w:pPr>
              <w:keepNext w:val="0"/>
              <w:spacing w:line="320" w:lineRule="exact" w:after="0" w:before="0"/>
              <w:ind w:firstLine="0"/>
              <w:jc w:val="left"/>
            </w:pPr>
            <w:r>
              <w:rPr>
                <w:b w:val="0"/>
                <w:sz w:val="21"/>
              </w:rPr>
              <w:t>标签类别</w:t>
            </w:r>
          </w:p>
        </w:tc>
        <w:tc>
          <w:tcPr>
            <w:tcW w:type="dxa" w:w="2891"/>
            <w:vAlign w:val="center"/>
          </w:tcPr>
          <w:p>
            <w:pPr>
              <w:keepNext w:val="0"/>
              <w:spacing w:line="320" w:lineRule="exact" w:after="0" w:before="0"/>
              <w:ind w:firstLine="0"/>
              <w:jc w:val="left"/>
            </w:pPr>
            <w:r>
              <w:rPr>
                <w:b w:val="0"/>
                <w:sz w:val="21"/>
              </w:rPr>
              <w:t>B09、C06</w:t>
            </w:r>
          </w:p>
        </w:tc>
        <w:tc>
          <w:tcPr>
            <w:tcW w:type="dxa" w:w="4433"/>
            <w:vAlign w:val="center"/>
          </w:tcPr>
          <w:p>
            <w:pPr>
              <w:keepNext w:val="0"/>
              <w:spacing w:line="320" w:lineRule="exact" w:after="0" w:before="0"/>
              <w:ind w:firstLine="0"/>
              <w:jc w:val="left"/>
            </w:pPr>
            <w:r>
              <w:rPr>
                <w:b w:val="0"/>
                <w:sz w:val="21"/>
              </w:rPr>
              <w:t>标签全表、定义、边界、版本及专业规则</w:t>
            </w:r>
          </w:p>
        </w:tc>
      </w:tr>
      <w:tr>
        <w:trPr>
          <w:cantSplit/>
        </w:trPr>
        <w:tc>
          <w:tcPr>
            <w:tcW w:type="dxa" w:w="2313"/>
            <w:vAlign w:val="center"/>
          </w:tcPr>
          <w:p>
            <w:pPr>
              <w:keepNext w:val="0"/>
              <w:spacing w:line="320" w:lineRule="exact" w:after="0" w:before="0"/>
              <w:ind w:firstLine="0"/>
              <w:jc w:val="left"/>
            </w:pPr>
            <w:r>
              <w:rPr>
                <w:b w:val="0"/>
                <w:sz w:val="21"/>
              </w:rPr>
              <w:t>样本示例</w:t>
            </w:r>
          </w:p>
        </w:tc>
        <w:tc>
          <w:tcPr>
            <w:tcW w:type="dxa" w:w="2891"/>
            <w:vAlign w:val="center"/>
          </w:tcPr>
          <w:p>
            <w:pPr>
              <w:keepNext w:val="0"/>
              <w:spacing w:line="320" w:lineRule="exact" w:after="0" w:before="0"/>
              <w:ind w:firstLine="0"/>
              <w:jc w:val="left"/>
            </w:pPr>
            <w:r>
              <w:rPr>
                <w:b w:val="0"/>
                <w:sz w:val="21"/>
              </w:rPr>
              <w:t>B11</w:t>
            </w:r>
          </w:p>
        </w:tc>
        <w:tc>
          <w:tcPr>
            <w:tcW w:type="dxa" w:w="4433"/>
            <w:vAlign w:val="center"/>
          </w:tcPr>
          <w:p>
            <w:pPr>
              <w:keepNext w:val="0"/>
              <w:spacing w:line="320" w:lineRule="exact" w:after="0" w:before="0"/>
              <w:ind w:firstLine="0"/>
              <w:jc w:val="left"/>
            </w:pPr>
            <w:r>
              <w:rPr>
                <w:b w:val="0"/>
                <w:sz w:val="21"/>
              </w:rPr>
              <w:t>每子集三条规范实例及正式代表样本选取条件</w:t>
            </w:r>
          </w:p>
        </w:tc>
      </w:tr>
      <w:tr>
        <w:trPr>
          <w:cantSplit/>
        </w:trPr>
        <w:tc>
          <w:tcPr>
            <w:tcW w:type="dxa" w:w="2313"/>
            <w:vAlign w:val="center"/>
          </w:tcPr>
          <w:p>
            <w:pPr>
              <w:keepNext w:val="0"/>
              <w:spacing w:line="320" w:lineRule="exact" w:after="0" w:before="0"/>
              <w:ind w:firstLine="0"/>
              <w:jc w:val="left"/>
            </w:pPr>
            <w:r>
              <w:rPr>
                <w:b w:val="0"/>
                <w:sz w:val="21"/>
              </w:rPr>
              <w:t>局限性说明</w:t>
            </w:r>
          </w:p>
        </w:tc>
        <w:tc>
          <w:tcPr>
            <w:tcW w:type="dxa" w:w="2891"/>
            <w:vAlign w:val="center"/>
          </w:tcPr>
          <w:p>
            <w:pPr>
              <w:keepNext w:val="0"/>
              <w:spacing w:line="320" w:lineRule="exact" w:after="0" w:before="0"/>
              <w:ind w:firstLine="0"/>
              <w:jc w:val="left"/>
            </w:pPr>
            <w:r>
              <w:rPr>
                <w:b w:val="0"/>
                <w:sz w:val="21"/>
              </w:rPr>
              <w:t>B12、D09</w:t>
            </w:r>
          </w:p>
        </w:tc>
        <w:tc>
          <w:tcPr>
            <w:tcW w:type="dxa" w:w="4433"/>
            <w:vAlign w:val="center"/>
          </w:tcPr>
          <w:p>
            <w:pPr>
              <w:keepNext w:val="0"/>
              <w:spacing w:line="320" w:lineRule="exact" w:after="0" w:before="0"/>
              <w:ind w:firstLine="0"/>
              <w:jc w:val="left"/>
            </w:pPr>
            <w:r>
              <w:rPr>
                <w:b w:val="0"/>
                <w:sz w:val="21"/>
              </w:rPr>
              <w:t>业务覆盖、证据限制、输入条件及改进安排</w:t>
            </w:r>
          </w:p>
        </w:tc>
      </w:tr>
      <w:tr>
        <w:trPr>
          <w:cantSplit/>
        </w:trPr>
        <w:tc>
          <w:tcPr>
            <w:tcW w:type="dxa" w:w="2313"/>
            <w:vAlign w:val="center"/>
          </w:tcPr>
          <w:p>
            <w:pPr>
              <w:keepNext w:val="0"/>
              <w:spacing w:line="320" w:lineRule="exact" w:after="0" w:before="0"/>
              <w:ind w:firstLine="0"/>
              <w:jc w:val="left"/>
            </w:pPr>
            <w:r>
              <w:rPr>
                <w:b w:val="0"/>
                <w:sz w:val="21"/>
              </w:rPr>
              <w:t>数据来源</w:t>
            </w:r>
          </w:p>
        </w:tc>
        <w:tc>
          <w:tcPr>
            <w:tcW w:type="dxa" w:w="2891"/>
            <w:vAlign w:val="center"/>
          </w:tcPr>
          <w:p>
            <w:pPr>
              <w:keepNext w:val="0"/>
              <w:spacing w:line="320" w:lineRule="exact" w:after="0" w:before="0"/>
              <w:ind w:firstLine="0"/>
              <w:jc w:val="left"/>
            </w:pPr>
            <w:r>
              <w:rPr>
                <w:b w:val="0"/>
                <w:sz w:val="21"/>
              </w:rPr>
              <w:t>C01、C03</w:t>
            </w:r>
          </w:p>
        </w:tc>
        <w:tc>
          <w:tcPr>
            <w:tcW w:type="dxa" w:w="4433"/>
            <w:vAlign w:val="center"/>
          </w:tcPr>
          <w:p>
            <w:pPr>
              <w:keepNext w:val="0"/>
              <w:spacing w:line="320" w:lineRule="exact" w:after="0" w:before="0"/>
              <w:ind w:firstLine="0"/>
              <w:jc w:val="left"/>
            </w:pPr>
            <w:r>
              <w:rPr>
                <w:b w:val="0"/>
                <w:sz w:val="21"/>
              </w:rPr>
              <w:t>系统、资料、期间、来源批次与授权证据</w:t>
            </w:r>
          </w:p>
        </w:tc>
      </w:tr>
      <w:tr>
        <w:trPr>
          <w:cantSplit/>
        </w:trPr>
        <w:tc>
          <w:tcPr>
            <w:tcW w:type="dxa" w:w="2313"/>
            <w:vAlign w:val="center"/>
          </w:tcPr>
          <w:p>
            <w:pPr>
              <w:keepNext w:val="0"/>
              <w:spacing w:line="320" w:lineRule="exact" w:after="0" w:before="0"/>
              <w:ind w:firstLine="0"/>
              <w:jc w:val="left"/>
            </w:pPr>
            <w:r>
              <w:rPr>
                <w:b w:val="0"/>
                <w:sz w:val="21"/>
              </w:rPr>
              <w:t>采集方法</w:t>
            </w:r>
          </w:p>
        </w:tc>
        <w:tc>
          <w:tcPr>
            <w:tcW w:type="dxa" w:w="2891"/>
            <w:vAlign w:val="center"/>
          </w:tcPr>
          <w:p>
            <w:pPr>
              <w:keepNext w:val="0"/>
              <w:spacing w:line="320" w:lineRule="exact" w:after="0" w:before="0"/>
              <w:ind w:firstLine="0"/>
              <w:jc w:val="left"/>
            </w:pPr>
            <w:r>
              <w:rPr>
                <w:b w:val="0"/>
                <w:sz w:val="21"/>
              </w:rPr>
              <w:t>C02</w:t>
            </w:r>
          </w:p>
        </w:tc>
        <w:tc>
          <w:tcPr>
            <w:tcW w:type="dxa" w:w="4433"/>
            <w:vAlign w:val="center"/>
          </w:tcPr>
          <w:p>
            <w:pPr>
              <w:keepNext w:val="0"/>
              <w:spacing w:line="320" w:lineRule="exact" w:after="0" w:before="0"/>
              <w:ind w:firstLine="0"/>
              <w:jc w:val="left"/>
            </w:pPr>
            <w:r>
              <w:rPr>
                <w:b w:val="0"/>
                <w:sz w:val="21"/>
              </w:rPr>
              <w:t>接口、文件、文档及多模态接收日志</w:t>
            </w:r>
          </w:p>
        </w:tc>
      </w:tr>
      <w:tr>
        <w:trPr>
          <w:cantSplit/>
        </w:trPr>
        <w:tc>
          <w:tcPr>
            <w:tcW w:type="dxa" w:w="2313"/>
            <w:vAlign w:val="center"/>
          </w:tcPr>
          <w:p>
            <w:pPr>
              <w:keepNext w:val="0"/>
              <w:spacing w:line="320" w:lineRule="exact" w:after="0" w:before="0"/>
              <w:ind w:firstLine="0"/>
              <w:jc w:val="left"/>
            </w:pPr>
            <w:r>
              <w:rPr>
                <w:b w:val="0"/>
                <w:sz w:val="21"/>
              </w:rPr>
              <w:t>加工流程</w:t>
            </w:r>
          </w:p>
        </w:tc>
        <w:tc>
          <w:tcPr>
            <w:tcW w:type="dxa" w:w="2891"/>
            <w:vAlign w:val="center"/>
          </w:tcPr>
          <w:p>
            <w:pPr>
              <w:keepNext w:val="0"/>
              <w:spacing w:line="320" w:lineRule="exact" w:after="0" w:before="0"/>
              <w:ind w:firstLine="0"/>
              <w:jc w:val="left"/>
            </w:pPr>
            <w:r>
              <w:rPr>
                <w:b w:val="0"/>
                <w:sz w:val="21"/>
              </w:rPr>
              <w:t>C04、C05、C10、C12</w:t>
            </w:r>
          </w:p>
        </w:tc>
        <w:tc>
          <w:tcPr>
            <w:tcW w:type="dxa" w:w="4433"/>
            <w:vAlign w:val="center"/>
          </w:tcPr>
          <w:p>
            <w:pPr>
              <w:keepNext w:val="0"/>
              <w:spacing w:line="320" w:lineRule="exact" w:after="0" w:before="0"/>
              <w:ind w:firstLine="0"/>
              <w:jc w:val="left"/>
            </w:pPr>
            <w:r>
              <w:rPr>
                <w:b w:val="0"/>
                <w:sz w:val="21"/>
              </w:rPr>
              <w:t>原始对象、转换配置、标注及派生关系</w:t>
            </w:r>
          </w:p>
        </w:tc>
      </w:tr>
      <w:tr>
        <w:trPr>
          <w:cantSplit/>
        </w:trPr>
        <w:tc>
          <w:tcPr>
            <w:tcW w:type="dxa" w:w="2313"/>
            <w:vAlign w:val="center"/>
          </w:tcPr>
          <w:p>
            <w:pPr>
              <w:keepNext w:val="0"/>
              <w:spacing w:line="320" w:lineRule="exact" w:after="0" w:before="0"/>
              <w:ind w:firstLine="0"/>
              <w:jc w:val="left"/>
            </w:pPr>
            <w:r>
              <w:rPr>
                <w:b w:val="0"/>
                <w:sz w:val="21"/>
              </w:rPr>
              <w:t>标注规范</w:t>
            </w:r>
          </w:p>
        </w:tc>
        <w:tc>
          <w:tcPr>
            <w:tcW w:type="dxa" w:w="2891"/>
            <w:vAlign w:val="center"/>
          </w:tcPr>
          <w:p>
            <w:pPr>
              <w:keepNext w:val="0"/>
              <w:spacing w:line="320" w:lineRule="exact" w:after="0" w:before="0"/>
              <w:ind w:firstLine="0"/>
              <w:jc w:val="left"/>
            </w:pPr>
            <w:r>
              <w:rPr>
                <w:b w:val="0"/>
                <w:sz w:val="21"/>
              </w:rPr>
              <w:t>C06至C09</w:t>
            </w:r>
          </w:p>
        </w:tc>
        <w:tc>
          <w:tcPr>
            <w:tcW w:type="dxa" w:w="4433"/>
            <w:vAlign w:val="center"/>
          </w:tcPr>
          <w:p>
            <w:pPr>
              <w:keepNext w:val="0"/>
              <w:spacing w:line="320" w:lineRule="exact" w:after="0" w:before="0"/>
              <w:ind w:firstLine="0"/>
              <w:jc w:val="left"/>
            </w:pPr>
            <w:r>
              <w:rPr>
                <w:b w:val="0"/>
                <w:sz w:val="21"/>
              </w:rPr>
              <w:t>专业定义、自检、交叉复核、黄金样本和仲裁</w:t>
            </w:r>
          </w:p>
        </w:tc>
      </w:tr>
      <w:tr>
        <w:trPr>
          <w:cantSplit/>
        </w:trPr>
        <w:tc>
          <w:tcPr>
            <w:tcW w:type="dxa" w:w="2313"/>
            <w:vAlign w:val="center"/>
          </w:tcPr>
          <w:p>
            <w:pPr>
              <w:keepNext w:val="0"/>
              <w:spacing w:line="320" w:lineRule="exact" w:after="0" w:before="0"/>
              <w:ind w:firstLine="0"/>
              <w:jc w:val="left"/>
            </w:pPr>
            <w:r>
              <w:rPr>
                <w:b w:val="0"/>
                <w:sz w:val="21"/>
              </w:rPr>
              <w:t>版本记录</w:t>
            </w:r>
          </w:p>
        </w:tc>
        <w:tc>
          <w:tcPr>
            <w:tcW w:type="dxa" w:w="2891"/>
            <w:vAlign w:val="center"/>
          </w:tcPr>
          <w:p>
            <w:pPr>
              <w:keepNext w:val="0"/>
              <w:spacing w:line="320" w:lineRule="exact" w:after="0" w:before="0"/>
              <w:ind w:firstLine="0"/>
              <w:jc w:val="left"/>
            </w:pPr>
            <w:r>
              <w:rPr>
                <w:b w:val="0"/>
                <w:sz w:val="21"/>
              </w:rPr>
              <w:t>C14、G08、G09</w:t>
            </w:r>
          </w:p>
        </w:tc>
        <w:tc>
          <w:tcPr>
            <w:tcW w:type="dxa" w:w="4433"/>
            <w:vAlign w:val="center"/>
          </w:tcPr>
          <w:p>
            <w:pPr>
              <w:keepNext w:val="0"/>
              <w:spacing w:line="320" w:lineRule="exact" w:after="0" w:before="0"/>
              <w:ind w:firstLine="0"/>
              <w:jc w:val="left"/>
            </w:pPr>
            <w:r>
              <w:rPr>
                <w:b w:val="0"/>
                <w:sz w:val="21"/>
              </w:rPr>
              <w:t>实际差异、前序关系、时间和影响</w:t>
            </w:r>
          </w:p>
        </w:tc>
      </w:tr>
      <w:tr>
        <w:trPr>
          <w:cantSplit/>
        </w:trPr>
        <w:tc>
          <w:tcPr>
            <w:tcW w:type="dxa" w:w="2313"/>
            <w:vAlign w:val="center"/>
          </w:tcPr>
          <w:p>
            <w:pPr>
              <w:keepNext w:val="0"/>
              <w:spacing w:line="320" w:lineRule="exact" w:after="0" w:before="0"/>
              <w:ind w:firstLine="0"/>
              <w:jc w:val="left"/>
            </w:pPr>
            <w:r>
              <w:rPr>
                <w:b w:val="0"/>
                <w:sz w:val="21"/>
              </w:rPr>
              <w:t>使用许可</w:t>
            </w:r>
          </w:p>
        </w:tc>
        <w:tc>
          <w:tcPr>
            <w:tcW w:type="dxa" w:w="2891"/>
            <w:vAlign w:val="center"/>
          </w:tcPr>
          <w:p>
            <w:pPr>
              <w:keepNext w:val="0"/>
              <w:spacing w:line="320" w:lineRule="exact" w:after="0" w:before="0"/>
              <w:ind w:firstLine="0"/>
              <w:jc w:val="left"/>
            </w:pPr>
            <w:r>
              <w:rPr>
                <w:b w:val="0"/>
                <w:sz w:val="21"/>
              </w:rPr>
              <w:t>D01、F06、F10</w:t>
            </w:r>
          </w:p>
        </w:tc>
        <w:tc>
          <w:tcPr>
            <w:tcW w:type="dxa" w:w="4433"/>
            <w:vAlign w:val="center"/>
          </w:tcPr>
          <w:p>
            <w:pPr>
              <w:keepNext w:val="0"/>
              <w:spacing w:line="320" w:lineRule="exact" w:after="0" w:before="0"/>
              <w:ind w:firstLine="0"/>
              <w:jc w:val="left"/>
            </w:pPr>
            <w:r>
              <w:rPr>
                <w:b w:val="0"/>
                <w:sz w:val="21"/>
              </w:rPr>
              <w:t>商用、署名、派生、再分发、地域与期限</w:t>
            </w:r>
          </w:p>
        </w:tc>
      </w:tr>
      <w:tr>
        <w:trPr>
          <w:cantSplit/>
        </w:trPr>
        <w:tc>
          <w:tcPr>
            <w:tcW w:type="dxa" w:w="2313"/>
            <w:vAlign w:val="center"/>
          </w:tcPr>
          <w:p>
            <w:pPr>
              <w:keepNext w:val="0"/>
              <w:spacing w:line="320" w:lineRule="exact" w:after="0" w:before="0"/>
              <w:ind w:firstLine="0"/>
              <w:jc w:val="left"/>
            </w:pPr>
            <w:r>
              <w:rPr>
                <w:b w:val="0"/>
                <w:sz w:val="21"/>
              </w:rPr>
              <w:t>目标场景</w:t>
            </w:r>
          </w:p>
        </w:tc>
        <w:tc>
          <w:tcPr>
            <w:tcW w:type="dxa" w:w="2891"/>
            <w:vAlign w:val="center"/>
          </w:tcPr>
          <w:p>
            <w:pPr>
              <w:keepNext w:val="0"/>
              <w:spacing w:line="320" w:lineRule="exact" w:after="0" w:before="0"/>
              <w:ind w:firstLine="0"/>
              <w:jc w:val="left"/>
            </w:pPr>
            <w:r>
              <w:rPr>
                <w:b w:val="0"/>
                <w:sz w:val="21"/>
              </w:rPr>
              <w:t>D02、D03</w:t>
            </w:r>
          </w:p>
        </w:tc>
        <w:tc>
          <w:tcPr>
            <w:tcW w:type="dxa" w:w="4433"/>
            <w:vAlign w:val="center"/>
          </w:tcPr>
          <w:p>
            <w:pPr>
              <w:keepNext w:val="0"/>
              <w:spacing w:line="320" w:lineRule="exact" w:after="0" w:before="0"/>
              <w:ind w:firstLine="0"/>
              <w:jc w:val="left"/>
            </w:pPr>
            <w:r>
              <w:rPr>
                <w:b w:val="0"/>
                <w:sz w:val="21"/>
              </w:rPr>
              <w:t>四领域任务及十一场景中的适用支持内容</w:t>
            </w:r>
          </w:p>
        </w:tc>
      </w:tr>
      <w:tr>
        <w:trPr>
          <w:cantSplit/>
        </w:trPr>
        <w:tc>
          <w:tcPr>
            <w:tcW w:type="dxa" w:w="2313"/>
            <w:vAlign w:val="center"/>
          </w:tcPr>
          <w:p>
            <w:pPr>
              <w:keepNext w:val="0"/>
              <w:spacing w:line="320" w:lineRule="exact" w:after="0" w:before="0"/>
              <w:ind w:firstLine="0"/>
              <w:jc w:val="left"/>
            </w:pPr>
            <w:r>
              <w:rPr>
                <w:b w:val="0"/>
                <w:sz w:val="21"/>
              </w:rPr>
              <w:t>评估方法</w:t>
            </w:r>
          </w:p>
        </w:tc>
        <w:tc>
          <w:tcPr>
            <w:tcW w:type="dxa" w:w="2891"/>
            <w:vAlign w:val="center"/>
          </w:tcPr>
          <w:p>
            <w:pPr>
              <w:keepNext w:val="0"/>
              <w:spacing w:line="320" w:lineRule="exact" w:after="0" w:before="0"/>
              <w:ind w:firstLine="0"/>
              <w:jc w:val="left"/>
            </w:pPr>
            <w:r>
              <w:rPr>
                <w:b w:val="0"/>
                <w:sz w:val="21"/>
              </w:rPr>
              <w:t>D04、D05</w:t>
            </w:r>
          </w:p>
        </w:tc>
        <w:tc>
          <w:tcPr>
            <w:tcW w:type="dxa" w:w="4433"/>
            <w:vAlign w:val="center"/>
          </w:tcPr>
          <w:p>
            <w:pPr>
              <w:keepNext w:val="0"/>
              <w:spacing w:line="320" w:lineRule="exact" w:after="0" w:before="0"/>
              <w:ind w:firstLine="0"/>
              <w:jc w:val="left"/>
            </w:pPr>
            <w:r>
              <w:rPr>
                <w:b w:val="0"/>
                <w:sz w:val="21"/>
              </w:rPr>
              <w:t>固定输入、指标、判分、失败处理和盲评</w:t>
            </w:r>
          </w:p>
        </w:tc>
      </w:tr>
      <w:tr>
        <w:trPr>
          <w:cantSplit/>
        </w:trPr>
        <w:tc>
          <w:tcPr>
            <w:tcW w:type="dxa" w:w="2313"/>
            <w:vAlign w:val="center"/>
          </w:tcPr>
          <w:p>
            <w:pPr>
              <w:keepNext w:val="0"/>
              <w:spacing w:line="320" w:lineRule="exact" w:after="0" w:before="0"/>
              <w:ind w:firstLine="0"/>
              <w:jc w:val="left"/>
            </w:pPr>
            <w:r>
              <w:rPr>
                <w:b w:val="0"/>
                <w:sz w:val="21"/>
              </w:rPr>
              <w:t>基准测试结果</w:t>
            </w:r>
          </w:p>
        </w:tc>
        <w:tc>
          <w:tcPr>
            <w:tcW w:type="dxa" w:w="2891"/>
            <w:vAlign w:val="center"/>
          </w:tcPr>
          <w:p>
            <w:pPr>
              <w:keepNext w:val="0"/>
              <w:spacing w:line="320" w:lineRule="exact" w:after="0" w:before="0"/>
              <w:ind w:firstLine="0"/>
              <w:jc w:val="left"/>
            </w:pPr>
            <w:r>
              <w:rPr>
                <w:b w:val="0"/>
                <w:sz w:val="21"/>
              </w:rPr>
              <w:t>D06、E05至E08</w:t>
            </w:r>
          </w:p>
        </w:tc>
        <w:tc>
          <w:tcPr>
            <w:tcW w:type="dxa" w:w="4433"/>
            <w:vAlign w:val="center"/>
          </w:tcPr>
          <w:p>
            <w:pPr>
              <w:keepNext w:val="0"/>
              <w:spacing w:line="320" w:lineRule="exact" w:after="0" w:before="0"/>
              <w:ind w:firstLine="0"/>
              <w:jc w:val="left"/>
            </w:pPr>
            <w:r>
              <w:rPr>
                <w:b w:val="0"/>
                <w:sz w:val="21"/>
              </w:rPr>
              <w:t>实际四阶段模型结果及可复现证据</w:t>
            </w:r>
          </w:p>
        </w:tc>
      </w:tr>
      <w:tr>
        <w:trPr>
          <w:cantSplit/>
        </w:trPr>
        <w:tc>
          <w:tcPr>
            <w:tcW w:type="dxa" w:w="2313"/>
            <w:vAlign w:val="center"/>
          </w:tcPr>
          <w:p>
            <w:pPr>
              <w:keepNext w:val="0"/>
              <w:spacing w:line="320" w:lineRule="exact" w:after="0" w:before="0"/>
              <w:ind w:firstLine="0"/>
              <w:jc w:val="left"/>
            </w:pPr>
            <w:r>
              <w:rPr>
                <w:b w:val="0"/>
                <w:sz w:val="21"/>
              </w:rPr>
              <w:t>典型应用案例</w:t>
            </w:r>
          </w:p>
        </w:tc>
        <w:tc>
          <w:tcPr>
            <w:tcW w:type="dxa" w:w="2891"/>
            <w:vAlign w:val="center"/>
          </w:tcPr>
          <w:p>
            <w:pPr>
              <w:keepNext w:val="0"/>
              <w:spacing w:line="320" w:lineRule="exact" w:after="0" w:before="0"/>
              <w:ind w:firstLine="0"/>
              <w:jc w:val="left"/>
            </w:pPr>
            <w:r>
              <w:rPr>
                <w:b w:val="0"/>
                <w:sz w:val="21"/>
              </w:rPr>
              <w:t>D08、D10</w:t>
            </w:r>
          </w:p>
        </w:tc>
        <w:tc>
          <w:tcPr>
            <w:tcW w:type="dxa" w:w="4433"/>
            <w:vAlign w:val="center"/>
          </w:tcPr>
          <w:p>
            <w:pPr>
              <w:keepNext w:val="0"/>
              <w:spacing w:line="320" w:lineRule="exact" w:after="0" w:before="0"/>
              <w:ind w:firstLine="0"/>
              <w:jc w:val="left"/>
            </w:pPr>
            <w:r>
              <w:rPr>
                <w:b w:val="0"/>
                <w:sz w:val="21"/>
              </w:rPr>
              <w:t>实际输入输出、业务条件和关联版本</w:t>
            </w:r>
          </w:p>
        </w:tc>
      </w:tr>
    </w:tbl>
    <w:p>
      <w:pPr>
        <w:spacing w:after="40" w:line="240" w:lineRule="auto"/>
        <w:ind w:firstLine="0"/>
      </w:pPr>
      <w:r>
        <w:rPr>
          <w:sz w:val="4"/>
        </w:rPr>
      </w:r>
    </w:p>
    <w:p>
      <w:pPr>
        <w:pStyle w:val="Heading2"/>
      </w:pPr>
      <w:r>
        <w:t>7.10 审核移交与持续维护</w:t>
      </w:r>
    </w:p>
    <w:p>
      <w:pPr>
        <w:jc w:val="both"/>
      </w:pPr>
      <w:r>
        <w:t>卡片审核先检查84字段及必要引用的结构完整性，再由领域岗位审核业务语义，数据质量岗位复核统计、标签及报告关系，权限管理岗位确认授权和实际访问范围，发布岗位核查签名、版本和全部发布条件。每个检查项保存对象、方法、结果、证据和责任，不能仅以签名页齐全推定实质内容合格。</w:t>
      </w:r>
    </w:p>
    <w:p>
      <w:pPr>
        <w:jc w:val="both"/>
      </w:pPr>
      <w:r>
        <w:t>移交在独立环境按根入口完成读取、记录抽查、统计复算和典型业务任务验证。选择文本、图像、时序及视频等实际存在的资源，核查字段、单位、坐标、事件与答案的一致性。对有访问限制的资料按实际授权完成验证，接收方能够定位支持工单、解释卡片内容并识别历史版本。</w:t>
      </w:r>
    </w:p>
    <w:p>
      <w:pPr>
        <w:jc w:val="both"/>
      </w:pPr>
      <w:r>
        <w:t>发布后发现错误时保留原卡片和原数据版本，登记问题及受影响范围，实施修复、重检和必要复测，形成后继版本及更正记录。变更涉及使用方已取得的数据时按授权业务流程通知并登记接收和处置。旧版本的历史结论保持原适用范围，不能将新版本统计值回填旧卡片。</w:t>
      </w:r>
    </w:p>
    <w:p>
      <w:pPr>
        <w:jc w:val="both"/>
      </w:pPr>
      <w:r>
        <w:t>项目在2028年5月前完成终验安排。卡片、数据、字典、报告、配置、程序和操作资料共同纳入移交，实际未关闭问题依据合同及交付要求处理，不以技术支持承诺替代应完成的交付条件。持续服务按统一质保及技术服务机制维护，数据迭代始终保持可追溯、可复核和合法使用。</w:t>
      </w:r>
    </w:p>
    <w:p>
      <w:pPr>
        <w:pStyle w:val="Heading2"/>
      </w:pPr>
      <w:r>
        <w:t>7.11 独立读取参考程序</w:t>
      </w:r>
    </w:p>
    <w:p>
      <w:pPr>
        <w:jc w:val="both"/>
      </w:pPr>
      <w:r>
        <w:t>程序入口为封装根目录，package.json中的domain、purpose、version和data_files分别确定领域、用途、数据版本和记录文件列表。下列程序执行严格JSON解析、重复键与记录身份检查、路径约束、用途及版本一致性检查、规范实例资格检查和基准来源标记检查，输出结构记录数及来源分布。该输出属于结构核验结果；正式有效净量仍按来源证据、业务质量、授权、隔离及全部发布条件复核后确定。大规模版本使用受控索引承接唯一性检查，保持相同判定规则。</w:t>
      </w:r>
    </w:p>
    <w:p>
      <w:pPr>
        <w:jc w:val="both"/>
      </w:pPr>
      <w:r>
        <w:t>执行命令：python tools/read_dataset.py 数据封装根目录。运行环境采用支持所用标准库接口的Python 3.10及以上版本，实际版本随封装记录固定。程序不依赖在线服务，业务标签、资源摘要、真实来源和专业判分由配套校验程序及复核流程继续执行。</w:t>
      </w:r>
    </w:p>
    <w:p>
      <w:pPr>
        <w:spacing w:line="220" w:lineRule="exact" w:after="0" w:before="0"/>
        <w:ind w:firstLine="0"/>
      </w:pPr>
      <w:r>
        <w:rPr>
          <w:rFonts w:ascii="Courier New" w:hAnsi="Courier New"/>
          <w:sz w:val="16"/>
        </w:rPr>
        <w:t>import json</w:t>
      </w:r>
    </w:p>
    <w:p>
      <w:pPr>
        <w:spacing w:line="220" w:lineRule="exact" w:after="0" w:before="0"/>
        <w:ind w:firstLine="0"/>
      </w:pPr>
      <w:r>
        <w:rPr>
          <w:rFonts w:ascii="Courier New" w:hAnsi="Courier New"/>
          <w:sz w:val="16"/>
        </w:rPr>
        <w:t>import math</w:t>
      </w:r>
    </w:p>
    <w:p>
      <w:pPr>
        <w:spacing w:line="220" w:lineRule="exact" w:after="0" w:before="0"/>
        <w:ind w:firstLine="0"/>
      </w:pPr>
      <w:r>
        <w:rPr>
          <w:rFonts w:ascii="Courier New" w:hAnsi="Courier New"/>
          <w:sz w:val="16"/>
        </w:rPr>
        <w:t>import sys</w:t>
      </w:r>
    </w:p>
    <w:p>
      <w:pPr>
        <w:spacing w:line="220" w:lineRule="exact" w:after="0" w:before="0"/>
        <w:ind w:firstLine="0"/>
      </w:pPr>
      <w:r>
        <w:rPr>
          <w:rFonts w:ascii="Courier New" w:hAnsi="Courier New"/>
          <w:sz w:val="16"/>
        </w:rPr>
        <w:t>from pathlib import Path</w:t>
      </w:r>
    </w:p>
    <w:p>
      <w:pPr>
        <w:spacing w:line="220" w:lineRule="exact" w:after="0" w:before="0"/>
        <w:ind w:firstLine="0"/>
      </w:pPr>
      <w:r>
        <w:rPr>
          <w:rFonts w:ascii="Courier New" w:hAnsi="Courier New"/>
          <w:sz w:val="16"/>
        </w:rPr>
      </w:r>
    </w:p>
    <w:p>
      <w:pPr>
        <w:spacing w:line="220" w:lineRule="exact" w:after="0" w:before="0"/>
        <w:ind w:firstLine="0"/>
      </w:pPr>
      <w:r>
        <w:rPr>
          <w:rFonts w:ascii="Courier New" w:hAnsi="Courier New"/>
          <w:sz w:val="16"/>
        </w:rPr>
        <w:t>def unique_object(pairs):</w:t>
      </w:r>
    </w:p>
    <w:p>
      <w:pPr>
        <w:spacing w:line="220" w:lineRule="exact" w:after="0" w:before="0"/>
        <w:ind w:firstLine="0"/>
      </w:pPr>
      <w:r>
        <w:rPr>
          <w:rFonts w:ascii="Courier New" w:hAnsi="Courier New"/>
          <w:sz w:val="16"/>
        </w:rPr>
        <w:t xml:space="preserve">    value = {}</w:t>
      </w:r>
    </w:p>
    <w:p>
      <w:pPr>
        <w:spacing w:line="220" w:lineRule="exact" w:after="0" w:before="0"/>
        <w:ind w:firstLine="0"/>
      </w:pPr>
      <w:r>
        <w:rPr>
          <w:rFonts w:ascii="Courier New" w:hAnsi="Courier New"/>
          <w:sz w:val="16"/>
        </w:rPr>
        <w:t xml:space="preserve">    for key, item in pairs:</w:t>
      </w:r>
    </w:p>
    <w:p>
      <w:pPr>
        <w:spacing w:line="220" w:lineRule="exact" w:after="0" w:before="0"/>
        <w:ind w:firstLine="0"/>
      </w:pPr>
      <w:r>
        <w:rPr>
          <w:rFonts w:ascii="Courier New" w:hAnsi="Courier New"/>
          <w:sz w:val="16"/>
        </w:rPr>
        <w:t xml:space="preserve">        if key in value:</w:t>
      </w:r>
    </w:p>
    <w:p>
      <w:pPr>
        <w:spacing w:line="220" w:lineRule="exact" w:after="0" w:before="0"/>
        <w:ind w:firstLine="0"/>
      </w:pPr>
      <w:r>
        <w:rPr>
          <w:rFonts w:ascii="Courier New" w:hAnsi="Courier New"/>
          <w:sz w:val="16"/>
        </w:rPr>
        <w:t xml:space="preserve">            raise ValueError('duplicate JSON key: ' + key)</w:t>
      </w:r>
    </w:p>
    <w:p>
      <w:pPr>
        <w:spacing w:line="220" w:lineRule="exact" w:after="0" w:before="0"/>
        <w:ind w:firstLine="0"/>
      </w:pPr>
      <w:r>
        <w:rPr>
          <w:rFonts w:ascii="Courier New" w:hAnsi="Courier New"/>
          <w:sz w:val="16"/>
        </w:rPr>
        <w:t xml:space="preserve">        value[key] = item</w:t>
      </w:r>
    </w:p>
    <w:p>
      <w:pPr>
        <w:spacing w:line="220" w:lineRule="exact" w:after="0" w:before="0"/>
        <w:ind w:firstLine="0"/>
      </w:pPr>
      <w:r>
        <w:rPr>
          <w:rFonts w:ascii="Courier New" w:hAnsi="Courier New"/>
          <w:sz w:val="16"/>
        </w:rPr>
        <w:t xml:space="preserve">    return value</w:t>
      </w:r>
    </w:p>
    <w:p>
      <w:pPr>
        <w:spacing w:line="220" w:lineRule="exact" w:after="0" w:before="0"/>
        <w:ind w:firstLine="0"/>
      </w:pPr>
      <w:r>
        <w:rPr>
          <w:rFonts w:ascii="Courier New" w:hAnsi="Courier New"/>
          <w:sz w:val="16"/>
        </w:rPr>
      </w:r>
    </w:p>
    <w:p>
      <w:pPr>
        <w:spacing w:line="220" w:lineRule="exact" w:after="0" w:before="0"/>
        <w:ind w:firstLine="0"/>
      </w:pPr>
      <w:r>
        <w:rPr>
          <w:rFonts w:ascii="Courier New" w:hAnsi="Courier New"/>
          <w:sz w:val="16"/>
        </w:rPr>
        <w:t>def reject_constant(value):</w:t>
      </w:r>
    </w:p>
    <w:p>
      <w:pPr>
        <w:spacing w:line="220" w:lineRule="exact" w:after="0" w:before="0"/>
        <w:ind w:firstLine="0"/>
      </w:pPr>
      <w:r>
        <w:rPr>
          <w:rFonts w:ascii="Courier New" w:hAnsi="Courier New"/>
          <w:sz w:val="16"/>
        </w:rPr>
        <w:t xml:space="preserve">    raise ValueError('non-finite number: ' + value)</w:t>
      </w:r>
    </w:p>
    <w:p>
      <w:pPr>
        <w:spacing w:line="220" w:lineRule="exact" w:after="0" w:before="0"/>
        <w:ind w:firstLine="0"/>
      </w:pPr>
      <w:r>
        <w:rPr>
          <w:rFonts w:ascii="Courier New" w:hAnsi="Courier New"/>
          <w:sz w:val="16"/>
        </w:rPr>
      </w:r>
    </w:p>
    <w:p>
      <w:pPr>
        <w:spacing w:line="220" w:lineRule="exact" w:after="0" w:before="0"/>
        <w:ind w:firstLine="0"/>
      </w:pPr>
      <w:r>
        <w:rPr>
          <w:rFonts w:ascii="Courier New" w:hAnsi="Courier New"/>
          <w:sz w:val="16"/>
        </w:rPr>
        <w:t>def load_json(text):</w:t>
      </w:r>
    </w:p>
    <w:p>
      <w:pPr>
        <w:spacing w:line="220" w:lineRule="exact" w:after="0" w:before="0"/>
        <w:ind w:firstLine="0"/>
      </w:pPr>
      <w:r>
        <w:rPr>
          <w:rFonts w:ascii="Courier New" w:hAnsi="Courier New"/>
          <w:sz w:val="16"/>
        </w:rPr>
        <w:t xml:space="preserve">    value = json.loads(text, object_pairs_hook=unique_object,</w:t>
      </w:r>
    </w:p>
    <w:p>
      <w:pPr>
        <w:spacing w:line="220" w:lineRule="exact" w:after="0" w:before="0"/>
        <w:ind w:firstLine="0"/>
      </w:pPr>
      <w:r>
        <w:rPr>
          <w:rFonts w:ascii="Courier New" w:hAnsi="Courier New"/>
          <w:sz w:val="16"/>
        </w:rPr>
        <w:t xml:space="preserve">                       parse_constant=reject_constant)</w:t>
      </w:r>
    </w:p>
    <w:p>
      <w:pPr>
        <w:spacing w:line="220" w:lineRule="exact" w:after="0" w:before="0"/>
        <w:ind w:firstLine="0"/>
      </w:pPr>
      <w:r>
        <w:rPr>
          <w:rFonts w:ascii="Courier New" w:hAnsi="Courier New"/>
          <w:sz w:val="16"/>
        </w:rPr>
        <w:t xml:space="preserve">    def check(item):</w:t>
      </w:r>
    </w:p>
    <w:p>
      <w:pPr>
        <w:spacing w:line="220" w:lineRule="exact" w:after="0" w:before="0"/>
        <w:ind w:firstLine="0"/>
      </w:pPr>
      <w:r>
        <w:rPr>
          <w:rFonts w:ascii="Courier New" w:hAnsi="Courier New"/>
          <w:sz w:val="16"/>
        </w:rPr>
        <w:t xml:space="preserve">        if isinstance(item, float) and not math.isfinite(item):</w:t>
      </w:r>
    </w:p>
    <w:p>
      <w:pPr>
        <w:spacing w:line="220" w:lineRule="exact" w:after="0" w:before="0"/>
        <w:ind w:firstLine="0"/>
      </w:pPr>
      <w:r>
        <w:rPr>
          <w:rFonts w:ascii="Courier New" w:hAnsi="Courier New"/>
          <w:sz w:val="16"/>
        </w:rPr>
        <w:t xml:space="preserve">            raise ValueError('non-finite numeric result')</w:t>
      </w:r>
    </w:p>
    <w:p>
      <w:pPr>
        <w:spacing w:line="220" w:lineRule="exact" w:after="0" w:before="0"/>
        <w:ind w:firstLine="0"/>
      </w:pPr>
      <w:r>
        <w:rPr>
          <w:rFonts w:ascii="Courier New" w:hAnsi="Courier New"/>
          <w:sz w:val="16"/>
        </w:rPr>
        <w:t xml:space="preserve">        if isinstance(item, dict):</w:t>
      </w:r>
    </w:p>
    <w:p>
      <w:pPr>
        <w:spacing w:line="220" w:lineRule="exact" w:after="0" w:before="0"/>
        <w:ind w:firstLine="0"/>
      </w:pPr>
      <w:r>
        <w:rPr>
          <w:rFonts w:ascii="Courier New" w:hAnsi="Courier New"/>
          <w:sz w:val="16"/>
        </w:rPr>
        <w:t xml:space="preserve">            for child in item.values():</w:t>
      </w:r>
    </w:p>
    <w:p>
      <w:pPr>
        <w:spacing w:line="220" w:lineRule="exact" w:after="0" w:before="0"/>
        <w:ind w:firstLine="0"/>
      </w:pPr>
      <w:r>
        <w:rPr>
          <w:rFonts w:ascii="Courier New" w:hAnsi="Courier New"/>
          <w:sz w:val="16"/>
        </w:rPr>
        <w:t xml:space="preserve">                check(child)</w:t>
      </w:r>
    </w:p>
    <w:p>
      <w:pPr>
        <w:spacing w:line="220" w:lineRule="exact" w:after="0" w:before="0"/>
        <w:ind w:firstLine="0"/>
      </w:pPr>
      <w:r>
        <w:rPr>
          <w:rFonts w:ascii="Courier New" w:hAnsi="Courier New"/>
          <w:sz w:val="16"/>
        </w:rPr>
        <w:t xml:space="preserve">        elif isinstance(item, list):</w:t>
      </w:r>
    </w:p>
    <w:p>
      <w:pPr>
        <w:spacing w:line="220" w:lineRule="exact" w:after="0" w:before="0"/>
        <w:ind w:firstLine="0"/>
      </w:pPr>
      <w:r>
        <w:rPr>
          <w:rFonts w:ascii="Courier New" w:hAnsi="Courier New"/>
          <w:sz w:val="16"/>
        </w:rPr>
        <w:t xml:space="preserve">            for child in item:</w:t>
      </w:r>
    </w:p>
    <w:p>
      <w:pPr>
        <w:spacing w:line="220" w:lineRule="exact" w:after="0" w:before="0"/>
        <w:ind w:firstLine="0"/>
      </w:pPr>
      <w:r>
        <w:rPr>
          <w:rFonts w:ascii="Courier New" w:hAnsi="Courier New"/>
          <w:sz w:val="16"/>
        </w:rPr>
        <w:t xml:space="preserve">                check(child)</w:t>
      </w:r>
    </w:p>
    <w:p>
      <w:pPr>
        <w:spacing w:line="220" w:lineRule="exact" w:after="0" w:before="0"/>
        <w:ind w:firstLine="0"/>
      </w:pPr>
      <w:r>
        <w:rPr>
          <w:rFonts w:ascii="Courier New" w:hAnsi="Courier New"/>
          <w:sz w:val="16"/>
        </w:rPr>
        <w:t xml:space="preserve">    check(value)</w:t>
      </w:r>
    </w:p>
    <w:p>
      <w:pPr>
        <w:spacing w:line="220" w:lineRule="exact" w:after="0" w:before="0"/>
        <w:ind w:firstLine="0"/>
      </w:pPr>
      <w:r>
        <w:rPr>
          <w:rFonts w:ascii="Courier New" w:hAnsi="Courier New"/>
          <w:sz w:val="16"/>
        </w:rPr>
        <w:t xml:space="preserve">    return value</w:t>
      </w:r>
    </w:p>
    <w:p>
      <w:pPr>
        <w:spacing w:line="220" w:lineRule="exact" w:after="0" w:before="0"/>
        <w:ind w:firstLine="0"/>
      </w:pPr>
      <w:r>
        <w:rPr>
          <w:rFonts w:ascii="Courier New" w:hAnsi="Courier New"/>
          <w:sz w:val="16"/>
        </w:rPr>
      </w:r>
    </w:p>
    <w:p>
      <w:pPr>
        <w:spacing w:line="220" w:lineRule="exact" w:after="0" w:before="0"/>
        <w:ind w:firstLine="0"/>
      </w:pPr>
      <w:r>
        <w:rPr>
          <w:rFonts w:ascii="Courier New" w:hAnsi="Courier New"/>
          <w:sz w:val="16"/>
        </w:rPr>
        <w:t>def safe_path(root, name):</w:t>
      </w:r>
    </w:p>
    <w:p>
      <w:pPr>
        <w:spacing w:line="220" w:lineRule="exact" w:after="0" w:before="0"/>
        <w:ind w:firstLine="0"/>
      </w:pPr>
      <w:r>
        <w:rPr>
          <w:rFonts w:ascii="Courier New" w:hAnsi="Courier New"/>
          <w:sz w:val="16"/>
        </w:rPr>
        <w:t xml:space="preserve">    relative = Path(name)</w:t>
      </w:r>
    </w:p>
    <w:p>
      <w:pPr>
        <w:spacing w:line="220" w:lineRule="exact" w:after="0" w:before="0"/>
        <w:ind w:firstLine="0"/>
      </w:pPr>
      <w:r>
        <w:rPr>
          <w:rFonts w:ascii="Courier New" w:hAnsi="Courier New"/>
          <w:sz w:val="16"/>
        </w:rPr>
        <w:t xml:space="preserve">    if relative.is_absolute() or '..' in relative.parts:</w:t>
      </w:r>
    </w:p>
    <w:p>
      <w:pPr>
        <w:spacing w:line="220" w:lineRule="exact" w:after="0" w:before="0"/>
        <w:ind w:firstLine="0"/>
      </w:pPr>
      <w:r>
        <w:rPr>
          <w:rFonts w:ascii="Courier New" w:hAnsi="Courier New"/>
          <w:sz w:val="16"/>
        </w:rPr>
        <w:t xml:space="preserve">        raise ValueError('invalid relative path')</w:t>
      </w:r>
    </w:p>
    <w:p>
      <w:pPr>
        <w:spacing w:line="220" w:lineRule="exact" w:after="0" w:before="0"/>
        <w:ind w:firstLine="0"/>
      </w:pPr>
      <w:r>
        <w:rPr>
          <w:rFonts w:ascii="Courier New" w:hAnsi="Courier New"/>
          <w:sz w:val="16"/>
        </w:rPr>
        <w:t xml:space="preserve">    result = (root / relative).resolve()</w:t>
      </w:r>
    </w:p>
    <w:p>
      <w:pPr>
        <w:spacing w:line="220" w:lineRule="exact" w:after="0" w:before="0"/>
        <w:ind w:firstLine="0"/>
      </w:pPr>
      <w:r>
        <w:rPr>
          <w:rFonts w:ascii="Courier New" w:hAnsi="Courier New"/>
          <w:sz w:val="16"/>
        </w:rPr>
        <w:t xml:space="preserve">    if not result.is_relative_to(root) or not result.is_file():</w:t>
      </w:r>
    </w:p>
    <w:p>
      <w:pPr>
        <w:spacing w:line="220" w:lineRule="exact" w:after="0" w:before="0"/>
        <w:ind w:firstLine="0"/>
      </w:pPr>
      <w:r>
        <w:rPr>
          <w:rFonts w:ascii="Courier New" w:hAnsi="Courier New"/>
          <w:sz w:val="16"/>
        </w:rPr>
        <w:t xml:space="preserve">        raise ValueError('missing or outside-package file')</w:t>
      </w:r>
    </w:p>
    <w:p>
      <w:pPr>
        <w:spacing w:line="220" w:lineRule="exact" w:after="0" w:before="0"/>
        <w:ind w:firstLine="0"/>
      </w:pPr>
      <w:r>
        <w:rPr>
          <w:rFonts w:ascii="Courier New" w:hAnsi="Courier New"/>
          <w:sz w:val="16"/>
        </w:rPr>
        <w:t xml:space="preserve">    return result</w:t>
      </w:r>
    </w:p>
    <w:p>
      <w:pPr>
        <w:spacing w:line="220" w:lineRule="exact" w:after="0" w:before="0"/>
        <w:ind w:firstLine="0"/>
      </w:pPr>
      <w:r>
        <w:rPr>
          <w:rFonts w:ascii="Courier New" w:hAnsi="Courier New"/>
          <w:sz w:val="16"/>
        </w:rPr>
      </w:r>
    </w:p>
    <w:p>
      <w:pPr>
        <w:spacing w:line="220" w:lineRule="exact" w:after="0" w:before="0"/>
        <w:ind w:firstLine="0"/>
      </w:pPr>
      <w:r>
        <w:rPr>
          <w:rFonts w:ascii="Courier New" w:hAnsi="Courier New"/>
          <w:sz w:val="16"/>
        </w:rPr>
        <w:t>def inspect(root_name):</w:t>
      </w:r>
    </w:p>
    <w:p>
      <w:pPr>
        <w:spacing w:line="220" w:lineRule="exact" w:after="0" w:before="0"/>
        <w:ind w:firstLine="0"/>
      </w:pPr>
      <w:r>
        <w:rPr>
          <w:rFonts w:ascii="Courier New" w:hAnsi="Courier New"/>
          <w:sz w:val="16"/>
        </w:rPr>
        <w:t xml:space="preserve">    root = Path(root_name).resolve()</w:t>
      </w:r>
    </w:p>
    <w:p>
      <w:pPr>
        <w:spacing w:line="220" w:lineRule="exact" w:after="0" w:before="0"/>
        <w:ind w:firstLine="0"/>
      </w:pPr>
      <w:r>
        <w:rPr>
          <w:rFonts w:ascii="Courier New" w:hAnsi="Courier New"/>
          <w:sz w:val="16"/>
        </w:rPr>
        <w:t xml:space="preserve">    package = load_json((root / 'package.json').read_text('utf-8'))</w:t>
      </w:r>
    </w:p>
    <w:p>
      <w:pPr>
        <w:spacing w:line="220" w:lineRule="exact" w:after="0" w:before="0"/>
        <w:ind w:firstLine="0"/>
      </w:pPr>
      <w:r>
        <w:rPr>
          <w:rFonts w:ascii="Courier New" w:hAnsi="Courier New"/>
          <w:sz w:val="16"/>
        </w:rPr>
        <w:t xml:space="preserve">    purpose = package['purpose']</w:t>
      </w:r>
    </w:p>
    <w:p>
      <w:pPr>
        <w:spacing w:line="220" w:lineRule="exact" w:after="0" w:before="0"/>
        <w:ind w:firstLine="0"/>
      </w:pPr>
      <w:r>
        <w:rPr>
          <w:rFonts w:ascii="Courier New" w:hAnsi="Courier New"/>
          <w:sz w:val="16"/>
        </w:rPr>
        <w:t xml:space="preserve">    if purpose not in ('PT', 'SFT', 'PREF', 'EVAL'):</w:t>
      </w:r>
    </w:p>
    <w:p>
      <w:pPr>
        <w:spacing w:line="220" w:lineRule="exact" w:after="0" w:before="0"/>
        <w:ind w:firstLine="0"/>
      </w:pPr>
      <w:r>
        <w:rPr>
          <w:rFonts w:ascii="Courier New" w:hAnsi="Courier New"/>
          <w:sz w:val="16"/>
        </w:rPr>
        <w:t xml:space="preserve">        raise ValueError('unknown purpose')</w:t>
      </w:r>
    </w:p>
    <w:p>
      <w:pPr>
        <w:spacing w:line="220" w:lineRule="exact" w:after="0" w:before="0"/>
        <w:ind w:firstLine="0"/>
      </w:pPr>
      <w:r>
        <w:rPr>
          <w:rFonts w:ascii="Courier New" w:hAnsi="Courier New"/>
          <w:sz w:val="16"/>
        </w:rPr>
        <w:t xml:space="preserve">    files = package['data_files']</w:t>
      </w:r>
    </w:p>
    <w:p>
      <w:pPr>
        <w:spacing w:line="220" w:lineRule="exact" w:after="0" w:before="0"/>
        <w:ind w:firstLine="0"/>
      </w:pPr>
      <w:r>
        <w:rPr>
          <w:rFonts w:ascii="Courier New" w:hAnsi="Courier New"/>
          <w:sz w:val="16"/>
        </w:rPr>
        <w:t xml:space="preserve">    if not isinstance(files, list) or not files:</w:t>
      </w:r>
    </w:p>
    <w:p>
      <w:pPr>
        <w:spacing w:line="220" w:lineRule="exact" w:after="0" w:before="0"/>
        <w:ind w:firstLine="0"/>
      </w:pPr>
      <w:r>
        <w:rPr>
          <w:rFonts w:ascii="Courier New" w:hAnsi="Courier New"/>
          <w:sz w:val="16"/>
        </w:rPr>
        <w:t xml:space="preserve">        raise ValueError('data_files must be a nonempty list')</w:t>
      </w:r>
    </w:p>
    <w:p>
      <w:pPr>
        <w:spacing w:line="220" w:lineRule="exact" w:after="0" w:before="0"/>
        <w:ind w:firstLine="0"/>
      </w:pPr>
      <w:r>
        <w:rPr>
          <w:rFonts w:ascii="Courier New" w:hAnsi="Courier New"/>
          <w:sz w:val="16"/>
        </w:rPr>
        <w:t xml:space="preserve">    keys, paths, totals = set(), set(), {}</w:t>
      </w:r>
    </w:p>
    <w:p>
      <w:pPr>
        <w:spacing w:line="220" w:lineRule="exact" w:after="0" w:before="0"/>
        <w:ind w:firstLine="0"/>
      </w:pPr>
      <w:r>
        <w:rPr>
          <w:rFonts w:ascii="Courier New" w:hAnsi="Courier New"/>
          <w:sz w:val="16"/>
        </w:rPr>
        <w:t xml:space="preserve">    for name in files:</w:t>
      </w:r>
    </w:p>
    <w:p>
      <w:pPr>
        <w:spacing w:line="220" w:lineRule="exact" w:after="0" w:before="0"/>
        <w:ind w:firstLine="0"/>
      </w:pPr>
      <w:r>
        <w:rPr>
          <w:rFonts w:ascii="Courier New" w:hAnsi="Courier New"/>
          <w:sz w:val="16"/>
        </w:rPr>
        <w:t xml:space="preserve">        path = safe_path(root, name)</w:t>
      </w:r>
    </w:p>
    <w:p>
      <w:pPr>
        <w:spacing w:line="220" w:lineRule="exact" w:after="0" w:before="0"/>
        <w:ind w:firstLine="0"/>
      </w:pPr>
      <w:r>
        <w:rPr>
          <w:rFonts w:ascii="Courier New" w:hAnsi="Courier New"/>
          <w:sz w:val="16"/>
        </w:rPr>
        <w:t xml:space="preserve">        if path in paths:</w:t>
      </w:r>
    </w:p>
    <w:p>
      <w:pPr>
        <w:spacing w:line="220" w:lineRule="exact" w:after="0" w:before="0"/>
        <w:ind w:firstLine="0"/>
      </w:pPr>
      <w:r>
        <w:rPr>
          <w:rFonts w:ascii="Courier New" w:hAnsi="Courier New"/>
          <w:sz w:val="16"/>
        </w:rPr>
        <w:t xml:space="preserve">            raise ValueError('duplicate data file')</w:t>
      </w:r>
    </w:p>
    <w:p>
      <w:pPr>
        <w:spacing w:line="220" w:lineRule="exact" w:after="0" w:before="0"/>
        <w:ind w:firstLine="0"/>
      </w:pPr>
      <w:r>
        <w:rPr>
          <w:rFonts w:ascii="Courier New" w:hAnsi="Courier New"/>
          <w:sz w:val="16"/>
        </w:rPr>
        <w:t xml:space="preserve">        paths.add(path)</w:t>
      </w:r>
    </w:p>
    <w:p>
      <w:pPr>
        <w:spacing w:line="220" w:lineRule="exact" w:after="0" w:before="0"/>
        <w:ind w:firstLine="0"/>
      </w:pPr>
      <w:r>
        <w:rPr>
          <w:rFonts w:ascii="Courier New" w:hAnsi="Courier New"/>
          <w:sz w:val="16"/>
        </w:rPr>
        <w:t xml:space="preserve">        with path.open(encoding='utf-8') as stream:</w:t>
      </w:r>
    </w:p>
    <w:p>
      <w:pPr>
        <w:spacing w:line="220" w:lineRule="exact" w:after="0" w:before="0"/>
        <w:ind w:firstLine="0"/>
      </w:pPr>
      <w:r>
        <w:rPr>
          <w:rFonts w:ascii="Courier New" w:hAnsi="Courier New"/>
          <w:sz w:val="16"/>
        </w:rPr>
        <w:t xml:space="preserve">            for number, line in enumerate(stream, 1):</w:t>
      </w:r>
    </w:p>
    <w:p>
      <w:pPr>
        <w:spacing w:line="220" w:lineRule="exact" w:after="0" w:before="0"/>
        <w:ind w:firstLine="0"/>
      </w:pPr>
      <w:r>
        <w:rPr>
          <w:rFonts w:ascii="Courier New" w:hAnsi="Courier New"/>
          <w:sz w:val="16"/>
        </w:rPr>
        <w:t xml:space="preserve">                try:</w:t>
      </w:r>
    </w:p>
    <w:p>
      <w:pPr>
        <w:spacing w:line="220" w:lineRule="exact" w:after="0" w:before="0"/>
        <w:ind w:firstLine="0"/>
      </w:pPr>
      <w:r>
        <w:rPr>
          <w:rFonts w:ascii="Courier New" w:hAnsi="Courier New"/>
          <w:sz w:val="16"/>
        </w:rPr>
        <w:t xml:space="preserve">                    item = load_json(line)</w:t>
      </w:r>
    </w:p>
    <w:p>
      <w:pPr>
        <w:spacing w:line="220" w:lineRule="exact" w:after="0" w:before="0"/>
        <w:ind w:firstLine="0"/>
      </w:pPr>
      <w:r>
        <w:rPr>
          <w:rFonts w:ascii="Courier New" w:hAnsi="Courier New"/>
          <w:sz w:val="16"/>
        </w:rPr>
        <w:t xml:space="preserve">                    key = item['record_id']</w:t>
      </w:r>
    </w:p>
    <w:p>
      <w:pPr>
        <w:spacing w:line="220" w:lineRule="exact" w:after="0" w:before="0"/>
        <w:ind w:firstLine="0"/>
      </w:pPr>
      <w:r>
        <w:rPr>
          <w:rFonts w:ascii="Courier New" w:hAnsi="Courier New"/>
          <w:sz w:val="16"/>
        </w:rPr>
        <w:t xml:space="preserve">                    if not isinstance(key, str) or not key.strip():</w:t>
      </w:r>
    </w:p>
    <w:p>
      <w:pPr>
        <w:spacing w:line="220" w:lineRule="exact" w:after="0" w:before="0"/>
        <w:ind w:firstLine="0"/>
      </w:pPr>
      <w:r>
        <w:rPr>
          <w:rFonts w:ascii="Courier New" w:hAnsi="Courier New"/>
          <w:sz w:val="16"/>
        </w:rPr>
        <w:t xml:space="preserve">                        raise ValueError('empty record_id')</w:t>
      </w:r>
    </w:p>
    <w:p>
      <w:pPr>
        <w:spacing w:line="220" w:lineRule="exact" w:after="0" w:before="0"/>
        <w:ind w:firstLine="0"/>
      </w:pPr>
      <w:r>
        <w:rPr>
          <w:rFonts w:ascii="Courier New" w:hAnsi="Courier New"/>
          <w:sz w:val="16"/>
        </w:rPr>
        <w:t xml:space="preserve">                    if key in keys:</w:t>
      </w:r>
    </w:p>
    <w:p>
      <w:pPr>
        <w:spacing w:line="220" w:lineRule="exact" w:after="0" w:before="0"/>
        <w:ind w:firstLine="0"/>
      </w:pPr>
      <w:r>
        <w:rPr>
          <w:rFonts w:ascii="Courier New" w:hAnsi="Courier New"/>
          <w:sz w:val="16"/>
        </w:rPr>
        <w:t xml:space="preserve">                        raise ValueError('duplicate record_id')</w:t>
      </w:r>
    </w:p>
    <w:p>
      <w:pPr>
        <w:spacing w:line="220" w:lineRule="exact" w:after="0" w:before="0"/>
        <w:ind w:firstLine="0"/>
      </w:pPr>
      <w:r>
        <w:rPr>
          <w:rFonts w:ascii="Courier New" w:hAnsi="Courier New"/>
          <w:sz w:val="16"/>
        </w:rPr>
        <w:t xml:space="preserve">                    keys.add(key)</w:t>
      </w:r>
    </w:p>
    <w:p>
      <w:pPr>
        <w:spacing w:line="220" w:lineRule="exact" w:after="0" w:before="0"/>
        <w:ind w:firstLine="0"/>
      </w:pPr>
      <w:r>
        <w:rPr>
          <w:rFonts w:ascii="Courier New" w:hAnsi="Courier New"/>
          <w:sz w:val="16"/>
        </w:rPr>
        <w:t xml:space="preserve">                    if item['purpose'] != purpose:</w:t>
      </w:r>
    </w:p>
    <w:p>
      <w:pPr>
        <w:spacing w:line="220" w:lineRule="exact" w:after="0" w:before="0"/>
        <w:ind w:firstLine="0"/>
      </w:pPr>
      <w:r>
        <w:rPr>
          <w:rFonts w:ascii="Courier New" w:hAnsi="Courier New"/>
          <w:sz w:val="16"/>
        </w:rPr>
        <w:t xml:space="preserve">                        raise ValueError('purpose mismatch')</w:t>
      </w:r>
    </w:p>
    <w:p>
      <w:pPr>
        <w:spacing w:line="220" w:lineRule="exact" w:after="0" w:before="0"/>
        <w:ind w:firstLine="0"/>
      </w:pPr>
      <w:r>
        <w:rPr>
          <w:rFonts w:ascii="Courier New" w:hAnsi="Courier New"/>
          <w:sz w:val="16"/>
        </w:rPr>
        <w:t xml:space="preserve">                    if item['domain'] != package['domain']:</w:t>
      </w:r>
    </w:p>
    <w:p>
      <w:pPr>
        <w:spacing w:line="220" w:lineRule="exact" w:after="0" w:before="0"/>
        <w:ind w:firstLine="0"/>
      </w:pPr>
      <w:r>
        <w:rPr>
          <w:rFonts w:ascii="Courier New" w:hAnsi="Courier New"/>
          <w:sz w:val="16"/>
        </w:rPr>
        <w:t xml:space="preserve">                        raise ValueError('domain mismatch')</w:t>
      </w:r>
    </w:p>
    <w:p>
      <w:pPr>
        <w:spacing w:line="220" w:lineRule="exact" w:after="0" w:before="0"/>
        <w:ind w:firstLine="0"/>
      </w:pPr>
      <w:r>
        <w:rPr>
          <w:rFonts w:ascii="Courier New" w:hAnsi="Courier New"/>
          <w:sz w:val="16"/>
        </w:rPr>
        <w:t xml:space="preserve">                    if item['dataset_version'] != package['version']:</w:t>
      </w:r>
    </w:p>
    <w:p>
      <w:pPr>
        <w:spacing w:line="220" w:lineRule="exact" w:after="0" w:before="0"/>
        <w:ind w:firstLine="0"/>
      </w:pPr>
      <w:r>
        <w:rPr>
          <w:rFonts w:ascii="Courier New" w:hAnsi="Courier New"/>
          <w:sz w:val="16"/>
        </w:rPr>
        <w:t xml:space="preserve">                        raise ValueError('version mismatch')</w:t>
      </w:r>
    </w:p>
    <w:p>
      <w:pPr>
        <w:spacing w:line="220" w:lineRule="exact" w:after="0" w:before="0"/>
        <w:ind w:firstLine="0"/>
      </w:pPr>
      <w:r>
        <w:rPr>
          <w:rFonts w:ascii="Courier New" w:hAnsi="Courier New"/>
          <w:sz w:val="16"/>
        </w:rPr>
        <w:t xml:space="preserve">                    eligible = item['release_eligible']</w:t>
      </w:r>
    </w:p>
    <w:p>
      <w:pPr>
        <w:spacing w:line="220" w:lineRule="exact" w:after="0" w:before="0"/>
        <w:ind w:firstLine="0"/>
      </w:pPr>
      <w:r>
        <w:rPr>
          <w:rFonts w:ascii="Courier New" w:hAnsi="Courier New"/>
          <w:sz w:val="16"/>
        </w:rPr>
        <w:t xml:space="preserve">                    if type(eligible) is not bool:</w:t>
      </w:r>
    </w:p>
    <w:p>
      <w:pPr>
        <w:spacing w:line="220" w:lineRule="exact" w:after="0" w:before="0"/>
        <w:ind w:firstLine="0"/>
      </w:pPr>
      <w:r>
        <w:rPr>
          <w:rFonts w:ascii="Courier New" w:hAnsi="Courier New"/>
          <w:sz w:val="16"/>
        </w:rPr>
        <w:t xml:space="preserve">                        raise ValueError('eligibility must be boolean')</w:t>
      </w:r>
    </w:p>
    <w:p>
      <w:pPr>
        <w:spacing w:line="220" w:lineRule="exact" w:after="0" w:before="0"/>
        <w:ind w:firstLine="0"/>
      </w:pPr>
      <w:r>
        <w:rPr>
          <w:rFonts w:ascii="Courier New" w:hAnsi="Courier New"/>
          <w:sz w:val="16"/>
        </w:rPr>
        <w:t xml:space="preserve">                    origin = item['origin']</w:t>
      </w:r>
    </w:p>
    <w:p>
      <w:pPr>
        <w:spacing w:line="220" w:lineRule="exact" w:after="0" w:before="0"/>
        <w:ind w:firstLine="0"/>
      </w:pPr>
      <w:r>
        <w:rPr>
          <w:rFonts w:ascii="Courier New" w:hAnsi="Courier New"/>
          <w:sz w:val="16"/>
        </w:rPr>
        <w:t xml:space="preserve">                    if origin not in ('real', 'synthetic',</w:t>
      </w:r>
    </w:p>
    <w:p>
      <w:pPr>
        <w:spacing w:line="220" w:lineRule="exact" w:after="0" w:before="0"/>
        <w:ind w:firstLine="0"/>
      </w:pPr>
      <w:r>
        <w:rPr>
          <w:rFonts w:ascii="Courier New" w:hAnsi="Courier New"/>
          <w:sz w:val="16"/>
        </w:rPr>
        <w:t xml:space="preserve">                                      'specification_example'):</w:t>
      </w:r>
    </w:p>
    <w:p>
      <w:pPr>
        <w:spacing w:line="220" w:lineRule="exact" w:after="0" w:before="0"/>
        <w:ind w:firstLine="0"/>
      </w:pPr>
      <w:r>
        <w:rPr>
          <w:rFonts w:ascii="Courier New" w:hAnsi="Courier New"/>
          <w:sz w:val="16"/>
        </w:rPr>
        <w:t xml:space="preserve">                        raise ValueError('unknown origin')</w:t>
      </w:r>
    </w:p>
    <w:p>
      <w:pPr>
        <w:spacing w:line="220" w:lineRule="exact" w:after="0" w:before="0"/>
        <w:ind w:firstLine="0"/>
      </w:pPr>
      <w:r>
        <w:rPr>
          <w:rFonts w:ascii="Courier New" w:hAnsi="Courier New"/>
          <w:sz w:val="16"/>
        </w:rPr>
        <w:t xml:space="preserve">                    if type(item['augmented']) is not bool:</w:t>
      </w:r>
    </w:p>
    <w:p>
      <w:pPr>
        <w:spacing w:line="220" w:lineRule="exact" w:after="0" w:before="0"/>
        <w:ind w:firstLine="0"/>
      </w:pPr>
      <w:r>
        <w:rPr>
          <w:rFonts w:ascii="Courier New" w:hAnsi="Courier New"/>
          <w:sz w:val="16"/>
        </w:rPr>
        <w:t xml:space="preserve">                        raise ValueError('augmented must be boolean')</w:t>
      </w:r>
    </w:p>
    <w:p>
      <w:pPr>
        <w:spacing w:line="220" w:lineRule="exact" w:after="0" w:before="0"/>
        <w:ind w:firstLine="0"/>
      </w:pPr>
      <w:r>
        <w:rPr>
          <w:rFonts w:ascii="Courier New" w:hAnsi="Courier New"/>
          <w:sz w:val="16"/>
        </w:rPr>
        <w:t xml:space="preserve">                    if origin == 'specification_example' and eligible:</w:t>
      </w:r>
    </w:p>
    <w:p>
      <w:pPr>
        <w:spacing w:line="220" w:lineRule="exact" w:after="0" w:before="0"/>
        <w:ind w:firstLine="0"/>
      </w:pPr>
      <w:r>
        <w:rPr>
          <w:rFonts w:ascii="Courier New" w:hAnsi="Courier New"/>
          <w:sz w:val="16"/>
        </w:rPr>
        <w:t xml:space="preserve">                        raise ValueError('example cannot be eligible')</w:t>
      </w:r>
    </w:p>
    <w:p>
      <w:pPr>
        <w:spacing w:line="220" w:lineRule="exact" w:after="0" w:before="0"/>
        <w:ind w:firstLine="0"/>
      </w:pPr>
      <w:r>
        <w:rPr>
          <w:rFonts w:ascii="Courier New" w:hAnsi="Courier New"/>
          <w:sz w:val="16"/>
        </w:rPr>
        <w:t xml:space="preserve">                    if purpose == 'EVAL' and eligible:</w:t>
      </w:r>
    </w:p>
    <w:p>
      <w:pPr>
        <w:spacing w:line="220" w:lineRule="exact" w:after="0" w:before="0"/>
        <w:ind w:firstLine="0"/>
      </w:pPr>
      <w:r>
        <w:rPr>
          <w:rFonts w:ascii="Courier New" w:hAnsi="Courier New"/>
          <w:sz w:val="16"/>
        </w:rPr>
        <w:t xml:space="preserve">                        if origin != 'real' or item['augmented']:</w:t>
      </w:r>
    </w:p>
    <w:p>
      <w:pPr>
        <w:spacing w:line="220" w:lineRule="exact" w:after="0" w:before="0"/>
        <w:ind w:firstLine="0"/>
      </w:pPr>
      <w:r>
        <w:rPr>
          <w:rFonts w:ascii="Courier New" w:hAnsi="Courier New"/>
          <w:sz w:val="16"/>
        </w:rPr>
        <w:t xml:space="preserve">                            raise ValueError('invalid benchmark source')</w:t>
      </w:r>
    </w:p>
    <w:p>
      <w:pPr>
        <w:spacing w:line="220" w:lineRule="exact" w:after="0" w:before="0"/>
        <w:ind w:firstLine="0"/>
      </w:pPr>
      <w:r>
        <w:rPr>
          <w:rFonts w:ascii="Courier New" w:hAnsi="Courier New"/>
          <w:sz w:val="16"/>
        </w:rPr>
        <w:t xml:space="preserve">                    if eligible and item['quality_state'] != 'passed':</w:t>
      </w:r>
    </w:p>
    <w:p>
      <w:pPr>
        <w:spacing w:line="220" w:lineRule="exact" w:after="0" w:before="0"/>
        <w:ind w:firstLine="0"/>
      </w:pPr>
      <w:r>
        <w:rPr>
          <w:rFonts w:ascii="Courier New" w:hAnsi="Courier New"/>
          <w:sz w:val="16"/>
        </w:rPr>
        <w:t xml:space="preserve">                        raise ValueError('quality not passed')</w:t>
      </w:r>
    </w:p>
    <w:p>
      <w:pPr>
        <w:spacing w:line="220" w:lineRule="exact" w:after="0" w:before="0"/>
        <w:ind w:firstLine="0"/>
      </w:pPr>
      <w:r>
        <w:rPr>
          <w:rFonts w:ascii="Courier New" w:hAnsi="Courier New"/>
          <w:sz w:val="16"/>
        </w:rPr>
        <w:t xml:space="preserve">                    totals[origin] = totals.get(origin, 0) + 1</w:t>
      </w:r>
    </w:p>
    <w:p>
      <w:pPr>
        <w:spacing w:line="220" w:lineRule="exact" w:after="0" w:before="0"/>
        <w:ind w:firstLine="0"/>
      </w:pPr>
      <w:r>
        <w:rPr>
          <w:rFonts w:ascii="Courier New" w:hAnsi="Courier New"/>
          <w:sz w:val="16"/>
        </w:rPr>
        <w:t xml:space="preserve">                except (KeyError, TypeError, ValueError) as error:</w:t>
      </w:r>
    </w:p>
    <w:p>
      <w:pPr>
        <w:spacing w:line="220" w:lineRule="exact" w:after="0" w:before="0"/>
        <w:ind w:firstLine="0"/>
      </w:pPr>
      <w:r>
        <w:rPr>
          <w:rFonts w:ascii="Courier New" w:hAnsi="Courier New"/>
          <w:sz w:val="16"/>
        </w:rPr>
        <w:t xml:space="preserve">                    raise ValueError(f'{name}:{number}: {error}') from error</w:t>
      </w:r>
    </w:p>
    <w:p>
      <w:pPr>
        <w:spacing w:line="220" w:lineRule="exact" w:after="0" w:before="0"/>
        <w:ind w:firstLine="0"/>
      </w:pPr>
      <w:r>
        <w:rPr>
          <w:rFonts w:ascii="Courier New" w:hAnsi="Courier New"/>
          <w:sz w:val="16"/>
        </w:rPr>
        <w:t xml:space="preserve">    return {'structural_records': len(keys), 'origins': totals}</w:t>
      </w:r>
    </w:p>
    <w:p>
      <w:pPr>
        <w:spacing w:line="220" w:lineRule="exact" w:after="0" w:before="0"/>
        <w:ind w:firstLine="0"/>
      </w:pPr>
      <w:r>
        <w:rPr>
          <w:rFonts w:ascii="Courier New" w:hAnsi="Courier New"/>
          <w:sz w:val="16"/>
        </w:rPr>
      </w:r>
    </w:p>
    <w:p>
      <w:pPr>
        <w:spacing w:line="220" w:lineRule="exact" w:after="0" w:before="0"/>
        <w:ind w:firstLine="0"/>
      </w:pPr>
      <w:r>
        <w:rPr>
          <w:rFonts w:ascii="Courier New" w:hAnsi="Courier New"/>
          <w:sz w:val="16"/>
        </w:rPr>
        <w:t>if __name__ == '__main__':</w:t>
      </w:r>
    </w:p>
    <w:p>
      <w:pPr>
        <w:spacing w:line="220" w:lineRule="exact" w:after="0" w:before="0"/>
        <w:ind w:firstLine="0"/>
      </w:pPr>
      <w:r>
        <w:rPr>
          <w:rFonts w:ascii="Courier New" w:hAnsi="Courier New"/>
          <w:sz w:val="16"/>
        </w:rPr>
        <w:t xml:space="preserve">    print(json.dumps(inspect(sys.argv[1]), ensure_ascii=False))</w:t>
      </w:r>
    </w:p>
    <w:sectPr w:rsidR="00FC693F" w:rsidRPr="0006063C" w:rsidSect="00034616">
      <w:headerReference w:type="default" r:id="rId9"/>
      <w:footerReference w:type="default" r:id="rId10"/>
      <w:pgSz w:w="11906" w:h="16838"/>
      <w:pgMar w:top="1247"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t xml:space="preserve">四大数据集数据卡　｜　第 </w:t>
    </w:r>
    <w:r/>
    <w:fldSimple w:instr="PAGE"/>
    <w:r>
      <w:t xml:space="preserve"> 页　共 </w:t>
    </w:r>
    <w:r/>
    <w:fldSimple w:instr="NUMPAGES"/>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t>矿山装备制造领域高质量数据集建设及场景应用项目配套设施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10" w:lineRule="exact" w:after="40"/>
      <w:ind w:firstLine="480"/>
    </w:pPr>
    <w:rPr>
      <w:rFonts w:ascii="Times New Roman" w:hAnsi="Times New Roman" w:eastAsia="Songti SC"/>
      <w:b w:val="0"/>
      <w:color w:val="000000"/>
      <w:sz w:val="24"/>
      <w:lang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460" w:lineRule="exact"/>
      <w:ind w:firstLine="0"/>
      <w:outlineLvl w:val="0"/>
    </w:pPr>
    <w:rPr>
      <w:rFonts w:ascii="Times New Roman" w:hAnsi="Times New Roman" w:eastAsia="Songti SC"/>
      <w:b/>
      <w:bCs/>
      <w:color w:val="000000"/>
      <w:sz w:val="32"/>
      <w:szCs w:val="28"/>
      <w:lang w:eastAsia="zh-CN"/>
    </w:rPr>
  </w:style>
  <w:style w:type="paragraph" w:styleId="Heading2">
    <w:name w:val="heading 2"/>
    <w:basedOn w:val="Normal"/>
    <w:next w:val="Normal"/>
    <w:link w:val="Heading2Char"/>
    <w:uiPriority w:val="9"/>
    <w:unhideWhenUsed/>
    <w:qFormat/>
    <w:rsid w:val="00FC693F"/>
    <w:pPr>
      <w:keepNext/>
      <w:keepLines/>
      <w:spacing w:before="160" w:after="120" w:line="400" w:lineRule="exact"/>
      <w:ind w:firstLine="0"/>
      <w:outlineLvl w:val="1"/>
    </w:pPr>
    <w:rPr>
      <w:rFonts w:ascii="Times New Roman" w:hAnsi="Times New Roman" w:eastAsia="Songti SC"/>
      <w:b/>
      <w:bCs/>
      <w:color w:val="000000"/>
      <w:sz w:val="26"/>
      <w:szCs w:val="26"/>
      <w:lang w:eastAsia="zh-CN"/>
    </w:rPr>
  </w:style>
  <w:style w:type="paragraph" w:styleId="Heading3">
    <w:name w:val="heading 3"/>
    <w:basedOn w:val="Normal"/>
    <w:next w:val="Normal"/>
    <w:link w:val="Heading3Char"/>
    <w:uiPriority w:val="9"/>
    <w:unhideWhenUsed/>
    <w:qFormat/>
    <w:rsid w:val="00FC693F"/>
    <w:pPr>
      <w:keepNext/>
      <w:keepLines/>
      <w:spacing w:before="160" w:after="120" w:line="400" w:lineRule="exact"/>
      <w:ind w:firstLine="0"/>
      <w:outlineLvl w:val="2"/>
    </w:pPr>
    <w:rPr>
      <w:rFonts w:ascii="Times New Roman" w:hAnsi="Times New Roman" w:eastAsia="Songti SC"/>
      <w:b/>
      <w:bCs/>
      <w:color w:val="000000"/>
      <w:sz w:val="24"/>
      <w:lang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Songti SC"/>
      <w:b/>
      <w:color w:val="000000"/>
      <w:spacing w:val="5"/>
      <w:kern w:val="28"/>
      <w:sz w:val="42"/>
      <w:szCs w:val="52"/>
      <w:lang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6" w:lineRule="auto" w:after="120"/>
      <w:ind w:firstLine="0"/>
    </w:pPr>
    <w:rPr>
      <w:rFonts w:ascii="Times New Roman" w:hAnsi="Times New Roman" w:eastAsia="Songti SC"/>
      <w:b w:val="0"/>
      <w:bCs/>
      <w:color w:val="000000"/>
      <w:sz w:val="21"/>
      <w:szCs w:val="18"/>
      <w:lang w:eastAsia="zh-CN"/>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四大数据集数据卡</dc:title>
  <dc:subject>矿山装备制造领域高质量数据集建设及场景应用项目配套设施 数据加工生产服务</dc:subject>
  <dc:creator/>
  <cp:keywords/>
  <dc:description/>
  <cp:lastModifiedBy/>
  <cp:revision>1</cp:revision>
  <dcterms:created xsi:type="dcterms:W3CDTF">2013-12-23T23:15:00Z</dcterms:created>
  <dcterms:modified xsi:type="dcterms:W3CDTF">2013-12-23T23:15:00Z</dcterms:modified>
  <cp:category/>
</cp:coreProperties>
</file>